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191770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217805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312" w:lineRule="exact"/>
        <w:rPr>
          <w:sz w:val="24"/>
          <w:szCs w:val="24"/>
          <w:color w:val="auto"/>
        </w:rPr>
      </w:pPr>
    </w:p>
    <w:p>
      <w:pPr>
        <w:jc w:val="center"/>
        <w:ind w:right="-29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16"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46" w:lineRule="exact"/>
        <w:rPr>
          <w:sz w:val="24"/>
          <w:szCs w:val="24"/>
          <w:color w:val="auto"/>
        </w:rPr>
      </w:pPr>
    </w:p>
    <w:p>
      <w:pPr>
        <w:ind w:left="400" w:hanging="374"/>
        <w:spacing w:after="0" w:line="274" w:lineRule="auto"/>
        <w:tabs>
          <w:tab w:leader="none" w:pos="4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6"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For the quarterly period ended June 30, 2021</w:t>
      </w:r>
    </w:p>
    <w:p>
      <w:pPr>
        <w:spacing w:after="0" w:line="93"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OR</w:t>
      </w:r>
    </w:p>
    <w:p>
      <w:pPr>
        <w:spacing w:after="0" w:line="166" w:lineRule="exact"/>
        <w:rPr>
          <w:sz w:val="24"/>
          <w:szCs w:val="24"/>
          <w:color w:val="auto"/>
        </w:rPr>
      </w:pPr>
    </w:p>
    <w:p>
      <w:pPr>
        <w:ind w:left="400" w:hanging="374"/>
        <w:spacing w:after="0" w:line="274" w:lineRule="auto"/>
        <w:tabs>
          <w:tab w:leader="none" w:pos="4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-14605</wp:posOffset>
            </wp:positionV>
            <wp:extent cx="1285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83185</wp:posOffset>
            </wp:positionV>
            <wp:extent cx="2143125" cy="112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122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GoHealth, Inc.</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(Exact name of registrant as specified in its charter)</w:t>
      </w:r>
    </w:p>
    <w:p>
      <w:pPr>
        <w:spacing w:after="0" w:line="113"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52" w:lineRule="exact"/>
        <w:rPr>
          <w:sz w:val="24"/>
          <w:szCs w:val="24"/>
          <w:color w:val="auto"/>
        </w:rPr>
      </w:pPr>
    </w:p>
    <w:tbl>
      <w:tblPr>
        <w:tblLayout w:type="fixed"/>
        <w:tblInd w:w="720" w:type="dxa"/>
        <w:tblCellMar>
          <w:top w:w="0" w:type="dxa"/>
          <w:left w:w="0" w:type="dxa"/>
          <w:bottom w:w="0" w:type="dxa"/>
          <w:right w:w="0" w:type="dxa"/>
        </w:tblCellMar>
      </w:tblPr>
      <w:tr>
        <w:trPr>
          <w:trHeight w:val="190"/>
        </w:trPr>
        <w:tc>
          <w:tcPr>
            <w:tcW w:w="4260" w:type="dxa"/>
            <w:vAlign w:val="bottom"/>
          </w:tcPr>
          <w:p>
            <w:pPr>
              <w:jc w:val="center"/>
              <w:ind w:right="24"/>
              <w:spacing w:after="0"/>
              <w:rPr>
                <w:sz w:val="20"/>
                <w:szCs w:val="20"/>
                <w:color w:val="auto"/>
              </w:rPr>
            </w:pPr>
            <w:r>
              <w:rPr>
                <w:rFonts w:ascii="Arial" w:cs="Arial" w:eastAsia="Arial" w:hAnsi="Arial"/>
                <w:sz w:val="14"/>
                <w:szCs w:val="14"/>
                <w:b w:val="1"/>
                <w:bCs w:val="1"/>
                <w:color w:val="auto"/>
              </w:rPr>
              <w:t>Delaware</w:t>
            </w:r>
          </w:p>
        </w:tc>
        <w:tc>
          <w:tcPr>
            <w:tcW w:w="4660" w:type="dxa"/>
            <w:vAlign w:val="bottom"/>
          </w:tcPr>
          <w:p>
            <w:pPr>
              <w:jc w:val="center"/>
              <w:ind w:left="2103"/>
              <w:spacing w:after="0"/>
              <w:rPr>
                <w:sz w:val="20"/>
                <w:szCs w:val="20"/>
                <w:color w:val="auto"/>
              </w:rPr>
            </w:pPr>
            <w:r>
              <w:rPr>
                <w:rFonts w:ascii="Arial" w:cs="Arial" w:eastAsia="Arial" w:hAnsi="Arial"/>
                <w:sz w:val="14"/>
                <w:szCs w:val="14"/>
                <w:b w:val="1"/>
                <w:bCs w:val="1"/>
                <w:color w:val="auto"/>
              </w:rPr>
              <w:t>85-0563805</w:t>
            </w:r>
          </w:p>
        </w:tc>
      </w:tr>
      <w:tr>
        <w:trPr>
          <w:trHeight w:val="235"/>
        </w:trPr>
        <w:tc>
          <w:tcPr>
            <w:tcW w:w="4260" w:type="dxa"/>
            <w:vAlign w:val="bottom"/>
          </w:tcPr>
          <w:p>
            <w:pPr>
              <w:jc w:val="center"/>
              <w:ind w:right="4"/>
              <w:spacing w:after="0"/>
              <w:rPr>
                <w:sz w:val="20"/>
                <w:szCs w:val="20"/>
                <w:color w:val="auto"/>
              </w:rPr>
            </w:pPr>
            <w:r>
              <w:rPr>
                <w:rFonts w:ascii="Arial" w:cs="Arial" w:eastAsia="Arial" w:hAnsi="Arial"/>
                <w:sz w:val="16"/>
                <w:szCs w:val="16"/>
                <w:color w:val="auto"/>
              </w:rPr>
              <w:t>(State or other jurisdiction of incorporation or organization)</w:t>
            </w:r>
          </w:p>
        </w:tc>
        <w:tc>
          <w:tcPr>
            <w:tcW w:w="4660" w:type="dxa"/>
            <w:vAlign w:val="bottom"/>
          </w:tcPr>
          <w:p>
            <w:pPr>
              <w:jc w:val="center"/>
              <w:ind w:left="2103"/>
              <w:spacing w:after="0"/>
              <w:rPr>
                <w:sz w:val="20"/>
                <w:szCs w:val="20"/>
                <w:color w:val="auto"/>
              </w:rPr>
            </w:pPr>
            <w:r>
              <w:rPr>
                <w:rFonts w:ascii="Arial" w:cs="Arial" w:eastAsia="Arial" w:hAnsi="Arial"/>
                <w:sz w:val="16"/>
                <w:szCs w:val="16"/>
                <w:color w:val="auto"/>
              </w:rPr>
              <w:t>(I.R.S. Employer Identification No.)</w:t>
            </w:r>
          </w:p>
        </w:tc>
      </w:tr>
      <w:tr>
        <w:trPr>
          <w:trHeight w:val="494"/>
        </w:trPr>
        <w:tc>
          <w:tcPr>
            <w:tcW w:w="4260" w:type="dxa"/>
            <w:vAlign w:val="bottom"/>
          </w:tcPr>
          <w:p>
            <w:pPr>
              <w:jc w:val="center"/>
              <w:ind w:right="84"/>
              <w:spacing w:after="0"/>
              <w:rPr>
                <w:sz w:val="20"/>
                <w:szCs w:val="20"/>
                <w:color w:val="auto"/>
              </w:rPr>
            </w:pPr>
            <w:r>
              <w:rPr>
                <w:rFonts w:ascii="Arial" w:cs="Arial" w:eastAsia="Arial" w:hAnsi="Arial"/>
                <w:sz w:val="14"/>
                <w:szCs w:val="14"/>
                <w:b w:val="1"/>
                <w:bCs w:val="1"/>
                <w:color w:val="auto"/>
              </w:rPr>
              <w:t>214 West Huron St.</w:t>
            </w:r>
          </w:p>
        </w:tc>
        <w:tc>
          <w:tcPr>
            <w:tcW w:w="4660" w:type="dxa"/>
            <w:vAlign w:val="bottom"/>
          </w:tcPr>
          <w:p>
            <w:pPr>
              <w:spacing w:after="0"/>
              <w:rPr>
                <w:sz w:val="24"/>
                <w:szCs w:val="24"/>
                <w:color w:val="auto"/>
              </w:rPr>
            </w:pPr>
          </w:p>
        </w:tc>
      </w:tr>
      <w:tr>
        <w:trPr>
          <w:trHeight w:val="256"/>
        </w:trPr>
        <w:tc>
          <w:tcPr>
            <w:tcW w:w="4260" w:type="dxa"/>
            <w:vAlign w:val="bottom"/>
          </w:tcPr>
          <w:p>
            <w:pPr>
              <w:ind w:left="1460"/>
              <w:spacing w:after="0"/>
              <w:rPr>
                <w:sz w:val="20"/>
                <w:szCs w:val="20"/>
                <w:color w:val="auto"/>
              </w:rPr>
            </w:pPr>
            <w:r>
              <w:rPr>
                <w:rFonts w:ascii="Arial" w:cs="Arial" w:eastAsia="Arial" w:hAnsi="Arial"/>
                <w:sz w:val="14"/>
                <w:szCs w:val="14"/>
                <w:b w:val="1"/>
                <w:bCs w:val="1"/>
                <w:color w:val="auto"/>
              </w:rPr>
              <w:t>Chicago, Illinois</w:t>
            </w:r>
          </w:p>
        </w:tc>
        <w:tc>
          <w:tcPr>
            <w:tcW w:w="4660" w:type="dxa"/>
            <w:vAlign w:val="bottom"/>
          </w:tcPr>
          <w:p>
            <w:pPr>
              <w:jc w:val="center"/>
              <w:ind w:left="2103"/>
              <w:spacing w:after="0"/>
              <w:rPr>
                <w:sz w:val="20"/>
                <w:szCs w:val="20"/>
                <w:color w:val="auto"/>
              </w:rPr>
            </w:pPr>
            <w:r>
              <w:rPr>
                <w:rFonts w:ascii="Arial" w:cs="Arial" w:eastAsia="Arial" w:hAnsi="Arial"/>
                <w:sz w:val="14"/>
                <w:szCs w:val="14"/>
                <w:b w:val="1"/>
                <w:bCs w:val="1"/>
                <w:color w:val="auto"/>
              </w:rPr>
              <w:t>60654</w:t>
            </w:r>
          </w:p>
        </w:tc>
      </w:tr>
      <w:tr>
        <w:trPr>
          <w:trHeight w:val="235"/>
        </w:trPr>
        <w:tc>
          <w:tcPr>
            <w:tcW w:w="4260" w:type="dxa"/>
            <w:vAlign w:val="bottom"/>
          </w:tcPr>
          <w:p>
            <w:pPr>
              <w:jc w:val="center"/>
              <w:ind w:right="64"/>
              <w:spacing w:after="0"/>
              <w:rPr>
                <w:sz w:val="20"/>
                <w:szCs w:val="20"/>
                <w:color w:val="auto"/>
              </w:rPr>
            </w:pPr>
            <w:r>
              <w:rPr>
                <w:rFonts w:ascii="Arial" w:cs="Arial" w:eastAsia="Arial" w:hAnsi="Arial"/>
                <w:sz w:val="16"/>
                <w:szCs w:val="16"/>
                <w:color w:val="auto"/>
              </w:rPr>
              <w:t>(Address of principal executive offices)</w:t>
            </w:r>
          </w:p>
        </w:tc>
        <w:tc>
          <w:tcPr>
            <w:tcW w:w="4660" w:type="dxa"/>
            <w:vAlign w:val="bottom"/>
          </w:tcPr>
          <w:p>
            <w:pPr>
              <w:jc w:val="center"/>
              <w:ind w:left="2083"/>
              <w:spacing w:after="0"/>
              <w:rPr>
                <w:sz w:val="20"/>
                <w:szCs w:val="20"/>
                <w:color w:val="auto"/>
              </w:rPr>
            </w:pPr>
            <w:r>
              <w:rPr>
                <w:rFonts w:ascii="Arial" w:cs="Arial" w:eastAsia="Arial" w:hAnsi="Arial"/>
                <w:sz w:val="16"/>
                <w:szCs w:val="16"/>
                <w:color w:val="auto"/>
              </w:rPr>
              <w:t>(Zip Code)</w:t>
            </w:r>
          </w:p>
        </w:tc>
      </w:tr>
      <w:tr>
        <w:trPr>
          <w:trHeight w:val="405"/>
        </w:trPr>
        <w:tc>
          <w:tcPr>
            <w:tcW w:w="4260" w:type="dxa"/>
            <w:vAlign w:val="bottom"/>
          </w:tcPr>
          <w:p>
            <w:pPr>
              <w:spacing w:after="0"/>
              <w:rPr>
                <w:sz w:val="24"/>
                <w:szCs w:val="24"/>
                <w:color w:val="auto"/>
              </w:rPr>
            </w:pPr>
          </w:p>
        </w:tc>
        <w:tc>
          <w:tcPr>
            <w:tcW w:w="4660" w:type="dxa"/>
            <w:vAlign w:val="bottom"/>
          </w:tcPr>
          <w:p>
            <w:pPr>
              <w:jc w:val="right"/>
              <w:ind w:right="3383"/>
              <w:spacing w:after="0"/>
              <w:rPr>
                <w:sz w:val="20"/>
                <w:szCs w:val="20"/>
                <w:color w:val="auto"/>
              </w:rPr>
            </w:pPr>
            <w:r>
              <w:rPr>
                <w:rFonts w:ascii="Arial" w:cs="Arial" w:eastAsia="Arial" w:hAnsi="Arial"/>
                <w:sz w:val="16"/>
                <w:szCs w:val="16"/>
                <w:b w:val="1"/>
                <w:bCs w:val="1"/>
                <w:color w:val="auto"/>
              </w:rPr>
              <w:t>(312) 386-8200</w:t>
            </w:r>
          </w:p>
        </w:tc>
      </w:tr>
    </w:tbl>
    <w:p>
      <w:pPr>
        <w:spacing w:after="0" w:line="102"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13"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89" w:right="6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24" w:lineRule="exact"/>
        <w:rPr>
          <w:sz w:val="20"/>
          <w:szCs w:val="20"/>
          <w:color w:val="auto"/>
        </w:rPr>
      </w:pPr>
    </w:p>
    <w:p>
      <w:pPr>
        <w:ind w:right="3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6" w:lineRule="exact"/>
        <w:rPr>
          <w:sz w:val="20"/>
          <w:szCs w:val="20"/>
          <w:color w:val="auto"/>
        </w:rPr>
      </w:pPr>
    </w:p>
    <w:p>
      <w:pPr>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ind w:left="160"/>
              <w:spacing w:after="0"/>
              <w:rPr>
                <w:sz w:val="20"/>
                <w:szCs w:val="20"/>
                <w:color w:val="auto"/>
              </w:rPr>
            </w:pPr>
            <w:r>
              <w:rPr>
                <w:rFonts w:ascii="Arial" w:cs="Arial" w:eastAsia="Arial" w:hAnsi="Arial"/>
                <w:sz w:val="16"/>
                <w:szCs w:val="16"/>
                <w:color w:val="auto"/>
              </w:rPr>
              <w:t>Smaller reporting company</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43"/>
        </w:trPr>
        <w:tc>
          <w:tcPr>
            <w:tcW w:w="33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54"/>
        </w:trPr>
        <w:tc>
          <w:tcPr>
            <w:tcW w:w="3340" w:type="dxa"/>
            <w:vAlign w:val="bottom"/>
          </w:tcPr>
          <w:p>
            <w:pPr>
              <w:spacing w:after="0"/>
              <w:rPr>
                <w:sz w:val="20"/>
                <w:szCs w:val="20"/>
                <w:color w:val="auto"/>
              </w:rPr>
            </w:pPr>
            <w:r>
              <w:rPr>
                <w:rFonts w:ascii="Arial" w:cs="Arial" w:eastAsia="Arial" w:hAnsi="Arial"/>
                <w:sz w:val="16"/>
                <w:szCs w:val="16"/>
                <w:color w:val="auto"/>
              </w:rPr>
              <w:t>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spacing w:after="0"/>
              <w:rPr>
                <w:sz w:val="22"/>
                <w:szCs w:val="22"/>
                <w:color w:val="auto"/>
              </w:rPr>
            </w:pPr>
          </w:p>
        </w:tc>
        <w:tc>
          <w:tcPr>
            <w:tcW w:w="1720" w:type="dxa"/>
            <w:vAlign w:val="bottom"/>
          </w:tcPr>
          <w:p>
            <w:pPr>
              <w:spacing w:after="0"/>
              <w:rPr>
                <w:sz w:val="22"/>
                <w:szCs w:val="22"/>
                <w:color w:val="auto"/>
              </w:rPr>
            </w:pPr>
          </w:p>
        </w:tc>
      </w:tr>
    </w:tbl>
    <w:p>
      <w:pPr>
        <w:spacing w:after="0" w:line="192" w:lineRule="exact"/>
        <w:rPr>
          <w:sz w:val="20"/>
          <w:szCs w:val="20"/>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44" w:lineRule="exact"/>
        <w:rPr>
          <w:sz w:val="20"/>
          <w:szCs w:val="20"/>
          <w:color w:val="auto"/>
        </w:rPr>
      </w:pPr>
    </w:p>
    <w:p>
      <w:pPr>
        <w:spacing w:after="0" w:line="184" w:lineRule="exact"/>
        <w:tabs>
          <w:tab w:leader="none" w:pos="8260" w:val="left"/>
          <w:tab w:leader="none" w:pos="8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highlight w:val="black"/>
        </w:rPr>
        <w:t>☒</w:t>
      </w:r>
    </w:p>
    <w:p>
      <w:pPr>
        <w:spacing w:after="0" w:line="15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of August 4, 2021, the registrant had 114,628,759 shares of Class A common stock, $0.0001 par value per share, outstanding and 206,196,780 shares of Class B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414020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3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0" w:type="dxa"/>
            <w:vAlign w:val="bottom"/>
            <w:gridSpan w:val="11"/>
          </w:tcPr>
          <w:p>
            <w:pPr>
              <w:jc w:val="center"/>
              <w:ind w:right="2940"/>
              <w:spacing w:after="0"/>
              <w:rPr>
                <w:sz w:val="20"/>
                <w:szCs w:val="20"/>
                <w:color w:val="auto"/>
              </w:rPr>
            </w:pPr>
            <w:r>
              <w:rPr>
                <w:rFonts w:ascii="Arial" w:cs="Arial" w:eastAsia="Arial" w:hAnsi="Arial"/>
                <w:sz w:val="16"/>
                <w:szCs w:val="16"/>
                <w:b w:val="1"/>
                <w:bCs w:val="1"/>
                <w:color w:val="auto"/>
              </w:rPr>
              <w:t>TABLE OF CONTENTS</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3"/>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5"/>
          </w:tcPr>
          <w:p>
            <w:pPr>
              <w:ind w:left="380"/>
              <w:spacing w:after="0"/>
              <w:rPr>
                <w:sz w:val="20"/>
                <w:szCs w:val="20"/>
                <w:color w:val="auto"/>
              </w:rPr>
            </w:pPr>
            <w:r>
              <w:rPr>
                <w:rFonts w:ascii="Arial" w:cs="Arial" w:eastAsia="Arial" w:hAnsi="Arial"/>
                <w:sz w:val="16"/>
                <w:szCs w:val="16"/>
                <w:color w:val="auto"/>
              </w:rPr>
              <w:t>PAGE</w:t>
            </w:r>
          </w:p>
        </w:tc>
      </w:tr>
      <w:tr>
        <w:trPr>
          <w:trHeight w:val="219"/>
        </w:trPr>
        <w:tc>
          <w:tcPr>
            <w:tcW w:w="1240" w:type="dxa"/>
            <w:vAlign w:val="bottom"/>
            <w:shd w:val="clear" w:color="auto" w:fill="00497F"/>
          </w:tcPr>
          <w:p>
            <w:pPr>
              <w:spacing w:after="0"/>
              <w:rPr>
                <w:sz w:val="19"/>
                <w:szCs w:val="19"/>
                <w:color w:val="auto"/>
              </w:rPr>
            </w:pPr>
          </w:p>
        </w:tc>
        <w:tc>
          <w:tcPr>
            <w:tcW w:w="220" w:type="dxa"/>
            <w:vAlign w:val="bottom"/>
            <w:shd w:val="clear" w:color="auto" w:fill="00497F"/>
          </w:tcPr>
          <w:p>
            <w:pPr>
              <w:spacing w:after="0"/>
              <w:rPr>
                <w:sz w:val="19"/>
                <w:szCs w:val="19"/>
                <w:color w:val="auto"/>
              </w:rPr>
            </w:pPr>
          </w:p>
        </w:tc>
        <w:tc>
          <w:tcPr>
            <w:tcW w:w="560" w:type="dxa"/>
            <w:vAlign w:val="bottom"/>
            <w:shd w:val="clear" w:color="auto" w:fill="00497F"/>
          </w:tcPr>
          <w:p>
            <w:pPr>
              <w:spacing w:after="0"/>
              <w:rPr>
                <w:sz w:val="19"/>
                <w:szCs w:val="19"/>
                <w:color w:val="auto"/>
              </w:rPr>
            </w:pPr>
          </w:p>
        </w:tc>
        <w:tc>
          <w:tcPr>
            <w:tcW w:w="260" w:type="dxa"/>
            <w:vAlign w:val="bottom"/>
            <w:shd w:val="clear" w:color="auto" w:fill="00497F"/>
          </w:tcPr>
          <w:p>
            <w:pPr>
              <w:spacing w:after="0"/>
              <w:rPr>
                <w:sz w:val="19"/>
                <w:szCs w:val="19"/>
                <w:color w:val="auto"/>
              </w:rPr>
            </w:pPr>
          </w:p>
        </w:tc>
        <w:tc>
          <w:tcPr>
            <w:tcW w:w="200" w:type="dxa"/>
            <w:vAlign w:val="bottom"/>
            <w:shd w:val="clear" w:color="auto" w:fill="00497F"/>
          </w:tcPr>
          <w:p>
            <w:pPr>
              <w:spacing w:after="0"/>
              <w:rPr>
                <w:sz w:val="19"/>
                <w:szCs w:val="19"/>
                <w:color w:val="auto"/>
              </w:rPr>
            </w:pPr>
          </w:p>
        </w:tc>
        <w:tc>
          <w:tcPr>
            <w:tcW w:w="540" w:type="dxa"/>
            <w:vAlign w:val="bottom"/>
            <w:shd w:val="clear" w:color="auto" w:fill="00497F"/>
          </w:tcPr>
          <w:p>
            <w:pPr>
              <w:spacing w:after="0"/>
              <w:rPr>
                <w:sz w:val="19"/>
                <w:szCs w:val="19"/>
                <w:color w:val="auto"/>
              </w:rPr>
            </w:pPr>
          </w:p>
        </w:tc>
        <w:tc>
          <w:tcPr>
            <w:tcW w:w="40" w:type="dxa"/>
            <w:vAlign w:val="bottom"/>
            <w:shd w:val="clear" w:color="auto" w:fill="00497F"/>
          </w:tcPr>
          <w:p>
            <w:pPr>
              <w:spacing w:after="0"/>
              <w:rPr>
                <w:sz w:val="19"/>
                <w:szCs w:val="19"/>
                <w:color w:val="auto"/>
              </w:rPr>
            </w:pPr>
          </w:p>
        </w:tc>
        <w:tc>
          <w:tcPr>
            <w:tcW w:w="180" w:type="dxa"/>
            <w:vAlign w:val="bottom"/>
            <w:shd w:val="clear" w:color="auto" w:fill="00497F"/>
          </w:tcPr>
          <w:p>
            <w:pPr>
              <w:spacing w:after="0"/>
              <w:rPr>
                <w:sz w:val="19"/>
                <w:szCs w:val="19"/>
                <w:color w:val="auto"/>
              </w:rPr>
            </w:pPr>
          </w:p>
        </w:tc>
        <w:tc>
          <w:tcPr>
            <w:tcW w:w="340" w:type="dxa"/>
            <w:vAlign w:val="bottom"/>
            <w:shd w:val="clear" w:color="auto" w:fill="00497F"/>
          </w:tcPr>
          <w:p>
            <w:pPr>
              <w:spacing w:after="0"/>
              <w:rPr>
                <w:sz w:val="19"/>
                <w:szCs w:val="19"/>
                <w:color w:val="auto"/>
              </w:rPr>
            </w:pPr>
          </w:p>
        </w:tc>
        <w:tc>
          <w:tcPr>
            <w:tcW w:w="180" w:type="dxa"/>
            <w:vAlign w:val="bottom"/>
            <w:shd w:val="clear" w:color="auto" w:fill="00497F"/>
          </w:tcPr>
          <w:p>
            <w:pPr>
              <w:spacing w:after="0"/>
              <w:rPr>
                <w:sz w:val="19"/>
                <w:szCs w:val="19"/>
                <w:color w:val="auto"/>
              </w:rPr>
            </w:pPr>
          </w:p>
        </w:tc>
        <w:tc>
          <w:tcPr>
            <w:tcW w:w="440" w:type="dxa"/>
            <w:vAlign w:val="bottom"/>
            <w:shd w:val="clear" w:color="auto" w:fill="00497F"/>
          </w:tcPr>
          <w:p>
            <w:pPr>
              <w:spacing w:after="0"/>
              <w:rPr>
                <w:sz w:val="19"/>
                <w:szCs w:val="19"/>
                <w:color w:val="auto"/>
              </w:rPr>
            </w:pPr>
          </w:p>
        </w:tc>
        <w:tc>
          <w:tcPr>
            <w:tcW w:w="5800" w:type="dxa"/>
            <w:vAlign w:val="bottom"/>
            <w:gridSpan w:val="11"/>
            <w:shd w:val="clear" w:color="auto" w:fill="00497F"/>
          </w:tcPr>
          <w:p>
            <w:pPr>
              <w:jc w:val="center"/>
              <w:ind w:right="2960"/>
              <w:spacing w:after="0"/>
              <w:rPr>
                <w:sz w:val="20"/>
                <w:szCs w:val="20"/>
                <w:color w:val="auto"/>
              </w:rPr>
            </w:pPr>
            <w:r>
              <w:rPr>
                <w:rFonts w:ascii="Arial" w:cs="Arial" w:eastAsia="Arial" w:hAnsi="Arial"/>
                <w:sz w:val="16"/>
                <w:szCs w:val="16"/>
                <w:b w:val="1"/>
                <w:bCs w:val="1"/>
                <w:color w:val="FFFFFF"/>
              </w:rPr>
              <w:t>PART I - FINANCIAL INFORMATION</w:t>
            </w:r>
          </w:p>
        </w:tc>
        <w:tc>
          <w:tcPr>
            <w:tcW w:w="500" w:type="dxa"/>
            <w:vAlign w:val="bottom"/>
            <w:shd w:val="clear" w:color="auto" w:fill="00497F"/>
          </w:tcPr>
          <w:p>
            <w:pPr>
              <w:spacing w:after="0"/>
              <w:rPr>
                <w:sz w:val="19"/>
                <w:szCs w:val="19"/>
                <w:color w:val="auto"/>
              </w:rPr>
            </w:pPr>
          </w:p>
        </w:tc>
        <w:tc>
          <w:tcPr>
            <w:tcW w:w="40" w:type="dxa"/>
            <w:vAlign w:val="bottom"/>
            <w:shd w:val="clear" w:color="auto" w:fill="00497F"/>
          </w:tcPr>
          <w:p>
            <w:pPr>
              <w:spacing w:after="0"/>
              <w:rPr>
                <w:sz w:val="19"/>
                <w:szCs w:val="19"/>
                <w:color w:val="auto"/>
              </w:rPr>
            </w:pPr>
          </w:p>
        </w:tc>
        <w:tc>
          <w:tcPr>
            <w:tcW w:w="100" w:type="dxa"/>
            <w:vAlign w:val="bottom"/>
            <w:shd w:val="clear" w:color="auto" w:fill="00497F"/>
          </w:tcPr>
          <w:p>
            <w:pPr>
              <w:spacing w:after="0"/>
              <w:rPr>
                <w:sz w:val="19"/>
                <w:szCs w:val="19"/>
                <w:color w:val="auto"/>
              </w:rPr>
            </w:pPr>
          </w:p>
        </w:tc>
        <w:tc>
          <w:tcPr>
            <w:tcW w:w="40" w:type="dxa"/>
            <w:vAlign w:val="bottom"/>
            <w:shd w:val="clear" w:color="auto" w:fill="00497F"/>
          </w:tcPr>
          <w:p>
            <w:pPr>
              <w:spacing w:after="0"/>
              <w:rPr>
                <w:sz w:val="19"/>
                <w:szCs w:val="19"/>
                <w:color w:val="auto"/>
              </w:rPr>
            </w:pPr>
          </w:p>
        </w:tc>
        <w:tc>
          <w:tcPr>
            <w:tcW w:w="560" w:type="dxa"/>
            <w:vAlign w:val="bottom"/>
            <w:shd w:val="clear" w:color="auto" w:fill="00497F"/>
          </w:tcPr>
          <w:p>
            <w:pPr>
              <w:spacing w:after="0"/>
              <w:rPr>
                <w:sz w:val="19"/>
                <w:szCs w:val="19"/>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8760" w:type="dxa"/>
            <w:vAlign w:val="bottom"/>
            <w:gridSpan w:val="21"/>
          </w:tcPr>
          <w:p>
            <w:pPr>
              <w:spacing w:after="0" w:line="175" w:lineRule="exact"/>
              <w:rPr>
                <w:rFonts w:ascii="Arial" w:cs="Arial" w:eastAsia="Arial" w:hAnsi="Arial"/>
                <w:sz w:val="16"/>
                <w:szCs w:val="16"/>
                <w:color w:val="0000FF"/>
              </w:rPr>
            </w:pPr>
            <w:hyperlink w:anchor="page7">
              <w:r>
                <w:rPr>
                  <w:rFonts w:ascii="Arial" w:cs="Arial" w:eastAsia="Arial" w:hAnsi="Arial"/>
                  <w:sz w:val="16"/>
                  <w:szCs w:val="16"/>
                  <w:color w:val="0000FF"/>
                </w:rPr>
                <w:t>FINANCIAL STATEMENTS.</w:t>
              </w:r>
            </w:hyperlink>
          </w:p>
        </w:tc>
        <w:tc>
          <w:tcPr>
            <w:tcW w:w="680" w:type="dxa"/>
            <w:vAlign w:val="bottom"/>
            <w:gridSpan w:val="4"/>
          </w:tcPr>
          <w:p>
            <w:pPr>
              <w:jc w:val="center"/>
              <w:ind w:left="419"/>
              <w:spacing w:after="0" w:line="175" w:lineRule="exact"/>
              <w:rPr>
                <w:rFonts w:ascii="Arial" w:cs="Arial" w:eastAsia="Arial" w:hAnsi="Arial"/>
                <w:sz w:val="16"/>
                <w:szCs w:val="16"/>
                <w:color w:val="0000FF"/>
              </w:rPr>
            </w:pPr>
            <w:hyperlink w:anchor="page7">
              <w:r>
                <w:rPr>
                  <w:rFonts w:ascii="Arial" w:cs="Arial" w:eastAsia="Arial" w:hAnsi="Arial"/>
                  <w:sz w:val="16"/>
                  <w:szCs w:val="16"/>
                  <w:color w:val="0000FF"/>
                </w:rPr>
                <w:t>4</w:t>
              </w:r>
            </w:hyperlink>
          </w:p>
        </w:tc>
        <w:tc>
          <w:tcPr>
            <w:tcW w:w="56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gridSpan w:val="21"/>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CONDENSED CONSOLIDATED FINANCIAL STATEMENTS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7">
              <w:r>
                <w:rPr>
                  <w:rFonts w:ascii="Arial" w:cs="Arial" w:eastAsia="Arial" w:hAnsi="Arial"/>
                  <w:sz w:val="16"/>
                  <w:szCs w:val="16"/>
                  <w:color w:val="0000FF"/>
                </w:rPr>
                <w:t>4</w:t>
              </w:r>
            </w:hyperlink>
          </w:p>
        </w:tc>
        <w:tc>
          <w:tcPr>
            <w:tcW w:w="56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Borders>
              <w:bottom w:val="single" w:sz="8" w:color="0000FF"/>
            </w:tcBorders>
            <w:gridSpan w:val="12"/>
          </w:tcPr>
          <w:p>
            <w:pPr>
              <w:spacing w:after="0"/>
              <w:rPr>
                <w:rFonts w:ascii="Arial" w:cs="Arial" w:eastAsia="Arial" w:hAnsi="Arial"/>
                <w:sz w:val="16"/>
                <w:szCs w:val="16"/>
                <w:color w:val="0000FF"/>
                <w:w w:val="99"/>
              </w:rPr>
            </w:pPr>
            <w:hyperlink w:anchor="page7">
              <w:r>
                <w:rPr>
                  <w:rFonts w:ascii="Arial" w:cs="Arial" w:eastAsia="Arial" w:hAnsi="Arial"/>
                  <w:sz w:val="16"/>
                  <w:szCs w:val="16"/>
                  <w:color w:val="0000FF"/>
                  <w:w w:val="99"/>
                </w:rPr>
                <w:t>CONDENSED CONSOLIDATED STATEMENTS OF OPERATIONS</w:t>
              </w:r>
            </w:hyperlink>
          </w:p>
        </w:tc>
        <w:tc>
          <w:tcPr>
            <w:tcW w:w="3720" w:type="dxa"/>
            <w:vAlign w:val="bottom"/>
            <w:gridSpan w:val="8"/>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7">
              <w:r>
                <w:rPr>
                  <w:rFonts w:ascii="Arial" w:cs="Arial" w:eastAsia="Arial" w:hAnsi="Arial"/>
                  <w:sz w:val="16"/>
                  <w:szCs w:val="16"/>
                  <w:color w:val="0000FF"/>
                </w:rPr>
                <w:t>4</w:t>
              </w:r>
            </w:hyperlink>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0"/>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CONDENSED CONSOLIDATED STATEMENTS OF COMPREHENSIVE INCOME (LOSS)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7">
              <w:r>
                <w:rPr>
                  <w:rFonts w:ascii="Arial" w:cs="Arial" w:eastAsia="Arial" w:hAnsi="Arial"/>
                  <w:sz w:val="16"/>
                  <w:szCs w:val="16"/>
                  <w:color w:val="0000FF"/>
                </w:rPr>
                <w:t>5</w:t>
              </w:r>
            </w:hyperlink>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10"/>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CONDENSED CONSOLIDATED BALANCE SHEETS</w:t>
              </w:r>
            </w:hyperlink>
          </w:p>
        </w:tc>
        <w:tc>
          <w:tcPr>
            <w:tcW w:w="2620" w:type="dxa"/>
            <w:vAlign w:val="bottom"/>
            <w:tcBorders>
              <w:top w:val="single" w:sz="8" w:color="0000FF"/>
            </w:tcBorders>
            <w:gridSpan w:val="7"/>
          </w:tcPr>
          <w:p>
            <w:pPr>
              <w:spacing w:after="0"/>
              <w:rPr>
                <w:sz w:val="17"/>
                <w:szCs w:val="17"/>
                <w:color w:val="auto"/>
              </w:rPr>
            </w:pPr>
          </w:p>
        </w:tc>
        <w:tc>
          <w:tcPr>
            <w:tcW w:w="2080" w:type="dxa"/>
            <w:vAlign w:val="bottom"/>
            <w:gridSpan w:val="3"/>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6"/>
                <w:szCs w:val="16"/>
                <w:color w:val="0000FF"/>
              </w:rPr>
            </w:pPr>
            <w:hyperlink w:anchor="page8">
              <w:r>
                <w:rPr>
                  <w:rFonts w:ascii="Arial" w:cs="Arial" w:eastAsia="Arial" w:hAnsi="Arial"/>
                  <w:sz w:val="16"/>
                  <w:szCs w:val="16"/>
                  <w:color w:val="0000FF"/>
                </w:rPr>
                <w:t>6</w:t>
              </w:r>
            </w:hyperlink>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0"/>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CONDENSED CONSOLIDATED STATEMENTS OF CHANGES IN STOCKHOLDERS’/MEMBERS’ EQUITY</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9">
              <w:r>
                <w:rPr>
                  <w:rFonts w:ascii="Arial" w:cs="Arial" w:eastAsia="Arial" w:hAnsi="Arial"/>
                  <w:sz w:val="16"/>
                  <w:szCs w:val="16"/>
                  <w:color w:val="0000FF"/>
                </w:rPr>
                <w:t>7</w:t>
              </w:r>
            </w:hyperlink>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13"/>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CONDENSED CONSOLIDATED STATEMENTS OF CASH FLOWS</w:t>
              </w:r>
            </w:hyperlink>
          </w:p>
        </w:tc>
        <w:tc>
          <w:tcPr>
            <w:tcW w:w="2900" w:type="dxa"/>
            <w:vAlign w:val="bottom"/>
            <w:tcBorders>
              <w:top w:val="single" w:sz="8" w:color="0000FF"/>
            </w:tcBorders>
            <w:gridSpan w:val="5"/>
          </w:tcPr>
          <w:p>
            <w:pPr>
              <w:spacing w:after="0"/>
              <w:rPr>
                <w:sz w:val="17"/>
                <w:szCs w:val="17"/>
                <w:color w:val="auto"/>
              </w:rPr>
            </w:pPr>
          </w:p>
        </w:tc>
        <w:tc>
          <w:tcPr>
            <w:tcW w:w="80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6"/>
                <w:szCs w:val="16"/>
                <w:color w:val="0000FF"/>
              </w:rPr>
            </w:pPr>
            <w:hyperlink w:anchor="page11">
              <w:r>
                <w:rPr>
                  <w:rFonts w:ascii="Arial" w:cs="Arial" w:eastAsia="Arial" w:hAnsi="Arial"/>
                  <w:sz w:val="16"/>
                  <w:szCs w:val="16"/>
                  <w:color w:val="0000FF"/>
                </w:rPr>
                <w:t>9</w:t>
              </w:r>
            </w:hyperlink>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bottom w:val="single" w:sz="8" w:color="0000FF"/>
            </w:tcBorders>
            <w:gridSpan w:val="14"/>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NOTES TO CONDENSED CONSOLIDATED FINANCIAL STATEMENTS</w:t>
              </w:r>
            </w:hyperlink>
          </w:p>
        </w:tc>
        <w:tc>
          <w:tcPr>
            <w:tcW w:w="332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12">
              <w:r>
                <w:rPr>
                  <w:rFonts w:ascii="Arial" w:cs="Arial" w:eastAsia="Arial" w:hAnsi="Arial"/>
                  <w:sz w:val="16"/>
                  <w:szCs w:val="16"/>
                  <w:color w:val="0000FF"/>
                </w:rPr>
                <w:t>10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838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MANAGEMENT’S DISCUSSION AND ANALYSIS OF FINANCIAL CONDITIONS AND RESULTS OF OPERATIONS.</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25">
              <w:r>
                <w:rPr>
                  <w:rFonts w:ascii="Arial" w:cs="Arial" w:eastAsia="Arial" w:hAnsi="Arial"/>
                  <w:sz w:val="16"/>
                  <w:szCs w:val="16"/>
                  <w:color w:val="0000FF"/>
                </w:rPr>
                <w:t>22</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5620" w:type="dxa"/>
            <w:vAlign w:val="bottom"/>
            <w:tcBorders>
              <w:bottom w:val="single" w:sz="8" w:color="0000FF"/>
            </w:tcBorders>
            <w:gridSpan w:val="16"/>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QUANTITATIVE AND QUALITATIVE DISCLOSURES ABOUT MARKET RISK.</w:t>
              </w:r>
            </w:hyperlink>
          </w:p>
        </w:tc>
        <w:tc>
          <w:tcPr>
            <w:tcW w:w="314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42">
              <w:r>
                <w:rPr>
                  <w:rFonts w:ascii="Arial" w:cs="Arial" w:eastAsia="Arial" w:hAnsi="Arial"/>
                  <w:sz w:val="16"/>
                  <w:szCs w:val="16"/>
                  <w:color w:val="0000FF"/>
                </w:rPr>
                <w:t>39</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8760" w:type="dxa"/>
            <w:vAlign w:val="bottom"/>
            <w:gridSpan w:val="21"/>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CONTROLS AND PROCEDURES.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42">
              <w:r>
                <w:rPr>
                  <w:rFonts w:ascii="Arial" w:cs="Arial" w:eastAsia="Arial" w:hAnsi="Arial"/>
                  <w:sz w:val="16"/>
                  <w:szCs w:val="16"/>
                  <w:color w:val="0000FF"/>
                </w:rPr>
                <w:t>39</w:t>
              </w:r>
            </w:hyperlink>
          </w:p>
        </w:tc>
        <w:tc>
          <w:tcPr>
            <w:tcW w:w="560" w:type="dxa"/>
            <w:vAlign w:val="bottom"/>
          </w:tcPr>
          <w:p>
            <w:pPr>
              <w:spacing w:after="0"/>
              <w:rPr>
                <w:sz w:val="17"/>
                <w:szCs w:val="17"/>
                <w:color w:val="auto"/>
              </w:rPr>
            </w:pPr>
          </w:p>
        </w:tc>
      </w:tr>
      <w:tr>
        <w:trPr>
          <w:trHeight w:val="74"/>
        </w:trPr>
        <w:tc>
          <w:tcPr>
            <w:tcW w:w="124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4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560" w:type="dxa"/>
            <w:vAlign w:val="bottom"/>
          </w:tcPr>
          <w:p>
            <w:pPr>
              <w:spacing w:after="0"/>
              <w:rPr>
                <w:sz w:val="6"/>
                <w:szCs w:val="6"/>
                <w:color w:val="auto"/>
              </w:rPr>
            </w:pPr>
          </w:p>
        </w:tc>
      </w:tr>
      <w:tr>
        <w:trPr>
          <w:trHeight w:val="216"/>
        </w:trPr>
        <w:tc>
          <w:tcPr>
            <w:tcW w:w="1240" w:type="dxa"/>
            <w:vAlign w:val="bottom"/>
            <w:shd w:val="clear" w:color="auto" w:fill="00497F"/>
          </w:tcPr>
          <w:p>
            <w:pPr>
              <w:spacing w:after="0"/>
              <w:rPr>
                <w:sz w:val="18"/>
                <w:szCs w:val="18"/>
                <w:color w:val="auto"/>
              </w:rPr>
            </w:pPr>
          </w:p>
        </w:tc>
        <w:tc>
          <w:tcPr>
            <w:tcW w:w="22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c>
          <w:tcPr>
            <w:tcW w:w="260" w:type="dxa"/>
            <w:vAlign w:val="bottom"/>
            <w:shd w:val="clear" w:color="auto" w:fill="00497F"/>
          </w:tcPr>
          <w:p>
            <w:pPr>
              <w:spacing w:after="0"/>
              <w:rPr>
                <w:sz w:val="18"/>
                <w:szCs w:val="18"/>
                <w:color w:val="auto"/>
              </w:rPr>
            </w:pPr>
          </w:p>
        </w:tc>
        <w:tc>
          <w:tcPr>
            <w:tcW w:w="200" w:type="dxa"/>
            <w:vAlign w:val="bottom"/>
            <w:shd w:val="clear" w:color="auto" w:fill="00497F"/>
          </w:tcPr>
          <w:p>
            <w:pPr>
              <w:spacing w:after="0"/>
              <w:rPr>
                <w:sz w:val="18"/>
                <w:szCs w:val="18"/>
                <w:color w:val="auto"/>
              </w:rPr>
            </w:pPr>
          </w:p>
        </w:tc>
        <w:tc>
          <w:tcPr>
            <w:tcW w:w="54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3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440" w:type="dxa"/>
            <w:vAlign w:val="bottom"/>
            <w:shd w:val="clear" w:color="auto" w:fill="00497F"/>
          </w:tcPr>
          <w:p>
            <w:pPr>
              <w:spacing w:after="0"/>
              <w:rPr>
                <w:sz w:val="18"/>
                <w:szCs w:val="18"/>
                <w:color w:val="auto"/>
              </w:rPr>
            </w:pPr>
          </w:p>
        </w:tc>
        <w:tc>
          <w:tcPr>
            <w:tcW w:w="5800" w:type="dxa"/>
            <w:vAlign w:val="bottom"/>
            <w:gridSpan w:val="11"/>
            <w:shd w:val="clear" w:color="auto" w:fill="00497F"/>
          </w:tcPr>
          <w:p>
            <w:pPr>
              <w:jc w:val="center"/>
              <w:ind w:right="2960"/>
              <w:spacing w:after="0"/>
              <w:rPr>
                <w:sz w:val="20"/>
                <w:szCs w:val="20"/>
                <w:color w:val="auto"/>
              </w:rPr>
            </w:pPr>
            <w:r>
              <w:rPr>
                <w:rFonts w:ascii="Arial" w:cs="Arial" w:eastAsia="Arial" w:hAnsi="Arial"/>
                <w:sz w:val="16"/>
                <w:szCs w:val="16"/>
                <w:b w:val="1"/>
                <w:bCs w:val="1"/>
                <w:color w:val="FFFFFF"/>
                <w:w w:val="99"/>
              </w:rPr>
              <w:t>PART II - OTHER INFORMATION</w:t>
            </w:r>
          </w:p>
        </w:tc>
        <w:tc>
          <w:tcPr>
            <w:tcW w:w="5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1820" w:type="dxa"/>
            <w:vAlign w:val="bottom"/>
            <w:tcBorders>
              <w:bottom w:val="single" w:sz="8" w:color="0000FF"/>
            </w:tcBorders>
            <w:gridSpan w:val="6"/>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LEGAL PROCEEDINGS.</w:t>
              </w:r>
            </w:hyperlink>
          </w:p>
        </w:tc>
        <w:tc>
          <w:tcPr>
            <w:tcW w:w="6940" w:type="dxa"/>
            <w:vAlign w:val="bottom"/>
            <w:gridSpan w:val="15"/>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0000FF"/>
            </w:tcBorders>
            <w:gridSpan w:val="3"/>
          </w:tcPr>
          <w:p>
            <w:pPr>
              <w:jc w:val="cente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5"/>
                <w:szCs w:val="15"/>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1A.</w:t>
            </w:r>
          </w:p>
        </w:tc>
        <w:tc>
          <w:tcPr>
            <w:tcW w:w="124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43">
              <w:r>
                <w:rPr>
                  <w:rFonts w:ascii="Arial" w:cs="Arial" w:eastAsia="Arial" w:hAnsi="Arial"/>
                  <w:sz w:val="16"/>
                  <w:szCs w:val="16"/>
                  <w:color w:val="0000FF"/>
                  <w:w w:val="99"/>
                </w:rPr>
                <w:t>RISK FACTORS.</w:t>
              </w:r>
            </w:hyperlink>
          </w:p>
        </w:tc>
        <w:tc>
          <w:tcPr>
            <w:tcW w:w="752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8760" w:type="dxa"/>
            <w:vAlign w:val="bottom"/>
            <w:gridSpan w:val="21"/>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UNREGISTERED SALES OF EQUITY SECURITIES AND USE OF PROCEEDS.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2960" w:type="dxa"/>
            <w:vAlign w:val="bottom"/>
            <w:tcBorders>
              <w:top w:val="single" w:sz="8" w:color="0000FF"/>
              <w:bottom w:val="single" w:sz="8" w:color="0000FF"/>
            </w:tcBorders>
            <w:gridSpan w:val="10"/>
          </w:tcPr>
          <w:p>
            <w:pPr>
              <w:spacing w:after="0"/>
              <w:rPr>
                <w:rFonts w:ascii="Arial" w:cs="Arial" w:eastAsia="Arial" w:hAnsi="Arial"/>
                <w:sz w:val="16"/>
                <w:szCs w:val="16"/>
                <w:color w:val="0000FF"/>
                <w:w w:val="99"/>
              </w:rPr>
            </w:pPr>
            <w:hyperlink w:anchor="page43">
              <w:r>
                <w:rPr>
                  <w:rFonts w:ascii="Arial" w:cs="Arial" w:eastAsia="Arial" w:hAnsi="Arial"/>
                  <w:sz w:val="16"/>
                  <w:szCs w:val="16"/>
                  <w:color w:val="0000FF"/>
                  <w:w w:val="99"/>
                </w:rPr>
                <w:t>DEFAULT UPON SENIOR SECURITIES.</w:t>
              </w:r>
            </w:hyperlink>
          </w:p>
        </w:tc>
        <w:tc>
          <w:tcPr>
            <w:tcW w:w="2860" w:type="dxa"/>
            <w:vAlign w:val="bottom"/>
            <w:tcBorders>
              <w:top w:val="single" w:sz="8" w:color="0000FF"/>
            </w:tcBorders>
            <w:gridSpan w:val="7"/>
          </w:tcPr>
          <w:p>
            <w:pPr>
              <w:spacing w:after="0"/>
              <w:rPr>
                <w:sz w:val="17"/>
                <w:szCs w:val="17"/>
                <w:color w:val="auto"/>
              </w:rPr>
            </w:pPr>
          </w:p>
        </w:tc>
        <w:tc>
          <w:tcPr>
            <w:tcW w:w="294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2340" w:type="dxa"/>
            <w:vAlign w:val="bottom"/>
            <w:tcBorders>
              <w:bottom w:val="single" w:sz="8" w:color="0000FF"/>
            </w:tcBorders>
            <w:gridSpan w:val="8"/>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MINE SAFETY DISCLOSURES.</w:t>
              </w:r>
            </w:hyperlink>
          </w:p>
        </w:tc>
        <w:tc>
          <w:tcPr>
            <w:tcW w:w="642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5.</w:t>
            </w:r>
          </w:p>
        </w:tc>
        <w:tc>
          <w:tcPr>
            <w:tcW w:w="178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43">
              <w:r>
                <w:rPr>
                  <w:rFonts w:ascii="Arial" w:cs="Arial" w:eastAsia="Arial" w:hAnsi="Arial"/>
                  <w:sz w:val="16"/>
                  <w:szCs w:val="16"/>
                  <w:color w:val="0000FF"/>
                  <w:w w:val="99"/>
                </w:rPr>
                <w:t>OTHER INFORMATION.</w:t>
              </w:r>
            </w:hyperlink>
          </w:p>
        </w:tc>
        <w:tc>
          <w:tcPr>
            <w:tcW w:w="698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6.</w:t>
            </w:r>
          </w:p>
        </w:tc>
        <w:tc>
          <w:tcPr>
            <w:tcW w:w="8760" w:type="dxa"/>
            <w:vAlign w:val="bottom"/>
            <w:gridSpan w:val="21"/>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EXHIBITS.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43">
              <w:r>
                <w:rPr>
                  <w:rFonts w:ascii="Arial" w:cs="Arial" w:eastAsia="Arial" w:hAnsi="Arial"/>
                  <w:sz w:val="16"/>
                  <w:szCs w:val="16"/>
                  <w:color w:val="0000FF"/>
                </w:rPr>
                <w:t>41</w:t>
              </w:r>
            </w:hyperlink>
          </w:p>
        </w:tc>
        <w:tc>
          <w:tcPr>
            <w:tcW w:w="56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20" w:type="dxa"/>
            <w:vAlign w:val="bottom"/>
            <w:gridSpan w:val="1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gridSpan w:val="21"/>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SIGNATURES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44">
              <w:r>
                <w:rPr>
                  <w:rFonts w:ascii="Arial" w:cs="Arial" w:eastAsia="Arial" w:hAnsi="Arial"/>
                  <w:sz w:val="16"/>
                  <w:szCs w:val="16"/>
                  <w:color w:val="0000FF"/>
                </w:rPr>
                <w:t>42</w:t>
              </w:r>
            </w:hyperlink>
          </w:p>
        </w:tc>
        <w:tc>
          <w:tcPr>
            <w:tcW w:w="560" w:type="dxa"/>
            <w:vAlign w:val="bottom"/>
          </w:tcPr>
          <w:p>
            <w:pPr>
              <w:spacing w:after="0"/>
              <w:rPr>
                <w:sz w:val="17"/>
                <w:szCs w:val="17"/>
                <w:color w:val="auto"/>
              </w:rPr>
            </w:pPr>
          </w:p>
        </w:tc>
      </w:tr>
      <w:tr>
        <w:trPr>
          <w:trHeight w:val="1000"/>
        </w:trPr>
        <w:tc>
          <w:tcPr>
            <w:tcW w:w="124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20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Quarterly Report on Form 10-Q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These forward-looking statements speak only as of the date of this Quarterly Report on Form 10-Q and are subject to a number of important factors that could cause actual results to differ materially from those in the forward-looking statements, including but not limited to the following: the marketing and sale of Medicare plans are subject to numerous, complex and frequently changing laws, regulations and guidelines; our business may be harmed if we lose our relationships with carriers or if our relationships with carriers change; our failure to grow our customer base or retain our existing customers; the time and cost of training agents are significant and can increase during a period of high attrition; carriers may reduce the commissions paid to us and change their underwriting practices in ways that reduce the number of, or impact the renewal or approval rates of, insurance policies sold through our platform; significant consolidation in the health insurance industry could adversely alter our relationships with carriers; information technology system failures could interrupt our operations; factors that impact our estimate of LTV (as defined below) may be adversely impacted; our ability to sell Medicare-related health insurance plans is largely dependent on our licensed health insurance agents; changes and developments in the health insurance system and laws and regulations governing the health insurance markets; our ability to effectively advertise our products on a cost-effective basis or market the availability of our products through specific channels; the Founders and Centerbridge have significant influence over us, including control over decisions that require the approval of stockholders; and other important factors described in the section titled “Risk Factors” in our Annual Report on Form 10-K for the year ended December 31, 2020 (the “2020 Form 10-K”), the section titled “Management’s Discussion and Analysis of Financial Condition and Results of Operations” in this Quarterly Report on Form 10-Q, and in our other filings with the Securities and Exchange Commission.</w:t>
      </w:r>
    </w:p>
    <w:p>
      <w:pPr>
        <w:spacing w:after="0" w:line="211"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2"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CERTAIN DEFINITIONS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Quarterly Report on Form 10-Q, unless the context otherwise requires:</w:t>
      </w:r>
    </w:p>
    <w:p>
      <w:pPr>
        <w:spacing w:after="0" w:line="205" w:lineRule="exact"/>
        <w:rPr>
          <w:sz w:val="20"/>
          <w:szCs w:val="20"/>
          <w:color w:val="auto"/>
        </w:rPr>
      </w:pPr>
    </w:p>
    <w:p>
      <w:pPr>
        <w:ind w:left="660" w:right="180" w:hanging="328"/>
        <w:spacing w:after="0" w:line="25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the “</w:t>
      </w:r>
      <w:r>
        <w:rPr>
          <w:rFonts w:ascii="Arial" w:cs="Arial" w:eastAsia="Arial" w:hAnsi="Arial"/>
          <w:sz w:val="16"/>
          <w:szCs w:val="16"/>
          <w:i w:val="1"/>
          <w:iCs w:val="1"/>
          <w:color w:val="auto"/>
        </w:rPr>
        <w:t>Company</w:t>
      </w:r>
      <w:r>
        <w:rPr>
          <w:rFonts w:ascii="Arial" w:cs="Arial" w:eastAsia="Arial" w:hAnsi="Arial"/>
          <w:sz w:val="16"/>
          <w:szCs w:val="16"/>
          <w:color w:val="auto"/>
        </w:rPr>
        <w:t>,” “</w:t>
      </w:r>
      <w:r>
        <w:rPr>
          <w:rFonts w:ascii="Arial" w:cs="Arial" w:eastAsia="Arial" w:hAnsi="Arial"/>
          <w:sz w:val="16"/>
          <w:szCs w:val="16"/>
          <w:i w:val="1"/>
          <w:iCs w:val="1"/>
          <w:color w:val="auto"/>
        </w:rPr>
        <w:t>GoHealth</w:t>
      </w:r>
      <w:r>
        <w:rPr>
          <w:rFonts w:ascii="Arial" w:cs="Arial" w:eastAsia="Arial" w:hAnsi="Arial"/>
          <w:sz w:val="16"/>
          <w:szCs w:val="16"/>
          <w:color w:val="auto"/>
        </w:rPr>
        <w:t>” and similar references refer: (1) following the consummation of the Transactions, including our initial public offering, or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the Predecessor.</w:t>
      </w:r>
    </w:p>
    <w:p>
      <w:pPr>
        <w:spacing w:after="0" w:line="180" w:lineRule="exact"/>
        <w:rPr>
          <w:rFonts w:ascii="Arial" w:cs="Arial" w:eastAsia="Arial" w:hAnsi="Arial"/>
          <w:sz w:val="16"/>
          <w:szCs w:val="16"/>
          <w:color w:val="auto"/>
        </w:rPr>
      </w:pPr>
    </w:p>
    <w:p>
      <w:pPr>
        <w:ind w:left="660" w:right="6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Blocker Company</w:t>
      </w:r>
      <w:r>
        <w:rPr>
          <w:rFonts w:ascii="Arial" w:cs="Arial" w:eastAsia="Arial" w:hAnsi="Arial"/>
          <w:sz w:val="16"/>
          <w:szCs w:val="16"/>
          <w:color w:val="auto"/>
        </w:rPr>
        <w:t>” refers to an entity affiliated with Centerbridge that was an indirect owner of LLC Interests in GoHealth Holdings, LLC prior to the Transactions and is taxable as a corporation for U.S. federal income tax purposes.</w:t>
      </w:r>
    </w:p>
    <w:p>
      <w:pPr>
        <w:spacing w:after="0" w:line="163" w:lineRule="exact"/>
        <w:rPr>
          <w:rFonts w:ascii="Arial" w:cs="Arial" w:eastAsia="Arial" w:hAnsi="Arial"/>
          <w:sz w:val="16"/>
          <w:szCs w:val="16"/>
          <w:color w:val="auto"/>
        </w:rPr>
      </w:pPr>
    </w:p>
    <w:p>
      <w:pPr>
        <w:ind w:left="660" w:right="6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Blocker Shareholders</w:t>
      </w:r>
      <w:r>
        <w:rPr>
          <w:rFonts w:ascii="Arial" w:cs="Arial" w:eastAsia="Arial" w:hAnsi="Arial"/>
          <w:sz w:val="16"/>
          <w:szCs w:val="16"/>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63" w:lineRule="exact"/>
        <w:rPr>
          <w:rFonts w:ascii="Arial" w:cs="Arial" w:eastAsia="Arial" w:hAnsi="Arial"/>
          <w:sz w:val="16"/>
          <w:szCs w:val="16"/>
          <w:color w:val="auto"/>
        </w:rPr>
      </w:pPr>
    </w:p>
    <w:p>
      <w:pPr>
        <w:ind w:left="660" w:right="320" w:hanging="328"/>
        <w:spacing w:after="0" w:line="26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w:t>
      </w:r>
      <w:r>
        <w:rPr>
          <w:rFonts w:ascii="Arial" w:cs="Arial" w:eastAsia="Arial" w:hAnsi="Arial"/>
          <w:sz w:val="16"/>
          <w:szCs w:val="16"/>
          <w:color w:val="auto"/>
        </w:rPr>
        <w:t>” refers to Centerbridge Capital Partners III, L.P., our sponsor and a Delaware limited partnership, certain funds 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 w:name="page5"/>
    <w:bookmarkEnd w:id="4"/>
    <w:p>
      <w:pPr>
        <w:ind w:left="660" w:right="440" w:hanging="328"/>
        <w:spacing w:after="0" w:line="26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 Acquisition</w:t>
      </w:r>
      <w:r>
        <w:rPr>
          <w:rFonts w:ascii="Arial" w:cs="Arial" w:eastAsia="Arial" w:hAnsi="Arial"/>
          <w:sz w:val="16"/>
          <w:szCs w:val="16"/>
          <w:color w:val="auto"/>
        </w:rPr>
        <w:t xml:space="preserve">” or </w:t>
      </w:r>
      <w:r>
        <w:rPr>
          <w:rFonts w:ascii="Arial" w:cs="Arial" w:eastAsia="Arial" w:hAnsi="Arial"/>
          <w:sz w:val="16"/>
          <w:szCs w:val="16"/>
          <w:i w:val="1"/>
          <w:iCs w:val="1"/>
          <w:color w:val="auto"/>
        </w:rPr>
        <w:t>“Acquisition”</w:t>
      </w:r>
      <w:r>
        <w:rPr>
          <w:rFonts w:ascii="Arial" w:cs="Arial" w:eastAsia="Arial" w:hAnsi="Arial"/>
          <w:sz w:val="16"/>
          <w:szCs w:val="16"/>
          <w:color w:val="auto"/>
        </w:rPr>
        <w:t xml:space="preserve"> refers to the acquisition, on September 13, 2019, by Centerbridge, indirectly through a subsidiary of GoHealth Holdings, LLC (formerly known as Blizzard Parent, LLC), an entity formed in contemplation of the acquisition, of a 100% interest in Norvax.</w:t>
      </w:r>
    </w:p>
    <w:p>
      <w:pPr>
        <w:spacing w:after="0" w:line="178" w:lineRule="exact"/>
        <w:rPr>
          <w:rFonts w:ascii="Arial" w:cs="Arial" w:eastAsia="Arial" w:hAnsi="Arial"/>
          <w:sz w:val="16"/>
          <w:szCs w:val="16"/>
          <w:color w:val="auto"/>
        </w:rPr>
      </w:pPr>
    </w:p>
    <w:p>
      <w:pPr>
        <w:ind w:left="660" w:right="20" w:hanging="328"/>
        <w:spacing w:after="0" w:line="252"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Equity Owners</w:t>
      </w:r>
      <w:r>
        <w:rPr>
          <w:rFonts w:ascii="Arial" w:cs="Arial" w:eastAsia="Arial" w:hAnsi="Arial"/>
          <w:sz w:val="16"/>
          <w:szCs w:val="16"/>
          <w:color w:val="auto"/>
        </w:rPr>
        <w:t>” refer collectively to direct or indirect holders of LLC Interests and our Class B common stock immediately following consummation of the Transactions, including Centerbridge, Norwest,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186" w:lineRule="exact"/>
        <w:rPr>
          <w:rFonts w:ascii="Arial" w:cs="Arial" w:eastAsia="Arial" w:hAnsi="Arial"/>
          <w:sz w:val="16"/>
          <w:szCs w:val="16"/>
          <w:color w:val="auto"/>
        </w:rPr>
      </w:pPr>
    </w:p>
    <w:p>
      <w:pPr>
        <w:ind w:left="660" w:right="12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Founders</w:t>
      </w:r>
      <w:r>
        <w:rPr>
          <w:rFonts w:ascii="Arial" w:cs="Arial" w:eastAsia="Arial" w:hAnsi="Arial"/>
          <w:sz w:val="16"/>
          <w:szCs w:val="16"/>
          <w:color w:val="auto"/>
        </w:rPr>
        <w:t>” refer to Brandon M. Cruz, our Co-Founder and Chief Strategy Officer and Special Advisor to the Executive Team, and Clinton P. Jones, our Co-Founder and Chief Executive Officer.</w:t>
      </w:r>
    </w:p>
    <w:p>
      <w:pPr>
        <w:spacing w:after="0" w:line="163" w:lineRule="exact"/>
        <w:rPr>
          <w:rFonts w:ascii="Arial" w:cs="Arial" w:eastAsia="Arial" w:hAnsi="Arial"/>
          <w:sz w:val="16"/>
          <w:szCs w:val="16"/>
          <w:color w:val="auto"/>
        </w:rPr>
      </w:pPr>
    </w:p>
    <w:p>
      <w:pPr>
        <w:ind w:left="660" w:right="60" w:hanging="328"/>
        <w:spacing w:after="0" w:line="25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Former Profits Unit Holders</w:t>
      </w:r>
      <w:r>
        <w:rPr>
          <w:rFonts w:ascii="Arial" w:cs="Arial" w:eastAsia="Arial" w:hAnsi="Arial"/>
          <w:sz w:val="16"/>
          <w:szCs w:val="16"/>
          <w:color w:val="auto"/>
        </w:rPr>
        <w:t>” refers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 units with performance-based vesting conditions fully vested as such conditions were met in connection with our IPO.</w:t>
      </w:r>
    </w:p>
    <w:p>
      <w:pPr>
        <w:spacing w:after="0" w:line="186" w:lineRule="exact"/>
        <w:rPr>
          <w:rFonts w:ascii="Arial" w:cs="Arial" w:eastAsia="Arial" w:hAnsi="Arial"/>
          <w:sz w:val="16"/>
          <w:szCs w:val="16"/>
          <w:color w:val="auto"/>
        </w:rPr>
      </w:pPr>
    </w:p>
    <w:p>
      <w:pPr>
        <w:ind w:left="660" w:right="36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GoHealth Holdings, LLC Agreement</w:t>
      </w:r>
      <w:r>
        <w:rPr>
          <w:rFonts w:ascii="Arial" w:cs="Arial" w:eastAsia="Arial" w:hAnsi="Arial"/>
          <w:sz w:val="16"/>
          <w:szCs w:val="16"/>
          <w:color w:val="auto"/>
        </w:rPr>
        <w:t>” refers to GoHealth Holdings, LLC’s amended and restated limited liability company agreement, as further amended, which became effective substantially concurrently with or prior to the consummation of our IPO.</w:t>
      </w:r>
    </w:p>
    <w:p>
      <w:pPr>
        <w:spacing w:after="0" w:line="163" w:lineRule="exact"/>
        <w:rPr>
          <w:rFonts w:ascii="Arial" w:cs="Arial" w:eastAsia="Arial" w:hAnsi="Arial"/>
          <w:sz w:val="16"/>
          <w:szCs w:val="16"/>
          <w:color w:val="auto"/>
        </w:rPr>
      </w:pPr>
    </w:p>
    <w:p>
      <w:pPr>
        <w:ind w:left="660" w:right="4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LLC Interests</w:t>
      </w:r>
      <w:r>
        <w:rPr>
          <w:rFonts w:ascii="Arial" w:cs="Arial" w:eastAsia="Arial" w:hAnsi="Arial"/>
          <w:sz w:val="16"/>
          <w:szCs w:val="16"/>
          <w:color w:val="auto"/>
        </w:rPr>
        <w:t>” refer to the common units of GoHealth Holdings, LLC, including those that we purchased with a portion of the net proceeds from our IPO.</w:t>
      </w:r>
    </w:p>
    <w:p>
      <w:pPr>
        <w:spacing w:after="0" w:line="16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Norwest</w:t>
      </w:r>
      <w:r>
        <w:rPr>
          <w:rFonts w:ascii="Arial" w:cs="Arial" w:eastAsia="Arial" w:hAnsi="Arial"/>
          <w:sz w:val="16"/>
          <w:szCs w:val="16"/>
          <w:color w:val="auto"/>
        </w:rPr>
        <w:t>” refers to Norwest Equity Partners and certain funds affiliated with Norwest Equity Partners.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Norvax</w:t>
      </w:r>
      <w:r>
        <w:rPr>
          <w:rFonts w:ascii="Arial" w:cs="Arial" w:eastAsia="Arial" w:hAnsi="Arial"/>
          <w:sz w:val="16"/>
          <w:szCs w:val="16"/>
          <w:color w:val="auto"/>
        </w:rPr>
        <w:t>” or “</w:t>
      </w:r>
      <w:r>
        <w:rPr>
          <w:rFonts w:ascii="Arial" w:cs="Arial" w:eastAsia="Arial" w:hAnsi="Arial"/>
          <w:sz w:val="16"/>
          <w:szCs w:val="16"/>
          <w:i w:val="1"/>
          <w:iCs w:val="1"/>
          <w:color w:val="auto"/>
        </w:rPr>
        <w:t>Predecessor</w:t>
      </w:r>
      <w:r>
        <w:rPr>
          <w:rFonts w:ascii="Arial" w:cs="Arial" w:eastAsia="Arial" w:hAnsi="Arial"/>
          <w:sz w:val="16"/>
          <w:szCs w:val="16"/>
          <w:color w:val="auto"/>
        </w:rPr>
        <w:t>” refers to Norvax, LLC, a Delaware limited liability company and a subsidiary of GoHealth Holdings, LLC.</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NVX Holdings</w:t>
      </w:r>
      <w:r>
        <w:rPr>
          <w:rFonts w:ascii="Arial" w:cs="Arial" w:eastAsia="Arial" w:hAnsi="Arial"/>
          <w:sz w:val="16"/>
          <w:szCs w:val="16"/>
          <w:color w:val="auto"/>
        </w:rPr>
        <w:t>” refers to NVX Holdings, Inc., a Delaware corporation that is controlled by the Founders.</w:t>
      </w:r>
    </w:p>
    <w:p>
      <w:pPr>
        <w:spacing w:after="0" w:line="221" w:lineRule="exact"/>
        <w:rPr>
          <w:rFonts w:ascii="Arial" w:cs="Arial" w:eastAsia="Arial" w:hAnsi="Arial"/>
          <w:sz w:val="16"/>
          <w:szCs w:val="16"/>
          <w:color w:val="auto"/>
        </w:rPr>
      </w:pPr>
    </w:p>
    <w:p>
      <w:pPr>
        <w:ind w:left="660" w:right="4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Original Equity Owners</w:t>
      </w:r>
      <w:r>
        <w:rPr>
          <w:rFonts w:ascii="Arial" w:cs="Arial" w:eastAsia="Arial" w:hAnsi="Arial"/>
          <w:sz w:val="16"/>
          <w:szCs w:val="16"/>
          <w:color w:val="auto"/>
        </w:rPr>
        <w:t>” refer to the owners of LLC Interests in GoHealth Holdings, LLC prior to the consummation of the Transactions, collectively, which include Centerbridge, Norwest, our Founders and certain executive officers, employees and other minority investors.</w:t>
      </w:r>
    </w:p>
    <w:p>
      <w:pPr>
        <w:spacing w:after="0" w:line="163" w:lineRule="exact"/>
        <w:rPr>
          <w:rFonts w:ascii="Arial" w:cs="Arial" w:eastAsia="Arial" w:hAnsi="Arial"/>
          <w:sz w:val="16"/>
          <w:szCs w:val="16"/>
          <w:color w:val="auto"/>
        </w:rPr>
      </w:pPr>
    </w:p>
    <w:p>
      <w:pPr>
        <w:ind w:left="660" w:right="160" w:hanging="328"/>
        <w:spacing w:after="0" w:line="26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Transactions</w:t>
      </w:r>
      <w:r>
        <w:rPr>
          <w:rFonts w:ascii="Arial" w:cs="Arial" w:eastAsia="Arial" w:hAnsi="Arial"/>
          <w:sz w:val="16"/>
          <w:szCs w:val="16"/>
          <w:color w:val="auto"/>
        </w:rPr>
        <w:t>” refer to our IPO and certain organizational transactions that were effected in connection with our IPO, and the application of the net proceeds therefrom. See Note 1, “Description Of Business And Significant Accounting Policies,” to the Condensed Consolidated Financial Statements for a description of the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GoHealth, Inc. is a holding company and the sole managing member of GoHealth Holdings, LLC, and its principal asset consists of LLC Interests.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TERMS AND PERFORMANCE INDICATORS; NON-GAAP FINANCIAL MEASURES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Throughout this Quarterly Report on Form 10-Q, we use a number of key terms and provide a number of key performance indicators used by management.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define these terms and key performance indicators as follows:</w:t>
      </w:r>
    </w:p>
    <w:p>
      <w:pPr>
        <w:spacing w:after="0" w:line="205" w:lineRule="exact"/>
        <w:rPr>
          <w:sz w:val="20"/>
          <w:szCs w:val="20"/>
          <w:color w:val="auto"/>
        </w:rPr>
      </w:pPr>
    </w:p>
    <w:p>
      <w:pPr>
        <w:ind w:left="660" w:right="380" w:hanging="328"/>
        <w:spacing w:after="0" w:line="263"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w:t>
      </w:r>
      <w:r>
        <w:rPr>
          <w:rFonts w:ascii="Arial" w:cs="Arial" w:eastAsia="Arial" w:hAnsi="Arial"/>
          <w:sz w:val="16"/>
          <w:szCs w:val="16"/>
          <w:color w:val="auto"/>
        </w:rPr>
        <w:t>” represents, as applicable for the period, EBITDA as further adjusted for share-based compensation expense, loss on extinguishment of debt, non-recurring legal fees, change in fair value of contingent consideration liability, IPO transaction costs, and severance costs.</w:t>
      </w:r>
    </w:p>
    <w:p>
      <w:pPr>
        <w:spacing w:after="0" w:line="178"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 Margin</w:t>
      </w:r>
      <w:r>
        <w:rPr>
          <w:rFonts w:ascii="Arial" w:cs="Arial" w:eastAsia="Arial" w:hAnsi="Arial"/>
          <w:sz w:val="16"/>
          <w:szCs w:val="16"/>
          <w:color w:val="auto"/>
        </w:rPr>
        <w:t>” refers to Adjusted EBITDA divided by net revenues.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Approved Submissions</w:t>
      </w:r>
      <w:r>
        <w:rPr>
          <w:rFonts w:ascii="Arial" w:cs="Arial" w:eastAsia="Arial" w:hAnsi="Arial"/>
          <w:sz w:val="16"/>
          <w:szCs w:val="16"/>
          <w:color w:val="auto"/>
        </w:rPr>
        <w:t>” refer to Submitted Policies approved by carriers for the identified product during the indicated period.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2</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5" w:name="page6"/>
    <w:bookmarkEnd w:id="5"/>
    <w:p>
      <w:pPr>
        <w:ind w:left="660" w:right="60" w:hanging="328"/>
        <w:spacing w:after="0" w:line="263"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CAC</w:t>
      </w:r>
      <w:r>
        <w:rPr>
          <w:rFonts w:ascii="Arial" w:cs="Arial" w:eastAsia="Arial" w:hAnsi="Arial"/>
          <w:sz w:val="16"/>
          <w:szCs w:val="16"/>
          <w:color w:val="auto"/>
        </w:rPr>
        <w:t>” refers to the cost to convert a prospect into a customer less other non-commission carrier revenue for such period. CAC is comprised of cost of revenue, marketing and advertising expenses and customer care and enrollment expenses less enterprise revenue and is presented on a per commissionable Approved Submission basis.</w:t>
      </w:r>
    </w:p>
    <w:p>
      <w:pPr>
        <w:spacing w:after="0" w:line="178"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221" w:lineRule="exact"/>
        <w:rPr>
          <w:rFonts w:ascii="Arial" w:cs="Arial" w:eastAsia="Arial" w:hAnsi="Arial"/>
          <w:sz w:val="16"/>
          <w:szCs w:val="16"/>
          <w:color w:val="auto"/>
        </w:rPr>
      </w:pPr>
    </w:p>
    <w:p>
      <w:pPr>
        <w:ind w:left="660" w:right="280" w:hanging="328"/>
        <w:spacing w:after="0" w:line="263"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w:t>
      </w:r>
      <w:r>
        <w:rPr>
          <w:rFonts w:ascii="Arial" w:cs="Arial" w:eastAsia="Arial" w:hAnsi="Arial"/>
          <w:sz w:val="16"/>
          <w:szCs w:val="16"/>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w:t>
      </w:r>
    </w:p>
    <w:p>
      <w:pPr>
        <w:spacing w:after="0" w:line="178" w:lineRule="exact"/>
        <w:rPr>
          <w:rFonts w:ascii="Arial" w:cs="Arial" w:eastAsia="Arial" w:hAnsi="Arial"/>
          <w:sz w:val="16"/>
          <w:szCs w:val="16"/>
          <w:color w:val="auto"/>
        </w:rPr>
      </w:pPr>
    </w:p>
    <w:p>
      <w:pPr>
        <w:ind w:left="660" w:right="4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 Per Approved Submission</w:t>
      </w:r>
      <w:r>
        <w:rPr>
          <w:rFonts w:ascii="Arial" w:cs="Arial" w:eastAsia="Arial" w:hAnsi="Arial"/>
          <w:sz w:val="16"/>
          <w:szCs w:val="16"/>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183" w:lineRule="exact"/>
        <w:rPr>
          <w:rFonts w:ascii="Arial" w:cs="Arial" w:eastAsia="Arial" w:hAnsi="Arial"/>
          <w:sz w:val="16"/>
          <w:szCs w:val="16"/>
          <w:color w:val="auto"/>
        </w:rPr>
      </w:pPr>
    </w:p>
    <w:p>
      <w:pPr>
        <w:ind w:left="660" w:right="40" w:hanging="328"/>
        <w:spacing w:after="0" w:line="253"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LTV/CAC</w:t>
      </w:r>
      <w:r>
        <w:rPr>
          <w:rFonts w:ascii="Arial" w:cs="Arial" w:eastAsia="Arial" w:hAnsi="Arial"/>
          <w:sz w:val="16"/>
          <w:szCs w:val="16"/>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enterprise revenue and is presented on a per commissionable Approved Submission basis.</w:t>
      </w:r>
    </w:p>
    <w:p>
      <w:pPr>
        <w:spacing w:after="0" w:line="186" w:lineRule="exact"/>
        <w:rPr>
          <w:rFonts w:ascii="Arial" w:cs="Arial" w:eastAsia="Arial" w:hAnsi="Arial"/>
          <w:sz w:val="16"/>
          <w:szCs w:val="16"/>
          <w:color w:val="auto"/>
        </w:rPr>
      </w:pPr>
    </w:p>
    <w:p>
      <w:pPr>
        <w:ind w:left="660" w:right="300" w:hanging="328"/>
        <w:spacing w:after="0" w:line="28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Submitted Policies</w:t>
      </w:r>
      <w:r>
        <w:rPr>
          <w:rFonts w:ascii="Arial" w:cs="Arial" w:eastAsia="Arial" w:hAnsi="Arial"/>
          <w:sz w:val="16"/>
          <w:szCs w:val="16"/>
          <w:color w:val="auto"/>
        </w:rPr>
        <w:t>” refer to completed applications that, with respect to each such application, the consumer has authorized us to submit to the carrier.</w:t>
      </w:r>
    </w:p>
    <w:p>
      <w:pPr>
        <w:spacing w:after="0" w:line="17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Condensed Consolidated Financial Statements prepared in accordance with U.S. generally accepted accounting principles (“GAAP”). These non-GAAP financial measures include EBITDA; Adjusted EBITDA and Adjusted EBITDA margin. Adjusted EBITDA is the primary financial performance measure used by management to evaluate its business and monitor its results of operations.</w:t>
      </w:r>
    </w:p>
    <w:p>
      <w:pPr>
        <w:spacing w:after="0" w:line="20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3</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0A2299"/>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6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 30,</w:t>
            </w:r>
          </w:p>
        </w:tc>
        <w:tc>
          <w:tcPr>
            <w:tcW w:w="880" w:type="dxa"/>
            <w:vAlign w:val="bottom"/>
            <w:tcBorders>
              <w:bottom w:val="single" w:sz="8" w:color="auto"/>
            </w:tcBorders>
          </w:tcPr>
          <w:p>
            <w:pPr>
              <w:spacing w:after="0"/>
              <w:rPr>
                <w:sz w:val="15"/>
                <w:szCs w:val="15"/>
                <w:color w:val="auto"/>
              </w:rPr>
            </w:pPr>
          </w:p>
        </w:tc>
      </w:tr>
      <w:tr>
        <w:trPr>
          <w:trHeight w:val="183"/>
        </w:trPr>
        <w:tc>
          <w:tcPr>
            <w:tcW w:w="6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6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6160" w:type="dxa"/>
            <w:vAlign w:val="bottom"/>
          </w:tcPr>
          <w:p>
            <w:pPr>
              <w:ind w:left="240"/>
              <w:spacing w:after="0"/>
              <w:rPr>
                <w:sz w:val="20"/>
                <w:szCs w:val="20"/>
                <w:color w:val="auto"/>
              </w:rPr>
            </w:pPr>
            <w:r>
              <w:rPr>
                <w:rFonts w:ascii="Arial" w:cs="Arial" w:eastAsia="Arial" w:hAnsi="Arial"/>
                <w:sz w:val="14"/>
                <w:szCs w:val="14"/>
                <w:color w:val="auto"/>
              </w:rPr>
              <w:t>Commission</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147,508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96,606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321,489</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209,116</w:t>
            </w:r>
          </w:p>
        </w:tc>
      </w:tr>
      <w:tr>
        <w:trPr>
          <w:trHeight w:val="189"/>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Enterprise</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49,394</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30,451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79,592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58,951</w:t>
            </w: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196,902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127,057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401,081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268,067</w:t>
            </w:r>
          </w:p>
        </w:tc>
      </w:tr>
      <w:tr>
        <w:trPr>
          <w:trHeight w:val="16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Operating expenses: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6160" w:type="dxa"/>
            <w:vAlign w:val="bottom"/>
          </w:tcPr>
          <w:p>
            <w:pPr>
              <w:ind w:left="240"/>
              <w:spacing w:after="0"/>
              <w:rPr>
                <w:sz w:val="20"/>
                <w:szCs w:val="20"/>
                <w:color w:val="auto"/>
              </w:rPr>
            </w:pPr>
            <w:r>
              <w:rPr>
                <w:rFonts w:ascii="Arial" w:cs="Arial" w:eastAsia="Arial" w:hAnsi="Arial"/>
                <w:sz w:val="14"/>
                <w:szCs w:val="14"/>
                <w:color w:val="auto"/>
              </w:rPr>
              <w:t>Cost of revenue</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37,442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36,559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85,817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78,693</w:t>
            </w:r>
          </w:p>
        </w:tc>
      </w:tr>
      <w:tr>
        <w:trPr>
          <w:trHeight w:val="189"/>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Marketing and advertising</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55,735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110,219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47,708</w:t>
            </w:r>
          </w:p>
        </w:tc>
      </w:tr>
      <w:tr>
        <w:trPr>
          <w:trHeight w:val="189"/>
        </w:trPr>
        <w:tc>
          <w:tcPr>
            <w:tcW w:w="616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61,927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52,371</w:t>
            </w:r>
          </w:p>
        </w:tc>
      </w:tr>
      <w:tr>
        <w:trPr>
          <w:trHeight w:val="189"/>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Technology</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11,983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10,298</w:t>
            </w:r>
          </w:p>
        </w:tc>
      </w:tr>
      <w:tr>
        <w:trPr>
          <w:trHeight w:val="189"/>
        </w:trPr>
        <w:tc>
          <w:tcPr>
            <w:tcW w:w="616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25,251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44,944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20,849</w:t>
            </w:r>
          </w:p>
        </w:tc>
      </w:tr>
      <w:tr>
        <w:trPr>
          <w:trHeight w:val="189"/>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19,700</w:t>
            </w:r>
          </w:p>
        </w:tc>
      </w:tr>
      <w:tr>
        <w:trPr>
          <w:trHeight w:val="189"/>
        </w:trPr>
        <w:tc>
          <w:tcPr>
            <w:tcW w:w="61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23,515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47,029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47,029</w:t>
            </w: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215,853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141,465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418,630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276,648</w:t>
            </w:r>
          </w:p>
        </w:tc>
      </w:tr>
      <w:tr>
        <w:trPr>
          <w:trHeight w:val="183"/>
        </w:trPr>
        <w:tc>
          <w:tcPr>
            <w:tcW w:w="616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(18,951)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(14,408)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(8,581)</w:t>
            </w: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8,277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15,742</w:t>
            </w: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11,935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(39,207)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(22,889)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(46,506)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(23,828)</w:t>
            </w: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2"/>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(46,443)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(23,804)</w:t>
            </w: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(11,989)</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(22,867)</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(14,079)</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(23,804)</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6"/>
        </w:trPr>
        <w:tc>
          <w:tcPr>
            <w:tcW w:w="61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Net loss per share (Note 7):</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Net loss per share of Class A common stock — basic and diluted</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 — basic and diluted</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102,300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 30,</w:t>
            </w:r>
          </w:p>
        </w:tc>
        <w:tc>
          <w:tcPr>
            <w:tcW w:w="880" w:type="dxa"/>
            <w:vAlign w:val="bottom"/>
            <w:tcBorders>
              <w:bottom w:val="single" w:sz="8" w:color="auto"/>
            </w:tcBorders>
          </w:tcPr>
          <w:p>
            <w:pPr>
              <w:spacing w:after="0"/>
              <w:rPr>
                <w:sz w:val="15"/>
                <w:szCs w:val="15"/>
                <w:color w:val="auto"/>
              </w:rPr>
            </w:pPr>
          </w:p>
        </w:tc>
      </w:tr>
      <w:tr>
        <w:trPr>
          <w:trHeight w:val="183"/>
        </w:trPr>
        <w:tc>
          <w:tcPr>
            <w:tcW w:w="6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(23,804)</w:t>
            </w: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i w:val="1"/>
                <w:iCs w:val="1"/>
                <w:color w:val="auto"/>
              </w:rPr>
              <w:t>Other comprehensive income (loss):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Comprehensive income (loss)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(39,281)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(22,684)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(46,542)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(23,706)</w:t>
            </w: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(32,433)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 attributable to GoHealth, Inc.</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(12,021)</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(22,684)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(14,109)</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(23,706)</w:t>
            </w:r>
          </w:p>
        </w:tc>
      </w:tr>
      <w:tr>
        <w:trPr>
          <w:trHeight w:val="21"/>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5</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00497F"/>
        </w:rPr>
        <w:t>CONDENSED CONSOLIDATED BALANCE SHEETS</w:t>
      </w:r>
    </w:p>
    <w:p>
      <w:pPr>
        <w:spacing w:after="0" w:line="63"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 30, 2021</w:t>
            </w:r>
          </w:p>
        </w:tc>
        <w:tc>
          <w:tcPr>
            <w:tcW w:w="220" w:type="dxa"/>
            <w:vAlign w:val="bottom"/>
          </w:tcPr>
          <w:p>
            <w:pPr>
              <w:spacing w:after="0"/>
              <w:rPr>
                <w:sz w:val="16"/>
                <w:szCs w:val="16"/>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Dec. 31, 2020</w:t>
            </w:r>
          </w:p>
        </w:tc>
        <w:tc>
          <w:tcPr>
            <w:tcW w:w="0" w:type="dxa"/>
            <w:vAlign w:val="bottom"/>
          </w:tcPr>
          <w:p>
            <w:pPr>
              <w:spacing w:after="0"/>
              <w:rPr>
                <w:sz w:val="1"/>
                <w:szCs w:val="1"/>
                <w:color w:val="auto"/>
              </w:rPr>
            </w:pPr>
          </w:p>
        </w:tc>
      </w:tr>
      <w:tr>
        <w:trPr>
          <w:trHeight w:val="16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Current assets: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112,863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144,234</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Accounts receivable, net of allowance for doubtful accounts of $686 in 2021 and $787 in 2020</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17,335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14,211</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 from NVX Holdings, Inc.</w:t>
            </w:r>
          </w:p>
        </w:tc>
        <w:tc>
          <w:tcPr>
            <w:tcW w:w="2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Commissions receivable - current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113,062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188,128</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 and other current assets</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52,992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41,854</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296,252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391,822</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Commissions receivable - non-current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761,011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622,270</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2,072</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17,353</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641,697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688,726</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386,553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386,553</w:t>
            </w: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2,111,634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2,108,796</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Current liabilities: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8,733</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31,036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26,926</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Commissions payable - current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78,478</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4,170</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8,328</w:t>
            </w:r>
          </w:p>
        </w:tc>
        <w:tc>
          <w:tcPr>
            <w:tcW w:w="0" w:type="dxa"/>
            <w:vAlign w:val="bottom"/>
          </w:tcPr>
          <w:p>
            <w:pPr>
              <w:spacing w:after="0"/>
              <w:rPr>
                <w:sz w:val="1"/>
                <w:szCs w:val="1"/>
                <w:color w:val="auto"/>
              </w:rPr>
            </w:pPr>
          </w:p>
        </w:tc>
      </w:tr>
      <w:tr>
        <w:trPr>
          <w:trHeight w:val="18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113,872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127,371</w:t>
            </w:r>
          </w:p>
        </w:tc>
        <w:tc>
          <w:tcPr>
            <w:tcW w:w="0" w:type="dxa"/>
            <w:vAlign w:val="bottom"/>
          </w:tcPr>
          <w:p>
            <w:pPr>
              <w:spacing w:after="0"/>
              <w:rPr>
                <w:sz w:val="1"/>
                <w:szCs w:val="1"/>
                <w:color w:val="auto"/>
              </w:rPr>
            </w:pP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Non-current liabilities:</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Commissions payable - non-current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182,596</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Long-term debt, net of current portion</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414,908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396,400</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non-current liabilities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631,962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582,270</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10)</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Stockholders’ equity:</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Class A common stock – $0.0001 par value; 1,100,000 shares authorized; 105,318 and 84,196 shares issued and</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outstanding at June 30, 2021 and December 31, 2020, respectively.</w:t>
            </w: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240"/>
              <w:spacing w:after="0" w:line="153" w:lineRule="exact"/>
              <w:rPr>
                <w:sz w:val="20"/>
                <w:szCs w:val="20"/>
                <w:color w:val="auto"/>
              </w:rPr>
            </w:pPr>
            <w:r>
              <w:rPr>
                <w:rFonts w:ascii="Arial" w:cs="Arial" w:eastAsia="Arial" w:hAnsi="Arial"/>
                <w:sz w:val="14"/>
                <w:szCs w:val="14"/>
                <w:color w:val="auto"/>
              </w:rPr>
              <w:t>Class B common stock – $0.0001 par value; 597,502 and 619,004 shares authorized; 215,495 and 236,997 shares</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4"/>
                <w:szCs w:val="14"/>
                <w:color w:val="auto"/>
              </w:rPr>
              <w:t>issued and outstanding at June 30, 2021 and December 31, 2020, respectively.</w:t>
            </w: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Preferred stock – $0.0001 par value; 20,000 shares authorized; no shares issued and outstanding at June 30, 2021</w:t>
            </w:r>
          </w:p>
        </w:tc>
        <w:tc>
          <w:tcPr>
            <w:tcW w:w="2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and December 31, 2020.</w:t>
            </w:r>
          </w:p>
        </w:tc>
        <w:tc>
          <w:tcPr>
            <w:tcW w:w="220" w:type="dxa"/>
            <w:vAlign w:val="bottom"/>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503,689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399,169</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(32,881)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(18,802)</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 attributable to GoHealth, Inc.</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470,827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380,416</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894,973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1,018,739</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1,365,800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1,399,155</w:t>
            </w: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2,111,634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2,108,796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CHANGES IN STOCKHOLDERS’ / MEMBERS’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10"/>
          </w:tcPr>
          <w:p>
            <w:pPr>
              <w:ind w:left="20"/>
              <w:spacing w:after="0"/>
              <w:rPr>
                <w:sz w:val="20"/>
                <w:szCs w:val="20"/>
                <w:color w:val="auto"/>
              </w:rPr>
            </w:pPr>
            <w:r>
              <w:rPr>
                <w:rFonts w:ascii="Arial" w:cs="Arial" w:eastAsia="Arial" w:hAnsi="Arial"/>
                <w:sz w:val="11"/>
                <w:szCs w:val="11"/>
                <w:b w:val="1"/>
                <w:bCs w:val="1"/>
                <w:color w:val="auto"/>
              </w:rPr>
              <w:t>Three months ended Jun. 30, 2021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6"/>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9"/>
          </w:tcPr>
          <w:p>
            <w:pPr>
              <w:ind w:left="60"/>
              <w:spacing w:after="0"/>
              <w:rPr>
                <w:sz w:val="20"/>
                <w:szCs w:val="20"/>
                <w:color w:val="auto"/>
              </w:rPr>
            </w:pPr>
            <w:r>
              <w:rPr>
                <w:rFonts w:ascii="Arial" w:cs="Arial" w:eastAsia="Arial" w:hAnsi="Arial"/>
                <w:sz w:val="11"/>
                <w:szCs w:val="11"/>
                <w:b w:val="1"/>
                <w:bCs w:val="1"/>
                <w:color w:val="auto"/>
              </w:rPr>
              <w:t>Class A Common Stock</w:t>
            </w:r>
          </w:p>
        </w:tc>
        <w:tc>
          <w:tcPr>
            <w:tcW w:w="1320" w:type="dxa"/>
            <w:vAlign w:val="bottom"/>
            <w:gridSpan w:val="7"/>
          </w:tcPr>
          <w:p>
            <w:pPr>
              <w:jc w:val="right"/>
              <w:ind w:right="46"/>
              <w:spacing w:after="0"/>
              <w:rPr>
                <w:sz w:val="20"/>
                <w:szCs w:val="20"/>
                <w:color w:val="auto"/>
              </w:rPr>
            </w:pPr>
            <w:r>
              <w:rPr>
                <w:rFonts w:ascii="Arial" w:cs="Arial" w:eastAsia="Arial" w:hAnsi="Arial"/>
                <w:sz w:val="11"/>
                <w:szCs w:val="11"/>
                <w:b w:val="1"/>
                <w:bCs w:val="1"/>
                <w:color w:val="auto"/>
                <w:w w:val="96"/>
              </w:rPr>
              <w:t>Class B Common 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4"/>
            <w:vMerge w:val="restart"/>
          </w:tcPr>
          <w:p>
            <w:pPr>
              <w:jc w:val="center"/>
              <w:ind w:right="180"/>
              <w:spacing w:after="0"/>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Accumulated</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98"/>
              </w:rPr>
              <w:t>Accumulated Other</w:t>
            </w:r>
          </w:p>
        </w:tc>
        <w:tc>
          <w:tcPr>
            <w:tcW w:w="120" w:type="dxa"/>
            <w:vAlign w:val="bottom"/>
          </w:tcPr>
          <w:p>
            <w:pPr>
              <w:spacing w:after="0" w:line="20" w:lineRule="exact"/>
              <w:rPr>
                <w:sz w:val="1"/>
                <w:szCs w:val="1"/>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Non-</w:t>
            </w:r>
          </w:p>
        </w:tc>
        <w:tc>
          <w:tcPr>
            <w:tcW w:w="120" w:type="dxa"/>
            <w:vAlign w:val="bottom"/>
          </w:tcPr>
          <w:p>
            <w:pPr>
              <w:spacing w:after="0" w:line="20" w:lineRule="exact"/>
              <w:rPr>
                <w:sz w:val="1"/>
                <w:szCs w:val="1"/>
                <w:color w:val="auto"/>
              </w:rPr>
            </w:pPr>
          </w:p>
        </w:tc>
        <w:tc>
          <w:tcPr>
            <w:tcW w:w="88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88"/>
        </w:trPr>
        <w:tc>
          <w:tcPr>
            <w:tcW w:w="2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7"/>
              </w:rPr>
              <w:t>Shares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9"/>
                <w:szCs w:val="9"/>
                <w:color w:val="auto"/>
              </w:rPr>
            </w:pPr>
          </w:p>
        </w:tc>
        <w:tc>
          <w:tcPr>
            <w:tcW w:w="540" w:type="dxa"/>
            <w:vAlign w:val="bottom"/>
            <w:gridSpan w:val="2"/>
            <w:vMerge w:val="restart"/>
          </w:tcPr>
          <w:p>
            <w:pPr>
              <w:jc w:val="right"/>
              <w:ind w:right="106"/>
              <w:spacing w:after="0"/>
              <w:rPr>
                <w:sz w:val="20"/>
                <w:szCs w:val="20"/>
                <w:color w:val="auto"/>
              </w:rPr>
            </w:pPr>
            <w:r>
              <w:rPr>
                <w:rFonts w:ascii="Arial" w:cs="Arial" w:eastAsia="Arial" w:hAnsi="Arial"/>
                <w:sz w:val="11"/>
                <w:szCs w:val="11"/>
                <w:b w:val="1"/>
                <w:bCs w:val="1"/>
                <w:color w:val="auto"/>
                <w:w w:val="97"/>
              </w:rPr>
              <w:t>Shares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restart"/>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Comprehensive Income</w:t>
            </w:r>
          </w:p>
        </w:tc>
        <w:tc>
          <w:tcPr>
            <w:tcW w:w="120" w:type="dxa"/>
            <w:vAlign w:val="bottom"/>
          </w:tcPr>
          <w:p>
            <w:pPr>
              <w:spacing w:after="0"/>
              <w:rPr>
                <w:sz w:val="9"/>
                <w:szCs w:val="9"/>
                <w:color w:val="auto"/>
              </w:rPr>
            </w:pPr>
          </w:p>
        </w:tc>
        <w:tc>
          <w:tcPr>
            <w:tcW w:w="8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99"/>
              </w:rPr>
              <w:t>Paid-In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346"/>
              <w:spacing w:after="0"/>
              <w:rPr>
                <w:sz w:val="20"/>
                <w:szCs w:val="20"/>
                <w:color w:val="auto"/>
              </w:rPr>
            </w:pPr>
            <w:r>
              <w:rPr>
                <w:rFonts w:ascii="Arial" w:cs="Arial" w:eastAsia="Arial" w:hAnsi="Arial"/>
                <w:sz w:val="11"/>
                <w:szCs w:val="11"/>
                <w:b w:val="1"/>
                <w:bCs w:val="1"/>
                <w:color w:val="auto"/>
                <w:w w:val="96"/>
              </w:rPr>
              <w:t>(Loss)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Interest</w:t>
            </w:r>
          </w:p>
        </w:tc>
        <w:tc>
          <w:tcPr>
            <w:tcW w:w="120" w:type="dxa"/>
            <w:vAlign w:val="bottom"/>
          </w:tcPr>
          <w:p>
            <w:pPr>
              <w:spacing w:after="0"/>
              <w:rPr>
                <w:sz w:val="12"/>
                <w:szCs w:val="12"/>
                <w:color w:val="auto"/>
              </w:rPr>
            </w:pPr>
          </w:p>
        </w:tc>
        <w:tc>
          <w:tcPr>
            <w:tcW w:w="880" w:type="dxa"/>
            <w:vAlign w:val="bottom"/>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 31, 2021</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98,518</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222,606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465,936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CCEEFF"/>
            </w:tcBorders>
            <w:gridSpan w:val="2"/>
            <w:shd w:val="clear" w:color="auto" w:fill="CCEEFF"/>
          </w:tcPr>
          <w:p>
            <w:pPr>
              <w:jc w:val="center"/>
              <w:ind w:left="366"/>
              <w:spacing w:after="0"/>
              <w:rPr>
                <w:sz w:val="20"/>
                <w:szCs w:val="20"/>
                <w:color w:val="auto"/>
              </w:rPr>
            </w:pPr>
            <w:r>
              <w:rPr>
                <w:rFonts w:ascii="Arial" w:cs="Arial" w:eastAsia="Arial" w:hAnsi="Arial"/>
                <w:sz w:val="11"/>
                <w:szCs w:val="11"/>
                <w:b w:val="1"/>
                <w:bCs w:val="1"/>
                <w:color w:val="auto"/>
                <w:w w:val="97"/>
              </w:rPr>
              <w:t>(20,892)</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19</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951,911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1,397,006</w:t>
            </w:r>
          </w:p>
        </w:tc>
        <w:tc>
          <w:tcPr>
            <w:tcW w:w="0" w:type="dxa"/>
            <w:vAlign w:val="bottom"/>
          </w:tcPr>
          <w:p>
            <w:pPr>
              <w:spacing w:after="0"/>
              <w:rPr>
                <w:sz w:val="1"/>
                <w:szCs w:val="1"/>
                <w:color w:val="auto"/>
              </w:rPr>
            </w:pPr>
          </w:p>
        </w:tc>
      </w:tr>
      <w:tr>
        <w:trPr>
          <w:trHeight w:val="98"/>
        </w:trPr>
        <w:tc>
          <w:tcPr>
            <w:tcW w:w="2960" w:type="dxa"/>
            <w:vAlign w:val="bottom"/>
          </w:tcPr>
          <w:p>
            <w:pPr>
              <w:ind w:left="20"/>
              <w:spacing w:after="0" w:line="99" w:lineRule="exact"/>
              <w:rPr>
                <w:sz w:val="20"/>
                <w:szCs w:val="20"/>
                <w:color w:val="auto"/>
              </w:rPr>
            </w:pPr>
            <w:r>
              <w:rPr>
                <w:rFonts w:ascii="Arial" w:cs="Arial" w:eastAsia="Arial" w:hAnsi="Arial"/>
                <w:sz w:val="11"/>
                <w:szCs w:val="11"/>
                <w:color w:val="auto"/>
              </w:rPr>
              <w:t>Issuance of Class A common shares related to share-</w:t>
            </w: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960" w:type="dxa"/>
            <w:vAlign w:val="bottom"/>
          </w:tcPr>
          <w:p>
            <w:pPr>
              <w:ind w:left="20"/>
              <w:spacing w:after="0"/>
              <w:rPr>
                <w:sz w:val="20"/>
                <w:szCs w:val="20"/>
                <w:color w:val="auto"/>
              </w:rPr>
            </w:pPr>
            <w:r>
              <w:rPr>
                <w:rFonts w:ascii="Arial" w:cs="Arial" w:eastAsia="Arial" w:hAnsi="Arial"/>
                <w:sz w:val="11"/>
                <w:szCs w:val="11"/>
                <w:color w:val="auto"/>
              </w:rPr>
              <w:t>based compensation plans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476</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center"/>
              <w:ind w:left="366"/>
              <w:spacing w:after="0"/>
              <w:rPr>
                <w:sz w:val="20"/>
                <w:szCs w:val="20"/>
                <w:color w:val="auto"/>
              </w:rPr>
            </w:pPr>
            <w:r>
              <w:rPr>
                <w:rFonts w:ascii="Arial" w:cs="Arial" w:eastAsia="Arial" w:hAnsi="Arial"/>
                <w:sz w:val="11"/>
                <w:szCs w:val="11"/>
                <w:color w:val="auto"/>
                <w:w w:val="97"/>
              </w:rPr>
              <w:t>(11,989)</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(27,186)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(39,175)</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7,599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7,599</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Forfeitures of Time-Vesting 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(373)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Redemption of LLC Interests</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6,738</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(6,738)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29,678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(29,678)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rPr>
                <w:sz w:val="20"/>
                <w:szCs w:val="20"/>
                <w:color w:val="auto"/>
              </w:rPr>
            </w:pPr>
            <w:r>
              <w:rPr>
                <w:rFonts w:ascii="Arial" w:cs="Arial" w:eastAsia="Arial" w:hAnsi="Arial"/>
                <w:sz w:val="11"/>
                <w:szCs w:val="11"/>
                <w:b w:val="1"/>
                <w:bCs w:val="1"/>
                <w:color w:val="auto"/>
              </w:rPr>
              <w:t>Balance at Jun. 30, 2021</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105,318</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10</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3"/>
          </w:tcPr>
          <w:p>
            <w:pPr>
              <w:jc w:val="right"/>
              <w:ind w:right="6"/>
              <w:spacing w:after="0"/>
              <w:rPr>
                <w:sz w:val="20"/>
                <w:szCs w:val="20"/>
                <w:color w:val="auto"/>
              </w:rPr>
            </w:pPr>
            <w:r>
              <w:rPr>
                <w:rFonts w:ascii="Arial" w:cs="Arial" w:eastAsia="Arial" w:hAnsi="Arial"/>
                <w:sz w:val="11"/>
                <w:szCs w:val="11"/>
                <w:b w:val="1"/>
                <w:bCs w:val="1"/>
                <w:color w:val="auto"/>
              </w:rPr>
              <w:t>215,495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22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503,689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gridSpan w:val="2"/>
          </w:tcPr>
          <w:p>
            <w:pPr>
              <w:jc w:val="center"/>
              <w:ind w:left="366"/>
              <w:spacing w:after="0"/>
              <w:rPr>
                <w:sz w:val="20"/>
                <w:szCs w:val="20"/>
                <w:color w:val="auto"/>
              </w:rPr>
            </w:pPr>
            <w:r>
              <w:rPr>
                <w:rFonts w:ascii="Arial" w:cs="Arial" w:eastAsia="Arial" w:hAnsi="Arial"/>
                <w:sz w:val="11"/>
                <w:szCs w:val="11"/>
                <w:b w:val="1"/>
                <w:bCs w:val="1"/>
                <w:color w:val="auto"/>
                <w:w w:val="97"/>
              </w:rPr>
              <w:t>(32,881)</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894,973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1,365,800</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1"/>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10"/>
          </w:tcPr>
          <w:p>
            <w:pPr>
              <w:ind w:left="20"/>
              <w:spacing w:after="0"/>
              <w:rPr>
                <w:sz w:val="20"/>
                <w:szCs w:val="20"/>
                <w:color w:val="auto"/>
              </w:rPr>
            </w:pPr>
            <w:r>
              <w:rPr>
                <w:rFonts w:ascii="Arial" w:cs="Arial" w:eastAsia="Arial" w:hAnsi="Arial"/>
                <w:sz w:val="11"/>
                <w:szCs w:val="11"/>
                <w:b w:val="1"/>
                <w:bCs w:val="1"/>
                <w:color w:val="auto"/>
              </w:rPr>
              <w:t>Three months ended Jun. 30, 2020</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8"/>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7"/>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8"/>
          </w:tcPr>
          <w:p>
            <w:pPr>
              <w:jc w:val="right"/>
              <w:ind w:right="26"/>
              <w:spacing w:after="0"/>
              <w:rPr>
                <w:sz w:val="20"/>
                <w:szCs w:val="20"/>
                <w:color w:val="auto"/>
              </w:rPr>
            </w:pPr>
            <w:r>
              <w:rPr>
                <w:rFonts w:ascii="Arial" w:cs="Arial" w:eastAsia="Arial" w:hAnsi="Arial"/>
                <w:sz w:val="11"/>
                <w:szCs w:val="11"/>
                <w:b w:val="1"/>
                <w:bCs w:val="1"/>
                <w:color w:val="auto"/>
              </w:rPr>
              <w:t>Class A Common Stock</w:t>
            </w:r>
          </w:p>
        </w:tc>
        <w:tc>
          <w:tcPr>
            <w:tcW w:w="80" w:type="dxa"/>
            <w:vAlign w:val="bottom"/>
          </w:tcPr>
          <w:p>
            <w:pPr>
              <w:spacing w:after="0"/>
              <w:rPr>
                <w:sz w:val="11"/>
                <w:szCs w:val="11"/>
                <w:color w:val="auto"/>
              </w:rPr>
            </w:pPr>
          </w:p>
        </w:tc>
        <w:tc>
          <w:tcPr>
            <w:tcW w:w="1460" w:type="dxa"/>
            <w:vAlign w:val="bottom"/>
            <w:gridSpan w:val="7"/>
          </w:tcPr>
          <w:p>
            <w:pPr>
              <w:ind w:left="80"/>
              <w:spacing w:after="0"/>
              <w:rPr>
                <w:sz w:val="20"/>
                <w:szCs w:val="20"/>
                <w:color w:val="auto"/>
              </w:rPr>
            </w:pPr>
            <w:r>
              <w:rPr>
                <w:rFonts w:ascii="Arial" w:cs="Arial" w:eastAsia="Arial" w:hAnsi="Arial"/>
                <w:sz w:val="11"/>
                <w:szCs w:val="11"/>
                <w:b w:val="1"/>
                <w:bCs w:val="1"/>
                <w:color w:val="auto"/>
              </w:rPr>
              <w:t>Class B Common 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vMerge w:val="restart"/>
          </w:tcPr>
          <w:p>
            <w:pPr>
              <w:jc w:val="right"/>
              <w:ind w:right="106"/>
              <w:spacing w:after="0"/>
              <w:rPr>
                <w:sz w:val="20"/>
                <w:szCs w:val="20"/>
                <w:color w:val="auto"/>
              </w:rPr>
            </w:pPr>
            <w:r>
              <w:rPr>
                <w:rFonts w:ascii="Arial" w:cs="Arial" w:eastAsia="Arial" w:hAnsi="Arial"/>
                <w:sz w:val="11"/>
                <w:szCs w:val="11"/>
                <w:b w:val="1"/>
                <w:bCs w:val="1"/>
                <w:color w:val="auto"/>
              </w:rPr>
              <w:t>Members’</w:t>
            </w: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Additional</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w:t>
            </w:r>
          </w:p>
        </w:tc>
        <w:tc>
          <w:tcPr>
            <w:tcW w:w="144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98"/>
              </w:rPr>
              <w:t>Accumulated Other</w:t>
            </w:r>
          </w:p>
        </w:tc>
        <w:tc>
          <w:tcPr>
            <w:tcW w:w="120" w:type="dxa"/>
            <w:vAlign w:val="bottom"/>
          </w:tcPr>
          <w:p>
            <w:pPr>
              <w:spacing w:after="0" w:line="20" w:lineRule="exact"/>
              <w:rPr>
                <w:sz w:val="1"/>
                <w:szCs w:val="1"/>
                <w:color w:val="auto"/>
              </w:rPr>
            </w:pPr>
          </w:p>
        </w:tc>
        <w:tc>
          <w:tcPr>
            <w:tcW w:w="88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88"/>
        </w:trPr>
        <w:tc>
          <w:tcPr>
            <w:tcW w:w="2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jc w:val="right"/>
              <w:ind w:right="66"/>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9"/>
                <w:szCs w:val="9"/>
                <w:color w:val="auto"/>
              </w:rPr>
            </w:pPr>
          </w:p>
        </w:tc>
        <w:tc>
          <w:tcPr>
            <w:tcW w:w="640" w:type="dxa"/>
            <w:vAlign w:val="bottom"/>
            <w:gridSpan w:val="3"/>
            <w:vMerge w:val="restart"/>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40" w:type="dxa"/>
            <w:vAlign w:val="bottom"/>
            <w:gridSpan w:val="5"/>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Comprehensive Income</w:t>
            </w: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Equity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Paid-In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(Loss)</w:t>
            </w:r>
          </w:p>
        </w:tc>
        <w:tc>
          <w:tcPr>
            <w:tcW w:w="120" w:type="dxa"/>
            <w:vAlign w:val="bottom"/>
          </w:tcPr>
          <w:p>
            <w:pPr>
              <w:spacing w:after="0"/>
              <w:rPr>
                <w:sz w:val="12"/>
                <w:szCs w:val="12"/>
                <w:color w:val="auto"/>
              </w:rPr>
            </w:pPr>
          </w:p>
        </w:tc>
        <w:tc>
          <w:tcPr>
            <w:tcW w:w="880" w:type="dxa"/>
            <w:vAlign w:val="bottom"/>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 31, 2020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CCEEFF"/>
            </w:tcBorders>
            <w:gridSpan w:val="4"/>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869,602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CCEEFF"/>
            </w:tcBorders>
            <w:shd w:val="clear" w:color="auto" w:fill="CCEEFF"/>
          </w:tcPr>
          <w:p>
            <w:pPr>
              <w:jc w:val="right"/>
              <w:ind w:right="326"/>
              <w:spacing w:after="0"/>
              <w:rPr>
                <w:sz w:val="20"/>
                <w:szCs w:val="20"/>
                <w:color w:val="auto"/>
              </w:rPr>
            </w:pPr>
            <w:r>
              <w:rPr>
                <w:rFonts w:ascii="Arial" w:cs="Arial" w:eastAsia="Arial" w:hAnsi="Arial"/>
                <w:sz w:val="11"/>
                <w:szCs w:val="11"/>
                <w:b w:val="1"/>
                <w:bCs w:val="1"/>
                <w:color w:val="auto"/>
                <w:w w:val="97"/>
              </w:rPr>
              <w:t>$</w:t>
            </w:r>
          </w:p>
        </w:tc>
        <w:tc>
          <w:tcPr>
            <w:tcW w:w="200" w:type="dxa"/>
            <w:vAlign w:val="bottom"/>
            <w:tcBorders>
              <w:top w:val="single" w:sz="8" w:color="auto"/>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0"/>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CCEEFF"/>
            </w:tcBorders>
            <w:shd w:val="clear" w:color="auto" w:fill="CCEEFF"/>
          </w:tcPr>
          <w:p>
            <w:pPr>
              <w:jc w:val="center"/>
              <w:ind w:left="446"/>
              <w:spacing w:after="0"/>
              <w:rPr>
                <w:sz w:val="20"/>
                <w:szCs w:val="20"/>
                <w:color w:val="auto"/>
              </w:rPr>
            </w:pPr>
            <w:r>
              <w:rPr>
                <w:rFonts w:ascii="Arial" w:cs="Arial" w:eastAsia="Arial" w:hAnsi="Arial"/>
                <w:sz w:val="11"/>
                <w:szCs w:val="11"/>
                <w:b w:val="1"/>
                <w:bCs w:val="1"/>
                <w:color w:val="auto"/>
                <w:w w:val="90"/>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CCEEFF"/>
            </w:tcBorders>
            <w:shd w:val="clear" w:color="auto" w:fill="CCEEFF"/>
          </w:tcPr>
          <w:p>
            <w:pPr>
              <w:jc w:val="right"/>
              <w:ind w:right="286"/>
              <w:spacing w:after="0"/>
              <w:rPr>
                <w:sz w:val="20"/>
                <w:szCs w:val="20"/>
                <w:color w:val="auto"/>
              </w:rPr>
            </w:pPr>
            <w:r>
              <w:rPr>
                <w:rFonts w:ascii="Arial" w:cs="Arial" w:eastAsia="Arial" w:hAnsi="Arial"/>
                <w:sz w:val="11"/>
                <w:szCs w:val="11"/>
                <w:b w:val="1"/>
                <w:bCs w:val="1"/>
                <w:color w:val="auto"/>
                <w:w w:val="97"/>
              </w:rPr>
              <w:t>$</w:t>
            </w: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3"/>
        </w:trPr>
        <w:tc>
          <w:tcPr>
            <w:tcW w:w="2960" w:type="dxa"/>
            <w:vAlign w:val="bottom"/>
          </w:tcPr>
          <w:p>
            <w:pPr>
              <w:ind w:left="20"/>
              <w:spacing w:after="0"/>
              <w:rPr>
                <w:sz w:val="20"/>
                <w:szCs w:val="20"/>
                <w:color w:val="auto"/>
              </w:rPr>
            </w:pPr>
            <w:r>
              <w:rPr>
                <w:rFonts w:ascii="Arial" w:cs="Arial" w:eastAsia="Arial" w:hAnsi="Arial"/>
                <w:sz w:val="11"/>
                <w:szCs w:val="11"/>
                <w:color w:val="auto"/>
              </w:rPr>
              <w:t>Issuance of Senior Preferred Earnout Units</w:t>
            </w: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4"/>
          </w:tcPr>
          <w:p>
            <w:pPr>
              <w:jc w:val="right"/>
              <w:ind w:right="6"/>
              <w:spacing w:after="0"/>
              <w:rPr>
                <w:sz w:val="20"/>
                <w:szCs w:val="20"/>
                <w:color w:val="auto"/>
              </w:rPr>
            </w:pPr>
            <w:r>
              <w:rPr>
                <w:rFonts w:ascii="Arial" w:cs="Arial" w:eastAsia="Arial" w:hAnsi="Arial"/>
                <w:sz w:val="11"/>
                <w:szCs w:val="11"/>
                <w:color w:val="auto"/>
              </w:rPr>
              <w:t>100,000</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of Common Earnout Units</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4"/>
            <w:shd w:val="clear" w:color="auto" w:fill="CCEEFF"/>
          </w:tcPr>
          <w:p>
            <w:pPr>
              <w:jc w:val="right"/>
              <w:ind w:right="6"/>
              <w:spacing w:after="0"/>
              <w:rPr>
                <w:sz w:val="20"/>
                <w:szCs w:val="20"/>
                <w:color w:val="auto"/>
              </w:rPr>
            </w:pPr>
            <w:r>
              <w:rPr>
                <w:rFonts w:ascii="Arial" w:cs="Arial" w:eastAsia="Arial" w:hAnsi="Arial"/>
                <w:sz w:val="11"/>
                <w:szCs w:val="11"/>
                <w:color w:val="auto"/>
              </w:rPr>
              <w:t>100,000</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Net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right"/>
              <w:spacing w:after="0"/>
              <w:rPr>
                <w:sz w:val="20"/>
                <w:szCs w:val="20"/>
                <w:color w:val="auto"/>
              </w:rPr>
            </w:pPr>
            <w:r>
              <w:rPr>
                <w:rFonts w:ascii="Arial" w:cs="Arial" w:eastAsia="Arial" w:hAnsi="Arial"/>
                <w:sz w:val="11"/>
                <w:szCs w:val="11"/>
                <w:color w:val="auto"/>
              </w:rPr>
              <w:t>(22,867)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Share-based compensation expense</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color w:val="auto"/>
                <w:w w:val="86"/>
              </w:rPr>
              <w:t>597</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gridSpan w:val="3"/>
          </w:tcPr>
          <w:p>
            <w:pPr>
              <w:jc w:val="right"/>
              <w:ind w:right="6"/>
              <w:spacing w:after="0"/>
              <w:rPr>
                <w:sz w:val="20"/>
                <w:szCs w:val="20"/>
                <w:color w:val="auto"/>
              </w:rPr>
            </w:pPr>
            <w:r>
              <w:rPr>
                <w:rFonts w:ascii="Arial" w:cs="Arial" w:eastAsia="Arial" w:hAnsi="Arial"/>
                <w:sz w:val="11"/>
                <w:szCs w:val="11"/>
                <w:color w:val="auto"/>
                <w:w w:val="86"/>
              </w:rPr>
              <w:t>183</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 30, 2020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gridSpan w:val="4"/>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1,047,513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26"/>
              <w:spacing w:after="0"/>
              <w:rPr>
                <w:sz w:val="20"/>
                <w:szCs w:val="20"/>
                <w:color w:val="auto"/>
              </w:rPr>
            </w:pPr>
            <w:r>
              <w:rPr>
                <w:rFonts w:ascii="Arial" w:cs="Arial" w:eastAsia="Arial" w:hAnsi="Arial"/>
                <w:sz w:val="11"/>
                <w:szCs w:val="11"/>
                <w:b w:val="1"/>
                <w:bCs w:val="1"/>
                <w:color w:val="auto"/>
                <w:w w:val="97"/>
              </w:rPr>
              <w:t>$</w:t>
            </w:r>
          </w:p>
        </w:tc>
        <w:tc>
          <w:tcPr>
            <w:tcW w:w="20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0"/>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shd w:val="clear" w:color="auto" w:fill="CCEEFF"/>
          </w:tcPr>
          <w:p>
            <w:pPr>
              <w:jc w:val="center"/>
              <w:ind w:left="446"/>
              <w:spacing w:after="0"/>
              <w:rPr>
                <w:sz w:val="20"/>
                <w:szCs w:val="20"/>
                <w:color w:val="auto"/>
              </w:rPr>
            </w:pPr>
            <w:r>
              <w:rPr>
                <w:rFonts w:ascii="Arial" w:cs="Arial" w:eastAsia="Arial" w:hAnsi="Arial"/>
                <w:sz w:val="11"/>
                <w:szCs w:val="11"/>
                <w:b w:val="1"/>
                <w:bCs w:val="1"/>
                <w:color w:val="auto"/>
                <w:w w:val="90"/>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Arial" w:cs="Arial" w:eastAsia="Arial" w:hAnsi="Arial"/>
                <w:sz w:val="11"/>
                <w:szCs w:val="11"/>
                <w:b w:val="1"/>
                <w:bCs w:val="1"/>
                <w:color w:val="auto"/>
                <w:w w:val="97"/>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7</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CHANGES IN STOCKHOLDERS’ / MEMBERS’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10"/>
          </w:tcPr>
          <w:p>
            <w:pPr>
              <w:ind w:left="80"/>
              <w:spacing w:after="0"/>
              <w:rPr>
                <w:sz w:val="20"/>
                <w:szCs w:val="20"/>
                <w:color w:val="auto"/>
              </w:rPr>
            </w:pPr>
            <w:r>
              <w:rPr>
                <w:rFonts w:ascii="Arial" w:cs="Arial" w:eastAsia="Arial" w:hAnsi="Arial"/>
                <w:sz w:val="11"/>
                <w:szCs w:val="11"/>
                <w:b w:val="1"/>
                <w:bCs w:val="1"/>
                <w:color w:val="auto"/>
              </w:rPr>
              <w:t>Six months ended Jun. 30, 2021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5"/>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8"/>
          </w:tcPr>
          <w:p>
            <w:pPr>
              <w:ind w:left="60"/>
              <w:spacing w:after="0"/>
              <w:rPr>
                <w:sz w:val="20"/>
                <w:szCs w:val="20"/>
                <w:color w:val="auto"/>
              </w:rPr>
            </w:pPr>
            <w:r>
              <w:rPr>
                <w:rFonts w:ascii="Arial" w:cs="Arial" w:eastAsia="Arial" w:hAnsi="Arial"/>
                <w:sz w:val="11"/>
                <w:szCs w:val="11"/>
                <w:b w:val="1"/>
                <w:bCs w:val="1"/>
                <w:color w:val="auto"/>
              </w:rPr>
              <w:t>Class A Common Stock</w:t>
            </w:r>
          </w:p>
        </w:tc>
        <w:tc>
          <w:tcPr>
            <w:tcW w:w="1320" w:type="dxa"/>
            <w:vAlign w:val="bottom"/>
            <w:gridSpan w:val="7"/>
          </w:tcPr>
          <w:p>
            <w:pPr>
              <w:jc w:val="right"/>
              <w:ind w:right="46"/>
              <w:spacing w:after="0"/>
              <w:rPr>
                <w:sz w:val="20"/>
                <w:szCs w:val="20"/>
                <w:color w:val="auto"/>
              </w:rPr>
            </w:pPr>
            <w:r>
              <w:rPr>
                <w:rFonts w:ascii="Arial" w:cs="Arial" w:eastAsia="Arial" w:hAnsi="Arial"/>
                <w:sz w:val="11"/>
                <w:szCs w:val="11"/>
                <w:b w:val="1"/>
                <w:bCs w:val="1"/>
                <w:color w:val="auto"/>
                <w:w w:val="96"/>
              </w:rPr>
              <w:t>Class B Common 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4"/>
            <w:vMerge w:val="restart"/>
          </w:tcPr>
          <w:p>
            <w:pPr>
              <w:jc w:val="center"/>
              <w:ind w:right="180"/>
              <w:spacing w:after="0"/>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Accumulated</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98"/>
              </w:rPr>
              <w:t>Accumulated Other</w:t>
            </w:r>
          </w:p>
        </w:tc>
        <w:tc>
          <w:tcPr>
            <w:tcW w:w="120" w:type="dxa"/>
            <w:vAlign w:val="bottom"/>
          </w:tcPr>
          <w:p>
            <w:pPr>
              <w:spacing w:after="0" w:line="20" w:lineRule="exact"/>
              <w:rPr>
                <w:sz w:val="1"/>
                <w:szCs w:val="1"/>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Non-</w:t>
            </w:r>
          </w:p>
        </w:tc>
        <w:tc>
          <w:tcPr>
            <w:tcW w:w="120" w:type="dxa"/>
            <w:vAlign w:val="bottom"/>
          </w:tcPr>
          <w:p>
            <w:pPr>
              <w:spacing w:after="0" w:line="20" w:lineRule="exact"/>
              <w:rPr>
                <w:sz w:val="1"/>
                <w:szCs w:val="1"/>
                <w:color w:val="auto"/>
              </w:rPr>
            </w:pPr>
          </w:p>
        </w:tc>
        <w:tc>
          <w:tcPr>
            <w:tcW w:w="88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88"/>
        </w:trPr>
        <w:tc>
          <w:tcPr>
            <w:tcW w:w="2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7"/>
              </w:rPr>
              <w:t>Shares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9"/>
                <w:szCs w:val="9"/>
                <w:color w:val="auto"/>
              </w:rPr>
            </w:pPr>
          </w:p>
        </w:tc>
        <w:tc>
          <w:tcPr>
            <w:tcW w:w="540" w:type="dxa"/>
            <w:vAlign w:val="bottom"/>
            <w:gridSpan w:val="2"/>
            <w:vMerge w:val="restart"/>
          </w:tcPr>
          <w:p>
            <w:pPr>
              <w:jc w:val="right"/>
              <w:ind w:right="106"/>
              <w:spacing w:after="0"/>
              <w:rPr>
                <w:sz w:val="20"/>
                <w:szCs w:val="20"/>
                <w:color w:val="auto"/>
              </w:rPr>
            </w:pPr>
            <w:r>
              <w:rPr>
                <w:rFonts w:ascii="Arial" w:cs="Arial" w:eastAsia="Arial" w:hAnsi="Arial"/>
                <w:sz w:val="11"/>
                <w:szCs w:val="11"/>
                <w:b w:val="1"/>
                <w:bCs w:val="1"/>
                <w:color w:val="auto"/>
                <w:w w:val="97"/>
              </w:rPr>
              <w:t>Shares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restart"/>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Comprehensive Income</w:t>
            </w:r>
          </w:p>
        </w:tc>
        <w:tc>
          <w:tcPr>
            <w:tcW w:w="120" w:type="dxa"/>
            <w:vAlign w:val="bottom"/>
          </w:tcPr>
          <w:p>
            <w:pPr>
              <w:spacing w:after="0"/>
              <w:rPr>
                <w:sz w:val="9"/>
                <w:szCs w:val="9"/>
                <w:color w:val="auto"/>
              </w:rPr>
            </w:pPr>
          </w:p>
        </w:tc>
        <w:tc>
          <w:tcPr>
            <w:tcW w:w="8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99"/>
              </w:rPr>
              <w:t>Paid-In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346"/>
              <w:spacing w:after="0"/>
              <w:rPr>
                <w:sz w:val="20"/>
                <w:szCs w:val="20"/>
                <w:color w:val="auto"/>
              </w:rPr>
            </w:pPr>
            <w:r>
              <w:rPr>
                <w:rFonts w:ascii="Arial" w:cs="Arial" w:eastAsia="Arial" w:hAnsi="Arial"/>
                <w:sz w:val="11"/>
                <w:szCs w:val="11"/>
                <w:b w:val="1"/>
                <w:bCs w:val="1"/>
                <w:color w:val="auto"/>
                <w:w w:val="96"/>
              </w:rPr>
              <w:t>(Loss)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Interest</w:t>
            </w:r>
          </w:p>
        </w:tc>
        <w:tc>
          <w:tcPr>
            <w:tcW w:w="120" w:type="dxa"/>
            <w:vAlign w:val="bottom"/>
          </w:tcPr>
          <w:p>
            <w:pPr>
              <w:spacing w:after="0"/>
              <w:rPr>
                <w:sz w:val="12"/>
                <w:szCs w:val="12"/>
                <w:color w:val="auto"/>
              </w:rPr>
            </w:pPr>
          </w:p>
        </w:tc>
        <w:tc>
          <w:tcPr>
            <w:tcW w:w="880" w:type="dxa"/>
            <w:vAlign w:val="bottom"/>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Jan. 1, 2021</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84,196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8</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236,997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399,169</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bottom w:val="single" w:sz="8" w:color="CCEEFF"/>
            </w:tcBorders>
            <w:gridSpan w:val="2"/>
            <w:shd w:val="clear" w:color="auto" w:fill="CCEEFF"/>
          </w:tcPr>
          <w:p>
            <w:pPr>
              <w:jc w:val="center"/>
              <w:ind w:left="366"/>
              <w:spacing w:after="0"/>
              <w:rPr>
                <w:sz w:val="20"/>
                <w:szCs w:val="20"/>
                <w:color w:val="auto"/>
              </w:rPr>
            </w:pPr>
            <w:r>
              <w:rPr>
                <w:rFonts w:ascii="Arial" w:cs="Arial" w:eastAsia="Arial" w:hAnsi="Arial"/>
                <w:sz w:val="11"/>
                <w:szCs w:val="11"/>
                <w:b w:val="1"/>
                <w:bCs w:val="1"/>
                <w:color w:val="auto"/>
                <w:w w:val="97"/>
              </w:rPr>
              <w:t>(18,802)</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1,018,739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1,399,155</w:t>
            </w:r>
          </w:p>
        </w:tc>
        <w:tc>
          <w:tcPr>
            <w:tcW w:w="0" w:type="dxa"/>
            <w:vAlign w:val="bottom"/>
          </w:tcPr>
          <w:p>
            <w:pPr>
              <w:spacing w:after="0"/>
              <w:rPr>
                <w:sz w:val="1"/>
                <w:szCs w:val="1"/>
                <w:color w:val="auto"/>
              </w:rPr>
            </w:pPr>
          </w:p>
        </w:tc>
      </w:tr>
      <w:tr>
        <w:trPr>
          <w:trHeight w:val="98"/>
        </w:trPr>
        <w:tc>
          <w:tcPr>
            <w:tcW w:w="2960" w:type="dxa"/>
            <w:vAlign w:val="bottom"/>
          </w:tcPr>
          <w:p>
            <w:pPr>
              <w:ind w:left="20"/>
              <w:spacing w:after="0" w:line="99" w:lineRule="exact"/>
              <w:rPr>
                <w:sz w:val="20"/>
                <w:szCs w:val="20"/>
                <w:color w:val="auto"/>
              </w:rPr>
            </w:pPr>
            <w:r>
              <w:rPr>
                <w:rFonts w:ascii="Arial" w:cs="Arial" w:eastAsia="Arial" w:hAnsi="Arial"/>
                <w:sz w:val="11"/>
                <w:szCs w:val="11"/>
                <w:color w:val="auto"/>
              </w:rPr>
              <w:t>Issuance of Class A common shares related to share-</w:t>
            </w: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960" w:type="dxa"/>
            <w:vAlign w:val="bottom"/>
          </w:tcPr>
          <w:p>
            <w:pPr>
              <w:ind w:left="20"/>
              <w:spacing w:after="0"/>
              <w:rPr>
                <w:sz w:val="20"/>
                <w:szCs w:val="20"/>
                <w:color w:val="auto"/>
              </w:rPr>
            </w:pPr>
            <w:r>
              <w:rPr>
                <w:rFonts w:ascii="Arial" w:cs="Arial" w:eastAsia="Arial" w:hAnsi="Arial"/>
                <w:sz w:val="11"/>
                <w:szCs w:val="11"/>
                <w:color w:val="auto"/>
              </w:rPr>
              <w:t>based compensation plans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476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476</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center"/>
              <w:ind w:left="366"/>
              <w:spacing w:after="0"/>
              <w:rPr>
                <w:sz w:val="20"/>
                <w:szCs w:val="20"/>
                <w:color w:val="auto"/>
              </w:rPr>
            </w:pPr>
            <w:r>
              <w:rPr>
                <w:rFonts w:ascii="Arial" w:cs="Arial" w:eastAsia="Arial" w:hAnsi="Arial"/>
                <w:sz w:val="11"/>
                <w:szCs w:val="11"/>
                <w:color w:val="auto"/>
                <w:w w:val="97"/>
              </w:rPr>
              <w:t>(14,079)</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(32,364)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(46,443)</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12,711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12,711</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Forfeitures of Time-Vesting 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(454)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Redemption of LLC Interests</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21,048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(21,048)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91,333</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(91,333)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rPr>
                <w:sz w:val="20"/>
                <w:szCs w:val="20"/>
                <w:color w:val="auto"/>
              </w:rPr>
            </w:pPr>
            <w:r>
              <w:rPr>
                <w:rFonts w:ascii="Arial" w:cs="Arial" w:eastAsia="Arial" w:hAnsi="Arial"/>
                <w:sz w:val="11"/>
                <w:szCs w:val="11"/>
                <w:b w:val="1"/>
                <w:bCs w:val="1"/>
                <w:color w:val="auto"/>
              </w:rPr>
              <w:t>Balance at Jun. 30, 2021</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105,318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10</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3"/>
          </w:tcPr>
          <w:p>
            <w:pPr>
              <w:jc w:val="right"/>
              <w:ind w:right="6"/>
              <w:spacing w:after="0"/>
              <w:rPr>
                <w:sz w:val="20"/>
                <w:szCs w:val="20"/>
                <w:color w:val="auto"/>
              </w:rPr>
            </w:pPr>
            <w:r>
              <w:rPr>
                <w:rFonts w:ascii="Arial" w:cs="Arial" w:eastAsia="Arial" w:hAnsi="Arial"/>
                <w:sz w:val="11"/>
                <w:szCs w:val="11"/>
                <w:b w:val="1"/>
                <w:bCs w:val="1"/>
                <w:color w:val="auto"/>
              </w:rPr>
              <w:t>215,495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22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503,689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gridSpan w:val="2"/>
          </w:tcPr>
          <w:p>
            <w:pPr>
              <w:jc w:val="center"/>
              <w:ind w:left="366"/>
              <w:spacing w:after="0"/>
              <w:rPr>
                <w:sz w:val="20"/>
                <w:szCs w:val="20"/>
                <w:color w:val="auto"/>
              </w:rPr>
            </w:pPr>
            <w:r>
              <w:rPr>
                <w:rFonts w:ascii="Arial" w:cs="Arial" w:eastAsia="Arial" w:hAnsi="Arial"/>
                <w:sz w:val="11"/>
                <w:szCs w:val="11"/>
                <w:b w:val="1"/>
                <w:bCs w:val="1"/>
                <w:color w:val="auto"/>
                <w:w w:val="97"/>
              </w:rPr>
              <w:t>(32,881)</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894,973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1,365,800</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1"/>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10"/>
          </w:tcPr>
          <w:p>
            <w:pPr>
              <w:ind w:left="100"/>
              <w:spacing w:after="0"/>
              <w:rPr>
                <w:sz w:val="20"/>
                <w:szCs w:val="20"/>
                <w:color w:val="auto"/>
              </w:rPr>
            </w:pPr>
            <w:r>
              <w:rPr>
                <w:rFonts w:ascii="Arial" w:cs="Arial" w:eastAsia="Arial" w:hAnsi="Arial"/>
                <w:sz w:val="11"/>
                <w:szCs w:val="11"/>
                <w:b w:val="1"/>
                <w:bCs w:val="1"/>
                <w:color w:val="auto"/>
              </w:rPr>
              <w:t>Six months ended Jun. 30, 2020</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8"/>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7"/>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8"/>
          </w:tcPr>
          <w:p>
            <w:pPr>
              <w:jc w:val="right"/>
              <w:ind w:right="26"/>
              <w:spacing w:after="0"/>
              <w:rPr>
                <w:sz w:val="20"/>
                <w:szCs w:val="20"/>
                <w:color w:val="auto"/>
              </w:rPr>
            </w:pPr>
            <w:r>
              <w:rPr>
                <w:rFonts w:ascii="Arial" w:cs="Arial" w:eastAsia="Arial" w:hAnsi="Arial"/>
                <w:sz w:val="11"/>
                <w:szCs w:val="11"/>
                <w:b w:val="1"/>
                <w:bCs w:val="1"/>
                <w:color w:val="auto"/>
              </w:rPr>
              <w:t>Class A Common Stock</w:t>
            </w:r>
          </w:p>
        </w:tc>
        <w:tc>
          <w:tcPr>
            <w:tcW w:w="80" w:type="dxa"/>
            <w:vAlign w:val="bottom"/>
          </w:tcPr>
          <w:p>
            <w:pPr>
              <w:spacing w:after="0"/>
              <w:rPr>
                <w:sz w:val="11"/>
                <w:szCs w:val="11"/>
                <w:color w:val="auto"/>
              </w:rPr>
            </w:pPr>
          </w:p>
        </w:tc>
        <w:tc>
          <w:tcPr>
            <w:tcW w:w="1460" w:type="dxa"/>
            <w:vAlign w:val="bottom"/>
            <w:gridSpan w:val="7"/>
          </w:tcPr>
          <w:p>
            <w:pPr>
              <w:ind w:left="80"/>
              <w:spacing w:after="0"/>
              <w:rPr>
                <w:sz w:val="20"/>
                <w:szCs w:val="20"/>
                <w:color w:val="auto"/>
              </w:rPr>
            </w:pPr>
            <w:r>
              <w:rPr>
                <w:rFonts w:ascii="Arial" w:cs="Arial" w:eastAsia="Arial" w:hAnsi="Arial"/>
                <w:sz w:val="11"/>
                <w:szCs w:val="11"/>
                <w:b w:val="1"/>
                <w:bCs w:val="1"/>
                <w:color w:val="auto"/>
              </w:rPr>
              <w:t>Class B Common 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vMerge w:val="restart"/>
          </w:tcPr>
          <w:p>
            <w:pPr>
              <w:jc w:val="right"/>
              <w:ind w:right="106"/>
              <w:spacing w:after="0"/>
              <w:rPr>
                <w:sz w:val="20"/>
                <w:szCs w:val="20"/>
                <w:color w:val="auto"/>
              </w:rPr>
            </w:pPr>
            <w:r>
              <w:rPr>
                <w:rFonts w:ascii="Arial" w:cs="Arial" w:eastAsia="Arial" w:hAnsi="Arial"/>
                <w:sz w:val="11"/>
                <w:szCs w:val="11"/>
                <w:b w:val="1"/>
                <w:bCs w:val="1"/>
                <w:color w:val="auto"/>
              </w:rPr>
              <w:t>Members’</w:t>
            </w: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Additional</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w:t>
            </w:r>
          </w:p>
        </w:tc>
        <w:tc>
          <w:tcPr>
            <w:tcW w:w="144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98"/>
              </w:rPr>
              <w:t>Accumulated Other</w:t>
            </w:r>
          </w:p>
        </w:tc>
        <w:tc>
          <w:tcPr>
            <w:tcW w:w="120" w:type="dxa"/>
            <w:vAlign w:val="bottom"/>
          </w:tcPr>
          <w:p>
            <w:pPr>
              <w:spacing w:after="0" w:line="20" w:lineRule="exact"/>
              <w:rPr>
                <w:sz w:val="1"/>
                <w:szCs w:val="1"/>
                <w:color w:val="auto"/>
              </w:rPr>
            </w:pPr>
          </w:p>
        </w:tc>
        <w:tc>
          <w:tcPr>
            <w:tcW w:w="88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88"/>
        </w:trPr>
        <w:tc>
          <w:tcPr>
            <w:tcW w:w="2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jc w:val="right"/>
              <w:ind w:right="66"/>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9"/>
                <w:szCs w:val="9"/>
                <w:color w:val="auto"/>
              </w:rPr>
            </w:pPr>
          </w:p>
        </w:tc>
        <w:tc>
          <w:tcPr>
            <w:tcW w:w="640" w:type="dxa"/>
            <w:vAlign w:val="bottom"/>
            <w:gridSpan w:val="3"/>
            <w:vMerge w:val="restart"/>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40" w:type="dxa"/>
            <w:vAlign w:val="bottom"/>
            <w:gridSpan w:val="5"/>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Comprehensive Income</w:t>
            </w: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Equity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Paid-In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(Loss)</w:t>
            </w:r>
          </w:p>
        </w:tc>
        <w:tc>
          <w:tcPr>
            <w:tcW w:w="120" w:type="dxa"/>
            <w:vAlign w:val="bottom"/>
          </w:tcPr>
          <w:p>
            <w:pPr>
              <w:spacing w:after="0"/>
              <w:rPr>
                <w:sz w:val="12"/>
                <w:szCs w:val="12"/>
                <w:color w:val="auto"/>
              </w:rPr>
            </w:pPr>
          </w:p>
        </w:tc>
        <w:tc>
          <w:tcPr>
            <w:tcW w:w="880" w:type="dxa"/>
            <w:vAlign w:val="bottom"/>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Jan. 1, 2020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860,144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CCEEFF"/>
            </w:tcBorders>
            <w:shd w:val="clear" w:color="auto" w:fill="CCEEFF"/>
          </w:tcPr>
          <w:p>
            <w:pPr>
              <w:jc w:val="right"/>
              <w:ind w:right="326"/>
              <w:spacing w:after="0"/>
              <w:rPr>
                <w:sz w:val="20"/>
                <w:szCs w:val="20"/>
                <w:color w:val="auto"/>
              </w:rPr>
            </w:pPr>
            <w:r>
              <w:rPr>
                <w:rFonts w:ascii="Arial" w:cs="Arial" w:eastAsia="Arial" w:hAnsi="Arial"/>
                <w:sz w:val="11"/>
                <w:szCs w:val="11"/>
                <w:b w:val="1"/>
                <w:bCs w:val="1"/>
                <w:color w:val="auto"/>
                <w:w w:val="97"/>
              </w:rPr>
              <w:t>$</w:t>
            </w:r>
          </w:p>
        </w:tc>
        <w:tc>
          <w:tcPr>
            <w:tcW w:w="200" w:type="dxa"/>
            <w:vAlign w:val="bottom"/>
            <w:tcBorders>
              <w:top w:val="single" w:sz="8" w:color="auto"/>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0"/>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CCEEFF"/>
            </w:tcBorders>
            <w:shd w:val="clear" w:color="auto" w:fill="CCEEFF"/>
          </w:tcPr>
          <w:p>
            <w:pPr>
              <w:jc w:val="center"/>
              <w:ind w:left="446"/>
              <w:spacing w:after="0"/>
              <w:rPr>
                <w:sz w:val="20"/>
                <w:szCs w:val="20"/>
                <w:color w:val="auto"/>
              </w:rPr>
            </w:pPr>
            <w:r>
              <w:rPr>
                <w:rFonts w:ascii="Arial" w:cs="Arial" w:eastAsia="Arial" w:hAnsi="Arial"/>
                <w:sz w:val="11"/>
                <w:szCs w:val="11"/>
                <w:b w:val="1"/>
                <w:bCs w:val="1"/>
                <w:color w:val="auto"/>
                <w:w w:val="90"/>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CCEEFF"/>
            </w:tcBorders>
            <w:shd w:val="clear" w:color="auto" w:fill="CCEEFF"/>
          </w:tcPr>
          <w:p>
            <w:pPr>
              <w:jc w:val="right"/>
              <w:ind w:right="286"/>
              <w:spacing w:after="0"/>
              <w:rPr>
                <w:sz w:val="20"/>
                <w:szCs w:val="20"/>
                <w:color w:val="auto"/>
              </w:rPr>
            </w:pPr>
            <w:r>
              <w:rPr>
                <w:rFonts w:ascii="Arial" w:cs="Arial" w:eastAsia="Arial" w:hAnsi="Arial"/>
                <w:sz w:val="11"/>
                <w:szCs w:val="11"/>
                <w:b w:val="1"/>
                <w:bCs w:val="1"/>
                <w:color w:val="auto"/>
                <w:w w:val="97"/>
              </w:rPr>
              <w:t>$</w:t>
            </w: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3"/>
        </w:trPr>
        <w:tc>
          <w:tcPr>
            <w:tcW w:w="2960" w:type="dxa"/>
            <w:vAlign w:val="bottom"/>
          </w:tcPr>
          <w:p>
            <w:pPr>
              <w:ind w:left="20"/>
              <w:spacing w:after="0"/>
              <w:rPr>
                <w:sz w:val="20"/>
                <w:szCs w:val="20"/>
                <w:color w:val="auto"/>
              </w:rPr>
            </w:pPr>
            <w:r>
              <w:rPr>
                <w:rFonts w:ascii="Arial" w:cs="Arial" w:eastAsia="Arial" w:hAnsi="Arial"/>
                <w:sz w:val="11"/>
                <w:szCs w:val="11"/>
                <w:color w:val="auto"/>
              </w:rPr>
              <w:t>Issuance of Senior Preferred Earnout Units</w:t>
            </w: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jc w:val="right"/>
              <w:ind w:right="6"/>
              <w:spacing w:after="0"/>
              <w:rPr>
                <w:sz w:val="20"/>
                <w:szCs w:val="20"/>
                <w:color w:val="auto"/>
              </w:rPr>
            </w:pPr>
            <w:r>
              <w:rPr>
                <w:rFonts w:ascii="Arial" w:cs="Arial" w:eastAsia="Arial" w:hAnsi="Arial"/>
                <w:sz w:val="11"/>
                <w:szCs w:val="11"/>
                <w:color w:val="auto"/>
              </w:rPr>
              <w:t>100,000</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of Common Earnout Units</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color w:val="auto"/>
              </w:rPr>
              <w:t>100,000</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Issuance of common 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
              <w:spacing w:after="0"/>
              <w:rPr>
                <w:sz w:val="20"/>
                <w:szCs w:val="20"/>
                <w:color w:val="auto"/>
              </w:rPr>
            </w:pPr>
            <w:r>
              <w:rPr>
                <w:rFonts w:ascii="Arial" w:cs="Arial" w:eastAsia="Arial" w:hAnsi="Arial"/>
                <w:sz w:val="11"/>
                <w:szCs w:val="11"/>
                <w:color w:val="auto"/>
              </w:rPr>
              <w:t>10,000</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(23,804)</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
              <w:spacing w:after="0"/>
              <w:rPr>
                <w:sz w:val="20"/>
                <w:szCs w:val="20"/>
                <w:color w:val="auto"/>
              </w:rPr>
            </w:pPr>
            <w:r>
              <w:rPr>
                <w:rFonts w:ascii="Arial" w:cs="Arial" w:eastAsia="Arial" w:hAnsi="Arial"/>
                <w:sz w:val="11"/>
                <w:szCs w:val="11"/>
                <w:color w:val="auto"/>
              </w:rPr>
              <w:t>1,077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w w:val="97"/>
              </w:rPr>
              <w:t>98</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rPr>
                <w:sz w:val="20"/>
                <w:szCs w:val="20"/>
                <w:color w:val="auto"/>
              </w:rPr>
            </w:pPr>
            <w:r>
              <w:rPr>
                <w:rFonts w:ascii="Arial" w:cs="Arial" w:eastAsia="Arial" w:hAnsi="Arial"/>
                <w:sz w:val="11"/>
                <w:szCs w:val="11"/>
                <w:b w:val="1"/>
                <w:bCs w:val="1"/>
                <w:color w:val="auto"/>
              </w:rPr>
              <w:t>Balance at Jun. 30, 2020</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gridSpan w:val="3"/>
          </w:tcPr>
          <w:p>
            <w:pPr>
              <w:jc w:val="right"/>
              <w:ind w:right="6"/>
              <w:spacing w:after="0"/>
              <w:rPr>
                <w:sz w:val="20"/>
                <w:szCs w:val="20"/>
                <w:color w:val="auto"/>
              </w:rPr>
            </w:pPr>
            <w:r>
              <w:rPr>
                <w:rFonts w:ascii="Arial" w:cs="Arial" w:eastAsia="Arial" w:hAnsi="Arial"/>
                <w:sz w:val="11"/>
                <w:szCs w:val="11"/>
                <w:b w:val="1"/>
                <w:bCs w:val="1"/>
                <w:color w:val="auto"/>
              </w:rPr>
              <w:t>1,047,513</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w w:val="97"/>
              </w:rPr>
              <w:t>$</w:t>
            </w:r>
          </w:p>
        </w:tc>
        <w:tc>
          <w:tcPr>
            <w:tcW w:w="20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0"/>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center"/>
              <w:ind w:left="446"/>
              <w:spacing w:after="0"/>
              <w:rPr>
                <w:sz w:val="20"/>
                <w:szCs w:val="20"/>
                <w:color w:val="auto"/>
              </w:rPr>
            </w:pPr>
            <w:r>
              <w:rPr>
                <w:rFonts w:ascii="Arial" w:cs="Arial" w:eastAsia="Arial" w:hAnsi="Arial"/>
                <w:sz w:val="11"/>
                <w:szCs w:val="11"/>
                <w:b w:val="1"/>
                <w:bCs w:val="1"/>
                <w:color w:val="auto"/>
                <w:w w:val="90"/>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w w:val="97"/>
              </w:rPr>
              <w:t>$</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8</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146"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Six months ended</w:t>
      </w:r>
    </w:p>
    <w:p>
      <w:pPr>
        <w:ind w:left="9720"/>
        <w:spacing w:after="0"/>
        <w:rPr>
          <w:sz w:val="20"/>
          <w:szCs w:val="20"/>
          <w:color w:val="auto"/>
        </w:rPr>
      </w:pPr>
      <w:r>
        <w:rPr>
          <w:rFonts w:ascii="Arial" w:cs="Arial" w:eastAsia="Arial" w:hAnsi="Arial"/>
          <w:sz w:val="14"/>
          <w:szCs w:val="14"/>
          <w:b w:val="1"/>
          <w:bCs w:val="1"/>
          <w:color w:val="auto"/>
        </w:rPr>
        <w:t>Jun.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74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5"/>
        </w:trPr>
        <w:tc>
          <w:tcPr>
            <w:tcW w:w="8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Operating Activities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(46,443)</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(23,804)</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12,711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1,077</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w:t>
            </w:r>
          </w:p>
        </w:tc>
        <w:tc>
          <w:tcPr>
            <w:tcW w:w="0" w:type="dxa"/>
            <w:vAlign w:val="bottom"/>
          </w:tcPr>
          <w:p>
            <w:pPr>
              <w:spacing w:after="0"/>
              <w:rPr>
                <w:sz w:val="1"/>
                <w:szCs w:val="1"/>
                <w:color w:val="auto"/>
              </w:rPr>
            </w:pPr>
          </w:p>
        </w:tc>
      </w:tr>
      <w:tr>
        <w:trPr>
          <w:trHeight w:val="167"/>
        </w:trPr>
        <w:tc>
          <w:tcPr>
            <w:tcW w:w="87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47,029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47,029</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w:t>
            </w: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19,700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Other non-cash items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i w:val="1"/>
                <w:iCs w:val="1"/>
                <w:color w:val="auto"/>
              </w:rPr>
              <w:t>Changes in assets and liabilities: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740" w:type="dxa"/>
            <w:vAlign w:val="bottom"/>
          </w:tcPr>
          <w:p>
            <w:pPr>
              <w:ind w:left="460"/>
              <w:spacing w:after="0"/>
              <w:rPr>
                <w:sz w:val="20"/>
                <w:szCs w:val="20"/>
                <w:color w:val="auto"/>
              </w:rPr>
            </w:pPr>
            <w:r>
              <w:rPr>
                <w:rFonts w:ascii="Arial" w:cs="Arial" w:eastAsia="Arial" w:hAnsi="Arial"/>
                <w:sz w:val="13"/>
                <w:szCs w:val="13"/>
                <w:color w:val="auto"/>
              </w:rPr>
              <w:t>Accounts receivable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(2,702)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12,383</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receivable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(58,709)</w:t>
            </w:r>
          </w:p>
        </w:tc>
        <w:tc>
          <w:tcPr>
            <w:tcW w:w="0" w:type="dxa"/>
            <w:vAlign w:val="bottom"/>
          </w:tcPr>
          <w:p>
            <w:pPr>
              <w:spacing w:after="0"/>
              <w:rPr>
                <w:sz w:val="1"/>
                <w:szCs w:val="1"/>
                <w:color w:val="auto"/>
              </w:rPr>
            </w:pPr>
          </w:p>
        </w:tc>
      </w:tr>
      <w:tr>
        <w:trPr>
          <w:trHeight w:val="168"/>
        </w:trPr>
        <w:tc>
          <w:tcPr>
            <w:tcW w:w="8740" w:type="dxa"/>
            <w:vAlign w:val="bottom"/>
          </w:tcPr>
          <w:p>
            <w:pPr>
              <w:ind w:left="460"/>
              <w:spacing w:after="0"/>
              <w:rPr>
                <w:sz w:val="20"/>
                <w:szCs w:val="20"/>
                <w:color w:val="auto"/>
              </w:rPr>
            </w:pPr>
            <w:r>
              <w:rPr>
                <w:rFonts w:ascii="Arial" w:cs="Arial" w:eastAsia="Arial" w:hAnsi="Arial"/>
                <w:sz w:val="13"/>
                <w:szCs w:val="13"/>
                <w:color w:val="auto"/>
              </w:rPr>
              <w:t>Prepaid expenses and other assets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(11,778)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1,794</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payable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(3,467)</w:t>
            </w:r>
          </w:p>
        </w:tc>
        <w:tc>
          <w:tcPr>
            <w:tcW w:w="0" w:type="dxa"/>
            <w:vAlign w:val="bottom"/>
          </w:tcPr>
          <w:p>
            <w:pPr>
              <w:spacing w:after="0"/>
              <w:rPr>
                <w:sz w:val="1"/>
                <w:szCs w:val="1"/>
                <w:color w:val="auto"/>
              </w:rPr>
            </w:pPr>
          </w:p>
        </w:tc>
      </w:tr>
      <w:tr>
        <w:trPr>
          <w:trHeight w:val="167"/>
        </w:trPr>
        <w:tc>
          <w:tcPr>
            <w:tcW w:w="8740" w:type="dxa"/>
            <w:vAlign w:val="bottom"/>
          </w:tcPr>
          <w:p>
            <w:pPr>
              <w:ind w:left="460"/>
              <w:spacing w:after="0"/>
              <w:rPr>
                <w:sz w:val="20"/>
                <w:szCs w:val="20"/>
                <w:color w:val="auto"/>
              </w:rPr>
            </w:pPr>
            <w:r>
              <w:rPr>
                <w:rFonts w:ascii="Arial" w:cs="Arial" w:eastAsia="Arial" w:hAnsi="Arial"/>
                <w:sz w:val="13"/>
                <w:szCs w:val="13"/>
                <w:color w:val="auto"/>
              </w:rPr>
              <w:t>Accrued liabilities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(7,641)</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revenue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(14,171)</w:t>
            </w:r>
          </w:p>
        </w:tc>
        <w:tc>
          <w:tcPr>
            <w:tcW w:w="0" w:type="dxa"/>
            <w:vAlign w:val="bottom"/>
          </w:tcPr>
          <w:p>
            <w:pPr>
              <w:spacing w:after="0"/>
              <w:rPr>
                <w:sz w:val="1"/>
                <w:szCs w:val="1"/>
                <w:color w:val="auto"/>
              </w:rPr>
            </w:pPr>
          </w:p>
        </w:tc>
      </w:tr>
      <w:tr>
        <w:trPr>
          <w:trHeight w:val="168"/>
        </w:trPr>
        <w:tc>
          <w:tcPr>
            <w:tcW w:w="8740" w:type="dxa"/>
            <w:vAlign w:val="bottom"/>
          </w:tcPr>
          <w:p>
            <w:pPr>
              <w:ind w:left="460"/>
              <w:spacing w:after="0"/>
              <w:rPr>
                <w:sz w:val="20"/>
                <w:szCs w:val="20"/>
                <w:color w:val="auto"/>
              </w:rPr>
            </w:pPr>
            <w:r>
              <w:rPr>
                <w:rFonts w:ascii="Arial" w:cs="Arial" w:eastAsia="Arial" w:hAnsi="Arial"/>
                <w:sz w:val="13"/>
                <w:szCs w:val="13"/>
                <w:color w:val="auto"/>
              </w:rPr>
              <w:t>Commissions payable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4,742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18,135</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liabilities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1,269</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(32,250)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(4,169)</w:t>
            </w:r>
          </w:p>
        </w:tc>
        <w:tc>
          <w:tcPr>
            <w:tcW w:w="0" w:type="dxa"/>
            <w:vAlign w:val="bottom"/>
          </w:tcPr>
          <w:p>
            <w:pPr>
              <w:spacing w:after="0"/>
              <w:rPr>
                <w:sz w:val="1"/>
                <w:szCs w:val="1"/>
                <w:color w:val="auto"/>
              </w:rPr>
            </w:pPr>
          </w:p>
        </w:tc>
      </w:tr>
      <w:tr>
        <w:trPr>
          <w:trHeight w:val="162"/>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(7,764)</w:t>
            </w:r>
          </w:p>
        </w:tc>
        <w:tc>
          <w:tcPr>
            <w:tcW w:w="0" w:type="dxa"/>
            <w:vAlign w:val="bottom"/>
          </w:tcPr>
          <w:p>
            <w:pPr>
              <w:spacing w:after="0"/>
              <w:rPr>
                <w:sz w:val="1"/>
                <w:szCs w:val="1"/>
                <w:color w:val="auto"/>
              </w:rPr>
            </w:pPr>
          </w:p>
        </w:tc>
      </w:tr>
      <w:tr>
        <w:trPr>
          <w:trHeight w:val="175"/>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(7,764)</w:t>
            </w:r>
          </w:p>
        </w:tc>
        <w:tc>
          <w:tcPr>
            <w:tcW w:w="0" w:type="dxa"/>
            <w:vAlign w:val="bottom"/>
          </w:tcPr>
          <w:p>
            <w:pPr>
              <w:spacing w:after="0"/>
              <w:rPr>
                <w:sz w:val="1"/>
                <w:szCs w:val="1"/>
                <w:color w:val="auto"/>
              </w:rPr>
            </w:pPr>
          </w:p>
        </w:tc>
      </w:tr>
      <w:tr>
        <w:trPr>
          <w:trHeight w:val="152"/>
        </w:trPr>
        <w:tc>
          <w:tcPr>
            <w:tcW w:w="87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received upon issuance of common units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68"/>
        </w:trPr>
        <w:tc>
          <w:tcPr>
            <w:tcW w:w="8740" w:type="dxa"/>
            <w:vAlign w:val="bottom"/>
          </w:tcPr>
          <w:p>
            <w:pPr>
              <w:ind w:left="20"/>
              <w:spacing w:after="0"/>
              <w:rPr>
                <w:sz w:val="20"/>
                <w:szCs w:val="20"/>
                <w:color w:val="auto"/>
              </w:rPr>
            </w:pPr>
            <w:r>
              <w:rPr>
                <w:rFonts w:ascii="Arial" w:cs="Arial" w:eastAsia="Arial" w:hAnsi="Arial"/>
                <w:sz w:val="13"/>
                <w:szCs w:val="13"/>
                <w:color w:val="auto"/>
              </w:rPr>
              <w:t>Borrowings under term loans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310,000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117,000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term loans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(296,835)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(1,793)</w:t>
            </w:r>
          </w:p>
        </w:tc>
        <w:tc>
          <w:tcPr>
            <w:tcW w:w="0" w:type="dxa"/>
            <w:vAlign w:val="bottom"/>
          </w:tcPr>
          <w:p>
            <w:pPr>
              <w:spacing w:after="0"/>
              <w:rPr>
                <w:sz w:val="1"/>
                <w:szCs w:val="1"/>
                <w:color w:val="auto"/>
              </w:rPr>
            </w:pPr>
          </w:p>
        </w:tc>
      </w:tr>
      <w:tr>
        <w:trPr>
          <w:trHeight w:val="168"/>
        </w:trPr>
        <w:tc>
          <w:tcPr>
            <w:tcW w:w="8740" w:type="dxa"/>
            <w:vAlign w:val="bottom"/>
          </w:tcPr>
          <w:p>
            <w:pPr>
              <w:ind w:left="20"/>
              <w:spacing w:after="0"/>
              <w:rPr>
                <w:sz w:val="20"/>
                <w:szCs w:val="20"/>
                <w:color w:val="auto"/>
              </w:rPr>
            </w:pPr>
            <w:r>
              <w:rPr>
                <w:rFonts w:ascii="Arial" w:cs="Arial" w:eastAsia="Arial" w:hAnsi="Arial"/>
                <w:sz w:val="13"/>
                <w:szCs w:val="13"/>
                <w:color w:val="auto"/>
              </w:rPr>
              <w:t>Call premium paid for debt extinguishment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deferred offering costs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w:t>
            </w:r>
          </w:p>
        </w:tc>
        <w:tc>
          <w:tcPr>
            <w:tcW w:w="0" w:type="dxa"/>
            <w:vAlign w:val="bottom"/>
          </w:tcPr>
          <w:p>
            <w:pPr>
              <w:spacing w:after="0"/>
              <w:rPr>
                <w:sz w:val="1"/>
                <w:szCs w:val="1"/>
                <w:color w:val="auto"/>
              </w:rPr>
            </w:pPr>
          </w:p>
        </w:tc>
      </w:tr>
      <w:tr>
        <w:trPr>
          <w:trHeight w:val="168"/>
        </w:trPr>
        <w:tc>
          <w:tcPr>
            <w:tcW w:w="8740" w:type="dxa"/>
            <w:vAlign w:val="bottom"/>
          </w:tcPr>
          <w:p>
            <w:pPr>
              <w:ind w:left="20"/>
              <w:spacing w:after="0"/>
              <w:rPr>
                <w:sz w:val="20"/>
                <w:szCs w:val="20"/>
                <w:color w:val="auto"/>
              </w:rPr>
            </w:pPr>
            <w:r>
              <w:rPr>
                <w:rFonts w:ascii="Arial" w:cs="Arial" w:eastAsia="Arial" w:hAnsi="Arial"/>
                <w:sz w:val="13"/>
                <w:szCs w:val="13"/>
                <w:color w:val="auto"/>
              </w:rPr>
              <w:t>Debt issuance cost payments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(6,289)</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69"/>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received on advancement to NVX Holdings, Inc.</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117,900</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75"/>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cash and cash equivalents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(31,371)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106,065</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144,234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12,276</w:t>
            </w:r>
          </w:p>
        </w:tc>
        <w:tc>
          <w:tcPr>
            <w:tcW w:w="0" w:type="dxa"/>
            <w:vAlign w:val="bottom"/>
          </w:tcPr>
          <w:p>
            <w:pPr>
              <w:spacing w:after="0"/>
              <w:rPr>
                <w:sz w:val="1"/>
                <w:szCs w:val="1"/>
                <w:color w:val="auto"/>
              </w:rPr>
            </w:pPr>
          </w:p>
        </w:tc>
      </w:tr>
      <w:tr>
        <w:trPr>
          <w:trHeight w:val="20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112,863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118,341</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740" w:type="dxa"/>
            <w:vAlign w:val="bottom"/>
          </w:tcPr>
          <w:p>
            <w:pPr>
              <w:ind w:left="24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2,233</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Senior Preferred Earnout Units to settle contingent consideration liability</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60"/>
        </w:trPr>
        <w:tc>
          <w:tcPr>
            <w:tcW w:w="8740" w:type="dxa"/>
            <w:vAlign w:val="bottom"/>
          </w:tcPr>
          <w:p>
            <w:pPr>
              <w:ind w:left="240"/>
              <w:spacing w:after="0"/>
              <w:rPr>
                <w:sz w:val="20"/>
                <w:szCs w:val="20"/>
                <w:color w:val="auto"/>
              </w:rPr>
            </w:pPr>
            <w:r>
              <w:rPr>
                <w:rFonts w:ascii="Arial" w:cs="Arial" w:eastAsia="Arial" w:hAnsi="Arial"/>
                <w:sz w:val="13"/>
                <w:szCs w:val="13"/>
                <w:color w:val="auto"/>
              </w:rPr>
              <w:t>Issuance of common A and B units to settle contingent consideration liability</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9</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17" w:lineRule="exact"/>
        <w:rPr>
          <w:sz w:val="20"/>
          <w:szCs w:val="20"/>
          <w:color w:val="auto"/>
        </w:rPr>
      </w:pPr>
    </w:p>
    <w:p>
      <w:pPr>
        <w:ind w:right="5380" w:firstLine="8"/>
        <w:spacing w:after="0" w:line="541" w:lineRule="auto"/>
        <w:tabs>
          <w:tab w:leader="none" w:pos="180" w:val="left"/>
        </w:tabs>
        <w:numPr>
          <w:ilvl w:val="0"/>
          <w:numId w:val="7"/>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DESCRIPTION OF BUSINESS AND SIGNIFICANT ACCOUNTING POLICIES </w:t>
      </w:r>
      <w:r>
        <w:rPr>
          <w:rFonts w:ascii="Arial" w:cs="Arial" w:eastAsia="Arial" w:hAnsi="Arial"/>
          <w:sz w:val="16"/>
          <w:szCs w:val="16"/>
          <w:b w:val="1"/>
          <w:bCs w:val="1"/>
          <w:color w:val="000000"/>
        </w:rPr>
        <w:t>Description of Business</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GoHealth, Inc. (the “Company”) is a leading health insurance marketplace and Medicare-focused digital health company whose mission is to improve access to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was incorporated in Delaware on March 27, 2020 for the purpose of facilitating an initial public offering and other related transactions in order to carry on the business of GoHealth Holdings, LLC (formerly known as Blizzard Parent, LLC), a Delaware limited liability company, and its wholly owned subsidiaries (collectively, "GHH, LLC"). On July 17, 2020, the Company completed an initial public offering of 43,500 shares of its Class A common stock at a public offering price of $21.00 per share (“the IPO”), receiving approximately $852.4 million in net proceeds, after deducting the underwriting discount and offering expenses.</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Company’s IPO, the Company completed a series of organizational transactions (the “Transactions”). The Transactions included:</w:t>
      </w:r>
    </w:p>
    <w:p>
      <w:pPr>
        <w:spacing w:after="0" w:line="221" w:lineRule="exact"/>
        <w:rPr>
          <w:sz w:val="20"/>
          <w:szCs w:val="20"/>
          <w:color w:val="auto"/>
        </w:rPr>
      </w:pPr>
    </w:p>
    <w:p>
      <w:pPr>
        <w:ind w:left="660" w:right="120" w:hanging="328"/>
        <w:spacing w:after="0" w:line="24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amendment and restatement of the existing limited liability company agreement of GHH, LLC to, among other things, (1) recapitalize all existing ownership interests in GHH, LLC (including profits units awarded under the existing limited liability company agreement of GHH, LLC) and</w:t>
      </w:r>
    </w:p>
    <w:p>
      <w:pPr>
        <w:ind w:left="660"/>
        <w:spacing w:after="0"/>
        <w:rPr>
          <w:rFonts w:ascii="Arial" w:cs="Arial" w:eastAsia="Arial" w:hAnsi="Arial"/>
          <w:sz w:val="16"/>
          <w:szCs w:val="16"/>
          <w:color w:val="auto"/>
        </w:rPr>
      </w:pPr>
      <w:r>
        <w:rPr>
          <w:rFonts w:ascii="Arial" w:cs="Arial" w:eastAsia="Arial" w:hAnsi="Arial"/>
          <w:sz w:val="16"/>
          <w:szCs w:val="16"/>
          <w:color w:val="auto"/>
        </w:rPr>
        <w:t>(2) appoint the Company as the sole managing member of GHH, LLC upon its acquisition of LLC Interests in connection with the IPO;</w:t>
      </w:r>
    </w:p>
    <w:p>
      <w:pPr>
        <w:spacing w:after="0" w:line="221" w:lineRule="exact"/>
        <w:rPr>
          <w:rFonts w:ascii="Arial" w:cs="Arial" w:eastAsia="Arial" w:hAnsi="Arial"/>
          <w:sz w:val="16"/>
          <w:szCs w:val="16"/>
          <w:color w:val="auto"/>
        </w:rPr>
      </w:pPr>
    </w:p>
    <w:p>
      <w:pPr>
        <w:ind w:left="660" w:right="140" w:hanging="328"/>
        <w:spacing w:after="0" w:line="25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amendment and restatement of the Company’s certificate of incorporation to, among other things, provide for (1) Class A common stock, with each share of the Company’s Class A common stock entitling its holder to economic rights and one vote per share on all matters presented to stockholders generally and (2) Class B common stock, with each share of the Company’s Class B common stock being a non-economic share but entitling its holder to one vote per share on all matters presented to stockholders generally (provided that shares of Class B common stock may only be held by the Continuing Equity Owners and their respective permitted transferees);</w:t>
      </w:r>
    </w:p>
    <w:p>
      <w:pPr>
        <w:spacing w:after="0" w:line="202" w:lineRule="exact"/>
        <w:rPr>
          <w:rFonts w:ascii="Arial" w:cs="Arial" w:eastAsia="Arial" w:hAnsi="Arial"/>
          <w:sz w:val="16"/>
          <w:szCs w:val="16"/>
          <w:color w:val="auto"/>
        </w:rPr>
      </w:pPr>
    </w:p>
    <w:p>
      <w:pPr>
        <w:ind w:left="660" w:right="180" w:hanging="328"/>
        <w:spacing w:after="0" w:line="253"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issuance of 307,980 shares of the Company's Class B common stock, including the issuance of 229,399 such shares to the Continuing Equity Owners, which is equal to the number of LLC Interests held directly or indirectly by such Continuing Equity Owners immediately following the Transactions, for nominal consideration;</w:t>
      </w:r>
    </w:p>
    <w:p>
      <w:pPr>
        <w:spacing w:after="0" w:line="201"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issuance of 43,500 shares of the Company’s Class A common stock to the purchasers in the IPO in exchange for net proceeds, after taking into account the underwriting discount and offering expenses payable by the Company, of approximately $852.4 million;</w:t>
      </w:r>
    </w:p>
    <w:p>
      <w:pPr>
        <w:spacing w:after="0" w:line="195" w:lineRule="exact"/>
        <w:rPr>
          <w:rFonts w:ascii="Arial" w:cs="Arial" w:eastAsia="Arial" w:hAnsi="Arial"/>
          <w:sz w:val="16"/>
          <w:szCs w:val="16"/>
          <w:color w:val="auto"/>
        </w:rPr>
      </w:pPr>
    </w:p>
    <w:p>
      <w:pPr>
        <w:ind w:left="660" w:right="160" w:hanging="328"/>
        <w:spacing w:after="0" w:line="253"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acquisition by the Company of the Blocker Company in a merger transaction (the “Blocker Merger”), which Blocker Company held 45,503 LLC interests and a corresponding amount of the Company’s Class B common stock (which shares were cancelled after the Blocker Merger), in exchange for 40,683 shares of the Company’s Class A common stock and payment of $96.2 million in cash to Blocker Shareholders;</w:t>
      </w:r>
    </w:p>
    <w:p>
      <w:pPr>
        <w:spacing w:after="0" w:line="201" w:lineRule="exact"/>
        <w:rPr>
          <w:rFonts w:ascii="Arial" w:cs="Arial" w:eastAsia="Arial" w:hAnsi="Arial"/>
          <w:sz w:val="16"/>
          <w:szCs w:val="16"/>
          <w:color w:val="auto"/>
        </w:rPr>
      </w:pPr>
    </w:p>
    <w:p>
      <w:pPr>
        <w:ind w:left="660" w:right="40" w:hanging="328"/>
        <w:spacing w:after="0" w:line="253"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use of the remaining net proceeds from the IPO to (i) pay $508.3 million in cash to redeem 25,480 LLC Interests held directly or indirectly by the Continuing Equity Owners, (ii) satisfy in full $100.0 million in aggregate face amount of senior preferred earnout units in connection with the Transactions, and (iii) use for general corporate purposes; and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3" w:name="page14"/>
    <w:bookmarkEnd w:id="13"/>
    <w:p>
      <w:pPr>
        <w:jc w:val="both"/>
        <w:ind w:left="660" w:right="120" w:hanging="328"/>
        <w:spacing w:after="0" w:line="260"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entered into (1) a stockholders’ agreement with Centerbridge and NVX Holdings, Inc., (2) a registration rights agreement with certain of the Continuing Equity Owners and (3) a tax receivable agreement with GHH, LLC, the Continuing Equity Owners and the Blocker Shareholders.</w:t>
      </w:r>
    </w:p>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connection with the IPO, the Company became the sole managing member of GHH, LLC and controls the management of GHH, LLC. As a result, the Company consolidates GHH, LLC’s financial results in its Condensed Consolidated Financial Statements and reports a non-controlling interest for the economic interest in GHH, LLC held by the Continuing Equity Owners. Substantially concurrently with the consummation of the IPO, the existing limited liability company agreement of GHH, LLC was amended and restated to, among other things, recapitalize its capital structure by creating a single new class of units (the “common units”) and provide for a right of redemption of common units (subject in certain circumstances to time-based vesting requirements and certain other restrictions) in exchange for, at the Company’s election, cash or newly-issued shares of Class A common stock on a one-for-one basis. In connection with any redemption, the Company will receive a corresponding number of common units, increasing the Company’s total ownership interest in GHH, LLC.</w:t>
      </w:r>
    </w:p>
    <w:p>
      <w:pPr>
        <w:spacing w:after="0" w:line="207"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Immediately following the completion of the Transactions and the IPO, the Company owned 26.8% of the economic interests in GHH, LLC, while the Continuing Equity Owners owned the remaining 73.2% of the economic interests in GHH, LLC. Net income and loss is allocated to the Continuing Equity Owners on a pro rata basis, assuming that any Class B common units that are subject to time-based vesting requirements are fully vested.</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Transactions were considered transactions between entities under common control. As a result, the financial statements for periods prior to the IPO and the Transactions have been adjusted to combine the previously separate entities for presentation purposes.</w:t>
      </w:r>
    </w:p>
    <w:p>
      <w:pPr>
        <w:spacing w:after="0" w:line="19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GHH, LLC is a holding company with no operating assets or operations and was formed to acquire a 100% equity interest in Norvax, LLC (“Norvax”). On May 6, 2020, Blizzard Parent, LLC changed its name to GoHealth Holdings, LLC. GHH, LLC owns 100% of Blizzard Midco, LLC, which owns 100% of Norvax. For all of the periods reported in these Condensed Consolidated Financial Statements, GHH, LLC has not and does not have any material operations on a standalone basis, and all of the operations of GHH, LLC are carried out by Norvax. On August 15, 2019, GHH, LLC entered into a series of arrangements to acquire 100% of the equity interest in Norvax. On September 13, 2019, Blizzard Merger Sub LLC, a transitory merger company of Blizzard Midco, LLC, merged into Norvax, with Norvax continuing as the surviving limited liability company and GHH, LLC's operating entity (the “Acquisition”).</w:t>
      </w:r>
    </w:p>
    <w:p>
      <w:pPr>
        <w:spacing w:after="0" w:line="20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(“U.S. GAAP”) for interim financial information, but do not include all information and footnote disclosures required under U.S. GAAP for annual financial statements.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 Certain prior period amounts have been reclassified to conform with the current period presentation, including a reclassification of unbilled receivables that was previously reported within accounts receivables, net to prepaid expenses and other current assets within the Condensed Consolidated Balance Sheets and Condensed Consolidated Statements of Cash Flows. Refer to Note 9, “Revenue,” for information on unbilled receivables. These reclassifications had no impact on the Company’s financial position, results of operations,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There have been no material changes to the Company’s significant accounting policies as discussed in the notes to the Company’s audited consolidated financial statements as of and for the year ended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4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typically highest in the Company’s fourth quarter.</w:t>
      </w:r>
    </w:p>
    <w:p>
      <w:pPr>
        <w:spacing w:after="0" w:line="20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majority of the Company’s individual and family health insurance plans are sold in its fourth quarter during the annual open enrollment period as defined under the federal Patient Protection and ACA and related amendments in the Health Care and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4" w:name="page15"/>
    <w:bookmarkEnd w:id="14"/>
    <w:p>
      <w:pPr>
        <w:spacing w:after="0" w:line="252" w:lineRule="auto"/>
        <w:rPr>
          <w:sz w:val="20"/>
          <w:szCs w:val="20"/>
          <w:color w:val="auto"/>
        </w:rPr>
      </w:pPr>
      <w:r>
        <w:rPr>
          <w:rFonts w:ascii="Arial" w:cs="Arial" w:eastAsia="Arial" w:hAnsi="Arial"/>
          <w:sz w:val="16"/>
          <w:szCs w:val="16"/>
          <w:color w:val="auto"/>
        </w:rPr>
        <w:t>Education Reconciliation Act. Individuals and families generally are not able to purchase individual and family health insurance outside of the open enrollment period, unless they qualify for a special enrollment period as a result of certain qualifying events, such as losing employer-sponsored health insurance or moving to another state. As a result, the Company’s individual and family plan-related commission revenue is typically highest in the Company’s fourth quarter.</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 Not Yet Adopted</w:t>
      </w:r>
    </w:p>
    <w:p>
      <w:pPr>
        <w:spacing w:after="0" w:line="23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Company qualifies as an “emerging growth company” pursuant to the provisions of the Jumpstart Our Business Startups Act (“JOBS Act”). The JOBS Act allows an emerging growth company to delay adoption of new or revised accounting standards applicable to public companies until such standards are applicable to private companies. The Company has elected to use the adoption dates applicable to private companies. In the event that the Company no longer meets the requirements of being an emerging growth company, the effective adoption dates of such standards would be that of non-emerging growth companies.</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2020-05,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t>
      </w:r>
      <w:r>
        <w:rPr>
          <w:rFonts w:ascii="Arial" w:cs="Arial" w:eastAsia="Arial" w:hAnsi="Arial"/>
          <w:sz w:val="16"/>
          <w:szCs w:val="16"/>
          <w:i w:val="1"/>
          <w:iCs w:val="1"/>
          <w:color w:val="auto"/>
        </w:rPr>
        <w:t>and Leases (Topic 842): Effective Dates for Certain Entities</w:t>
      </w:r>
      <w:r>
        <w:rPr>
          <w:rFonts w:ascii="Arial" w:cs="Arial" w:eastAsia="Arial" w:hAnsi="Arial"/>
          <w:sz w:val="16"/>
          <w:szCs w:val="16"/>
          <w:color w:val="auto"/>
        </w:rPr>
        <w:t>, issued in June 2020, the guidance in ASU 2016-02, as amended, is effective for fiscal years beginning after December 15, 2021, and interim periods within fiscal years beginning after December 15, 2022. Early adoption is permitted. The Company is currently evaluating the new guidance to determine the impact it will have on its Condensed Consolidated Financial Statements and related disclosures.</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In November 2019, the FASB issued ASU 2019-11,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in November 2019, the guidance is effective for annual and interim periods beginning after December 15, 2022. Early adoption is permitted. The Company is currently evaluating the new guidance to determine the impact it will have on its Condensed Consolidated Financial Statements and related disclosures.</w:t>
      </w:r>
    </w:p>
    <w:p>
      <w:pPr>
        <w:spacing w:after="0" w:line="186" w:lineRule="exact"/>
        <w:rPr>
          <w:sz w:val="20"/>
          <w:szCs w:val="20"/>
          <w:color w:val="auto"/>
        </w:rPr>
      </w:pPr>
    </w:p>
    <w:p>
      <w:pPr>
        <w:jc w:val="both"/>
        <w:ind w:right="360"/>
        <w:spacing w:after="0" w:line="26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(Topic 740). The guidance simplifies the accounting for income taxes and is effective for annual and interim periods beginning after December 15, 2021. Early adoption is permitted. The Company is currently evaluating the guidance to determine the impact it will have on its Condensed Consolidated Financial Statements and related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2. FAIR VALUE MEASUREMENTS</w:t>
      </w:r>
    </w:p>
    <w:p>
      <w:pPr>
        <w:spacing w:after="0" w:line="241"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240"/>
          </w:cols>
          <w:pgMar w:left="320" w:top="1343" w:right="3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3716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371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3 Inputs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57003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6" w:lineRule="exact"/>
        <w:rPr>
          <w:sz w:val="20"/>
          <w:szCs w:val="20"/>
          <w:color w:val="auto"/>
        </w:rPr>
      </w:pPr>
    </w:p>
    <w:p>
      <w:pPr>
        <w:ind w:right="80"/>
        <w:spacing w:after="0" w:line="232" w:lineRule="auto"/>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wp:posOffset>
            </wp:positionV>
            <wp:extent cx="57003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for the asset or liability.</w:t>
      </w:r>
    </w:p>
    <w:p>
      <w:pPr>
        <w:spacing w:after="0" w:line="692" w:lineRule="exact"/>
        <w:rPr>
          <w:sz w:val="20"/>
          <w:szCs w:val="20"/>
          <w:color w:val="auto"/>
        </w:rPr>
      </w:pPr>
    </w:p>
    <w:p>
      <w:pPr>
        <w:sectPr>
          <w:pgSz w:w="11900" w:h="16838" w:orient="portrait"/>
          <w:cols w:equalWidth="0" w:num="2">
            <w:col w:w="1960" w:space="320"/>
            <w:col w:w="8960"/>
          </w:cols>
          <w:pgMar w:left="320" w:top="1343" w:right="339" w:bottom="1440" w:gutter="0" w:footer="0" w:header="0"/>
          <w:type w:val="continuous"/>
        </w:sectPr>
      </w:pPr>
    </w:p>
    <w:p>
      <w:pPr>
        <w:spacing w:after="0" w:line="4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connection with the Acquisition, GHH, LLC agreed to pay additional contingent consideration if certain financial targets are achieved. The fair value of the contingent consideration liability was measured using a Monte Carlo simulation and is discounted using a rate that appropriately captures the risk associated with the obligation. In connection with the IPO, a significant shareholder assumed the outstanding contingent consideration liability and the Company recorded the settlement of the $62.4 million liability as an increase to additional paid-in capital.</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12</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The following table sets forth the changes to the fair value of the contingent consideration for the six months ended June 30, 2020.</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10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 31, 2019</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242,700</w:t>
            </w:r>
          </w:p>
        </w:tc>
      </w:tr>
      <w:tr>
        <w:trPr>
          <w:trHeight w:val="189"/>
        </w:trPr>
        <w:tc>
          <w:tcPr>
            <w:tcW w:w="10040" w:type="dxa"/>
            <w:vAlign w:val="bottom"/>
          </w:tcPr>
          <w:p>
            <w:pPr>
              <w:ind w:left="20"/>
              <w:spacing w:after="0"/>
              <w:rPr>
                <w:sz w:val="20"/>
                <w:szCs w:val="20"/>
                <w:color w:val="auto"/>
              </w:rPr>
            </w:pPr>
            <w:r>
              <w:rPr>
                <w:rFonts w:ascii="Arial" w:cs="Arial" w:eastAsia="Arial" w:hAnsi="Arial"/>
                <w:sz w:val="14"/>
                <w:szCs w:val="14"/>
                <w:color w:val="auto"/>
              </w:rPr>
              <w:t>Settlement of 2019 earnout</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(200,000)</w:t>
            </w:r>
          </w:p>
        </w:tc>
      </w:tr>
      <w:tr>
        <w:trPr>
          <w:trHeight w:val="189"/>
        </w:trPr>
        <w:tc>
          <w:tcPr>
            <w:tcW w:w="10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 earnout fair value adjustment</w:t>
            </w: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19,700</w:t>
            </w:r>
          </w:p>
        </w:tc>
      </w:tr>
      <w:tr>
        <w:trPr>
          <w:trHeight w:val="183"/>
        </w:trPr>
        <w:tc>
          <w:tcPr>
            <w:tcW w:w="10040" w:type="dxa"/>
            <w:vAlign w:val="bottom"/>
          </w:tcPr>
          <w:p>
            <w:pPr>
              <w:ind w:left="20"/>
              <w:spacing w:after="0"/>
              <w:rPr>
                <w:sz w:val="20"/>
                <w:szCs w:val="20"/>
                <w:color w:val="auto"/>
              </w:rPr>
            </w:pPr>
            <w:r>
              <w:rPr>
                <w:rFonts w:ascii="Arial" w:cs="Arial" w:eastAsia="Arial" w:hAnsi="Arial"/>
                <w:sz w:val="14"/>
                <w:szCs w:val="14"/>
                <w:b w:val="1"/>
                <w:bCs w:val="1"/>
                <w:color w:val="auto"/>
              </w:rPr>
              <w:t>Balance at Jun. 30, 2020</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62,400</w:t>
            </w:r>
          </w:p>
        </w:tc>
      </w:tr>
      <w:tr>
        <w:trPr>
          <w:trHeight w:val="20"/>
        </w:trPr>
        <w:tc>
          <w:tcPr>
            <w:tcW w:w="10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unbilled receivables, commissions receivable, accounts payable, accrued expenses, and commissions payable approximate fair value due to the short maturity of these instruments. Commissions receivable are recorded at constrained lifetime values. The carrying value of debt approximates fair value due to the variable nature of interest rates.</w:t>
      </w:r>
    </w:p>
    <w:p>
      <w:pPr>
        <w:spacing w:after="0" w:line="372" w:lineRule="exact"/>
        <w:rPr>
          <w:sz w:val="20"/>
          <w:szCs w:val="20"/>
          <w:color w:val="auto"/>
        </w:rPr>
      </w:pPr>
    </w:p>
    <w:p>
      <w:pPr>
        <w:ind w:right="7640" w:firstLine="8"/>
        <w:spacing w:after="0" w:line="541" w:lineRule="auto"/>
        <w:tabs>
          <w:tab w:leader="none" w:pos="180" w:val="left"/>
        </w:tabs>
        <w:numPr>
          <w:ilvl w:val="0"/>
          <w:numId w:val="10"/>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GOODWILL AND INTANGIBLE ASSETS, NET </w:t>
      </w:r>
      <w:r>
        <w:rPr>
          <w:rFonts w:ascii="Arial" w:cs="Arial" w:eastAsia="Arial" w:hAnsi="Arial"/>
          <w:sz w:val="16"/>
          <w:szCs w:val="16"/>
          <w:b w:val="1"/>
          <w:bCs w:val="1"/>
          <w:color w:val="000000"/>
        </w:rPr>
        <w:t>Goodwill</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During 2019, the Company allocated $380.3 million and $6.2 million of the goodwill recognized in connection with the Acquisition to its Medicare—Internal segment and Medicare—External segment, respectively, based on an estimate of the relative fair value of each reportable segment.</w:t>
      </w:r>
    </w:p>
    <w:p>
      <w:pPr>
        <w:spacing w:after="0" w:line="19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Company tests goodwill for impairment at the reporting unit level annually and whenever events or circumstances make it more likely than not that an impairment may have occurred. A reporting unit is an operating segment or one level below an operating segment to which goodwill is assigned when initially recorded. The Company has four reporting units, which are the same as its four operating segments.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goodwill for the three and six months ended June 30, 2021 and 2020.</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24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gross carrying amounts, accumulated amortization and net carrying amounts of the Company’s definite-lived amortizable intangible assets, as well as its indefinite-lived intangible trade names,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 30, 2021</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75"/>
        </w:trPr>
        <w:tc>
          <w:tcPr>
            <w:tcW w:w="6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127,543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368,457</w:t>
            </w:r>
          </w:p>
        </w:tc>
        <w:tc>
          <w:tcPr>
            <w:tcW w:w="0" w:type="dxa"/>
            <w:vAlign w:val="bottom"/>
          </w:tcPr>
          <w:p>
            <w:pPr>
              <w:spacing w:after="0"/>
              <w:rPr>
                <w:sz w:val="1"/>
                <w:szCs w:val="1"/>
                <w:color w:val="auto"/>
              </w:rPr>
            </w:pPr>
          </w:p>
        </w:tc>
      </w:tr>
      <w:tr>
        <w:trPr>
          <w:trHeight w:val="18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190,240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169,303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558,697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641,697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4"/>
                <w:szCs w:val="14"/>
                <w:b w:val="1"/>
                <w:bCs w:val="1"/>
                <w:color w:val="auto"/>
              </w:rPr>
              <w:t>Dec. 31, 2020</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75"/>
        </w:trPr>
        <w:tc>
          <w:tcPr>
            <w:tcW w:w="6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92,114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403,886</w:t>
            </w:r>
          </w:p>
        </w:tc>
        <w:tc>
          <w:tcPr>
            <w:tcW w:w="0" w:type="dxa"/>
            <w:vAlign w:val="bottom"/>
          </w:tcPr>
          <w:p>
            <w:pPr>
              <w:spacing w:after="0"/>
              <w:rPr>
                <w:sz w:val="1"/>
                <w:szCs w:val="1"/>
                <w:color w:val="auto"/>
              </w:rPr>
            </w:pPr>
          </w:p>
        </w:tc>
      </w:tr>
      <w:tr>
        <w:trPr>
          <w:trHeight w:val="18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30,160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201,840</w:t>
            </w:r>
          </w:p>
        </w:tc>
        <w:tc>
          <w:tcPr>
            <w:tcW w:w="0" w:type="dxa"/>
            <w:vAlign w:val="bottom"/>
          </w:tcPr>
          <w:p>
            <w:pPr>
              <w:spacing w:after="0"/>
              <w:rPr>
                <w:sz w:val="1"/>
                <w:szCs w:val="1"/>
                <w:color w:val="auto"/>
              </w:rPr>
            </w:pPr>
          </w:p>
        </w:tc>
      </w:tr>
      <w:tr>
        <w:trPr>
          <w:trHeight w:val="20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122,274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605,726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688,726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intangible assets for the three and six months ended June 30, 2021 and 2020.</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13</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As of June 30, 2021, expected amortization expense related to intangible assets for each of the five succeeding years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Developed Technology</w:t>
            </w:r>
          </w:p>
        </w:tc>
        <w:tc>
          <w:tcPr>
            <w:tcW w:w="2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Customer</w:t>
            </w:r>
          </w:p>
        </w:tc>
        <w:tc>
          <w:tcPr>
            <w:tcW w:w="380" w:type="dxa"/>
            <w:vAlign w:val="bottom"/>
          </w:tcPr>
          <w:p>
            <w:pPr>
              <w:spacing w:after="0"/>
              <w:rPr>
                <w:sz w:val="14"/>
                <w:szCs w:val="14"/>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100" w:type="dxa"/>
            <w:vAlign w:val="bottom"/>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Relationships</w:t>
            </w: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35,429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47,029</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2022</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2024</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85,840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135,440</w:t>
            </w:r>
          </w:p>
        </w:tc>
        <w:tc>
          <w:tcPr>
            <w:tcW w:w="0" w:type="dxa"/>
            <w:vAlign w:val="bottom"/>
          </w:tcPr>
          <w:p>
            <w:pPr>
              <w:spacing w:after="0"/>
              <w:rPr>
                <w:sz w:val="1"/>
                <w:szCs w:val="1"/>
                <w:color w:val="auto"/>
              </w:rPr>
            </w:pPr>
          </w:p>
        </w:tc>
      </w:tr>
      <w:tr>
        <w:trPr>
          <w:trHeight w:val="20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368,457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190,240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558,697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4. LONG-TERM DEBT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long-term debt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 30, 2021</w:t>
            </w:r>
          </w:p>
        </w:tc>
        <w:tc>
          <w:tcPr>
            <w:tcW w:w="240" w:type="dxa"/>
            <w:vAlign w:val="bottom"/>
          </w:tcPr>
          <w:p>
            <w:pPr>
              <w:spacing w:after="0"/>
              <w:rPr>
                <w:sz w:val="16"/>
                <w:szCs w:val="16"/>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Dec. 31, 2020</w:t>
            </w:r>
          </w:p>
        </w:tc>
      </w:tr>
      <w:tr>
        <w:trPr>
          <w:trHeight w:val="18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Term Loan Facilities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425,538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412,373</w:t>
            </w:r>
          </w:p>
        </w:tc>
      </w:tr>
      <w:tr>
        <w:trPr>
          <w:trHeight w:val="18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Unamortized debt discount and issuance costs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(11,803)</w:t>
            </w:r>
          </w:p>
        </w:tc>
      </w:tr>
      <w:tr>
        <w:trPr>
          <w:trHeight w:val="20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419,178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400,570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 of long-term debt</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(4,170)</w:t>
            </w:r>
          </w:p>
        </w:tc>
      </w:tr>
      <w:tr>
        <w:trPr>
          <w:trHeight w:val="20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long-term-debt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414,908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396,400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Facilities</w:t>
      </w:r>
    </w:p>
    <w:p>
      <w:pPr>
        <w:spacing w:after="0" w:line="24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September 13, 2019, in connection with the Acquisition,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 June 11, 2021, the Company entered into Amendment No. 5 to the Credit Agreement and Incremental Facility Agreement (“Amendment No. 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Amendment No. 5 creates a new class of incremental term loans (the “2021 Incremental Term Loans”) in an aggregate principal amount equal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$310.0 million, which was used to refinance $295.5 million of outstanding principal under the Initial Term Loan Facility, pay the related accrued interest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fund the prepayment premium. In connection with Amendment No. 5 and the refinancing of the Initial Term Loan, the Company recognized an $11.9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loss on debt extinguishment, representing the 2% prepayment premium of $5.9 million and the write-down of deferred financing costs and debt discounts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$6.0 million. The Company incurred $1.7 million of debt issuance costs associated with Amendment No. 5, which are being amortized over the life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debt to interest expense using the effective interest method.</w:t>
      </w:r>
    </w:p>
    <w:p>
      <w:pPr>
        <w:spacing w:after="0" w:line="22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Company collectively refers to the Initial Term Loan Facility, the Incremental Term Loan Facility, and the 2021 Incremental Term Loans as the “Term Loan Facilities”.</w:t>
      </w:r>
    </w:p>
    <w:p>
      <w:pPr>
        <w:spacing w:after="0" w:line="19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of June 30, 2021, the Company had a principal amount of $115.5 million and $310.0 million outstanding under the Incremental Term Loan Facility and the 2021 Incremental Term Loans, respectively. As of December 31, 2020, the Company had a principal amount of $296.3 million and $116.1 million outstanding under the Initial Term Loan Facility and Incremental Term Loan Facility, respectively. The Incremental Term Loan Facility effective interest rate was 7.5% at both June 30, 2021 and December 31, 2020. The 2021 Incremental Term Loans effective interest rate was 5.0% at June 30, 2021. The Initial Term Loan Facility effective interest rate was 7.5% at December 31, 2020.</w:t>
      </w:r>
    </w:p>
    <w:p>
      <w:pPr>
        <w:spacing w:after="0" w:line="20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Borrowings under the Incremental Term Loan Facility are, at the option of the Borrower, either (i) alternate base rate (“ABR”) plus 5.50% per annum or (ii) LIBOR plus 6.50% per annum. The 2021 Incremental Term Loans bear interest at either (i) ABR plus 3.00% per annum or (ii) LIBOR plus 4.00% per annum.</w:t>
      </w:r>
    </w:p>
    <w:p>
      <w:pPr>
        <w:spacing w:after="0" w:line="195"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Facilities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14</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7" w:name="page18"/>
    <w:bookmarkEnd w:id="17"/>
    <w:p>
      <w:pPr>
        <w:ind w:right="60"/>
        <w:spacing w:after="0" w:line="253" w:lineRule="auto"/>
        <w:rPr>
          <w:sz w:val="20"/>
          <w:szCs w:val="20"/>
          <w:color w:val="auto"/>
        </w:rPr>
      </w:pPr>
      <w:r>
        <w:rPr>
          <w:rFonts w:ascii="Arial" w:cs="Arial" w:eastAsia="Arial" w:hAnsi="Arial"/>
          <w:sz w:val="16"/>
          <w:szCs w:val="16"/>
          <w:color w:val="auto"/>
        </w:rPr>
        <w:t>The Credit Agreement provided for a $30.0 million aggregate principal amount senior secured revolving credit facility (the “Revolving Credit Facility”). During 2020, the Company entered into a series of amendments to the Credit Agreement to provide for $28.0 million of incremental revolving credit (the “Incremental Revolving Credit Facilities”).</w:t>
      </w:r>
    </w:p>
    <w:p>
      <w:pPr>
        <w:spacing w:after="0" w:line="20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195"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Company collectively refers to the Revolving Credit Facility, the Incremental Revolving Credit Facilities, and the Incremental No. 4 Revolving Credit Facility as the “Revolving Credit Facilities”.</w:t>
      </w:r>
    </w:p>
    <w:p>
      <w:pPr>
        <w:spacing w:after="0" w:line="195"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Amendment No. 5, as described above, also separates the Revolving Credit Facilities into two classes of revolving commitments consisting of Class A Revolving Commitments in the amount of $30.0 million and Class B Revolving Commitments in the amount of $170.0 million.</w:t>
      </w:r>
    </w:p>
    <w:p>
      <w:pPr>
        <w:spacing w:after="0" w:line="19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Borrowings under the Class A Revolving Commitments bear interest at either ABR plus 5.50% per annum or LIBOR plus 6.50% per annum. Borrowings under the Class B Revolving Commitments bear interest at either ABR plus 3.00% per annum or LIBOR plus 4.00% per annum. The Borrower is required to pay a commitment fee of 0.50% per annum under the Revolving Credit Facilities.</w:t>
      </w:r>
    </w:p>
    <w:p>
      <w:pPr>
        <w:spacing w:after="0" w:line="201"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The Company had no amounts outstanding under the Revolving Credit Facilities as of June 30, 2021 and December 31, 2020. The Revolving Credit Facilities have a remaining capacity of $200.0 million in the aggregate as of June 30, 2021.</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Outstanding borrowings under the Revolving Credit Facilities do not amortize and are due and payable on September 13, 2024.</w:t>
      </w:r>
    </w:p>
    <w:p>
      <w:pPr>
        <w:spacing w:after="0" w:line="22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 The Credit Agreement contains customary events of default and financial and non-financial covenants. The Company is in compliance with all covenants as of June 30, 2021.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5. STOCKHOLDERS' EQUITY AND MEMBERS' EQUITY</w:t>
      </w:r>
    </w:p>
    <w:p>
      <w:pPr>
        <w:spacing w:after="0" w:line="24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connection with the Company’s IPO in July 2020, the Company’s Board of Directors approved an amended and restated certificate of incorporation and amended and restated bylaws. The amended and restated certificate of incorporation authorizes the issuance of up to 1,100,000 shares of Class A common stock, 690,000 shares of Class B common stock and 20,000 shares of preferred stock, each having a par value of $0.0001 per share. The number of shares of Class B common stock authorized is reduced for redemptions and forfeitures as they occur.</w:t>
      </w:r>
    </w:p>
    <w:p>
      <w:pPr>
        <w:spacing w:after="0" w:line="20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Company’s amended and restated certificate of incorporation and the GoHealth Holdings, LLC Agreement require that the Company and GoHealth Holdings, LLC at all times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GoHealth Holdings, LLC Agreement require that the Company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spacing w:after="0" w:line="20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our Class B common stock are not entitled to participate in any dividends declared by our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Continuing Equity Owners may, subject to certain exceptions, from time to time at each of their options require GoHealth Holdings, LLC to redeem all or a portion of their LLC Interests in exchange for, at the Company’s election (determined by at least two of the Company’s independent directors who are disinterested), newly-issued shares of Class A common stock on a one-for-</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15</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8" w:name="page19"/>
    <w:bookmarkEnd w:id="18"/>
    <w:p>
      <w:pPr>
        <w:ind w:right="80"/>
        <w:spacing w:after="0" w:line="253" w:lineRule="auto"/>
        <w:rPr>
          <w:sz w:val="20"/>
          <w:szCs w:val="20"/>
          <w:color w:val="auto"/>
        </w:rPr>
      </w:pPr>
      <w:r>
        <w:rPr>
          <w:rFonts w:ascii="Arial" w:cs="Arial" w:eastAsia="Arial" w:hAnsi="Arial"/>
          <w:sz w:val="16"/>
          <w:szCs w:val="16"/>
          <w:color w:val="auto"/>
        </w:rPr>
        <w:t>one basis, or to the extent there is cash available from a secondary offering, a cash payment equal to a volume weighted average market price of one share of the Company’s Class A common stock for each LLC Interest so redeemed, in each case, in accordance with the terms of the GoHealth Holdings, LLC Agreement.</w:t>
      </w:r>
    </w:p>
    <w:p>
      <w:pPr>
        <w:spacing w:after="0" w:line="201"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and six months ended June 30, 2021 was 68.1% and 69.7%, respectively.</w:t>
      </w:r>
    </w:p>
    <w:p>
      <w:pPr>
        <w:spacing w:after="0" w:line="20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6. SHARE-BASED COMPENSATION PLANS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 30,</w:t>
            </w:r>
          </w:p>
        </w:tc>
        <w:tc>
          <w:tcPr>
            <w:tcW w:w="240" w:type="dxa"/>
            <w:vAlign w:val="bottom"/>
          </w:tcPr>
          <w:p>
            <w:pPr>
              <w:spacing w:after="0"/>
              <w:rPr>
                <w:sz w:val="16"/>
                <w:szCs w:val="16"/>
                <w:color w:val="auto"/>
              </w:rPr>
            </w:pPr>
          </w:p>
        </w:tc>
        <w:tc>
          <w:tcPr>
            <w:tcW w:w="236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 Jun. 30,</w:t>
            </w:r>
          </w:p>
        </w:tc>
      </w:tr>
      <w:tr>
        <w:trPr>
          <w:trHeight w:val="18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r>
      <w:tr>
        <w:trPr>
          <w:trHeight w:val="183"/>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 and advertising</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189"/>
        </w:trPr>
        <w:tc>
          <w:tcPr>
            <w:tcW w:w="596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18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w:t>
            </w:r>
          </w:p>
        </w:tc>
      </w:tr>
      <w:tr>
        <w:trPr>
          <w:trHeight w:val="20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share-based compensation expense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7,599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12,711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1,077</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Stock Units (“PSUs”)</w:t>
      </w:r>
    </w:p>
    <w:p>
      <w:pPr>
        <w:spacing w:after="0" w:line="24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During the six months ended June 30, 2021, the Company granted to certain of its employees 489 shares of Class A common stock issuable pursuant to PSUs. The criteria for the market-based PSUs is based on the Company’s total shareholder return (“TSR”) relative to the TSR of the common stock of a pre-defined industry peer group. TSR is measured at the end of the performance period, which is generally the period commencing on the grant date and ending on the three-year anniversary of the grant date. Depending on the relative TSR achieved, the number of PSUs earned can vary from 0% of the target award to a maximum of 200% of the target award. The Company estimated the grant-date fair value of the awards subject to a market condition using a Monte Carlo simulation model, using the following weighted-average assumptions: risk-free interest rate of 0.2% and annualized volatility of 72.0%. The grant date fair value of the PSUs was $22.17. The Company recognizes the grant date fair value of PSUs as compensation expense on a straight-line basis over the three-year performance period. For the three and six months ended June 30, 2021, the Company recorded share-based compensation expense related to PSUs of $0.9 million and $1.4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Employee Stock Purchase Plan (“2020 ESPP”)</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On July 7, 2020, the Company adopted the 2020 ESPP. The first offering period of the 2020 ESPP commenced on January 1, 2021 and expired on June 30, 2021. The current offering period of the 2020 ESPP commenced on July 1, 2021, and will expire on December 31, 2021. The purpose of the 2020 ESPP is to provide the Company's eligible employees with an opportunity to purchase designated shares of the Company’s Class A common stock at a price equal to 85% of the lower of the closing price at the beginning or end of each offering period. During the three months ended June 30, 2021, the Company issued 50 shares through the ESPP. For the three and six months ended June 30, 2021, the Company recorded share-based compensation expense related to the 2020 ESPP of $0.1 million and $0.2 million, respectively.</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00497F"/>
        </w:rPr>
        <w:t>7. NET LOSS PER SHARE</w:t>
      </w:r>
    </w:p>
    <w:p>
      <w:pPr>
        <w:spacing w:after="0" w:line="241"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Basic loss per share is computed by dividing net loss attributable to GoHealth,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201" w:lineRule="exact"/>
        <w:rPr>
          <w:sz w:val="20"/>
          <w:szCs w:val="20"/>
          <w:color w:val="auto"/>
        </w:rPr>
      </w:pPr>
    </w:p>
    <w:p>
      <w:pPr>
        <w:jc w:val="both"/>
        <w:ind w:right="240"/>
        <w:spacing w:after="0" w:line="251" w:lineRule="auto"/>
        <w:rPr>
          <w:sz w:val="20"/>
          <w:szCs w:val="20"/>
          <w:color w:val="auto"/>
        </w:rPr>
      </w:pPr>
      <w:r>
        <w:rPr>
          <w:rFonts w:ascii="Arial" w:cs="Arial" w:eastAsia="Arial" w:hAnsi="Arial"/>
          <w:sz w:val="16"/>
          <w:szCs w:val="16"/>
          <w:color w:val="auto"/>
        </w:rPr>
        <w:t>Prior to the IPO, the GHH, LLC membership structure included Preferred units, Senior Preferred Earnout Units, Class A common units, Class B common units and Profit Units. The Company analyzed the calculation of earnings per unit for periods prior to the IPO using the two-class method and determined that it resulted in values that would not be meaningful to the users of these Condensed Consolidated Financial Statements. Therefore, earnings per share information has not been presented for periods prior to the IPO on July 17,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numerator and denominator used in the calculation of basic and diluted net loss per share of Class A common stock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85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ended Jun. 30,</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5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Jun. 30, 2021</w:t>
            </w: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Numerator:</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(39,175)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(46,443)</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Net loss attributable to non-controlling interests</w:t>
            </w: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(32,364)</w:t>
            </w:r>
          </w:p>
        </w:tc>
        <w:tc>
          <w:tcPr>
            <w:tcW w:w="0" w:type="dxa"/>
            <w:vAlign w:val="bottom"/>
          </w:tcPr>
          <w:p>
            <w:pPr>
              <w:spacing w:after="0"/>
              <w:rPr>
                <w:sz w:val="1"/>
                <w:szCs w:val="1"/>
                <w:color w:val="auto"/>
              </w:rPr>
            </w:pPr>
          </w:p>
        </w:tc>
      </w:tr>
      <w:tr>
        <w:trPr>
          <w:trHeight w:val="18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GoHealth, Inc.</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(14,079)</w:t>
            </w: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Denominator:</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00" w:type="dxa"/>
            <w:vAlign w:val="bottom"/>
          </w:tcPr>
          <w:p>
            <w:pPr>
              <w:ind w:left="240"/>
              <w:spacing w:after="0"/>
              <w:rPr>
                <w:sz w:val="20"/>
                <w:szCs w:val="20"/>
                <w:color w:val="auto"/>
              </w:rPr>
            </w:pPr>
            <w:r>
              <w:rPr>
                <w:rFonts w:ascii="Arial" w:cs="Arial" w:eastAsia="Arial" w:hAnsi="Arial"/>
                <w:sz w:val="14"/>
                <w:szCs w:val="14"/>
                <w:color w:val="auto"/>
              </w:rPr>
              <w:t>Weighted-average shares of Class A common stock outstanding—basic</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102,300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97,349</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Effect of dilutive securities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Weighted-average shares of Class A common stock outstanding—diluted</w:t>
            </w: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102,300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97,349</w:t>
            </w:r>
          </w:p>
        </w:tc>
        <w:tc>
          <w:tcPr>
            <w:tcW w:w="0" w:type="dxa"/>
            <w:vAlign w:val="bottom"/>
          </w:tcPr>
          <w:p>
            <w:pPr>
              <w:spacing w:after="0"/>
              <w:rPr>
                <w:sz w:val="1"/>
                <w:szCs w:val="1"/>
                <w:color w:val="auto"/>
              </w:rPr>
            </w:pPr>
          </w:p>
        </w:tc>
      </w:tr>
      <w:tr>
        <w:trPr>
          <w:trHeight w:val="20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of Class A common stock—basic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(0.12)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(0.14)</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number of shares were excluded from the calculation of diluted loss per share because the effect of including such potentially dilutive shares would have been antidilutive: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Jun. 30, 2021</w:t>
            </w:r>
          </w:p>
        </w:tc>
      </w:tr>
      <w:tr>
        <w:trPr>
          <w:trHeight w:val="183"/>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 issuable pursuant to equity awards</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7,337</w:t>
            </w:r>
          </w:p>
        </w:tc>
      </w:tr>
      <w:tr>
        <w:trPr>
          <w:trHeight w:val="191"/>
        </w:trPr>
        <w:tc>
          <w:tcPr>
            <w:tcW w:w="9600" w:type="dxa"/>
            <w:vAlign w:val="bottom"/>
          </w:tcPr>
          <w:p>
            <w:pPr>
              <w:ind w:left="20"/>
              <w:spacing w:after="0"/>
              <w:rPr>
                <w:sz w:val="20"/>
                <w:szCs w:val="20"/>
                <w:color w:val="auto"/>
              </w:rPr>
            </w:pPr>
            <w:r>
              <w:rPr>
                <w:rFonts w:ascii="Arial" w:cs="Arial" w:eastAsia="Arial" w:hAnsi="Arial"/>
                <w:sz w:val="14"/>
                <w:szCs w:val="14"/>
                <w:color w:val="auto"/>
              </w:rPr>
              <w:t>Class B common stock</w:t>
            </w:r>
          </w:p>
        </w:tc>
        <w:tc>
          <w:tcPr>
            <w:tcW w:w="1640" w:type="dxa"/>
            <w:vAlign w:val="bottom"/>
          </w:tcPr>
          <w:p>
            <w:pPr>
              <w:jc w:val="right"/>
              <w:spacing w:after="0"/>
              <w:rPr>
                <w:sz w:val="20"/>
                <w:szCs w:val="20"/>
                <w:color w:val="auto"/>
              </w:rPr>
            </w:pPr>
            <w:r>
              <w:rPr>
                <w:rFonts w:ascii="Arial" w:cs="Arial" w:eastAsia="Arial" w:hAnsi="Arial"/>
                <w:sz w:val="14"/>
                <w:szCs w:val="14"/>
                <w:color w:val="auto"/>
              </w:rPr>
              <w:t>215,495</w:t>
            </w:r>
          </w:p>
        </w:tc>
      </w:tr>
    </w:tbl>
    <w:p>
      <w:pPr>
        <w:spacing w:after="0" w:line="29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Shares of Class B common stock do not share in earnings and are not participating securities. Accordingly, separate presentation of loss per share of Class B common stock under the two-class method has not been presented.</w:t>
      </w:r>
    </w:p>
    <w:p>
      <w:pPr>
        <w:spacing w:after="0" w:line="19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periods prior to the Transactions and the IPO, the reported income taxes represent those of GHH, LLC. As a result of the Transactions and the IPO, the Company became subject to U.S. federal and certain state and local income taxes with respect to its allocable share of any taxable income or loss generated by GHH, LLC. There was no pro forma impact on loss per share to reflect income tax expense at an effective tax rate as the Company determined it is not more likely than not that the tax benefits associated with the deferred tax assets arising from the Transactions and the IPO will be realized.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17</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00497F"/>
        </w:rPr>
        <w:t>8. INCOME TAXES</w:t>
      </w:r>
    </w:p>
    <w:p>
      <w:pPr>
        <w:spacing w:after="0" w:line="24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subsidiary and its foreign subsidiary, which are taxed as a corporation and foreign disregarded entity, respectively. As such, GHH, LLC does not pay any federal income taxes, as income or loss is included in the tax returns of the individual members. Additionally, certain wholly-owned entities taxed as corporations are subject to federal, state, and foreign income taxes in the jurisdictions in which they operate, and accruals for such taxes are included in the Condensed Consolidated Financial Statements. For periods prior to the IPO, the Company’s taxes represent those of GHH, LLC.</w:t>
      </w:r>
    </w:p>
    <w:p>
      <w:pPr>
        <w:spacing w:after="0" w:line="207" w:lineRule="exact"/>
        <w:rPr>
          <w:sz w:val="20"/>
          <w:szCs w:val="20"/>
          <w:color w:val="auto"/>
        </w:rPr>
      </w:pPr>
    </w:p>
    <w:p>
      <w:pPr>
        <w:jc w:val="both"/>
        <w:ind w:right="180"/>
        <w:spacing w:after="0" w:line="251" w:lineRule="auto"/>
        <w:rPr>
          <w:sz w:val="20"/>
          <w:szCs w:val="20"/>
          <w:color w:val="auto"/>
        </w:rPr>
      </w:pPr>
      <w:r>
        <w:rPr>
          <w:rFonts w:ascii="Arial" w:cs="Arial" w:eastAsia="Arial" w:hAnsi="Arial"/>
          <w:sz w:val="16"/>
          <w:szCs w:val="16"/>
          <w:color w:val="auto"/>
        </w:rPr>
        <w:t>The Company’s effective tax rate for the three and six months ended June 30, 2021 was 0.08% and 0.14%, respectively. The Company’s effective tax rate for the three and six months ended June 30, 2020 was 0.10% and 0.10%, respectively. The effective tax rate for each period is lower than the statutory tax rate primarily due to the effect of loss entities for which the Company excludes from its effective tax rate calculation and loss attributable to non-controlling interests.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Receivable Agreement (“TRA”)</w:t>
      </w:r>
    </w:p>
    <w:p>
      <w:pPr>
        <w:spacing w:after="0" w:line="241"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In connection with the IPO, the Company entered into a TRA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TRA will vary depending upon a number of factors, including the amount, character, and timing of the taxable income of the Company in the future. As of June 30, 2021, the Company has determined there is no resulting liability related to the TRA arising from the Transactions and IPO. Should the Company determine that the TRA liability will be considered probable at a future date based on new information, any changes will be recorded within income from continuing operations at that time.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9. 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for Variable Consideration</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variable consideration includes the total estimated lifetime value (“LTV”) it expects to receive for selling an insurance product after the carrier approves an application. The consideration is variable based on the amount of time it estimates a policy will remain in force, which is based on historical experience or carrier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w:t>
      </w:r>
    </w:p>
    <w:p>
      <w:pPr>
        <w:spacing w:after="0" w:line="20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a quarterly basis, the Company re-estimates LTV at a vintage level for outstanding vintages, reviews and monitors changes in the data used to estimate LTV, as well as the cash received for each vintage as compared to the original estimates. The difference between cash received for each vintage and the respective estimated LTV can be significant and may or may not be indicative of the need to adjust revenue for prior period vintages.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As a result of this analysis, for the three and six months ended June 30, 2021, the Company recorded a negative revenue adjustment of $1.4 million and $3.6 million, respectively, relating to performance obligations satisfied in prior periods. For the three and six months ended June 30, 2020, there was no revenue adjustment relating to performance obligations satisfied in prior periods.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18</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Disaggregation of Revenue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by product, and is consistent with how the Company evaluates its financial performance: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 30,</w:t>
            </w:r>
          </w:p>
        </w:tc>
        <w:tc>
          <w:tcPr>
            <w:tcW w:w="240" w:type="dxa"/>
            <w:vAlign w:val="bottom"/>
          </w:tcPr>
          <w:p>
            <w:pPr>
              <w:spacing w:after="0"/>
              <w:rPr>
                <w:sz w:val="16"/>
                <w:szCs w:val="16"/>
                <w:color w:val="auto"/>
              </w:rPr>
            </w:pPr>
          </w:p>
        </w:tc>
        <w:tc>
          <w:tcPr>
            <w:tcW w:w="234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Six months ended Jun. 30,</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r>
      <w:tr>
        <w:trPr>
          <w:trHeight w:val="16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Commission revenue:</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9"/>
        </w:trPr>
        <w:tc>
          <w:tcPr>
            <w:tcW w:w="562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56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Medicare Advantage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186,917</w:t>
            </w:r>
          </w:p>
        </w:tc>
      </w:tr>
      <w:tr>
        <w:trPr>
          <w:trHeight w:val="189"/>
        </w:trPr>
        <w:tc>
          <w:tcPr>
            <w:tcW w:w="5620" w:type="dxa"/>
            <w:vAlign w:val="bottom"/>
          </w:tcPr>
          <w:p>
            <w:pPr>
              <w:ind w:left="460"/>
              <w:spacing w:after="0"/>
              <w:rPr>
                <w:sz w:val="20"/>
                <w:szCs w:val="20"/>
                <w:color w:val="auto"/>
              </w:rPr>
            </w:pPr>
            <w:r>
              <w:rPr>
                <w:rFonts w:ascii="Arial" w:cs="Arial" w:eastAsia="Arial" w:hAnsi="Arial"/>
                <w:sz w:val="14"/>
                <w:szCs w:val="14"/>
                <w:color w:val="auto"/>
              </w:rPr>
              <w:t>Medicare Supplement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4,154</w:t>
            </w:r>
          </w:p>
        </w:tc>
      </w:tr>
      <w:tr>
        <w:trPr>
          <w:trHeight w:val="189"/>
        </w:trPr>
        <w:tc>
          <w:tcPr>
            <w:tcW w:w="56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Prescription Drug Plans</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Medicare</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145,316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314,801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192,066</w:t>
            </w:r>
          </w:p>
        </w:tc>
      </w:tr>
      <w:tr>
        <w:trPr>
          <w:trHeight w:val="169"/>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Individual and Family Plan:</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9"/>
        </w:trPr>
        <w:tc>
          <w:tcPr>
            <w:tcW w:w="5620" w:type="dxa"/>
            <w:vAlign w:val="bottom"/>
          </w:tcPr>
          <w:p>
            <w:pPr>
              <w:ind w:left="460"/>
              <w:spacing w:after="0"/>
              <w:rPr>
                <w:sz w:val="20"/>
                <w:szCs w:val="20"/>
                <w:color w:val="auto"/>
              </w:rPr>
            </w:pPr>
            <w:r>
              <w:rPr>
                <w:rFonts w:ascii="Arial" w:cs="Arial" w:eastAsia="Arial" w:hAnsi="Arial"/>
                <w:sz w:val="14"/>
                <w:szCs w:val="14"/>
                <w:color w:val="auto"/>
              </w:rPr>
              <w:t>Fixed Indemnity</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10,597</w:t>
            </w:r>
          </w:p>
        </w:tc>
      </w:tr>
      <w:tr>
        <w:trPr>
          <w:trHeight w:val="189"/>
        </w:trPr>
        <w:tc>
          <w:tcPr>
            <w:tcW w:w="56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Short-term</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w:t>
            </w:r>
          </w:p>
        </w:tc>
      </w:tr>
      <w:tr>
        <w:trPr>
          <w:trHeight w:val="189"/>
        </w:trPr>
        <w:tc>
          <w:tcPr>
            <w:tcW w:w="56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Major Medical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Individual and Family Plan</w:t>
            </w: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14,137</w:t>
            </w: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Ancillary</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2,259</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Small Group</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commission revenue</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147,508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96,606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321,489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209,116</w:t>
            </w:r>
          </w:p>
        </w:tc>
      </w:tr>
      <w:tr>
        <w:trPr>
          <w:trHeight w:val="16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Enterprise revenue:</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9"/>
        </w:trPr>
        <w:tc>
          <w:tcPr>
            <w:tcW w:w="5620" w:type="dxa"/>
            <w:vAlign w:val="bottom"/>
          </w:tcPr>
          <w:p>
            <w:pPr>
              <w:ind w:left="240"/>
              <w:spacing w:after="0"/>
              <w:rPr>
                <w:sz w:val="20"/>
                <w:szCs w:val="20"/>
                <w:color w:val="auto"/>
              </w:rPr>
            </w:pPr>
            <w:r>
              <w:rPr>
                <w:rFonts w:ascii="Arial" w:cs="Arial" w:eastAsia="Arial" w:hAnsi="Arial"/>
                <w:sz w:val="14"/>
                <w:szCs w:val="14"/>
                <w:color w:val="auto"/>
              </w:rPr>
              <w:t>Partner Marketing and Enrollment Services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42,531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20,968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64,388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38,369</w:t>
            </w:r>
          </w:p>
        </w:tc>
      </w:tr>
      <w:tr>
        <w:trPr>
          <w:trHeight w:val="189"/>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Direct Partner Campaigns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14,176</w:t>
            </w:r>
          </w:p>
        </w:tc>
      </w:tr>
      <w:tr>
        <w:trPr>
          <w:trHeight w:val="189"/>
        </w:trPr>
        <w:tc>
          <w:tcPr>
            <w:tcW w:w="56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6,406</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enterprise revenue</w:t>
            </w: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49,394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30,451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79,592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58,951</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196,902</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127,057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401,081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268,067</w:t>
            </w:r>
          </w:p>
        </w:tc>
      </w:tr>
      <w:tr>
        <w:trPr>
          <w:trHeight w:val="21"/>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 and Liabilities</w:t>
      </w:r>
    </w:p>
    <w:p>
      <w:pPr>
        <w:spacing w:after="0" w:line="24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company records contract assets and contract liabilities from contracts with customers as it relates to commissions receivable, commissions payable and deferred revenue. Commissions receivable represents estimated variable consideration for commissions to be received from insurance carriers for performance obligations that have been satisfied. Commissions payable represents estimated commissions to be paid to the Company’s external agents and other partners. Deferred revenue includes amounts collected for partner marketing and enrollment services and technology licensing and implementation fees in advance of the Company satisfying its performance obligations for such customers. The Company had unbilled receivables for performance-based enrollment fees as of June 30, 2021 and December 31, 2020 of $3.0 million and $12.9 million, respectively, which were reclassified to prepaid expenses and other current assets from accounts receivable, net on the Condensed Consolidated Balance Sheets. The reclassification was based on the Company’s conditional rights to receive consideration based on the services transferred to the customer. Prior period amounts have been reclassified to match the current period presentation. There are no other contract liabilities or contract assets recorded by the Company.</w:t>
      </w:r>
    </w:p>
    <w:p>
      <w:pPr>
        <w:spacing w:after="0" w:line="20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For the three and six months ended June 30, 2021, the Company recognized $26 thousand and $0.1 million of revenue that was deferred as of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Receivable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Commissions receivable activity is summarized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w:t>
            </w:r>
          </w:p>
        </w:tc>
        <w:tc>
          <w:tcPr>
            <w:tcW w:w="0" w:type="dxa"/>
            <w:vAlign w:val="bottom"/>
          </w:tcPr>
          <w:p>
            <w:pPr>
              <w:spacing w:after="0"/>
              <w:rPr>
                <w:sz w:val="1"/>
                <w:szCs w:val="1"/>
                <w:color w:val="auto"/>
              </w:rPr>
            </w:pPr>
          </w:p>
        </w:tc>
      </w:tr>
      <w:tr>
        <w:trPr>
          <w:trHeight w:val="175"/>
        </w:trPr>
        <w:tc>
          <w:tcPr>
            <w:tcW w:w="96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30, 2021</w:t>
            </w:r>
          </w:p>
        </w:tc>
        <w:tc>
          <w:tcPr>
            <w:tcW w:w="0" w:type="dxa"/>
            <w:vAlign w:val="bottom"/>
          </w:tcPr>
          <w:p>
            <w:pPr>
              <w:spacing w:after="0"/>
              <w:rPr>
                <w:sz w:val="1"/>
                <w:szCs w:val="1"/>
                <w:color w:val="auto"/>
              </w:rPr>
            </w:pPr>
          </w:p>
        </w:tc>
      </w:tr>
      <w:tr>
        <w:trPr>
          <w:trHeight w:val="183"/>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center"/>
              <w:ind w:left="608"/>
              <w:spacing w:after="0"/>
              <w:rPr>
                <w:sz w:val="20"/>
                <w:szCs w:val="20"/>
                <w:color w:val="auto"/>
              </w:rPr>
            </w:pPr>
            <w:r>
              <w:rPr>
                <w:rFonts w:ascii="Arial" w:cs="Arial" w:eastAsia="Arial" w:hAnsi="Arial"/>
                <w:sz w:val="14"/>
                <w:szCs w:val="14"/>
                <w:color w:val="auto"/>
              </w:rPr>
              <w:t>810,398</w:t>
            </w:r>
          </w:p>
        </w:tc>
        <w:tc>
          <w:tcPr>
            <w:tcW w:w="0" w:type="dxa"/>
            <w:vAlign w:val="bottom"/>
          </w:tcPr>
          <w:p>
            <w:pPr>
              <w:spacing w:after="0"/>
              <w:rPr>
                <w:sz w:val="1"/>
                <w:szCs w:val="1"/>
                <w:color w:val="auto"/>
              </w:rPr>
            </w:pPr>
          </w:p>
        </w:tc>
      </w:tr>
      <w:tr>
        <w:trPr>
          <w:trHeight w:val="189"/>
        </w:trPr>
        <w:tc>
          <w:tcPr>
            <w:tcW w:w="9600" w:type="dxa"/>
            <w:vAlign w:val="bottom"/>
          </w:tcPr>
          <w:p>
            <w:pPr>
              <w:ind w:left="20"/>
              <w:spacing w:after="0"/>
              <w:rPr>
                <w:sz w:val="20"/>
                <w:szCs w:val="20"/>
                <w:color w:val="auto"/>
              </w:rPr>
            </w:pPr>
            <w:r>
              <w:rPr>
                <w:rFonts w:ascii="Arial" w:cs="Arial" w:eastAsia="Arial" w:hAnsi="Arial"/>
                <w:sz w:val="14"/>
                <w:szCs w:val="14"/>
                <w:color w:val="auto"/>
              </w:rPr>
              <w:t>Commission revenue</w:t>
            </w:r>
          </w:p>
        </w:tc>
        <w:tc>
          <w:tcPr>
            <w:tcW w:w="320" w:type="dxa"/>
            <w:vAlign w:val="bottom"/>
          </w:tcPr>
          <w:p>
            <w:pPr>
              <w:spacing w:after="0"/>
              <w:rPr>
                <w:sz w:val="16"/>
                <w:szCs w:val="16"/>
                <w:color w:val="auto"/>
              </w:rPr>
            </w:pPr>
          </w:p>
        </w:tc>
        <w:tc>
          <w:tcPr>
            <w:tcW w:w="1320" w:type="dxa"/>
            <w:vAlign w:val="bottom"/>
          </w:tcPr>
          <w:p>
            <w:pPr>
              <w:jc w:val="center"/>
              <w:ind w:left="608"/>
              <w:spacing w:after="0"/>
              <w:rPr>
                <w:sz w:val="20"/>
                <w:szCs w:val="20"/>
                <w:color w:val="auto"/>
              </w:rPr>
            </w:pPr>
            <w:r>
              <w:rPr>
                <w:rFonts w:ascii="Arial" w:cs="Arial" w:eastAsia="Arial" w:hAnsi="Arial"/>
                <w:sz w:val="14"/>
                <w:szCs w:val="14"/>
                <w:color w:val="auto"/>
              </w:rPr>
              <w:t>321,489</w:t>
            </w:r>
          </w:p>
        </w:tc>
        <w:tc>
          <w:tcPr>
            <w:tcW w:w="0" w:type="dxa"/>
            <w:vAlign w:val="bottom"/>
          </w:tcPr>
          <w:p>
            <w:pPr>
              <w:spacing w:after="0"/>
              <w:rPr>
                <w:sz w:val="1"/>
                <w:szCs w:val="1"/>
                <w:color w:val="auto"/>
              </w:rPr>
            </w:pP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receipts</w:t>
            </w:r>
          </w:p>
        </w:tc>
        <w:tc>
          <w:tcPr>
            <w:tcW w:w="3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center"/>
              <w:ind w:left="588"/>
              <w:spacing w:after="0"/>
              <w:rPr>
                <w:sz w:val="20"/>
                <w:szCs w:val="20"/>
                <w:color w:val="auto"/>
              </w:rPr>
            </w:pPr>
            <w:r>
              <w:rPr>
                <w:rFonts w:ascii="Arial" w:cs="Arial" w:eastAsia="Arial" w:hAnsi="Arial"/>
                <w:sz w:val="14"/>
                <w:szCs w:val="14"/>
                <w:color w:val="auto"/>
              </w:rPr>
              <w:t>(257,814)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Ending balance</w:t>
            </w: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874,073</w:t>
            </w:r>
          </w:p>
        </w:tc>
        <w:tc>
          <w:tcPr>
            <w:tcW w:w="0" w:type="dxa"/>
            <w:vAlign w:val="bottom"/>
          </w:tcPr>
          <w:p>
            <w:pPr>
              <w:spacing w:after="0"/>
              <w:rPr>
                <w:sz w:val="1"/>
                <w:szCs w:val="1"/>
                <w:color w:val="auto"/>
              </w:rPr>
            </w:pPr>
          </w:p>
        </w:tc>
      </w:tr>
      <w:tr>
        <w:trPr>
          <w:trHeight w:val="18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Commissions receivable - current</w:t>
            </w:r>
          </w:p>
        </w:tc>
        <w:tc>
          <w:tcPr>
            <w:tcW w:w="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3200" w:type="dxa"/>
            <w:vAlign w:val="bottom"/>
            <w:tcBorders>
              <w:top w:val="single" w:sz="8" w:color="CCEEFF"/>
              <w:left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113,062</w:t>
            </w:r>
          </w:p>
        </w:tc>
        <w:tc>
          <w:tcPr>
            <w:tcW w:w="0" w:type="dxa"/>
            <w:vAlign w:val="bottom"/>
          </w:tcPr>
          <w:p>
            <w:pPr>
              <w:spacing w:after="0"/>
              <w:rPr>
                <w:sz w:val="1"/>
                <w:szCs w:val="1"/>
                <w:color w:val="auto"/>
              </w:rPr>
            </w:pPr>
          </w:p>
        </w:tc>
      </w:tr>
      <w:tr>
        <w:trPr>
          <w:trHeight w:val="183"/>
        </w:trPr>
        <w:tc>
          <w:tcPr>
            <w:tcW w:w="4840" w:type="dxa"/>
            <w:vAlign w:val="bottom"/>
          </w:tcPr>
          <w:p>
            <w:pPr>
              <w:ind w:left="20"/>
              <w:spacing w:after="0"/>
              <w:rPr>
                <w:sz w:val="20"/>
                <w:szCs w:val="20"/>
                <w:color w:val="auto"/>
              </w:rPr>
            </w:pPr>
            <w:r>
              <w:rPr>
                <w:rFonts w:ascii="Arial" w:cs="Arial" w:eastAsia="Arial" w:hAnsi="Arial"/>
                <w:sz w:val="14"/>
                <w:szCs w:val="14"/>
                <w:color w:val="auto"/>
              </w:rPr>
              <w:t>Commissions receivable - non-current</w:t>
            </w: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7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761,011</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3660"/>
              <w:spacing w:after="0"/>
              <w:rPr>
                <w:sz w:val="20"/>
                <w:szCs w:val="20"/>
                <w:color w:val="auto"/>
              </w:rPr>
            </w:pPr>
            <w:r>
              <w:rPr>
                <w:rFonts w:ascii="Arial" w:cs="Arial" w:eastAsia="Arial" w:hAnsi="Arial"/>
                <w:sz w:val="14"/>
                <w:szCs w:val="14"/>
                <w:color w:val="auto"/>
              </w:rPr>
              <w:t>GoHealth, Inc.</w:t>
            </w:r>
          </w:p>
        </w:tc>
        <w:tc>
          <w:tcPr>
            <w:tcW w:w="20" w:type="dxa"/>
            <w:vAlign w:val="bottom"/>
          </w:tcPr>
          <w:p>
            <w:pPr>
              <w:spacing w:after="0" w:line="20" w:lineRule="exact"/>
              <w:rPr>
                <w:sz w:val="1"/>
                <w:szCs w:val="1"/>
                <w:color w:val="auto"/>
              </w:rPr>
            </w:pPr>
          </w:p>
        </w:tc>
        <w:tc>
          <w:tcPr>
            <w:tcW w:w="1540" w:type="dxa"/>
            <w:vAlign w:val="bottom"/>
            <w:vMerge w:val="restart"/>
          </w:tcPr>
          <w:p>
            <w:pPr>
              <w:ind w:left="240"/>
              <w:spacing w:after="0"/>
              <w:rPr>
                <w:sz w:val="20"/>
                <w:szCs w:val="20"/>
                <w:color w:val="auto"/>
              </w:rPr>
            </w:pPr>
            <w:r>
              <w:rPr>
                <w:rFonts w:ascii="Arial" w:cs="Arial" w:eastAsia="Arial" w:hAnsi="Arial"/>
                <w:sz w:val="14"/>
                <w:szCs w:val="14"/>
                <w:color w:val="auto"/>
              </w:rPr>
              <w:t>2021 Form 10-Q</w:t>
            </w:r>
          </w:p>
        </w:tc>
        <w:tc>
          <w:tcPr>
            <w:tcW w:w="3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4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540" w:type="dxa"/>
            <w:vAlign w:val="bottom"/>
            <w:vMerge w:val="continue"/>
          </w:tcPr>
          <w:p>
            <w:pPr>
              <w:spacing w:after="0"/>
              <w:rPr>
                <w:sz w:val="16"/>
                <w:szCs w:val="16"/>
                <w:color w:val="auto"/>
              </w:rPr>
            </w:pPr>
          </w:p>
        </w:tc>
        <w:tc>
          <w:tcPr>
            <w:tcW w:w="3200" w:type="dxa"/>
            <w:vAlign w:val="bottom"/>
            <w:tcBorders>
              <w:left w:val="single" w:sz="8" w:color="auto"/>
            </w:tcBorders>
          </w:tcPr>
          <w:p>
            <w:pPr>
              <w:jc w:val="right"/>
              <w:ind w:right="2848"/>
              <w:spacing w:after="0"/>
              <w:rPr>
                <w:sz w:val="20"/>
                <w:szCs w:val="20"/>
                <w:color w:val="auto"/>
              </w:rPr>
            </w:pPr>
            <w:r>
              <w:rPr>
                <w:rFonts w:ascii="Arial" w:cs="Arial" w:eastAsia="Arial" w:hAnsi="Arial"/>
                <w:sz w:val="14"/>
                <w:szCs w:val="14"/>
                <w:color w:val="auto"/>
              </w:rPr>
              <w:t>19</w:t>
            </w: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32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2" w:name="page23"/>
    <w:bookmarkEnd w:id="22"/>
    <w:p>
      <w:pPr>
        <w:ind w:right="7940" w:firstLine="8"/>
        <w:spacing w:after="0" w:line="541" w:lineRule="auto"/>
        <w:tabs>
          <w:tab w:leader="none" w:pos="270" w:val="left"/>
        </w:tabs>
        <w:numPr>
          <w:ilvl w:val="0"/>
          <w:numId w:val="11"/>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COMMITMENTS AND CONTINGENCIES </w:t>
      </w:r>
      <w:r>
        <w:rPr>
          <w:rFonts w:ascii="Arial" w:cs="Arial" w:eastAsia="Arial" w:hAnsi="Arial"/>
          <w:sz w:val="16"/>
          <w:szCs w:val="16"/>
          <w:b w:val="1"/>
          <w:bCs w:val="1"/>
          <w:color w:val="000000"/>
        </w:rPr>
        <w:t>Leases</w:t>
      </w:r>
    </w:p>
    <w:p>
      <w:pPr>
        <w:spacing w:after="0" w:line="1"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 Company is party to various non-cancelable operating lease agreements for certain of the Company’s offices and data centers with lease periods expiring in 2032. Certain of these arrangements have free rent periods or escalating rent payment provisions, and the Company recognizes rent expense under such arrangements on a straight-line basis.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4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September 2020, three purported securities class action complaints were filed in the United States District Court for the Northern District of Illinois against the Company, certain of its officers and directors, and certain underwriters, private equity firms, and investment vehicles alleging violations of the Securities Act of 1933. On December 10, 2020 the court in the earliest filed action consolidated the three complaints, appointed lead plaintiffs and lead counsel for the consolidated action, and captioned the consolidated action In re GoHealth, Inc. Securities Litigation. Lead plaintiffs filed a consolidated complaint on February 25, 2021. Defendants filed responsive pleadings on April 26, 2021 to dismiss the complaint. On June 14, 2021, the plaintiffs filed an opposition brief, to which the defendants replied on July 6, 2021. On May 19, 2021, a derivative action against certain of the Company’s officers and directors was filed, alleging substantially the same allegations as the In re GoHealth, Inc. Securities Litigation. By suggestion of the plaintiff’s counsel, this lawsuit is stayed until at least as long as the motion to dismiss in the In re GoHealth, Inc. Securities Litigation is pending. The Company disputes each and every of plaintiffs’ claims and intends to defend these matters vigorously.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11. RELATED PARTY TRANSACTIONS</w:t>
      </w:r>
    </w:p>
    <w:p>
      <w:pPr>
        <w:spacing w:after="0" w:line="24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Company is party 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three and six months ended June 30, 2021 and 2020, the Company made aggregate lease payments of $0.4 million, $0.7 million, $0.3 million and $0.6 million, respectively, under these leases.</w:t>
      </w:r>
    </w:p>
    <w:p>
      <w:pPr>
        <w:spacing w:after="0" w:line="20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January 1, 2020, the Company entered into a non-exclusive aircraft dry lease agreement with an entity wholly-owned and controlled by certain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and six months ended June 30, 2021 and 2020, the Company recorded expense of $0.3 million, $0.4 million, $34 thousand and $0.8 million, respectively, under this lease.</w:t>
      </w:r>
    </w:p>
    <w:p>
      <w:pPr>
        <w:spacing w:after="0" w:line="20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May 12, 2020, the Company entered into a lease agreement with Wilson Tech 5, which is controlled by significant shareholders, for a proposed site in Lindon, Utah, beginning in 2022. The Company will not have access to the leased premises until construction is complete (“commencement date”) and is not deemed to be the owner during the construction period. This lease agreement expires ten years after the commencement date. The Company did not make any lease payments during the three and six months ended June 30, 2021 and 2020 under this lease. The initial base annual rent will be approximately $4.6 million beginning in mid-2022.</w:t>
      </w:r>
    </w:p>
    <w:p>
      <w:pPr>
        <w:spacing w:after="0" w:line="203"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During the twelve months ended December 31, 2020, the Company provided a short-term advancement to NVX Holdings, Inc., which is controlled by significant shareholders, for which the Company recorded a receivable of $3.4 million. The advancement was collected by the Company during the three months ended March 31, 2021.</w:t>
      </w:r>
    </w:p>
    <w:p>
      <w:pPr>
        <w:spacing w:after="0" w:line="181" w:lineRule="exact"/>
        <w:rPr>
          <w:sz w:val="20"/>
          <w:szCs w:val="20"/>
          <w:color w:val="auto"/>
        </w:rPr>
      </w:pPr>
    </w:p>
    <w:p>
      <w:pPr>
        <w:ind w:right="6500" w:firstLine="8"/>
        <w:spacing w:after="0" w:line="541" w:lineRule="auto"/>
        <w:tabs>
          <w:tab w:leader="none" w:pos="270" w:val="left"/>
        </w:tabs>
        <w:numPr>
          <w:ilvl w:val="0"/>
          <w:numId w:val="12"/>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OPERATING SEGMENTS AND SIGNIFICANT CUSTOMERS </w:t>
      </w:r>
      <w:r>
        <w:rPr>
          <w:rFonts w:ascii="Arial" w:cs="Arial" w:eastAsia="Arial" w:hAnsi="Arial"/>
          <w:sz w:val="16"/>
          <w:szCs w:val="16"/>
          <w:b w:val="1"/>
          <w:bCs w:val="1"/>
          <w:color w:val="000000"/>
        </w:rPr>
        <w:t>Operating Segments</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 reporting purposes in accordance with ASC 280-10,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Company’s business structure is comprised of four operating and reportable segments:</w:t>
      </w:r>
    </w:p>
    <w:p>
      <w:pPr>
        <w:spacing w:after="0" w:line="18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color w:val="auto"/>
        </w:rPr>
        <w:t xml:space="preserve">Medicare Internal and External: </w:t>
      </w:r>
      <w:r>
        <w:rPr>
          <w:rFonts w:ascii="Arial" w:cs="Arial" w:eastAsia="Arial" w:hAnsi="Arial"/>
          <w:sz w:val="16"/>
          <w:szCs w:val="16"/>
          <w:color w:val="auto"/>
        </w:rPr>
        <w:t>The Medicare internal and external segments consist primarily of revenues earned from sales of Medicare Advantage,</w:t>
      </w:r>
      <w:r>
        <w:rPr>
          <w:rFonts w:ascii="Arial" w:cs="Arial" w:eastAsia="Arial" w:hAnsi="Arial"/>
          <w:sz w:val="16"/>
          <w:szCs w:val="16"/>
          <w:b w:val="1"/>
          <w:bCs w:val="1"/>
          <w:color w:val="auto"/>
        </w:rPr>
        <w:t xml:space="preserve"> </w:t>
      </w:r>
      <w:r>
        <w:rPr>
          <w:rFonts w:ascii="Arial" w:cs="Arial" w:eastAsia="Arial" w:hAnsi="Arial"/>
          <w:sz w:val="16"/>
          <w:szCs w:val="16"/>
          <w:color w:val="auto"/>
        </w:rPr>
        <w:t>Medicare Supplement, Prescription Drug Plans, and Medicare Special Needs Plans (or “SNPs”), for multiple carriers.</w:t>
      </w:r>
    </w:p>
    <w:p>
      <w:pPr>
        <w:spacing w:after="0" w:line="156"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b w:val="1"/>
          <w:bCs w:val="1"/>
          <w:color w:val="auto"/>
        </w:rPr>
        <w:t xml:space="preserve">Individual and Family Plan and Other (“IFP and Other”) Internal and External: </w:t>
      </w:r>
      <w:r>
        <w:rPr>
          <w:rFonts w:ascii="Arial" w:cs="Arial" w:eastAsia="Arial" w:hAnsi="Arial"/>
          <w:sz w:val="16"/>
          <w:szCs w:val="16"/>
          <w:color w:val="auto"/>
        </w:rPr>
        <w:t>The IFP and Other internal and external segments consist primarily of</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earned from sales of individual and family plans, dental plans, vision plans and other ancillary plans to individuals that are not Medicare-eligible.</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The Internal and External segments relative to both Medicare and IFP are defined as follows:</w:t>
      </w:r>
    </w:p>
    <w:p>
      <w:pPr>
        <w:spacing w:after="0" w:line="20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b w:val="1"/>
          <w:bCs w:val="1"/>
          <w:color w:val="auto"/>
        </w:rPr>
        <w:t xml:space="preserve">Internal: </w:t>
      </w:r>
      <w:r>
        <w:rPr>
          <w:rFonts w:ascii="Arial" w:cs="Arial" w:eastAsia="Arial" w:hAnsi="Arial"/>
          <w:sz w:val="16"/>
          <w:szCs w:val="16"/>
          <w:color w:val="auto"/>
        </w:rPr>
        <w:t>The two internal segments primarily consist of sales of products and plans by Company-employed agents offering qualified prospects plans from</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carriers, Company-employed agents offering qualified prospects plans on a carrier-specific basis, or sales of products and plans through our online platform without the assistance of our agents (do-it-yourself or “DIY”). The Company earns revenue in this channel through commissions paid by carriers based on sales the Company generates, as well as enrollment fees, hourly fees and other fees for services performed for specific carriers and other partners.</w:t>
      </w:r>
    </w:p>
    <w:p>
      <w:pPr>
        <w:spacing w:after="0" w:line="37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auto"/>
        </w:rPr>
        <w:t xml:space="preserve">External: </w:t>
      </w:r>
      <w:r>
        <w:rPr>
          <w:rFonts w:ascii="Arial" w:cs="Arial" w:eastAsia="Arial" w:hAnsi="Arial"/>
          <w:sz w:val="16"/>
          <w:szCs w:val="16"/>
          <w:color w:val="auto"/>
        </w:rPr>
        <w:t>The two external segments represent sales of products and plans under the Company’s carrier contracts using an independent, national network</w:t>
      </w:r>
      <w:r>
        <w:rPr>
          <w:rFonts w:ascii="Arial" w:cs="Arial" w:eastAsia="Arial" w:hAnsi="Arial"/>
          <w:sz w:val="16"/>
          <w:szCs w:val="16"/>
          <w:b w:val="1"/>
          <w:bCs w:val="1"/>
          <w:color w:val="auto"/>
        </w:rPr>
        <w:t xml:space="preserve"> </w:t>
      </w:r>
      <w:r>
        <w:rPr>
          <w:rFonts w:ascii="Arial" w:cs="Arial" w:eastAsia="Arial" w:hAnsi="Arial"/>
          <w:sz w:val="16"/>
          <w:szCs w:val="16"/>
          <w:color w:val="auto"/>
        </w:rPr>
        <w:t>of agents who are not employed by the 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carriers as a result of policy sales, as well as sales of leads to external agencies.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summary results of the Company’s operating segments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 30,</w:t>
            </w:r>
          </w:p>
        </w:tc>
        <w:tc>
          <w:tcPr>
            <w:tcW w:w="240" w:type="dxa"/>
            <w:vAlign w:val="bottom"/>
          </w:tcPr>
          <w:p>
            <w:pPr>
              <w:spacing w:after="0"/>
              <w:rPr>
                <w:sz w:val="16"/>
                <w:szCs w:val="16"/>
                <w:color w:val="auto"/>
              </w:rPr>
            </w:pPr>
          </w:p>
        </w:tc>
        <w:tc>
          <w:tcPr>
            <w:tcW w:w="236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 Jun. 30,</w:t>
            </w:r>
          </w:p>
        </w:tc>
      </w:tr>
      <w:tr>
        <w:trPr>
          <w:trHeight w:val="18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r>
      <w:tr>
        <w:trPr>
          <w:trHeight w:val="169"/>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596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5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317,786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182,488</w:t>
            </w:r>
          </w:p>
        </w:tc>
      </w:tr>
      <w:tr>
        <w:trPr>
          <w:trHeight w:val="189"/>
        </w:trPr>
        <w:tc>
          <w:tcPr>
            <w:tcW w:w="59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31,379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28,108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70,879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57,053</w:t>
            </w:r>
          </w:p>
        </w:tc>
      </w:tr>
      <w:tr>
        <w:trPr>
          <w:trHeight w:val="183"/>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Medicare</w:t>
            </w: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191,812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115,309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388,665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239,541</w:t>
            </w:r>
          </w:p>
        </w:tc>
      </w:tr>
      <w:tr>
        <w:trPr>
          <w:trHeight w:val="169"/>
        </w:trPr>
        <w:tc>
          <w:tcPr>
            <w:tcW w:w="5960" w:type="dxa"/>
            <w:vAlign w:val="bottom"/>
          </w:tcPr>
          <w:p>
            <w:pPr>
              <w:ind w:left="240"/>
              <w:spacing w:after="0"/>
              <w:rPr>
                <w:sz w:val="20"/>
                <w:szCs w:val="20"/>
                <w:color w:val="auto"/>
              </w:rPr>
            </w:pPr>
            <w:r>
              <w:rPr>
                <w:rFonts w:ascii="Arial" w:cs="Arial" w:eastAsia="Arial" w:hAnsi="Arial"/>
                <w:sz w:val="14"/>
                <w:szCs w:val="14"/>
                <w:i w:val="1"/>
                <w:iCs w:val="1"/>
                <w:color w:val="auto"/>
              </w:rPr>
              <w:t>IFP and Other: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5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15,651</w:t>
            </w:r>
          </w:p>
        </w:tc>
      </w:tr>
      <w:tr>
        <w:trPr>
          <w:trHeight w:val="189"/>
        </w:trPr>
        <w:tc>
          <w:tcPr>
            <w:tcW w:w="59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12,875</w:t>
            </w:r>
          </w:p>
        </w:tc>
      </w:tr>
      <w:tr>
        <w:trPr>
          <w:trHeight w:val="183"/>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IFP and Other</w:t>
            </w: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28,526</w:t>
            </w:r>
          </w:p>
        </w:tc>
      </w:tr>
      <w:tr>
        <w:trPr>
          <w:trHeight w:val="18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196,902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127,057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401,081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268,067</w:t>
            </w:r>
          </w:p>
        </w:tc>
      </w:tr>
      <w:tr>
        <w:trPr>
          <w:trHeight w:val="169"/>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profit (loss):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596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5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74,482</w:t>
            </w:r>
          </w:p>
        </w:tc>
      </w:tr>
      <w:tr>
        <w:trPr>
          <w:trHeight w:val="189"/>
        </w:trPr>
        <w:tc>
          <w:tcPr>
            <w:tcW w:w="59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r>
      <w:tr>
        <w:trPr>
          <w:trHeight w:val="183"/>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Medicare</w:t>
            </w: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29,569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33,241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75,381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74,655</w:t>
            </w:r>
          </w:p>
        </w:tc>
      </w:tr>
      <w:tr>
        <w:trPr>
          <w:trHeight w:val="169"/>
        </w:trPr>
        <w:tc>
          <w:tcPr>
            <w:tcW w:w="5960" w:type="dxa"/>
            <w:vAlign w:val="bottom"/>
          </w:tcPr>
          <w:p>
            <w:pPr>
              <w:ind w:left="240"/>
              <w:spacing w:after="0"/>
              <w:rPr>
                <w:sz w:val="20"/>
                <w:szCs w:val="20"/>
                <w:color w:val="auto"/>
              </w:rPr>
            </w:pPr>
            <w:r>
              <w:rPr>
                <w:rFonts w:ascii="Arial" w:cs="Arial" w:eastAsia="Arial" w:hAnsi="Arial"/>
                <w:sz w:val="14"/>
                <w:szCs w:val="14"/>
                <w:i w:val="1"/>
                <w:iCs w:val="1"/>
                <w:color w:val="auto"/>
              </w:rPr>
              <w:t>IFP and Other: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5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r>
      <w:tr>
        <w:trPr>
          <w:trHeight w:val="189"/>
        </w:trPr>
        <w:tc>
          <w:tcPr>
            <w:tcW w:w="59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r>
      <w:tr>
        <w:trPr>
          <w:trHeight w:val="183"/>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IFP and Other</w:t>
            </w: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1,069</w:t>
            </w:r>
          </w:p>
        </w:tc>
      </w:tr>
      <w:tr>
        <w:trPr>
          <w:trHeight w:val="18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Segment profit</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28,712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33,317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73,955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75,724</w:t>
            </w:r>
          </w:p>
        </w:tc>
      </w:tr>
      <w:tr>
        <w:trPr>
          <w:trHeight w:val="183"/>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17,576</w:t>
            </w:r>
          </w:p>
        </w:tc>
      </w:tr>
      <w:tr>
        <w:trPr>
          <w:trHeight w:val="189"/>
        </w:trPr>
        <w:tc>
          <w:tcPr>
            <w:tcW w:w="5960" w:type="dxa"/>
            <w:vAlign w:val="bottom"/>
          </w:tcPr>
          <w:p>
            <w:pPr>
              <w:ind w:left="20"/>
              <w:spacing w:after="0"/>
              <w:rPr>
                <w:sz w:val="20"/>
                <w:szCs w:val="20"/>
                <w:color w:val="auto"/>
              </w:rPr>
            </w:pPr>
            <w:r>
              <w:rPr>
                <w:rFonts w:ascii="Arial" w:cs="Arial" w:eastAsia="Arial" w:hAnsi="Arial"/>
                <w:sz w:val="14"/>
                <w:szCs w:val="14"/>
                <w:color w:val="auto"/>
              </w:rPr>
              <w:t>Change in fair value of contingent consideration liability</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19,700</w:t>
            </w: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47,029</w:t>
            </w:r>
          </w:p>
        </w:tc>
      </w:tr>
      <w:tr>
        <w:trPr>
          <w:trHeight w:val="189"/>
        </w:trPr>
        <w:tc>
          <w:tcPr>
            <w:tcW w:w="59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15,742</w:t>
            </w:r>
          </w:p>
        </w:tc>
      </w:tr>
      <w:tr>
        <w:trPr>
          <w:trHeight w:val="18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net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r>
      <w:tr>
        <w:trPr>
          <w:trHeight w:val="20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(39,207)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(22,889)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(46,506)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(23,828)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There are no internal revenue transactions between the Company’s operating segments. Substantially all revenue for the periods presented was generated from customers located in the United States. The Company’s CODM does not separately evaluate assets by segment, and therefore assets by segment are not presented. The Company’s assets are primarily located in the United States.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Significant Customers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carriers representing 10% or more of the Company’s total revenue for the periods indicated:</w:t>
      </w:r>
    </w:p>
    <w:p>
      <w:pPr>
        <w:sectPr>
          <w:pgSz w:w="11900" w:h="16838" w:orient="portrait"/>
          <w:cols w:equalWidth="0" w:num="1">
            <w:col w:w="11240"/>
          </w:cols>
          <w:pgMar w:left="320" w:top="1323" w:right="339" w:bottom="1440" w:gutter="0" w:footer="0" w:header="0"/>
        </w:sectPr>
      </w:pPr>
    </w:p>
    <w:p>
      <w:pPr>
        <w:spacing w:after="0" w:line="246"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Three months ended Jun.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17780</wp:posOffset>
            </wp:positionV>
            <wp:extent cx="1731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2" w:lineRule="exact"/>
        <w:rPr>
          <w:sz w:val="20"/>
          <w:szCs w:val="20"/>
          <w:color w:val="auto"/>
        </w:rPr>
      </w:pPr>
    </w:p>
    <w:p>
      <w:pPr>
        <w:ind w:left="6180"/>
        <w:spacing w:after="0"/>
        <w:tabs>
          <w:tab w:leader="none" w:pos="75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17780</wp:posOffset>
            </wp:positionV>
            <wp:extent cx="17399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2"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8240" w:space="720"/>
            <w:col w:w="2280"/>
          </w:cols>
          <w:pgMar w:left="320" w:top="1323"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Anthem</w:t>
            </w:r>
          </w:p>
        </w:tc>
        <w:tc>
          <w:tcPr>
            <w:tcW w:w="1840" w:type="dxa"/>
            <w:vAlign w:val="bottom"/>
            <w:tcBorders>
              <w:top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38 %</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34 %</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r>
      <w:tr>
        <w:trPr>
          <w:trHeight w:val="189"/>
        </w:trPr>
        <w:tc>
          <w:tcPr>
            <w:tcW w:w="5680" w:type="dxa"/>
            <w:vAlign w:val="bottom"/>
          </w:tcPr>
          <w:p>
            <w:pPr>
              <w:ind w:left="20"/>
              <w:spacing w:after="0"/>
              <w:rPr>
                <w:sz w:val="20"/>
                <w:szCs w:val="20"/>
                <w:color w:val="auto"/>
              </w:rPr>
            </w:pPr>
            <w:r>
              <w:rPr>
                <w:rFonts w:ascii="Arial" w:cs="Arial" w:eastAsia="Arial" w:hAnsi="Arial"/>
                <w:sz w:val="14"/>
                <w:szCs w:val="14"/>
                <w:color w:val="auto"/>
              </w:rPr>
              <w:t>Humana</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29 %</w:t>
            </w:r>
          </w:p>
        </w:tc>
        <w:tc>
          <w:tcPr>
            <w:tcW w:w="880" w:type="dxa"/>
            <w:vAlign w:val="bottom"/>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6"/>
                <w:szCs w:val="16"/>
                <w:color w:val="auto"/>
              </w:rPr>
            </w:pPr>
          </w:p>
        </w:tc>
        <w:tc>
          <w:tcPr>
            <w:tcW w:w="1840" w:type="dxa"/>
            <w:vAlign w:val="bottom"/>
          </w:tcPr>
          <w:p>
            <w:pPr>
              <w:jc w:val="right"/>
              <w:ind w:right="468"/>
              <w:spacing w:after="0"/>
              <w:rPr>
                <w:sz w:val="20"/>
                <w:szCs w:val="20"/>
                <w:color w:val="auto"/>
              </w:rPr>
            </w:pPr>
            <w:r>
              <w:rPr>
                <w:rFonts w:ascii="Arial" w:cs="Arial" w:eastAsia="Arial" w:hAnsi="Arial"/>
                <w:sz w:val="14"/>
                <w:szCs w:val="14"/>
                <w:color w:val="auto"/>
              </w:rPr>
              <w:t>29 %</w:t>
            </w:r>
          </w:p>
        </w:tc>
        <w:tc>
          <w:tcPr>
            <w:tcW w:w="90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189"/>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w:t>
            </w:r>
          </w:p>
        </w:tc>
        <w:tc>
          <w:tcPr>
            <w:tcW w:w="18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16 %</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17 %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90"/>
        </w:trPr>
        <w:tc>
          <w:tcPr>
            <w:tcW w:w="5680" w:type="dxa"/>
            <w:vAlign w:val="bottom"/>
          </w:tcPr>
          <w:p>
            <w:pPr>
              <w:ind w:left="20"/>
              <w:spacing w:after="0"/>
              <w:rPr>
                <w:sz w:val="20"/>
                <w:szCs w:val="20"/>
                <w:color w:val="auto"/>
              </w:rPr>
            </w:pPr>
            <w:r>
              <w:rPr>
                <w:rFonts w:ascii="Arial" w:cs="Arial" w:eastAsia="Arial" w:hAnsi="Arial"/>
                <w:sz w:val="14"/>
                <w:szCs w:val="14"/>
                <w:color w:val="auto"/>
              </w:rPr>
              <w:t>Centene</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9 %</w:t>
            </w:r>
          </w:p>
        </w:tc>
        <w:tc>
          <w:tcPr>
            <w:tcW w:w="88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c>
          <w:tcPr>
            <w:tcW w:w="1840" w:type="dxa"/>
            <w:vAlign w:val="bottom"/>
          </w:tcPr>
          <w:p>
            <w:pPr>
              <w:jc w:val="right"/>
              <w:ind w:right="468"/>
              <w:spacing w:after="0"/>
              <w:rPr>
                <w:sz w:val="20"/>
                <w:szCs w:val="20"/>
                <w:color w:val="auto"/>
              </w:rPr>
            </w:pPr>
            <w:r>
              <w:rPr>
                <w:rFonts w:ascii="Arial" w:cs="Arial" w:eastAsia="Arial" w:hAnsi="Arial"/>
                <w:sz w:val="14"/>
                <w:szCs w:val="14"/>
                <w:color w:val="auto"/>
              </w:rPr>
              <w:t>12 %</w:t>
            </w:r>
          </w:p>
        </w:tc>
        <w:tc>
          <w:tcPr>
            <w:tcW w:w="900" w:type="dxa"/>
            <w:vAlign w:val="bottom"/>
          </w:tcPr>
          <w:p>
            <w:pPr>
              <w:jc w:val="right"/>
              <w:spacing w:after="0"/>
              <w:rPr>
                <w:sz w:val="20"/>
                <w:szCs w:val="20"/>
                <w:color w:val="auto"/>
              </w:rPr>
            </w:pPr>
            <w:r>
              <w:rPr>
                <w:rFonts w:ascii="Arial" w:cs="Arial" w:eastAsia="Arial" w:hAnsi="Arial"/>
                <w:sz w:val="14"/>
                <w:szCs w:val="14"/>
                <w:color w:val="auto"/>
              </w:rPr>
              <w:t>7 %</w:t>
            </w:r>
          </w:p>
        </w:tc>
      </w:tr>
    </w:tbl>
    <w:p>
      <w:pPr>
        <w:spacing w:after="0" w:line="311"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Substantially all of the revenue from these customers was from the sales of products and plans within the Medicare—Internal and Medicare—External segments.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241"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Company does not require collateral or other security in granting credit. As of June 30, 2021, three customers each represented 10% or more of the Company’s total accounts receivable and unbilled receivables and, in aggregate, represented 84%, or $17.2 million, of the combined total. As of December 31, 2020, three customers each represented 10% or more of the Company’s total accounts receivable and unbilled receivables and, in aggregate, represented 86%, or $23.2 million, of the combined total.</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2. MANAGEMENT’S DISCUSSION AND ANALYSIS OF FINANCIAL CONDITIONS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under the heading “Cautionary Note Regarding Forward-Looking Statements” in this Quarterly Report on Form 10-Q and under the heading “Item 1A. Risk Factors.” in the 2020 Form 10-K. We assume no obligation to update any of these forward-looking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 certain cases, numbers and percentages in the tables below may not foot due to rounding.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4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are a leading health insurance marketplace and Medicare-focused digital health company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agents has enabled us to enroll millions of people in Medicare and individual and family plans since our inception. With a current commissionable market of nearly $30 billion, and nearly 11,000 Americans turning 65 years old every day and our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four reportable segments: (i) Medicare—Internal, (ii) Medicare—External, (iii) Individual and Family Plans, or IFP and Other—Internal and (iv) IFP and Other—External. We organize the segments by product type, Medicare and IFP and Other, as well as by distribution channel, internal and external, as further described below. In addition, we separately report other expenses (classified as “Corporate expenses” in our financial statements), the primary components of which are corporate overhead expenses and shared service expenses that have not been allocated to the operating segments. The segment results provided herein may not be comparable to other companies. We refer to the Medicare—Internal and Medicare—External segments collectively as the “Medicare segments” and the IFP and Other—Internal and IFP and Other—External segments as the “IFP and Other segments.”</w:t>
      </w:r>
    </w:p>
    <w:p>
      <w:pPr>
        <w:spacing w:after="0" w:line="185" w:lineRule="exact"/>
        <w:rPr>
          <w:sz w:val="20"/>
          <w:szCs w:val="20"/>
          <w:color w:val="auto"/>
        </w:rPr>
      </w:pPr>
    </w:p>
    <w:p>
      <w:pPr>
        <w:ind w:left="660" w:right="40" w:hanging="328"/>
        <w:spacing w:after="0" w:line="26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Medicare—Internal: </w:t>
      </w:r>
      <w:r>
        <w:rPr>
          <w:rFonts w:ascii="Arial" w:cs="Arial" w:eastAsia="Arial" w:hAnsi="Arial"/>
          <w:sz w:val="16"/>
          <w:szCs w:val="16"/>
          <w:color w:val="auto"/>
        </w:rPr>
        <w:t>The Medicare—Internal segment relates to sales of products and plans by GoHealth-employed agents offering qualified</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prospects plans from multiple carriers, GoHealth-employed agents offering qualified prospects plans on a carrier-specific basis, or sales of products and plans through our online platform without the assistance of</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22</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25" w:name="page26"/>
    <w:bookmarkEnd w:id="25"/>
    <w:p>
      <w:pPr>
        <w:ind w:left="660" w:right="80"/>
        <w:spacing w:after="0" w:line="251" w:lineRule="auto"/>
        <w:rPr>
          <w:sz w:val="20"/>
          <w:szCs w:val="20"/>
          <w:color w:val="auto"/>
        </w:rPr>
      </w:pPr>
      <w:r>
        <w:rPr>
          <w:rFonts w:ascii="Arial" w:cs="Arial" w:eastAsia="Arial" w:hAnsi="Arial"/>
          <w:sz w:val="16"/>
          <w:szCs w:val="16"/>
          <w:color w:val="auto"/>
        </w:rPr>
        <w:t>our agents, which we refer to as DIY. In this segment, we sell Medicare Advantage, Medicare Supplement, Medicare prescription drug plans, and Medicare Special Needs Plans, or SNPs. We earn revenue in this segment through commissions paid by carriers based on sales we generated, as well as enrollment fees, hourly fees and other fees for services performed for specific carriers and other partners. The Medicare—Internal segment is our largest and fastest growing segment.</w:t>
      </w:r>
    </w:p>
    <w:p>
      <w:pPr>
        <w:spacing w:after="0" w:line="182" w:lineRule="exact"/>
        <w:rPr>
          <w:sz w:val="20"/>
          <w:szCs w:val="20"/>
          <w:color w:val="auto"/>
        </w:rPr>
      </w:pPr>
    </w:p>
    <w:p>
      <w:pPr>
        <w:ind w:left="660" w:right="100" w:hanging="328"/>
        <w:spacing w:after="0" w:line="25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Medicare—External: </w:t>
      </w:r>
      <w:r>
        <w:rPr>
          <w:rFonts w:ascii="Arial" w:cs="Arial" w:eastAsia="Arial" w:hAnsi="Arial"/>
          <w:sz w:val="16"/>
          <w:szCs w:val="16"/>
          <w:color w:val="auto"/>
        </w:rPr>
        <w:t>The Medicare—External segment relates to sales of products and plans under GoHealth’s carrier contracts using an</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national network of agents or external agencies, which are not employed by GoHealth. These agents utilize our technology and platform to enroll consumers in health insurance plans and provide us with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w:t>
      </w:r>
    </w:p>
    <w:p>
      <w:pPr>
        <w:spacing w:after="0" w:line="179" w:lineRule="exact"/>
        <w:rPr>
          <w:rFonts w:ascii="Arial" w:cs="Arial" w:eastAsia="Arial" w:hAnsi="Arial"/>
          <w:sz w:val="16"/>
          <w:szCs w:val="16"/>
          <w:color w:val="auto"/>
        </w:rPr>
      </w:pPr>
    </w:p>
    <w:p>
      <w:pPr>
        <w:ind w:left="660" w:right="140" w:hanging="328"/>
        <w:spacing w:after="0" w:line="25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IFP and Other—Internal: </w:t>
      </w:r>
      <w:r>
        <w:rPr>
          <w:rFonts w:ascii="Arial" w:cs="Arial" w:eastAsia="Arial" w:hAnsi="Arial"/>
          <w:sz w:val="16"/>
          <w:szCs w:val="16"/>
          <w:color w:val="auto"/>
        </w:rPr>
        <w:t>The IFP and Other—Internal segment relates to sales of products and plans by GoHealth-employed agents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qualified prospects plans from multiple carriers, GoHealth-employed agents offering qualified prospects plans on a carrier-specific basis, or DIY. In this segment, we sell individual and family plans, dental plans, vision plans and other ancillary plans to individuals who are not Medicare-eligible. We earn revenue in this segment through commissions paid by carriers based on sales we generate, as well as enrollment fees, and hourly fees and other fees for services performed for specific carriers and other partners.</w:t>
      </w:r>
    </w:p>
    <w:p>
      <w:pPr>
        <w:spacing w:after="0" w:line="179" w:lineRule="exact"/>
        <w:rPr>
          <w:rFonts w:ascii="Arial" w:cs="Arial" w:eastAsia="Arial" w:hAnsi="Arial"/>
          <w:sz w:val="16"/>
          <w:szCs w:val="16"/>
          <w:color w:val="auto"/>
        </w:rPr>
      </w:pPr>
    </w:p>
    <w:p>
      <w:pPr>
        <w:ind w:left="660" w:right="200" w:hanging="328"/>
        <w:spacing w:after="0" w:line="25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IFP and Other—External: </w:t>
      </w:r>
      <w:r>
        <w:rPr>
          <w:rFonts w:ascii="Arial" w:cs="Arial" w:eastAsia="Arial" w:hAnsi="Arial"/>
          <w:sz w:val="16"/>
          <w:szCs w:val="16"/>
          <w:color w:val="auto"/>
        </w:rPr>
        <w:t>The IFP and Other—External segment relates to sales of products and plans under GoHealth’s carrier contracts using</w:t>
      </w:r>
      <w:r>
        <w:rPr>
          <w:rFonts w:ascii="Arial" w:cs="Arial" w:eastAsia="Arial" w:hAnsi="Arial"/>
          <w:sz w:val="16"/>
          <w:szCs w:val="16"/>
          <w:b w:val="1"/>
          <w:bCs w:val="1"/>
          <w:color w:val="auto"/>
        </w:rPr>
        <w:t xml:space="preserve"> </w:t>
      </w:r>
      <w:r>
        <w:rPr>
          <w:rFonts w:ascii="Arial" w:cs="Arial" w:eastAsia="Arial" w:hAnsi="Arial"/>
          <w:sz w:val="16"/>
          <w:szCs w:val="16"/>
          <w:color w:val="auto"/>
        </w:rPr>
        <w:t>external agencies, who use agents that are not employed by GoHealth. These agents utilize our technology and platform to enroll consumers in health insurance plans. We also sell consumer leads generated by us to external agencies. In this segment, we sell individual and family plans, dental plans, vision plans and other ancillary plans to individuals who are not Medicare-eligible. We earn revenue in this segment through commissions paid by carriers as a result of policy sales, as well as sales of consumer leads to external agencies.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percentages of revenues and profit (loss) generated by each of our operating segments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 Jun. 30,</w:t>
            </w: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 Jun. 30,</w:t>
            </w:r>
          </w:p>
        </w:tc>
        <w:tc>
          <w:tcPr>
            <w:tcW w:w="138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Jun. 30, 2021</w:t>
            </w:r>
          </w:p>
        </w:tc>
        <w:tc>
          <w:tcPr>
            <w:tcW w:w="1280" w:type="dxa"/>
            <w:vAlign w:val="bottom"/>
          </w:tcPr>
          <w:p>
            <w:pPr>
              <w:jc w:val="right"/>
              <w:ind w:right="128"/>
              <w:spacing w:after="0"/>
              <w:rPr>
                <w:sz w:val="20"/>
                <w:szCs w:val="20"/>
                <w:color w:val="auto"/>
              </w:rPr>
            </w:pPr>
            <w:r>
              <w:rPr>
                <w:rFonts w:ascii="Arial" w:cs="Arial" w:eastAsia="Arial" w:hAnsi="Arial"/>
                <w:sz w:val="14"/>
                <w:szCs w:val="14"/>
                <w:b w:val="1"/>
                <w:bCs w:val="1"/>
                <w:color w:val="auto"/>
              </w:rPr>
              <w:t>Jun. 30, 2020</w:t>
            </w:r>
          </w:p>
        </w:tc>
        <w:tc>
          <w:tcPr>
            <w:tcW w:w="0" w:type="dxa"/>
            <w:vAlign w:val="bottom"/>
          </w:tcPr>
          <w:p>
            <w:pPr>
              <w:spacing w:after="0"/>
              <w:rPr>
                <w:sz w:val="1"/>
                <w:szCs w:val="1"/>
                <w:color w:val="auto"/>
              </w:rPr>
            </w:pPr>
          </w:p>
        </w:tc>
      </w:tr>
      <w:tr>
        <w:trPr>
          <w:trHeight w:val="169"/>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Percent of net revenues:</w:t>
            </w: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2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280" w:type="dxa"/>
            <w:vAlign w:val="bottom"/>
          </w:tcPr>
          <w:p>
            <w:pPr>
              <w:jc w:val="right"/>
              <w:spacing w:after="0"/>
              <w:rPr>
                <w:sz w:val="20"/>
                <w:szCs w:val="20"/>
                <w:color w:val="auto"/>
              </w:rPr>
            </w:pPr>
            <w:r>
              <w:rPr>
                <w:rFonts w:ascii="Arial" w:cs="Arial" w:eastAsia="Arial" w:hAnsi="Arial"/>
                <w:sz w:val="14"/>
                <w:szCs w:val="14"/>
                <w:color w:val="auto"/>
              </w:rPr>
              <w:t>81.5 %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68.7 %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79.2 %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68.1 %</w:t>
            </w:r>
          </w:p>
        </w:tc>
        <w:tc>
          <w:tcPr>
            <w:tcW w:w="0" w:type="dxa"/>
            <w:vAlign w:val="bottom"/>
          </w:tcPr>
          <w:p>
            <w:pPr>
              <w:spacing w:after="0"/>
              <w:rPr>
                <w:sz w:val="1"/>
                <w:szCs w:val="1"/>
                <w:color w:val="auto"/>
              </w:rPr>
            </w:pPr>
          </w:p>
        </w:tc>
      </w:tr>
      <w:tr>
        <w:trPr>
          <w:trHeight w:val="189"/>
        </w:trPr>
        <w:tc>
          <w:tcPr>
            <w:tcW w:w="5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22.1 %</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17.7 %</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189"/>
        </w:trPr>
        <w:tc>
          <w:tcPr>
            <w:tcW w:w="582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28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189"/>
        </w:trPr>
        <w:tc>
          <w:tcPr>
            <w:tcW w:w="5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Total net revenues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56"/>
        </w:trPr>
        <w:tc>
          <w:tcPr>
            <w:tcW w:w="58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Percent of segment profit (loss):</w:t>
            </w: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9"/>
        </w:trPr>
        <w:tc>
          <w:tcPr>
            <w:tcW w:w="582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280" w:type="dxa"/>
            <w:vAlign w:val="bottom"/>
          </w:tcPr>
          <w:p>
            <w:pPr>
              <w:jc w:val="right"/>
              <w:spacing w:after="0"/>
              <w:rPr>
                <w:sz w:val="20"/>
                <w:szCs w:val="20"/>
                <w:color w:val="auto"/>
              </w:rPr>
            </w:pPr>
            <w:r>
              <w:rPr>
                <w:rFonts w:ascii="Arial" w:cs="Arial" w:eastAsia="Arial" w:hAnsi="Arial"/>
                <w:sz w:val="14"/>
                <w:szCs w:val="14"/>
                <w:color w:val="auto"/>
              </w:rPr>
              <w:t>108.9 %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98.3 %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105.1 %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98.4 %</w:t>
            </w:r>
          </w:p>
        </w:tc>
      </w:tr>
      <w:tr>
        <w:trPr>
          <w:trHeight w:val="189"/>
        </w:trPr>
        <w:tc>
          <w:tcPr>
            <w:tcW w:w="5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r>
      <w:tr>
        <w:trPr>
          <w:trHeight w:val="189"/>
        </w:trPr>
        <w:tc>
          <w:tcPr>
            <w:tcW w:w="582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2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0.6 %</w:t>
            </w:r>
          </w:p>
        </w:tc>
      </w:tr>
      <w:tr>
        <w:trPr>
          <w:trHeight w:val="189"/>
        </w:trPr>
        <w:tc>
          <w:tcPr>
            <w:tcW w:w="5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0.8 %</w:t>
            </w:r>
          </w:p>
        </w:tc>
      </w:tr>
      <w:tr>
        <w:trPr>
          <w:trHeight w:val="183"/>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Total segment profit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Transactions</w:t>
      </w:r>
    </w:p>
    <w:p>
      <w:pPr>
        <w:spacing w:after="0" w:line="24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Our historical results of operations prior to the completion of the Transactions, including the IPO, do not reflect certain items that we expect will affect our results of operations and financial condition after giving effect to the Transactions and the use of proceeds from the IPO.</w:t>
      </w:r>
    </w:p>
    <w:p>
      <w:pPr>
        <w:spacing w:after="0" w:line="19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Following the completion of the Transactions, GoHealth, Inc. became the sole managing member of GoHealth Holdings, LLC. Although we have a minority economic interest in GoHealth Holdings, LLC, we have the sole voting interest in, and control of the business and affairs of, GoHealth Holdings, LLC and its direct and indirect subsidiaries. As a result, GoHealth, Inc. consolidates GoHealth Holdings, LLC and records significant non-controlling interest in a consolidated entity in GoHealth, Inc.’s Condensed Consolidated Financial Statements for the economic interest in GoHealth Holdings, LLC held directly or indirectly by the Continuing Equity Owners. As of June 30, 2021, public investors collectively own 61.4% of our outstanding Class A common stock, consisting of 64,635 shares of Class A common stock. As of June 30, 2021, GoHealth, Inc. owns 105,318 LLC Interests, representing 33.5% of the economic interest in GoHealth Holdings, LLC, the Founders collectively own 97,301 LLC Interests, representing 30.9% of the economic interest in GoHealth Holdings, LLC, Centerbridge owns 80,793 LLC Interests, representing</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23</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26" w:name="page27"/>
    <w:bookmarkEnd w:id="26"/>
    <w:p>
      <w:pPr>
        <w:ind w:right="40"/>
        <w:spacing w:after="0" w:line="251" w:lineRule="auto"/>
        <w:rPr>
          <w:sz w:val="20"/>
          <w:szCs w:val="20"/>
          <w:color w:val="auto"/>
        </w:rPr>
      </w:pPr>
      <w:r>
        <w:rPr>
          <w:rFonts w:ascii="Arial" w:cs="Arial" w:eastAsia="Arial" w:hAnsi="Arial"/>
          <w:sz w:val="16"/>
          <w:szCs w:val="16"/>
          <w:color w:val="auto"/>
        </w:rPr>
        <w:t>25.7% of the economic interest in GoHealth Holdings, LLC, and the Continuing Equity Owners collectively own 31,312 LLC Interests, representing 9.9% of the economic interest in GoHealth Holdings, LLC. Accordingly, as of June 30, 2021, the economic interest in GoHealth Holdings, LLC held by non-controlling interest was 66.5%. GoHealth, Inc. is a holding company that conducts no operations and its principal asset is the LLC Interests we purchased from GoHealth Holdings, LLC.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ownership of total shares of Class A and Class B common stock issued and outstanding as of June 30, 2021,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139065</wp:posOffset>
            </wp:positionV>
            <wp:extent cx="5143500" cy="2143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GoHealth, Inc. is subject to U.S. federal, state and local income taxes with respect to our allocable share of any taxable income of GoHealth Holdings, LLC and is taxed at the prevailing corporate tax rates. In addition to tax expenses, we also incur expenses related to our status as a public company, plus payment obligations under the Tax Receivable Agreement, which could be significant. We intend to cause GoHealth Holdings, LLC to make distributions to us in an amount sufficient to allow us to pay these expenses and fund any payments due under the Tax Receivable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Response to COVID-19, Impact and Recovery</w:t>
      </w:r>
    </w:p>
    <w:p>
      <w:pPr>
        <w:spacing w:after="0" w:line="24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It has been approximately 18 months since the World Health Organization declared a pandemic due to COVID-19 and the pandemic continues to have significant impact in the U.S. economy. During the pandemic we successfully transitioned our agents and other employees to a work from home working environment and opened several virtual sites across the country. We believe the investments we have made in our technology infrastructure have allowed for a seamless transition without any material impacts to our business, highlighting its resilience. We believe that our business is well-suited to navigate the current environment in which consumers are particularly focused on healthcare issues and mortality. The Company has begun to implement a gradual and phased return to the office for certain employees, while we expect other employees will continue to work in a remote environment for the foreseeable future. Employee work location decisions will continue to depend, at least in part, on the level of virus containment and local health and safety regulations. While social distancing requirements have pushed consumers to conduct business remotely, the underlying demand dynamics for our core products remain unchanged. Additionally, because of our remote agent platform, we believe agents will continue to be attracted to our bonus-based agent compensation model and the stable and attractive source of income it can provide, thereby allowing us to continue to recruit and retain agents. Further, as consumers become more comfortable with conducting business remotely, we believe consumer adoption of distribution models such as ours may continue to accelerate long after the COVID-19 pandemic ends.</w:t>
      </w:r>
    </w:p>
    <w:p>
      <w:pPr>
        <w:spacing w:after="0" w:line="212"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COVID-19 pandemic has resulted in, and may continue to result in, significant economic disruption in the economy. While the situation has improved, namely with the help of vaccines, variants continue to put stress on the recovery. We continue to closely monitor the situation and its impacts on our business, liquidity, and capital planning initiatives.</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do not yet know the full extent of the impacts on our business, our operations or the global economy as a whole. However, the effects could have a material impact on our results of operations. See “Risk Factors—Risks Related to Our Business—The extent to which the COVID-19 outbreak and measures taken in response thereto impact our business, results of operations and financial condition will depend on future developments, which are highly uncertain and cannot be predicted” in our 2020 Form 10-K for additional information.</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2021 compared to three months ended June 30, 2020</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results of operations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Jun. 30,</w:t>
            </w:r>
          </w:p>
        </w:tc>
        <w:tc>
          <w:tcPr>
            <w:tcW w:w="120" w:type="dxa"/>
            <w:vAlign w:val="bottom"/>
          </w:tcPr>
          <w:p>
            <w:pPr>
              <w:spacing w:after="0"/>
              <w:rPr>
                <w:sz w:val="14"/>
                <w:szCs w:val="14"/>
                <w:color w:val="auto"/>
              </w:rPr>
            </w:pPr>
          </w:p>
        </w:tc>
        <w:tc>
          <w:tcPr>
            <w:tcW w:w="214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rPr>
              <w:t>Three months ended Jun. 30,</w:t>
            </w:r>
          </w:p>
        </w:tc>
        <w:tc>
          <w:tcPr>
            <w:tcW w:w="0" w:type="dxa"/>
            <w:vAlign w:val="bottom"/>
          </w:tcPr>
          <w:p>
            <w:pPr>
              <w:spacing w:after="0"/>
              <w:rPr>
                <w:sz w:val="1"/>
                <w:szCs w:val="1"/>
                <w:color w:val="auto"/>
              </w:rPr>
            </w:pPr>
          </w:p>
        </w:tc>
      </w:tr>
      <w:tr>
        <w:trPr>
          <w:trHeight w:val="176"/>
        </w:trPr>
        <w:tc>
          <w:tcPr>
            <w:tcW w:w="6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Dollars</w:t>
            </w:r>
          </w:p>
        </w:tc>
        <w:tc>
          <w:tcPr>
            <w:tcW w:w="340" w:type="dxa"/>
            <w:vAlign w:val="bottom"/>
          </w:tcPr>
          <w:p>
            <w:pPr>
              <w:spacing w:after="0"/>
              <w:rPr>
                <w:sz w:val="12"/>
                <w:szCs w:val="12"/>
                <w:color w:val="auto"/>
              </w:rPr>
            </w:pPr>
          </w:p>
        </w:tc>
        <w:tc>
          <w:tcPr>
            <w:tcW w:w="13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2"/>
                <w:szCs w:val="12"/>
                <w:color w:val="auto"/>
              </w:rPr>
            </w:pPr>
          </w:p>
        </w:tc>
        <w:tc>
          <w:tcPr>
            <w:tcW w:w="12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Dollars</w:t>
            </w:r>
          </w:p>
        </w:tc>
        <w:tc>
          <w:tcPr>
            <w:tcW w:w="92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6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69"/>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0" w:type="dxa"/>
            <w:vAlign w:val="bottom"/>
          </w:tcPr>
          <w:p>
            <w:pPr>
              <w:ind w:left="240"/>
              <w:spacing w:after="0"/>
              <w:rPr>
                <w:sz w:val="20"/>
                <w:szCs w:val="20"/>
                <w:color w:val="auto"/>
              </w:rPr>
            </w:pPr>
            <w:r>
              <w:rPr>
                <w:rFonts w:ascii="Arial" w:cs="Arial" w:eastAsia="Arial" w:hAnsi="Arial"/>
                <w:sz w:val="14"/>
                <w:szCs w:val="14"/>
                <w:color w:val="auto"/>
              </w:rPr>
              <w:t>Commission</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147,508</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74.9 %</w:t>
            </w:r>
          </w:p>
        </w:tc>
        <w:tc>
          <w:tcPr>
            <w:tcW w:w="3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96,606</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76.0 %</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Enterprise</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49,394</w:t>
            </w:r>
          </w:p>
        </w:tc>
        <w:tc>
          <w:tcPr>
            <w:tcW w:w="3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25.1 %</w:t>
            </w:r>
          </w:p>
        </w:tc>
        <w:tc>
          <w:tcPr>
            <w:tcW w:w="3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30,451</w:t>
            </w: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24.0 %</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196,902</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127,057</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69"/>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0" w:type="dxa"/>
            <w:vAlign w:val="bottom"/>
          </w:tcPr>
          <w:p>
            <w:pPr>
              <w:ind w:left="240"/>
              <w:spacing w:after="0"/>
              <w:rPr>
                <w:sz w:val="20"/>
                <w:szCs w:val="20"/>
                <w:color w:val="auto"/>
              </w:rPr>
            </w:pPr>
            <w:r>
              <w:rPr>
                <w:rFonts w:ascii="Arial" w:cs="Arial" w:eastAsia="Arial" w:hAnsi="Arial"/>
                <w:sz w:val="14"/>
                <w:szCs w:val="14"/>
                <w:color w:val="auto"/>
              </w:rPr>
              <w:t>Cost of revenue</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37,442</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19.0 %</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36,559</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28.8 %</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55,735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28.3 %</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21,634</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189"/>
        </w:trPr>
        <w:tc>
          <w:tcPr>
            <w:tcW w:w="640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61,927</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31.5 %</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28,394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22.3 %</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5,705</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89"/>
        </w:trPr>
        <w:tc>
          <w:tcPr>
            <w:tcW w:w="640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25,251</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12.8 %</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10,359</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15,300</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189"/>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23,515</w:t>
            </w:r>
          </w:p>
        </w:tc>
        <w:tc>
          <w:tcPr>
            <w:tcW w:w="3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11.9 %</w:t>
            </w:r>
          </w:p>
        </w:tc>
        <w:tc>
          <w:tcPr>
            <w:tcW w:w="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23,514</w:t>
            </w: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18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215,853</w:t>
            </w:r>
          </w:p>
        </w:tc>
        <w:tc>
          <w:tcPr>
            <w:tcW w:w="3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109.6 %</w:t>
            </w:r>
          </w:p>
        </w:tc>
        <w:tc>
          <w:tcPr>
            <w:tcW w:w="3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141,465</w:t>
            </w:r>
          </w:p>
        </w:tc>
        <w:tc>
          <w:tcPr>
            <w:tcW w:w="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111.3 %</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(18,951)</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(14,408)</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8,986</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11,935</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6.1 %</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3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3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2"/>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(39,207)</w:t>
            </w:r>
          </w:p>
        </w:tc>
        <w:tc>
          <w:tcPr>
            <w:tcW w:w="3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(22,889)</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8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3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3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(39,175)</w:t>
            </w:r>
          </w:p>
        </w:tc>
        <w:tc>
          <w:tcPr>
            <w:tcW w:w="3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(22,867)</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8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(27,186)</w:t>
            </w:r>
          </w:p>
        </w:tc>
        <w:tc>
          <w:tcPr>
            <w:tcW w:w="3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3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(11,989)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(6.1)%</w:t>
            </w: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(22,867)</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Non-GAAP financial measures:</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Arial" w:cs="Arial" w:eastAsia="Arial" w:hAnsi="Arial"/>
                <w:sz w:val="14"/>
                <w:szCs w:val="14"/>
                <w:color w:val="auto"/>
              </w:rPr>
              <w:t>EBITDA</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(5,192)</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10,615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14,342</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26,936</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64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gridSpan w:val="2"/>
          </w:tcPr>
          <w:p>
            <w:pPr>
              <w:ind w:left="560"/>
              <w:spacing w:after="0"/>
              <w:rPr>
                <w:sz w:val="20"/>
                <w:szCs w:val="20"/>
                <w:color w:val="auto"/>
              </w:rPr>
            </w:pPr>
            <w:r>
              <w:rPr>
                <w:rFonts w:ascii="Arial" w:cs="Arial" w:eastAsia="Arial" w:hAnsi="Arial"/>
                <w:sz w:val="14"/>
                <w:szCs w:val="14"/>
                <w:color w:val="auto"/>
              </w:rPr>
              <w:t>7.3 %</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rPr>
              <w:t>21.2 %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EBITDA, Adjusted EBITDA and Adjusted EBITDA Margin</w:t>
      </w:r>
    </w:p>
    <w:p>
      <w:pPr>
        <w:spacing w:after="0" w:line="23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202"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Adjusted EBITDA represents EBITDA as further adjusted for share-based compensation expense, loss on extinguishment of debt, non-recurring legal fees, change in fair value of contingent consideration liability, IPO transaction costs, and severance costs. Adjusted EBITDA margin represents Adjusted EBITDA divided by net revenues.</w:t>
      </w:r>
    </w:p>
    <w:p>
      <w:pPr>
        <w:spacing w:after="0" w:line="20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8" w:name="page29"/>
    <w:bookmarkEnd w:id="28"/>
    <w:p>
      <w:pPr>
        <w:spacing w:after="0" w:line="24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35"/>
        </w:trPr>
        <w:tc>
          <w:tcPr>
            <w:tcW w:w="8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ended Jun. 30,</w:t>
            </w:r>
          </w:p>
        </w:tc>
        <w:tc>
          <w:tcPr>
            <w:tcW w:w="10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ended Jun. 30,</w:t>
            </w:r>
          </w:p>
        </w:tc>
        <w:tc>
          <w:tcPr>
            <w:tcW w:w="0" w:type="dxa"/>
            <w:vAlign w:val="bottom"/>
          </w:tcPr>
          <w:p>
            <w:pPr>
              <w:spacing w:after="0"/>
              <w:rPr>
                <w:sz w:val="1"/>
                <w:szCs w:val="1"/>
                <w:color w:val="auto"/>
              </w:rPr>
            </w:pPr>
          </w:p>
        </w:tc>
      </w:tr>
      <w:tr>
        <w:trPr>
          <w:trHeight w:val="176"/>
        </w:trPr>
        <w:tc>
          <w:tcPr>
            <w:tcW w:w="87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196,902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127,057</w:t>
            </w:r>
          </w:p>
        </w:tc>
        <w:tc>
          <w:tcPr>
            <w:tcW w:w="0" w:type="dxa"/>
            <w:vAlign w:val="bottom"/>
          </w:tcPr>
          <w:p>
            <w:pPr>
              <w:spacing w:after="0"/>
              <w:rPr>
                <w:sz w:val="1"/>
                <w:szCs w:val="1"/>
                <w:color w:val="auto"/>
              </w:rPr>
            </w:pPr>
          </w:p>
        </w:tc>
      </w:tr>
      <w:tr>
        <w:trPr>
          <w:trHeight w:val="183"/>
        </w:trPr>
        <w:tc>
          <w:tcPr>
            <w:tcW w:w="8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(39,175)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(22,867)</w:t>
            </w:r>
          </w:p>
        </w:tc>
        <w:tc>
          <w:tcPr>
            <w:tcW w:w="0" w:type="dxa"/>
            <w:vAlign w:val="bottom"/>
          </w:tcPr>
          <w:p>
            <w:pPr>
              <w:spacing w:after="0"/>
              <w:rPr>
                <w:sz w:val="1"/>
                <w:szCs w:val="1"/>
                <w:color w:val="auto"/>
              </w:rPr>
            </w:pP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8,986</w:t>
            </w:r>
          </w:p>
        </w:tc>
        <w:tc>
          <w:tcPr>
            <w:tcW w:w="0" w:type="dxa"/>
            <w:vAlign w:val="bottom"/>
          </w:tcPr>
          <w:p>
            <w:pPr>
              <w:spacing w:after="0"/>
              <w:rPr>
                <w:sz w:val="1"/>
                <w:szCs w:val="1"/>
                <w:color w:val="auto"/>
              </w:rPr>
            </w:pP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 expense</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25,738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24,518</w:t>
            </w:r>
          </w:p>
        </w:tc>
        <w:tc>
          <w:tcPr>
            <w:tcW w:w="0" w:type="dxa"/>
            <w:vAlign w:val="bottom"/>
          </w:tcPr>
          <w:p>
            <w:pPr>
              <w:spacing w:after="0"/>
              <w:rPr>
                <w:sz w:val="1"/>
                <w:szCs w:val="1"/>
                <w:color w:val="auto"/>
              </w:rPr>
            </w:pPr>
          </w:p>
        </w:tc>
      </w:tr>
      <w:tr>
        <w:trPr>
          <w:trHeight w:val="18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EBITDA</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10,615</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Loss on extinguishment of debt (1)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Share-based compensation expense (2)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fair value of contingent consideration liability (3)</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15,300</w:t>
            </w:r>
          </w:p>
        </w:tc>
        <w:tc>
          <w:tcPr>
            <w:tcW w:w="0" w:type="dxa"/>
            <w:vAlign w:val="bottom"/>
          </w:tcPr>
          <w:p>
            <w:pPr>
              <w:spacing w:after="0"/>
              <w:rPr>
                <w:sz w:val="1"/>
                <w:szCs w:val="1"/>
                <w:color w:val="auto"/>
              </w:rPr>
            </w:pP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IPO transactions costs (4)</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08"/>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26,936</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87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7.3 %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21.2 %</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loss on debt extinguishment related to the Initial Term Loan Facility.</w:t>
      </w:r>
    </w:p>
    <w:p>
      <w:pPr>
        <w:spacing w:after="0" w:line="15" w:lineRule="exact"/>
        <w:rPr>
          <w:rFonts w:ascii="Arial" w:cs="Arial" w:eastAsia="Arial" w:hAnsi="Arial"/>
          <w:sz w:val="14"/>
          <w:szCs w:val="14"/>
          <w:i w:val="1"/>
          <w:iCs w:val="1"/>
          <w:color w:val="auto"/>
        </w:rPr>
      </w:pPr>
    </w:p>
    <w:p>
      <w:pPr>
        <w:ind w:left="320" w:hanging="312"/>
        <w:spacing w:after="0"/>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non-cash share-based compensation expense relating to equity awards.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change in fair value of the contingent consideration liability due to the predecessor owners of the Company arising from the Centerbridge Acquisition.</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legal, accounting, consulting, and other indirect costs associated with the Company’s IPO.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Commission Revenues</w:t>
      </w:r>
    </w:p>
    <w:p>
      <w:pPr>
        <w:spacing w:after="0" w:line="23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Commission revenues were $147.5 million for the three months ended June 30, 2021 compared to $96.6 million for the three months ended June 30, 2020. The $50.9 million, or 53%, increase was primarily attributable to increases in commission revenue from the Medicare—Internal segment driven by a 77% increase in Medicare commissionable Approved Submissions and increased LTV Per Approved Submission for the three months ended June 30, 2021 compared to the comparable prior year period.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Enterprise Revenues</w:t>
      </w:r>
    </w:p>
    <w:p>
      <w:pPr>
        <w:spacing w:after="0" w:line="23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Enterprise revenues were $49.4 million for the three months ended June 30, 2021 compared to $30.5 million for the three months ended June 30, 2020. The $18.9 million, or 62%, increase was primarily attributable to an increase of $21.6 million related to partner marketing and enrollment services, partially offset by a $2.7 million decrease in consumer lead sales to external third parties in our external segments, as we strategically shifted to generating consumer leads in the internal channels.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Expense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Cost of Revenue</w:t>
      </w:r>
    </w:p>
    <w:p>
      <w:pPr>
        <w:spacing w:after="0" w:line="23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Cost of revenue was $37.4 million for the three months ended June 30, 2021 compared to $36.6 million for the three months ended June 30, 2020. The $0.9 million, or 2%, increase was primarily attributable to a 4% increase in commissionable Approved Submissions in the Medicare—External segment, which increased the amount of expense we recognized pursuant to our revenue-sharing agreements with external agents and other partners.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Marketing and Advertising</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26</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29" w:name="page30"/>
    <w:bookmarkEnd w:id="29"/>
    <w:p>
      <w:pPr>
        <w:ind w:right="80"/>
        <w:spacing w:after="0" w:line="251" w:lineRule="auto"/>
        <w:rPr>
          <w:sz w:val="20"/>
          <w:szCs w:val="20"/>
          <w:color w:val="auto"/>
        </w:rPr>
      </w:pPr>
      <w:r>
        <w:rPr>
          <w:rFonts w:ascii="Arial" w:cs="Arial" w:eastAsia="Arial" w:hAnsi="Arial"/>
          <w:sz w:val="16"/>
          <w:szCs w:val="16"/>
          <w:color w:val="auto"/>
        </w:rPr>
        <w:t>Marketing and advertising expense was $55.7 million for the three months ended June 30, 2021 compared to $21.6 million for the three months ended June 30, 2020. The $34.1 million, or 158%, increase was primarily attributable to an increase in our advertising costs for the Medicare—Internal segment to generate more qualified prospects, which contributed to a 77% increase in Medicare—Internal commissionable Approved Submissions and 55% increase in net revenue.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Customer Care and Enrollment</w:t>
      </w:r>
    </w:p>
    <w:p>
      <w:pPr>
        <w:spacing w:after="0" w:line="8"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Customer care and enrollment expense was $61.9 million for the three months ended June 30, 2021 compared to $28.4 million for the three months ended June 30, 2020. The $33.5 million, or 118%, increase was primarily attributable to the hiring of additional agents in the Medicare—Internal segment to be well-positioned for target annual enrollment period (“AEP”) capacity. Additionally, the increase represents onboarding and new training initiatives, which position us to have the agent efficiency gains necessary to capitalize on opportunities, as well as expenses associated with an increased rate in attrition of agents.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Technology</w:t>
      </w:r>
    </w:p>
    <w:p>
      <w:pPr>
        <w:spacing w:after="0" w:line="237"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Technology expense was $12.0 million for the three months ended June 30, 2021 compared to $5.7 million for the three months ended June 30, 2020. The $6.3 million, or 110%, increase was primarily attributable to the hiring of additional employees in our technology and data science teams, and the expansion of our business intelligence and analytics staffing in order to support the growth of the Medicare—Internal segment.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General and Administrative</w:t>
      </w:r>
    </w:p>
    <w:p>
      <w:pPr>
        <w:spacing w:after="0" w:line="23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General and administrative expense was $25.3 million for the three months ended June 30, 2021 compared to $10.4 million for the three months ended June 30, 2020. The $14.9 million, or 144%, increase was primarily attributable to investments in corporate infrastructure, such as legal, human resources, and finance, to support general growth and implement the corporate resources needed to support a post-IPO business.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Change in Fair Value of Contingent Consideration Liability</w:t>
      </w:r>
    </w:p>
    <w:p>
      <w:pPr>
        <w:spacing w:after="0" w:line="237"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Change in fair value of contingent consideration liability was $15.3 million for the three months ended June 30, 2020 and relates to the earnout liability incurred in connection with the Centerbridge Acquisition, in which we agreed to pay additional consideration if certain financial targets are achieved. The earnout liability was settled in connection with our IPO.</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Amortization of Intangible Assets</w:t>
      </w:r>
    </w:p>
    <w:p>
      <w:pPr>
        <w:spacing w:after="0" w:line="23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Amortization of intangible assets expense was $23.5 million for both the three months ended June 30, 2021 and three months ended June 30, 2020, and relates to the amortization of developed technology and customer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Interest Expense</w:t>
      </w:r>
    </w:p>
    <w:p>
      <w:pPr>
        <w:spacing w:after="0" w:line="23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Interest expense was $8.3 million for the three months ended June 30, 2021 compared to $9.0 million for the three months ended June 30, 2020. The $0.7 million decrease was due to the refinancing of the Initial Term Loan Facility in June 2021.</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Loss on Extinguishment of Debt</w:t>
      </w:r>
    </w:p>
    <w:p>
      <w:pPr>
        <w:spacing w:after="0" w:line="23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Loss on extinguishment of debt was $11.9 million for the three months ended June 30, 2021 and relates to the expense recognized for the extinguishment of the Initial Term Loan Facility.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Adjusted EBITDA</w:t>
      </w:r>
    </w:p>
    <w:p>
      <w:pPr>
        <w:spacing w:after="0" w:line="23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Adjusted EBITDA was $14.3 million for the three months ended June 30, 2021 compared to $26.9 million for the three months ended June 30, 2020. The $12.6 million, or 47%, decrease was due to our strategic investments in agent capacity and capabilities to be well-positioned for target AEP production.</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27</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Six months ended June 30, 2021 compared to six months ended June 30, 2020</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results of operations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 30, 2021</w:t>
            </w:r>
          </w:p>
        </w:tc>
        <w:tc>
          <w:tcPr>
            <w:tcW w:w="340" w:type="dxa"/>
            <w:vAlign w:val="bottom"/>
          </w:tcPr>
          <w:p>
            <w:pPr>
              <w:spacing w:after="0"/>
              <w:rPr>
                <w:sz w:val="16"/>
                <w:szCs w:val="16"/>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 30, 2020</w:t>
            </w:r>
          </w:p>
        </w:tc>
        <w:tc>
          <w:tcPr>
            <w:tcW w:w="0" w:type="dxa"/>
            <w:vAlign w:val="bottom"/>
          </w:tcPr>
          <w:p>
            <w:pPr>
              <w:spacing w:after="0"/>
              <w:rPr>
                <w:sz w:val="1"/>
                <w:szCs w:val="1"/>
                <w:color w:val="auto"/>
              </w:rPr>
            </w:pPr>
          </w:p>
        </w:tc>
      </w:tr>
      <w:tr>
        <w:trPr>
          <w:trHeight w:val="142"/>
        </w:trPr>
        <w:tc>
          <w:tcPr>
            <w:tcW w:w="6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Dollars</w:t>
            </w:r>
          </w:p>
        </w:tc>
        <w:tc>
          <w:tcPr>
            <w:tcW w:w="13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2"/>
                <w:szCs w:val="12"/>
                <w:color w:val="auto"/>
              </w:rPr>
            </w:pPr>
          </w:p>
        </w:tc>
        <w:tc>
          <w:tcPr>
            <w:tcW w:w="11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Dollars</w:t>
            </w:r>
          </w:p>
        </w:tc>
        <w:tc>
          <w:tcPr>
            <w:tcW w:w="94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6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69"/>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0" w:type="dxa"/>
            <w:vAlign w:val="bottom"/>
          </w:tcPr>
          <w:p>
            <w:pPr>
              <w:ind w:left="240"/>
              <w:spacing w:after="0"/>
              <w:rPr>
                <w:sz w:val="20"/>
                <w:szCs w:val="20"/>
                <w:color w:val="auto"/>
              </w:rPr>
            </w:pPr>
            <w:r>
              <w:rPr>
                <w:rFonts w:ascii="Arial" w:cs="Arial" w:eastAsia="Arial" w:hAnsi="Arial"/>
                <w:sz w:val="14"/>
                <w:szCs w:val="14"/>
                <w:color w:val="auto"/>
              </w:rPr>
              <w:t>Commission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321,489</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80.2 %</w:t>
            </w:r>
          </w:p>
        </w:tc>
        <w:tc>
          <w:tcPr>
            <w:tcW w:w="3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209,116</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78.0 %</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Enterprise</w:t>
            </w: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79,592</w:t>
            </w:r>
          </w:p>
        </w:tc>
        <w:tc>
          <w:tcPr>
            <w:tcW w:w="3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19.8 %</w:t>
            </w:r>
          </w:p>
        </w:tc>
        <w:tc>
          <w:tcPr>
            <w:tcW w:w="3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58,951</w:t>
            </w:r>
          </w:p>
        </w:tc>
        <w:tc>
          <w:tcPr>
            <w:tcW w:w="3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22.0 %</w:t>
            </w:r>
          </w:p>
        </w:tc>
        <w:tc>
          <w:tcPr>
            <w:tcW w:w="0" w:type="dxa"/>
            <w:vAlign w:val="bottom"/>
          </w:tcPr>
          <w:p>
            <w:pPr>
              <w:spacing w:after="0"/>
              <w:rPr>
                <w:sz w:val="1"/>
                <w:szCs w:val="1"/>
                <w:color w:val="auto"/>
              </w:rPr>
            </w:pPr>
          </w:p>
        </w:tc>
      </w:tr>
      <w:tr>
        <w:trPr>
          <w:trHeight w:val="18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401,081</w:t>
            </w:r>
          </w:p>
        </w:tc>
        <w:tc>
          <w:tcPr>
            <w:tcW w:w="3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268,067</w:t>
            </w: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69"/>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0" w:type="dxa"/>
            <w:vAlign w:val="bottom"/>
          </w:tcPr>
          <w:p>
            <w:pPr>
              <w:ind w:left="240"/>
              <w:spacing w:after="0"/>
              <w:rPr>
                <w:sz w:val="20"/>
                <w:szCs w:val="20"/>
                <w:color w:val="auto"/>
              </w:rPr>
            </w:pPr>
            <w:r>
              <w:rPr>
                <w:rFonts w:ascii="Arial" w:cs="Arial" w:eastAsia="Arial" w:hAnsi="Arial"/>
                <w:sz w:val="14"/>
                <w:szCs w:val="14"/>
                <w:color w:val="auto"/>
              </w:rPr>
              <w:t>Cost of revenue</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85,817</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21.4 %</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78,693</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29.4 %</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Marketing and advertising</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110,219</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27.5 %</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47,708</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17.8 %</w:t>
            </w:r>
          </w:p>
        </w:tc>
        <w:tc>
          <w:tcPr>
            <w:tcW w:w="0" w:type="dxa"/>
            <w:vAlign w:val="bottom"/>
          </w:tcPr>
          <w:p>
            <w:pPr>
              <w:spacing w:after="0"/>
              <w:rPr>
                <w:sz w:val="1"/>
                <w:szCs w:val="1"/>
                <w:color w:val="auto"/>
              </w:rPr>
            </w:pPr>
          </w:p>
        </w:tc>
      </w:tr>
      <w:tr>
        <w:trPr>
          <w:trHeight w:val="189"/>
        </w:trPr>
        <w:tc>
          <w:tcPr>
            <w:tcW w:w="640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109,021</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27.2 %</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52,371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19.5 %</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Technology</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21,600</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10,298</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89"/>
        </w:trPr>
        <w:tc>
          <w:tcPr>
            <w:tcW w:w="640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44,944</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11.2 %</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20,849</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19,700</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89"/>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Amortization of intangible assets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47,029</w:t>
            </w:r>
          </w:p>
        </w:tc>
        <w:tc>
          <w:tcPr>
            <w:tcW w:w="3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11.7 %</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47,029</w:t>
            </w:r>
          </w:p>
        </w:tc>
        <w:tc>
          <w:tcPr>
            <w:tcW w:w="3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18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418,630</w:t>
            </w:r>
          </w:p>
        </w:tc>
        <w:tc>
          <w:tcPr>
            <w:tcW w:w="3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104.4 %</w:t>
            </w:r>
          </w:p>
        </w:tc>
        <w:tc>
          <w:tcPr>
            <w:tcW w:w="3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276,648</w:t>
            </w: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103.2 %</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(17,549)</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(8,581)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16,965</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15,742</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11,935</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3.0 %</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(46,506)</w:t>
            </w:r>
          </w:p>
        </w:tc>
        <w:tc>
          <w:tcPr>
            <w:tcW w:w="3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3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(23,828)</w:t>
            </w:r>
          </w:p>
        </w:tc>
        <w:tc>
          <w:tcPr>
            <w:tcW w:w="3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(46,443)</w:t>
            </w:r>
          </w:p>
        </w:tc>
        <w:tc>
          <w:tcPr>
            <w:tcW w:w="3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3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(23,804)</w:t>
            </w:r>
          </w:p>
        </w:tc>
        <w:tc>
          <w:tcPr>
            <w:tcW w:w="3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2"/>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(32,364)</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(14,079)</w:t>
            </w:r>
          </w:p>
        </w:tc>
        <w:tc>
          <w:tcPr>
            <w:tcW w:w="34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w:t>
            </w:r>
          </w:p>
        </w:tc>
        <w:tc>
          <w:tcPr>
            <w:tcW w:w="3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(23,804)</w:t>
            </w:r>
          </w:p>
        </w:tc>
        <w:tc>
          <w:tcPr>
            <w:tcW w:w="3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Non-GAAP financial measures:</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Arial" w:cs="Arial" w:eastAsia="Arial" w:hAnsi="Arial"/>
                <w:sz w:val="14"/>
                <w:szCs w:val="14"/>
                <w:color w:val="auto"/>
              </w:rPr>
              <w:t>EBITDA</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21,564</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40,579</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46,390</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61,857</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64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348"/>
              <w:spacing w:after="0"/>
              <w:rPr>
                <w:sz w:val="20"/>
                <w:szCs w:val="20"/>
                <w:color w:val="auto"/>
              </w:rPr>
            </w:pPr>
            <w:r>
              <w:rPr>
                <w:rFonts w:ascii="Arial" w:cs="Arial" w:eastAsia="Arial" w:hAnsi="Arial"/>
                <w:sz w:val="14"/>
                <w:szCs w:val="14"/>
                <w:color w:val="auto"/>
              </w:rPr>
              <w:t>11.6 %</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4"/>
                <w:szCs w:val="14"/>
                <w:color w:val="auto"/>
              </w:rPr>
              <w:t>23.1 %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35"/>
        </w:trPr>
        <w:tc>
          <w:tcPr>
            <w:tcW w:w="8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ended Jun. 30,</w:t>
            </w:r>
          </w:p>
        </w:tc>
        <w:tc>
          <w:tcPr>
            <w:tcW w:w="10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ended Jun. 30,</w:t>
            </w:r>
          </w:p>
        </w:tc>
        <w:tc>
          <w:tcPr>
            <w:tcW w:w="0" w:type="dxa"/>
            <w:vAlign w:val="bottom"/>
          </w:tcPr>
          <w:p>
            <w:pPr>
              <w:spacing w:after="0"/>
              <w:rPr>
                <w:sz w:val="1"/>
                <w:szCs w:val="1"/>
                <w:color w:val="auto"/>
              </w:rPr>
            </w:pPr>
          </w:p>
        </w:tc>
      </w:tr>
      <w:tr>
        <w:trPr>
          <w:trHeight w:val="175"/>
        </w:trPr>
        <w:tc>
          <w:tcPr>
            <w:tcW w:w="87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401,081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268,067</w:t>
            </w:r>
          </w:p>
        </w:tc>
        <w:tc>
          <w:tcPr>
            <w:tcW w:w="0" w:type="dxa"/>
            <w:vAlign w:val="bottom"/>
          </w:tcPr>
          <w:p>
            <w:pPr>
              <w:spacing w:after="0"/>
              <w:rPr>
                <w:sz w:val="1"/>
                <w:szCs w:val="1"/>
                <w:color w:val="auto"/>
              </w:rPr>
            </w:pPr>
          </w:p>
        </w:tc>
      </w:tr>
      <w:tr>
        <w:trPr>
          <w:trHeight w:val="183"/>
        </w:trPr>
        <w:tc>
          <w:tcPr>
            <w:tcW w:w="8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(46,443)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(23,804)</w:t>
            </w:r>
          </w:p>
        </w:tc>
        <w:tc>
          <w:tcPr>
            <w:tcW w:w="0" w:type="dxa"/>
            <w:vAlign w:val="bottom"/>
          </w:tcPr>
          <w:p>
            <w:pPr>
              <w:spacing w:after="0"/>
              <w:rPr>
                <w:sz w:val="1"/>
                <w:szCs w:val="1"/>
                <w:color w:val="auto"/>
              </w:rPr>
            </w:pP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15,742</w:t>
            </w:r>
          </w:p>
        </w:tc>
        <w:tc>
          <w:tcPr>
            <w:tcW w:w="0" w:type="dxa"/>
            <w:vAlign w:val="bottom"/>
          </w:tcPr>
          <w:p>
            <w:pPr>
              <w:spacing w:after="0"/>
              <w:rPr>
                <w:sz w:val="1"/>
                <w:szCs w:val="1"/>
                <w:color w:val="auto"/>
              </w:rPr>
            </w:pP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 expense</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51,105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48,665</w:t>
            </w:r>
          </w:p>
        </w:tc>
        <w:tc>
          <w:tcPr>
            <w:tcW w:w="0" w:type="dxa"/>
            <w:vAlign w:val="bottom"/>
          </w:tcPr>
          <w:p>
            <w:pPr>
              <w:spacing w:after="0"/>
              <w:rPr>
                <w:sz w:val="1"/>
                <w:szCs w:val="1"/>
                <w:color w:val="auto"/>
              </w:rPr>
            </w:pPr>
          </w:p>
        </w:tc>
      </w:tr>
      <w:tr>
        <w:trPr>
          <w:trHeight w:val="18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EBITDA</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21,564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40,579</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Loss on extinguishment of debt (1)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Share-based compensation expense (2)</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12,711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Legal fees (3)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Change in fair value of contingent consideration liability (4)</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19,700</w:t>
            </w:r>
          </w:p>
        </w:tc>
        <w:tc>
          <w:tcPr>
            <w:tcW w:w="0" w:type="dxa"/>
            <w:vAlign w:val="bottom"/>
          </w:tcPr>
          <w:p>
            <w:pPr>
              <w:spacing w:after="0"/>
              <w:rPr>
                <w:sz w:val="1"/>
                <w:szCs w:val="1"/>
                <w:color w:val="auto"/>
              </w:rPr>
            </w:pP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IPO transactions costs (5)</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Severance costs (6)</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8"/>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46,390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61,857</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87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11.6 %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23.1 %</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loss on debt extinguishment related to the Initial Term Loan Facility.</w:t>
      </w:r>
    </w:p>
    <w:p>
      <w:pPr>
        <w:spacing w:after="0" w:line="15" w:lineRule="exact"/>
        <w:rPr>
          <w:rFonts w:ascii="Arial" w:cs="Arial" w:eastAsia="Arial" w:hAnsi="Arial"/>
          <w:sz w:val="14"/>
          <w:szCs w:val="14"/>
          <w:i w:val="1"/>
          <w:iCs w:val="1"/>
          <w:color w:val="auto"/>
        </w:rPr>
      </w:pPr>
    </w:p>
    <w:p>
      <w:pPr>
        <w:ind w:left="320" w:hanging="312"/>
        <w:spacing w:after="0"/>
        <w:tabs>
          <w:tab w:leader="none" w:pos="3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non-cash share-based compensation expense relating to equity awards.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non-recurring legal fees unrelated to our core operations.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28</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1" w:name="page32"/>
    <w:bookmarkEnd w:id="31"/>
    <w:p>
      <w:pPr>
        <w:ind w:left="320" w:hanging="312"/>
        <w:spacing w:after="0"/>
        <w:tabs>
          <w:tab w:leader="none" w:pos="3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change in fair value of the contingent consideration liability due to the predecessor owners of the Company arising from the Centerbridge Acquisition.</w:t>
      </w:r>
    </w:p>
    <w:p>
      <w:pPr>
        <w:spacing w:after="0" w:line="15" w:lineRule="exact"/>
        <w:rPr>
          <w:rFonts w:ascii="Arial" w:cs="Arial" w:eastAsia="Arial" w:hAnsi="Arial"/>
          <w:sz w:val="14"/>
          <w:szCs w:val="14"/>
          <w:i w:val="1"/>
          <w:iCs w:val="1"/>
          <w:color w:val="auto"/>
        </w:rPr>
      </w:pPr>
    </w:p>
    <w:p>
      <w:pPr>
        <w:ind w:left="320" w:hanging="312"/>
        <w:spacing w:after="0"/>
        <w:tabs>
          <w:tab w:leader="none" w:pos="3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legal, accounting, consulting, and other indirect costs associated with the Company’s IPO.</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associated with the termination of employment.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Commission Revenues</w:t>
      </w:r>
    </w:p>
    <w:p>
      <w:pPr>
        <w:spacing w:after="0" w:line="23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Commission revenues were $321.5 million for the six months ended June 30, 2021 compared to $209.1 million for the six months ended June 30, 2020. The $112.4 million, or 54%, increase was primarily attributable to increases in commission revenue from the Medicare—Internal segment driven by a 63% increase in Medicare commissionable Approved Submissions and increased LTV Per Approved Submission for the six months ended June 30, 2021 compared to the comparable prior year period.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Enterprise Revenues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Enterprise revenues were $79.6 million for the six months ended June 30, 2021 compared to $59.0 million for the six months ended June 30, 2020. The</w:t>
      </w:r>
    </w:p>
    <w:p>
      <w:pPr>
        <w:spacing w:after="0" w:line="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$20.6 million, or 35%, increase was primarily attributable to an increase of $26.0 million related to partner marketing and enrollment services, partially offset by a $6.0 million decrease in consumer lead sales to external third parties in our external segments, as we strategically shifted to generating consumer leads in the internal channels.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Expense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Cost of Revenue</w:t>
      </w:r>
    </w:p>
    <w:p>
      <w:pPr>
        <w:spacing w:after="0" w:line="23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Cost of revenue was $85.8 million for the six months ended June 30, 2021 compared to $78.7 million for the six months ended June 30, 2020. The $7.1 million, or 9%, increase was primarily attributable to a 16% increase in commissionable Approved Submissions in the Medicare—External segment, which increased the amount of expense we recognized pursuant to our revenue-sharing agreements with external agents and other partners.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Marketing and Advertising</w:t>
      </w:r>
    </w:p>
    <w:p>
      <w:pPr>
        <w:spacing w:after="0" w:line="23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Marketing and advertising expense was $110.2 million for the six months ended June 30, 2021 compared to $47.7 million for the six months ended June 30, 2020. The $62.5 million, or 131%, increase was primarily attributable to an increase in our advertising costs for the Medicare—Internal segment to generate more qualified prospects, which contributed to a 63% increase in Medicare—Internal commissionable Approved Submissions and 50% increase in net revenue.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Customer Care and Enrollment</w:t>
      </w:r>
    </w:p>
    <w:p>
      <w:pPr>
        <w:spacing w:after="0" w:line="23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Customer care and enrollment expense was $109.0 million for the six months ended June 30, 2021 compared to $52.4 million for the six months ended June 30, 2020. The $56.7 million, or 108%, increase was primarily attributable to the hiring of additional agents in the Medicare—Internal segment to be well-positioned for target AEP capacity. Additionally, the increase represents onboarding and new training initiatives, which position us to have the agent efficiency gains necessary to capitalize on opportunities, as well as expenses associated with an increased rate in attrition of agents.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Technology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Technology expense was $21.6 million for the six months ended June 30, 2021 compared to $10.3 million for the six months ended June 30, 2020. The</w:t>
      </w:r>
    </w:p>
    <w:p>
      <w:pPr>
        <w:spacing w:after="0" w:line="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$11.3 million, or 110%, increase was primarily attributable to the hiring of additional employees in our technology and data science teams, and the expansion of our business intelligence and analytics staffing in order to support the growth of the Medicare—Internal segment.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General and Administrative</w:t>
      </w:r>
    </w:p>
    <w:p>
      <w:pPr>
        <w:spacing w:after="0" w:line="23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 and administrative expense was $44.9 million for the six months ended June 30, 2021 compared to $20.8 million for the six months ended June 30, 2020. The $24.1 million, or 116%, increase was primarily attributable to investments in corporate infrastructure, such as legal, human resources, and finance, to support general growth and implement the corporate resources needed to support a post-IPO business.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29</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i w:val="1"/>
          <w:iCs w:val="1"/>
          <w:u w:val="single" w:color="auto"/>
          <w:color w:val="auto"/>
        </w:rPr>
        <w:t>Change in Fair Value of Contingent Consideration Liability</w:t>
      </w:r>
    </w:p>
    <w:p>
      <w:pPr>
        <w:spacing w:after="0" w:line="23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Change in fair value of contingent consideration liability was $19.7 million for the six months ended June 30, 2020 and relates to the earnout liability incurred in connection with the Centerbridge Acquisition, in which we agreed to pay additional consideration if certain financial targets are achieved. The earnout liability was settled in connection with our IPO.</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Amortization of Intangible Assets</w:t>
      </w:r>
    </w:p>
    <w:p>
      <w:pPr>
        <w:spacing w:after="0" w:line="23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Amortization of intangible assets expense was $47.0 million for both the six months ended June 30, 2021 and six months ended June 30, 2020, and relates to the amortization of developed technology and customer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Interest Expense</w:t>
      </w:r>
    </w:p>
    <w:p>
      <w:pPr>
        <w:spacing w:after="0" w:line="237"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Interest expense was $17.0 million for the six months ended June 30, 2021 compared to $15.7 million for the six months ended June 30, 2020. The $1.2 million increase was due to additional debt outstanding on our Credit Facilities.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Loss on Extinguishment of Debt</w:t>
      </w:r>
    </w:p>
    <w:p>
      <w:pPr>
        <w:spacing w:after="0" w:line="23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Loss on extinguishment of debt was $11.9 million for the six months ended June 30, 2021 and relates to the expense recognized for the extinguishment of the Initial Term Loan Facility.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Adjusted EBITDA</w:t>
      </w:r>
    </w:p>
    <w:p>
      <w:pPr>
        <w:spacing w:after="0" w:line="23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Adjusted EBITDA was $46.4 million for the six months ended June 30, 2021 compared to $61.9 million for the six months ended June 30, 2020. The $15.5 million, or 25%, decrease was due to our strategic investments in agent capacity and capabilities to be well-positioned for target AEP production.</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Segment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2021 compared to three months ended June 30, 2020</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Our operating segments have been determined in accordance with Accounting Standards Codification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We have four operating segments: Medicare—Internal, Medicare—External, IFP and Other—Internal, and IFP and Other—External. In addition, we separately report other expenses (classified as “corporate expense” in the following table), the primary components of which are corporate overhead expenses and shared service expenses that have not been allocated to the operating segments, as they are not the responsibility of segment operating management. The segment measurements provided to and evaluated by the chief operating decision maker are described in Note 12, “Operating Segments And Significant Customers,” to the Condensed Consolidated Financial Statements in this Quarterly Report on Form 10-Q.</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1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 30,</w:t>
            </w:r>
          </w:p>
        </w:tc>
        <w:tc>
          <w:tcPr>
            <w:tcW w:w="20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 30,</w:t>
            </w:r>
          </w:p>
        </w:tc>
        <w:tc>
          <w:tcPr>
            <w:tcW w:w="0" w:type="dxa"/>
            <w:vAlign w:val="bottom"/>
          </w:tcPr>
          <w:p>
            <w:pPr>
              <w:spacing w:after="0"/>
              <w:rPr>
                <w:sz w:val="1"/>
                <w:szCs w:val="1"/>
                <w:color w:val="auto"/>
              </w:rPr>
            </w:pPr>
          </w:p>
        </w:tc>
      </w:tr>
      <w:tr>
        <w:trPr>
          <w:trHeight w:val="175"/>
        </w:trPr>
        <w:tc>
          <w:tcPr>
            <w:tcW w:w="7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70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Dollars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4"/>
                <w:szCs w:val="14"/>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7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6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160,433</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81.5 %</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87,201</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68.7 %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31,379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28,108</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22.1 %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3,788</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1.9 %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7,019</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4,729</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83"/>
        </w:trPr>
        <w:tc>
          <w:tcPr>
            <w:tcW w:w="704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196,902</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127,057</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6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Segment profit (loss):</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31,257</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15.9 %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32,746</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25.8 %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(800)</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Segment profit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28,712</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14.6 %</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33,317</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26.2 %</w:t>
            </w:r>
          </w:p>
        </w:tc>
        <w:tc>
          <w:tcPr>
            <w:tcW w:w="0" w:type="dxa"/>
            <w:vAlign w:val="bottom"/>
          </w:tcPr>
          <w:p>
            <w:pPr>
              <w:spacing w:after="0"/>
              <w:rPr>
                <w:sz w:val="1"/>
                <w:szCs w:val="1"/>
                <w:color w:val="auto"/>
              </w:rPr>
            </w:pPr>
          </w:p>
        </w:tc>
      </w:tr>
      <w:tr>
        <w:trPr>
          <w:trHeight w:val="182"/>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expense</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8,911</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15,300</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23,514</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11,935</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6.1 %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189"/>
        </w:trPr>
        <w:tc>
          <w:tcPr>
            <w:tcW w:w="70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(income) expense, net</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(39,207)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(19.9)%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(22,889)</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Revenues</w:t>
      </w:r>
    </w:p>
    <w:p>
      <w:pPr>
        <w:spacing w:after="0" w:line="23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Net revenues for the Medicare—Internal segment were $160.4 million for the three months ended June 30, 2021 compared to $87.2 million for the three months ended June 30, 2020. The $73.2 million, or 84%, increase was primarily attributable to the hiring of additional agents, the increased utilization and efficiency of our agents and the implementation of new marketing strategies to generate a greater number of qualified prospects, which contributed to a 77% increase in commissionable Approved Submissions.</w:t>
      </w:r>
    </w:p>
    <w:p>
      <w:pPr>
        <w:spacing w:after="0" w:line="202"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Net revenues for the Medicare—External segment were $31.4 million for the three months ended June 30, 2021 compared to $28.1 million for the three months ended June 30, 2020. The $3.3 million, or 12%, increase was primarily attributable to a 4% increase in commissionable Approved Submissions in the Medicare—External segment due to our ability to recruit and onboard additional external agents to enroll consumers in Medicare plans using our technology and platform.</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Net revenues for the IFP and Other—Internal segment were $3.8 million for the three months ended June 30, 2021 compared to $7.0 million for the three months ended June 30, 2020. Net revenues for the IFP and Other—External segment were $1.3 million for the three months ended June 30, 2021 compared to $4.7 million for the three months ended June 30, 2020. For each of the IFP and Other segments, the decreases were primarily driven by a change in product mix sold, as well as a strategic shift towards higher margin Medicare products.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Profit (Loss)</w:t>
      </w:r>
    </w:p>
    <w:p>
      <w:pPr>
        <w:spacing w:after="0" w:line="23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Segment profit for the Medicare—Internal segment was $31.3 million for the three months ended June 30, 2021 compared to $32.7 million for the three months ended June 30, 2020. The $1.5 million, or 5%, decrease was primarily attributable to (i) increased marketing and advertising costs, which contributed to a 77% increase in Medicare—Internal commissionable Approved Submissions and a 55% increase in net revenue, and (ii) increased customer care and enrollment costs attributable to the hiring, onboarding, and training of additional agents to position us to achieve target AEP production.</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31</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4" w:name="page35"/>
    <w:bookmarkEnd w:id="34"/>
    <w:p>
      <w:pPr>
        <w:ind w:right="320"/>
        <w:spacing w:after="0" w:line="260" w:lineRule="auto"/>
        <w:rPr>
          <w:sz w:val="20"/>
          <w:szCs w:val="20"/>
          <w:color w:val="auto"/>
        </w:rPr>
      </w:pPr>
      <w:r>
        <w:rPr>
          <w:rFonts w:ascii="Arial" w:cs="Arial" w:eastAsia="Arial" w:hAnsi="Arial"/>
          <w:sz w:val="16"/>
          <w:szCs w:val="16"/>
          <w:color w:val="auto"/>
        </w:rPr>
        <w:t>Segment loss for the Medicare—External segment was $1.7 million for the three months ended June 30, 2021 compared to a profit of $0.5 million for the three months ended June 30, 2020. The change was primarily attributable to an increase in marketing and advertising costs.</w:t>
      </w:r>
    </w:p>
    <w:p>
      <w:pPr>
        <w:spacing w:after="0" w:line="195"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Segment loss for the IFP and Other—Internal segment was $0.8 million for the three months ended June 30, 2021 compared to a loss of $0.1 million for the three months ended June 30, 2020. The change was primarily attributable to a change in product mix sold by agents for IFP and Other plans, as well as an overall strategic shift towards higher margin Medicare products.</w:t>
      </w:r>
    </w:p>
    <w:p>
      <w:pPr>
        <w:spacing w:after="0" w:line="201"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Segment loss for the IFP and Other—External segment was $0.1 million for the three months ended June 30, 2021 compared to a profit of $0.1 million for the three months ended June 30, 2020. The change was primarily attributable to a change in product mix sold by external agencies, as well as an overall strategic shift towards higher margin Medicare products.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2021 compared to six months ended June 30,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 30,</w:t>
            </w:r>
          </w:p>
        </w:tc>
        <w:tc>
          <w:tcPr>
            <w:tcW w:w="120" w:type="dxa"/>
            <w:vAlign w:val="bottom"/>
          </w:tcPr>
          <w:p>
            <w:pPr>
              <w:spacing w:after="0"/>
              <w:rPr>
                <w:sz w:val="14"/>
                <w:szCs w:val="14"/>
                <w:color w:val="auto"/>
              </w:rPr>
            </w:pPr>
          </w:p>
        </w:tc>
        <w:tc>
          <w:tcPr>
            <w:tcW w:w="19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Six months ended Jun. 30,</w:t>
            </w:r>
          </w:p>
        </w:tc>
        <w:tc>
          <w:tcPr>
            <w:tcW w:w="0" w:type="dxa"/>
            <w:vAlign w:val="bottom"/>
          </w:tcPr>
          <w:p>
            <w:pPr>
              <w:spacing w:after="0"/>
              <w:rPr>
                <w:sz w:val="1"/>
                <w:szCs w:val="1"/>
                <w:color w:val="auto"/>
              </w:rPr>
            </w:pPr>
          </w:p>
        </w:tc>
      </w:tr>
      <w:tr>
        <w:trPr>
          <w:trHeight w:val="175"/>
        </w:trPr>
        <w:tc>
          <w:tcPr>
            <w:tcW w:w="7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70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Dollars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4"/>
                <w:szCs w:val="1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7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6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317,786</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79.2 %</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182,488</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68.1 %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70,879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17.7 %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57,053</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7,763</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1.9 %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15,651</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4,653</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12,875</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183"/>
        </w:trPr>
        <w:tc>
          <w:tcPr>
            <w:tcW w:w="704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401,081</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268,067</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6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Segment profit (loss):</w:t>
            </w: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77,700</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19.4 %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74,482</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27.8 %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(1,529)</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427</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Segment profit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73,955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18.4 %</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75,724</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28.2 %</w:t>
            </w:r>
          </w:p>
        </w:tc>
        <w:tc>
          <w:tcPr>
            <w:tcW w:w="0" w:type="dxa"/>
            <w:vAlign w:val="bottom"/>
          </w:tcPr>
          <w:p>
            <w:pPr>
              <w:spacing w:after="0"/>
              <w:rPr>
                <w:sz w:val="1"/>
                <w:szCs w:val="1"/>
                <w:color w:val="auto"/>
              </w:rPr>
            </w:pPr>
          </w:p>
        </w:tc>
      </w:tr>
      <w:tr>
        <w:trPr>
          <w:trHeight w:val="183"/>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expense</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19,700</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47,029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47,029</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11,935</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3.0 %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9"/>
        </w:trPr>
        <w:tc>
          <w:tcPr>
            <w:tcW w:w="70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(46,506)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(23,828)</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Revenues</w:t>
      </w:r>
    </w:p>
    <w:p>
      <w:pPr>
        <w:spacing w:after="0" w:line="23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Net revenues for the Medicare—Internal segment were $317.8 million for the six months ended June 30, 2021 compared to $182.5 million for the six months ended June 30, 2020. The $135.3 million, or 74%, increase was primarily attributable to the hiring of additional agents, the increased utilization and efficiency of our agents and the implementation of new marketing strategies to generate a greater number of qualified prospects, which contributed to a 63% increase in commissionable Approved Submissions.</w:t>
      </w: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Net revenues for the Medicare—External segment were $70.9 million for the six months ended June 30, 2021 compared to $57.1 million for the six months ended June 30, 2020. The $13.8 million, or 24%, increase was primarily attributable to a 16% increase in commissionable Approved Submissions in the Medicare—External segment due to our ability to recruit and onboard additional external agents to enroll consumers in Medicare plans using our technology and platform.</w:t>
      </w:r>
    </w:p>
    <w:p>
      <w:pPr>
        <w:spacing w:after="0" w:line="202"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Net revenues for the IFP and Other—Internal segment were $7.8 million for the six months ended June 30, 2021 compared to $15.7 million for the six months ended June 30, 2020. Net revenues for the IFP and Other—External segment were $4.7 million for the six months ended June 30, 2021 compared to $12.9 million for the six months ended June 30, 2020. For each of the IFP and Other segments, the decreases were primarily driven by a change in product mix sold, as well as a strategic shift towards higher margin Medicare products.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Profit (Loss)</w:t>
      </w:r>
    </w:p>
    <w:p>
      <w:pPr>
        <w:spacing w:after="0" w:line="23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Segment profit for the Medicare—Internal segment was $77.7 million for the six months ended June 30, 2021 compared to $74.5 million for the six months ended June 30, 2020. The $3.2 million, or 4%, increase was primarily attributable to the 63% increase of Medicare commissionable Approved Submissions, which was primarily attributable to (i) improvements in our LeadScore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8255"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297815</wp:posOffset>
            </wp:positionV>
            <wp:extent cx="889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2021 Form 10-Q</w:t>
      </w:r>
      <w:r>
        <w:rPr>
          <w:sz w:val="20"/>
          <w:szCs w:val="20"/>
          <w:color w:val="auto"/>
        </w:rPr>
        <w:tab/>
      </w: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35" w:name="page36"/>
    <w:bookmarkEnd w:id="35"/>
    <w:p>
      <w:pPr>
        <w:ind w:right="20"/>
        <w:spacing w:after="0" w:line="253" w:lineRule="auto"/>
        <w:rPr>
          <w:sz w:val="20"/>
          <w:szCs w:val="20"/>
          <w:color w:val="auto"/>
        </w:rPr>
      </w:pPr>
      <w:r>
        <w:rPr>
          <w:rFonts w:ascii="Arial" w:cs="Arial" w:eastAsia="Arial" w:hAnsi="Arial"/>
          <w:sz w:val="16"/>
          <w:szCs w:val="16"/>
          <w:color w:val="auto"/>
        </w:rPr>
        <w:t>call-routing technologies allowing our agents to successfully convert more qualified prospects into Submitted Policies and (ii) improved marketing efficiencies driven by our rapid test-and-learn approach across our marketing channels, as well as an expansion of the diversity and breadth of our omnichannel marketing efforts, which together enabled the acquisition of higher quality prospects.</w:t>
      </w:r>
    </w:p>
    <w:p>
      <w:pPr>
        <w:spacing w:after="0" w:line="201"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Segment loss for the Medicare—External segment was $2.3 million for the six months ended June 30, 2021 compared to a gain of $0.2 million for the six months ended June 30, 2020. The change was primarily attributable to an increase in marketing and advertising costs.</w:t>
      </w:r>
    </w:p>
    <w:p>
      <w:pPr>
        <w:spacing w:after="0" w:line="19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Segment loss for the IFP and Other—Internal segment was $1.5 million for the six months ended June 30, 2021 compared to a profit of $0.4 million for the six months ended June 30, 2020. The change was primarily attributable to a change in product mix sold by agents for IFP and Other plans, as well as an overall strategic shift towards higher margin Medicare products.</w:t>
      </w:r>
    </w:p>
    <w:p>
      <w:pPr>
        <w:spacing w:after="0" w:line="201"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Segment profit for the IFP and Other—External segment was $0.1 million for the six months ended June 30, 2021 compared to $0.6 million for the six months ended June 30, 2020. The change was primarily attributable to a change in product mix sold by external agencies, as well as an overall strategic shift towards higher margin Medicare products.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and Operating Metrics by Segment</w:t>
      </w:r>
    </w:p>
    <w:p>
      <w:pPr>
        <w:spacing w:after="0" w:line="241" w:lineRule="exact"/>
        <w:rPr>
          <w:sz w:val="20"/>
          <w:szCs w:val="20"/>
          <w:color w:val="auto"/>
        </w:rPr>
      </w:pPr>
    </w:p>
    <w:p>
      <w:pPr>
        <w:ind w:right="540"/>
        <w:spacing w:after="0" w:line="253"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Segments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Lifetime Value of Commissions per Consumer Acquisition Cost</w:t>
      </w:r>
    </w:p>
    <w:p>
      <w:pPr>
        <w:spacing w:after="0" w:line="237"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Lifetime value of commissions per consumer acquisition cost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enterprise revenue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w:t>
      </w:r>
    </w:p>
    <w:p>
      <w:pPr>
        <w:spacing w:after="0" w:line="20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LTV/CAC for the Medicare—Internal segment was 1.6x (with a CAC of $73.2 million) for the three months ended June 30, 2021 compared to 2.6x (with a CAC of $23.8 million) for the three months ended June 30, 2020. The decrease in LTV/CAC was primarily attributable to the hiring and training of additional agents in the Medicare—Internal segment to be well-positioned for target AEP capacity, as well as an increase in our advertising costs for the Medicare—Internal segment to generate more qualified prospects, which contributed to a 77% increase in Medicare—Internal commissionable Approved Submissions and 84% increase in Medicare—Internal revenue.</w:t>
      </w:r>
    </w:p>
    <w:p>
      <w:pPr>
        <w:spacing w:after="0" w:line="20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LTV/CAC for the Medicare—Internal segment was 1.7x (with a CAC of $148.4 million) for the six months ended June 30, 2021 compared to 2.7x (with a CAC of $50.5 million) for the six months ended June 30, 2020. The increase in LTV/CAC is attributable to the same factors described above.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Submitted Policies</w:t>
      </w:r>
    </w:p>
    <w:p>
      <w:pPr>
        <w:spacing w:after="0" w:line="23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Submitted Policies represent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33</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36" w:name="page37"/>
    <w:bookmarkEnd w:id="36"/>
    <w:p>
      <w:pPr>
        <w:ind w:right="20"/>
        <w:spacing w:after="0" w:line="253"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periods presented, split between those submissions that are commissionable (compensated through commissions received from carriers) and those that are non-commissionable (compensated via hourly fees and enrollment fees):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Six months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35"/>
        </w:trPr>
        <w:tc>
          <w:tcPr>
            <w:tcW w:w="6160" w:type="dxa"/>
            <w:vAlign w:val="bottom"/>
            <w:vMerge w:val="restart"/>
          </w:tcPr>
          <w:p>
            <w:pPr>
              <w:ind w:left="20"/>
              <w:spacing w:after="0"/>
              <w:rPr>
                <w:sz w:val="20"/>
                <w:szCs w:val="20"/>
                <w:color w:val="auto"/>
              </w:rPr>
            </w:pPr>
            <w:r>
              <w:rPr>
                <w:rFonts w:ascii="Arial" w:cs="Arial" w:eastAsia="Arial" w:hAnsi="Arial"/>
                <w:sz w:val="14"/>
                <w:szCs w:val="14"/>
                <w:color w:val="auto"/>
              </w:rPr>
              <w:t>(in actuals)</w:t>
            </w: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ended Jun. 30,</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 Jun. 30,</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 Jun. 30,</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ended Jun. 30,</w:t>
            </w:r>
          </w:p>
        </w:tc>
        <w:tc>
          <w:tcPr>
            <w:tcW w:w="0" w:type="dxa"/>
            <w:vAlign w:val="bottom"/>
          </w:tcPr>
          <w:p>
            <w:pPr>
              <w:spacing w:after="0"/>
              <w:rPr>
                <w:sz w:val="1"/>
                <w:szCs w:val="1"/>
                <w:color w:val="auto"/>
              </w:rPr>
            </w:pPr>
          </w:p>
        </w:tc>
      </w:tr>
      <w:tr>
        <w:trPr>
          <w:trHeight w:val="176"/>
        </w:trPr>
        <w:tc>
          <w:tcPr>
            <w:tcW w:w="616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153,163</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99,078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326,037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216,413</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1200" w:type="dxa"/>
            <w:vAlign w:val="bottom"/>
          </w:tcPr>
          <w:p>
            <w:pPr>
              <w:jc w:val="right"/>
              <w:spacing w:after="0"/>
              <w:rPr>
                <w:sz w:val="20"/>
                <w:szCs w:val="20"/>
                <w:color w:val="auto"/>
              </w:rPr>
            </w:pPr>
            <w:r>
              <w:rPr>
                <w:rFonts w:ascii="Arial" w:cs="Arial" w:eastAsia="Arial" w:hAnsi="Arial"/>
                <w:sz w:val="14"/>
                <w:szCs w:val="14"/>
                <w:color w:val="auto"/>
              </w:rPr>
              <w:t>1,022</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2,248</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2,126</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4,919</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w:t>
            </w:r>
          </w:p>
        </w:tc>
        <w:tc>
          <w:tcPr>
            <w:tcW w:w="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4,967</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4,431</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Medicare—Commissionable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156,559</w:t>
            </w: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103,295</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333,130</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225,763</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3,232</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14,334</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1200" w:type="dxa"/>
            <w:vAlign w:val="bottom"/>
          </w:tcPr>
          <w:p>
            <w:pPr>
              <w:jc w:val="right"/>
              <w:spacing w:after="0"/>
              <w:rPr>
                <w:sz w:val="20"/>
                <w:szCs w:val="20"/>
                <w:color w:val="auto"/>
              </w:rPr>
            </w:pPr>
            <w:r>
              <w:rPr>
                <w:rFonts w:ascii="Arial" w:cs="Arial" w:eastAsia="Arial" w:hAnsi="Arial"/>
                <w:sz w:val="14"/>
                <w:szCs w:val="14"/>
                <w:color w:val="auto"/>
              </w:rPr>
              <w:t>2,042</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3,692</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3,546</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1,676</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Medicare—Non-commissionable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6,065</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10,096</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14,539</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19,633</w:t>
            </w:r>
          </w:p>
        </w:tc>
        <w:tc>
          <w:tcPr>
            <w:tcW w:w="0" w:type="dxa"/>
            <w:vAlign w:val="bottom"/>
          </w:tcPr>
          <w:p>
            <w:pPr>
              <w:spacing w:after="0"/>
              <w:rPr>
                <w:sz w:val="1"/>
                <w:szCs w:val="1"/>
                <w:color w:val="auto"/>
              </w:rPr>
            </w:pPr>
          </w:p>
        </w:tc>
      </w:tr>
      <w:tr>
        <w:trPr>
          <w:trHeight w:val="20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Medicare Submitted Policies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162,624</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113,391</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347,669</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245,396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Total Medicare Submitted Policies were 162,624 and 113,391 for the three months ended June 30, 2021 and 2020, respectively, and 347,669 and 245,396 for the six months ended June 30, 2021 and 2020, respectively. The increase is attributable to improved multichannel marketing strategies that allowed us to generate a greater number of high quality prospects, along with increased efficiency of our agents. Agent efficiency increased due to the implementation of more efficient marketing strategies and improvements in our LeadScore and call-routing technologies, which allowed our agents to increase the number of qualified prospects they are able to talk to and improve the rate at which a qualified prospect converts to a Submitted Policy. Additionally, the successful hiring, onboarding, and training of additional agents contributed to the increase in Submitted Policies. We were also able to drive an increase in total Submitted Policies in the Medicare—External segment due to our ability to recruit and onboard additional external agents to enroll consumers in Medicare plans using our technology and platform.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Approved Submissions</w:t>
      </w:r>
    </w:p>
    <w:p>
      <w:pPr>
        <w:spacing w:after="0" w:line="23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Approved Submissions represent Submitted Policies approved by carriers for the identified product during the indicated period. Not all Approved Submissions will go in force, or effectuate,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20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each of the Medicare segments for the periods presented. Only commissionable policies are used to calculate our LTV.</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Medicare—Internal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Six months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35"/>
        </w:trPr>
        <w:tc>
          <w:tcPr>
            <w:tcW w:w="6160" w:type="dxa"/>
            <w:vAlign w:val="bottom"/>
            <w:vMerge w:val="restart"/>
          </w:tcPr>
          <w:p>
            <w:pPr>
              <w:ind w:left="20"/>
              <w:spacing w:after="0"/>
              <w:rPr>
                <w:sz w:val="20"/>
                <w:szCs w:val="20"/>
                <w:color w:val="auto"/>
              </w:rPr>
            </w:pPr>
            <w:r>
              <w:rPr>
                <w:rFonts w:ascii="Arial" w:cs="Arial" w:eastAsia="Arial" w:hAnsi="Arial"/>
                <w:sz w:val="14"/>
                <w:szCs w:val="14"/>
                <w:color w:val="auto"/>
              </w:rPr>
              <w:t>(in actuals)</w:t>
            </w: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ended Jun. 30,</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 Jun. 30,</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 Jun. 30,</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ended Jun. 30,</w:t>
            </w:r>
          </w:p>
        </w:tc>
        <w:tc>
          <w:tcPr>
            <w:tcW w:w="0" w:type="dxa"/>
            <w:vAlign w:val="bottom"/>
          </w:tcPr>
          <w:p>
            <w:pPr>
              <w:spacing w:after="0"/>
              <w:rPr>
                <w:sz w:val="1"/>
                <w:szCs w:val="1"/>
                <w:color w:val="auto"/>
              </w:rPr>
            </w:pPr>
          </w:p>
        </w:tc>
      </w:tr>
      <w:tr>
        <w:trPr>
          <w:trHeight w:val="175"/>
        </w:trPr>
        <w:tc>
          <w:tcPr>
            <w:tcW w:w="616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121,299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67,818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250,185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151,426</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1200" w:type="dxa"/>
            <w:vAlign w:val="bottom"/>
          </w:tcPr>
          <w:p>
            <w:pPr>
              <w:jc w:val="right"/>
              <w:spacing w:after="0"/>
              <w:rPr>
                <w:sz w:val="20"/>
                <w:szCs w:val="20"/>
                <w:color w:val="auto"/>
              </w:rPr>
            </w:pPr>
            <w:r>
              <w:rPr>
                <w:rFonts w:ascii="Arial" w:cs="Arial" w:eastAsia="Arial" w:hAnsi="Arial"/>
                <w:sz w:val="14"/>
                <w:szCs w:val="14"/>
                <w:color w:val="auto"/>
              </w:rPr>
              <w:t>268</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4,317</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0" w:type="dxa"/>
            <w:vAlign w:val="bottom"/>
          </w:tcPr>
          <w:p>
            <w:pPr>
              <w:spacing w:after="0"/>
              <w:rPr>
                <w:sz w:val="1"/>
                <w:szCs w:val="1"/>
                <w:color w:val="auto"/>
              </w:rPr>
            </w:pPr>
          </w:p>
        </w:tc>
      </w:tr>
      <w:tr>
        <w:trPr>
          <w:trHeight w:val="183"/>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Total Medicare—Internal Commissionable Approved Submissions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123,600</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69,854</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255,021</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156,458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Medicare—Internal commissionable Approved Submissions were 123,600 and 69,854 for the three months ended June 30, 2021 and 2020, respectively, and 255,021 and 156,458 for the six months ended June 30, 2021 and 2020, respectively. The increase was attributable to the hiring of additional agents, the increased efficiency of our agents due to technology improvements and improved multichannel marketing strategies that allowed us to generate a greater number of high quality prospects.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34</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6"/>
          <w:szCs w:val="16"/>
          <w:i w:val="1"/>
          <w:iCs w:val="1"/>
          <w:color w:val="auto"/>
        </w:rPr>
        <w:t>Medicare—External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Six months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35"/>
        </w:trPr>
        <w:tc>
          <w:tcPr>
            <w:tcW w:w="6160" w:type="dxa"/>
            <w:vAlign w:val="bottom"/>
            <w:vMerge w:val="restart"/>
          </w:tcPr>
          <w:p>
            <w:pPr>
              <w:ind w:left="20"/>
              <w:spacing w:after="0"/>
              <w:rPr>
                <w:sz w:val="20"/>
                <w:szCs w:val="20"/>
                <w:color w:val="auto"/>
              </w:rPr>
            </w:pPr>
            <w:r>
              <w:rPr>
                <w:rFonts w:ascii="Arial" w:cs="Arial" w:eastAsia="Arial" w:hAnsi="Arial"/>
                <w:sz w:val="14"/>
                <w:szCs w:val="14"/>
                <w:color w:val="auto"/>
              </w:rPr>
              <w:t>(in actuals)</w:t>
            </w: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ended Jun. 30,</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 Jun. 30,</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 Jun. 30,</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ended Jun. 30,</w:t>
            </w:r>
          </w:p>
        </w:tc>
        <w:tc>
          <w:tcPr>
            <w:tcW w:w="0" w:type="dxa"/>
            <w:vAlign w:val="bottom"/>
          </w:tcPr>
          <w:p>
            <w:pPr>
              <w:spacing w:after="0"/>
              <w:rPr>
                <w:sz w:val="1"/>
                <w:szCs w:val="1"/>
                <w:color w:val="auto"/>
              </w:rPr>
            </w:pPr>
          </w:p>
        </w:tc>
      </w:tr>
      <w:tr>
        <w:trPr>
          <w:trHeight w:val="175"/>
        </w:trPr>
        <w:tc>
          <w:tcPr>
            <w:tcW w:w="616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31,450</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28,979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73,691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61,266</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1200" w:type="dxa"/>
            <w:vAlign w:val="bottom"/>
          </w:tcPr>
          <w:p>
            <w:pPr>
              <w:jc w:val="right"/>
              <w:spacing w:after="0"/>
              <w:rPr>
                <w:sz w:val="20"/>
                <w:szCs w:val="20"/>
                <w:color w:val="auto"/>
              </w:rPr>
            </w:pPr>
            <w:r>
              <w:rPr>
                <w:rFonts w:ascii="Arial" w:cs="Arial" w:eastAsia="Arial" w:hAnsi="Arial"/>
                <w:sz w:val="14"/>
                <w:szCs w:val="14"/>
                <w:color w:val="auto"/>
              </w:rPr>
              <w:t>665</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1,633</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1,396</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3,191</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183"/>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Total Medicare—External Commissionable Approved Submissions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32,351</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31,017</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75,612</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65,311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Medicare—External commissionable Approved Submissions were 32,351 and 31,017 for the three months ended June 30, 2021 and 2020, respectively, and 75,612 and 65,311 for the six months ended June 30, 2021 and 2020, respectively. The increase in Medicare—External commissionable Approved Submissions was attributable to our ability to recruit and onboard additional external agents to enroll consumers in Medicare plans.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Lifetime Value of Commissions Per Approved Submission</w:t>
      </w:r>
    </w:p>
    <w:p>
      <w:pPr>
        <w:spacing w:after="0" w:line="23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Lifetime value of commissions per commissionable Approved Submission (“LTV Per Approved Submission”),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LTV Per Approved Submission by product for the Medicare segments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35"/>
        </w:trPr>
        <w:tc>
          <w:tcPr>
            <w:tcW w:w="6160" w:type="dxa"/>
            <w:vAlign w:val="bottom"/>
            <w:vMerge w:val="restart"/>
          </w:tcPr>
          <w:p>
            <w:pPr>
              <w:ind w:left="20"/>
              <w:spacing w:after="0"/>
              <w:rPr>
                <w:sz w:val="20"/>
                <w:szCs w:val="20"/>
                <w:color w:val="auto"/>
              </w:rPr>
            </w:pPr>
            <w:r>
              <w:rPr>
                <w:rFonts w:ascii="Arial" w:cs="Arial" w:eastAsia="Arial" w:hAnsi="Arial"/>
                <w:sz w:val="14"/>
                <w:szCs w:val="14"/>
                <w:color w:val="auto"/>
              </w:rPr>
              <w:t>(in actuals)</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ended Jun. 30,</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ended Jun. 30,</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ended Jun. 30,</w:t>
            </w:r>
          </w:p>
        </w:tc>
        <w:tc>
          <w:tcPr>
            <w:tcW w:w="10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ended Jun. 30,</w:t>
            </w:r>
          </w:p>
        </w:tc>
        <w:tc>
          <w:tcPr>
            <w:tcW w:w="0" w:type="dxa"/>
            <w:vAlign w:val="bottom"/>
          </w:tcPr>
          <w:p>
            <w:pPr>
              <w:spacing w:after="0"/>
              <w:rPr>
                <w:sz w:val="1"/>
                <w:szCs w:val="1"/>
                <w:color w:val="auto"/>
              </w:rPr>
            </w:pPr>
          </w:p>
        </w:tc>
      </w:tr>
      <w:tr>
        <w:trPr>
          <w:trHeight w:val="175"/>
        </w:trPr>
        <w:tc>
          <w:tcPr>
            <w:tcW w:w="616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846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LTV Per Approved Submission for Medicare Advantage were $953 and $905 for the three months ended June 30, 2021 and 2020, respectively, and $975 and $877 for the six months ended June 30, 2021 and 2020, respectively. The increase was primarily due to an increase in commission rates.</w:t>
      </w:r>
    </w:p>
    <w:p>
      <w:pPr>
        <w:spacing w:after="0" w:line="19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LTV Per Approved Submission for Medicare Supplement were $846 and $937 for the three months ended June 30, 2021 and 2020, respectively, and $821 and $928 for the six months ended June 30, 2021 and 2020, respectively. The decrease was primarily due to changes in carrier mix.</w:t>
      </w:r>
    </w:p>
    <w:p>
      <w:pPr>
        <w:spacing w:after="0" w:line="19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LTV Per Approved Submission for prescription drug plans were relatively unchanged for both the three months ended June 30, 2021 compared to 2020 and the six months ended June 30, 2021 compared to 2020.</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IFP and Other Segments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Submitted Policies</w:t>
      </w:r>
    </w:p>
    <w:p>
      <w:pPr>
        <w:spacing w:after="0" w:line="23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Submitted Policies represent the number of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195"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Total Submitted Policies for the IFP and Other segments were 16,498 and 26,718 for the three months ended June 30, 2021 and 2020, respectively. The decrease was due to a change in strategy to prioritize agents and marketing and advertising spend in the higher margin Medicare segments.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8" w:name="page39"/>
    <w:bookmarkEnd w:id="38"/>
    <w:p>
      <w:pPr>
        <w:ind w:right="500"/>
        <w:spacing w:after="0" w:line="260" w:lineRule="auto"/>
        <w:rPr>
          <w:sz w:val="20"/>
          <w:szCs w:val="20"/>
          <w:color w:val="auto"/>
        </w:rPr>
      </w:pPr>
      <w:r>
        <w:rPr>
          <w:rFonts w:ascii="Arial" w:cs="Arial" w:eastAsia="Arial" w:hAnsi="Arial"/>
          <w:sz w:val="16"/>
          <w:szCs w:val="16"/>
          <w:color w:val="auto"/>
        </w:rPr>
        <w:t>Total Submitted Policies for the IFP and Other segments were 33,322 and 63,053 for the six months ended June 30, 2021 and 2020, respectively. The decrease was due to a change in strategy to prioritize agents and marketing and advertising spend in the higher margin Medicare segments.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3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liquidity needs primarily include working capital and debt service requirements. At June 30, 2021, cash and cash equivalents totaled $112.9 million. On July 17, 2020, we completed our IPO, which resulted in the issuance and sale of 43,500 shares of common stock at the IPO price of $21.00, and generated net proceeds of $852.4 million after deducting underwriting discounts and other offering costs. We believe that our current sources of liquidity, which include cash and cash equivalents and funds available under the Credit Facilities, as described further below, will be sufficient to meet our projected operating and debt service requirements for at least the next 12 months. Short-term liquidity needs will primarily be funded through the Revolving Credit Facilities, as described further below, if necessary. As of June 30, 2021, we had no amounts outstanding under the Revolving Credit Facilities and had a remaining capacity of $200.0 million.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cash flows for the six months ended June 30, 2021 and 2020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35"/>
        </w:trPr>
        <w:tc>
          <w:tcPr>
            <w:tcW w:w="8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ended Jun. 30,</w:t>
            </w:r>
          </w:p>
        </w:tc>
        <w:tc>
          <w:tcPr>
            <w:tcW w:w="10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ended Jun. 30,</w:t>
            </w:r>
          </w:p>
        </w:tc>
        <w:tc>
          <w:tcPr>
            <w:tcW w:w="0" w:type="dxa"/>
            <w:vAlign w:val="bottom"/>
          </w:tcPr>
          <w:p>
            <w:pPr>
              <w:spacing w:after="0"/>
              <w:rPr>
                <w:sz w:val="1"/>
                <w:szCs w:val="1"/>
                <w:color w:val="auto"/>
              </w:rPr>
            </w:pPr>
          </w:p>
        </w:tc>
      </w:tr>
      <w:tr>
        <w:trPr>
          <w:trHeight w:val="176"/>
        </w:trPr>
        <w:tc>
          <w:tcPr>
            <w:tcW w:w="87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(4,169)</w:t>
            </w:r>
          </w:p>
        </w:tc>
        <w:tc>
          <w:tcPr>
            <w:tcW w:w="0" w:type="dxa"/>
            <w:vAlign w:val="bottom"/>
          </w:tcPr>
          <w:p>
            <w:pPr>
              <w:spacing w:after="0"/>
              <w:rPr>
                <w:sz w:val="1"/>
                <w:szCs w:val="1"/>
                <w:color w:val="auto"/>
              </w:rPr>
            </w:pPr>
          </w:p>
        </w:tc>
      </w:tr>
      <w:tr>
        <w:trPr>
          <w:trHeight w:val="189"/>
        </w:trPr>
        <w:tc>
          <w:tcPr>
            <w:tcW w:w="87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(7,909)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(7,764)</w:t>
            </w:r>
          </w:p>
        </w:tc>
        <w:tc>
          <w:tcPr>
            <w:tcW w:w="0" w:type="dxa"/>
            <w:vAlign w:val="bottom"/>
          </w:tcPr>
          <w:p>
            <w:pPr>
              <w:spacing w:after="0"/>
              <w:rPr>
                <w:sz w:val="1"/>
                <w:szCs w:val="1"/>
                <w:color w:val="auto"/>
              </w:rPr>
            </w:pPr>
          </w:p>
        </w:tc>
      </w:tr>
      <w:tr>
        <w:trPr>
          <w:trHeight w:val="189"/>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117,900</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3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Cash provided by operating activities primarily consists of net loss adjusted for non-cash items including share-based compensation; depreciation and amortization; amortization of intangible assets; change in the fair value of contingent consideration; amortization of debt discount and issuance costs; loss on extinguishment of debt; and the effect of changes in working capital and other activities.</w:t>
      </w:r>
    </w:p>
    <w:p>
      <w:pPr>
        <w:spacing w:after="0" w:line="20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Collection of commissions receivable depends upon the timing of the receipt of commission payments. If there were to be a delay in receiving a commission payment from a carrier within a quarter, the operating cash flows for that quarter could be adversely impacted.</w:t>
      </w:r>
    </w:p>
    <w:p>
      <w:pPr>
        <w:spacing w:after="0" w:line="19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20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Net cash used in operating activities was $32.3 million for the six months ended June 30, 2021, which consisted of a $46.4 million net loss and positive adjustments for non-cash items of $76.1 million, offset by negative adjustments for operating assets and liabilities of $61.9 million. The change in operating assets and liabilities was primarily driven by an increase in commissions receivable of $63.7 million and an increase in prepaid expenses and other assets of $11.8 million, partially offset by an increase in commissions payable of $4.7 million, an increase in accounts payable of $6.1 million and an increase in accrued liabilities of $4.0 million.</w:t>
      </w:r>
    </w:p>
    <w:p>
      <w:pPr>
        <w:spacing w:after="0" w:line="20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Net cash used in operating activities was $4.2 million for the six months ended June 30, 2020, which consisted of $23.8 million in net loss and adjustments for non-cash items of $70.0 million, offset by the effect of changes in operating assets and liabilities representing a $50.4 million use of cash. The change in operating assets and liabilities was primarily driven by an increase in commissions receivable of $58.7 million, a decrease in deferred revenue of $14.2 million, a decrease in accounts payable of $3.5 million, and a decrease in accrued liabilities of $7.6 million, partially offset by a decrease in prepaid expenses and other assets of $1.8 million, a decrease in accounts receivable of $12.4 million and an increase in commissions payable of $18.1 million.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3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Net cash used in investing activities was $7.9 million for the six months ended June 30, 2021 and consisted of capitalized internal-use software related to new technology, software, and systems and purchases of property and equipment.</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39" w:name="page40"/>
    <w:bookmarkEnd w:id="39"/>
    <w:p>
      <w:pPr>
        <w:spacing w:after="0" w:line="260" w:lineRule="auto"/>
        <w:rPr>
          <w:sz w:val="20"/>
          <w:szCs w:val="20"/>
          <w:color w:val="auto"/>
        </w:rPr>
      </w:pPr>
      <w:r>
        <w:rPr>
          <w:rFonts w:ascii="Arial" w:cs="Arial" w:eastAsia="Arial" w:hAnsi="Arial"/>
          <w:sz w:val="16"/>
          <w:szCs w:val="16"/>
          <w:color w:val="auto"/>
        </w:rPr>
        <w:t>Net cash used in investing activities of $7.8 million for the six months ended June 30, 2020 was primarily attributable to both capitalized internal-use software related to new technology, software, and systems and purchases of property and equipment.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3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Net cash provided by financing activities was $8.9 million for the six months ended June 30, 2021 and was primarily due to the borrowings under term loans of $310.0 million and the collection of the short-term advancement to NVX Holdings, partially offset by principal payments under the term loans of $296.8 million and call premium paid for debt extinguishment of $5.9 million as further described below .</w:t>
      </w:r>
    </w:p>
    <w:p>
      <w:pPr>
        <w:spacing w:after="0" w:line="20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Net cash provided by financing activities of $117.9 million for the six months ended June 30, 2020 was due to borrowings under the Incremental Term Loan Facility, which comprised $117.0 million of net cash provided by financing activities and the issuance of common units, which comprised $10.0 million of net cash provided by financing activities, and was partially offset by payments of existing debt and debt issuance costs associated with the Incremental Term Loan Facility and deferred offering costs incurred in connection with the IPO.</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Term Loan Facilities</w:t>
      </w:r>
    </w:p>
    <w:p>
      <w:pPr>
        <w:spacing w:after="0" w:line="23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September 13, 2019, in connection with the Acquisition,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 June 11, 2021, the Company entered into Amendment No. 5 to the Credit Agreement and Incremental Facility Agreement (“Amendment No. 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Amendment No. 5 creates a new class of incremental term loans (the “2021 Incremental Term Loans”) in an aggregate principal amount equal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$310.0 million, which was used to refinance $295.5 million of outstanding principal under the Initial Term Loan Facility, pay the related accrued interest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fund the prepayment premium. In connection with Amendment No. 5 and the refinancing of the Initial Term Loan, the Company recognized an $11.9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loss on debt extinguishment, representing the 2% prepayment premium of $5.9 million and the write-down of deferred financing costs and debt discounts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$6.0 million. The Company incurred $1.7 million of debt issuance costs associated with Amendment No. 5, which are being amortized over the life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debt to interest expense using the effective interest method.</w:t>
      </w:r>
    </w:p>
    <w:p>
      <w:pPr>
        <w:spacing w:after="0" w:line="22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Company collectively refers to the Initial Term Loan Facility, the Incremental Term Loan Facility, and the 2021 Incremental Term Loans as the “Term Loan Facilities”.</w:t>
      </w:r>
    </w:p>
    <w:p>
      <w:pPr>
        <w:spacing w:after="0" w:line="19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of June 30, 2021, the Company had a principal amount of $115.5 million and $310.0 million outstanding under the Incremental Term Loan Facility and the 2021 Incremental Term Loans, respectively. The Incremental Term Loan Facility effective interest rate was 7.5% at both June 30, 2021 and December 31, 2020. The 2021 Incremental Term Loans’ effective interest rate was 5.0% at June 30, 2021.</w:t>
      </w:r>
    </w:p>
    <w:p>
      <w:pPr>
        <w:spacing w:after="0" w:line="20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Borrowings under the Initial Term Loan and the Incremental Term Loan Facility are, at the option of the Borrower, either (i) alternate base rate (“ABR”) plus 5.50% per annum or (ii) LIBOR plus 6.50% per annum. The 2021 Incremental Term Loans bear interest at either (i) ABR plus 3.00% per annum or (ii) LIBOR plus 4.00% per annum.</w:t>
      </w:r>
    </w:p>
    <w:p>
      <w:pPr>
        <w:spacing w:after="0" w:line="201"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Revolving Credit Facilities</w:t>
      </w:r>
    </w:p>
    <w:p>
      <w:pPr>
        <w:spacing w:after="0" w:line="23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Credit Agreement provided for a $30.0 million aggregate principal amount senior secured revolving credit facility (the “Revolving Credit Facility”). During 2020, the Company entered into a series of amendments to the Credit Agreement to provide for $28.0 million of incremental revolving credit (the “Incremental Revolving Credit Facilities”).</w:t>
      </w:r>
    </w:p>
    <w:p>
      <w:pPr>
        <w:spacing w:after="0" w:line="20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195"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Company collectively refers to the Revolving Credit Facility, the Incremental Revolving Credit Facilities, and the Incremental No. 4 Revolving Credit Facility as the “Revolving Credit Facilities”.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37</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40" w:name="page41"/>
    <w:bookmarkEnd w:id="40"/>
    <w:p>
      <w:pPr>
        <w:ind w:right="500"/>
        <w:spacing w:after="0" w:line="260" w:lineRule="auto"/>
        <w:rPr>
          <w:sz w:val="20"/>
          <w:szCs w:val="20"/>
          <w:color w:val="auto"/>
        </w:rPr>
      </w:pPr>
      <w:r>
        <w:rPr>
          <w:rFonts w:ascii="Arial" w:cs="Arial" w:eastAsia="Arial" w:hAnsi="Arial"/>
          <w:sz w:val="16"/>
          <w:szCs w:val="16"/>
          <w:color w:val="auto"/>
        </w:rPr>
        <w:t>Amendment No. 5, as described above, also separates the Revolving Credit Facilities into two classes of revolving commitments consisting of Class A Revolving Commitments in the amount of $30.0 million and Class B Revolving Commitments in the amount of $170.0 million.</w:t>
      </w:r>
    </w:p>
    <w:p>
      <w:pPr>
        <w:spacing w:after="0" w:line="19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Borrowings under the Class A Revolving Commitments bear interest at either ABR plus 5.50% per annum or LIBOR plus 6.50% per annum. Borrowings under the Class B Revolving Commitments bear interest at either ABR plus 3.00% per annum or LIBOR plus 4.00% per annum. The Borrower is required to pay a commitment fee of 0.50% per annum under the Revolving Credit Facilities.</w:t>
      </w:r>
    </w:p>
    <w:p>
      <w:pPr>
        <w:spacing w:after="0" w:line="20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Company had no amounts outstanding under the Revolving Credit Facilities, which have a remaining capacity of $200.0 million in the aggregate as of June 30, 2021. Outstanding borrowings under the Revolving Credit Facilities do not amortize and are due and payable on September 13, 2024.</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4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For a discussion of new accounting pronouncements recently adopted and not yet adopted, see Note 1, “Description Of Business And Significant Accounting Policies,” to the Condensed Consolidated Financial Statements included elsewhere in this Quarterly Report on Form 10-Q.</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Medicare annual enrollment period occurs from October 15th to December 7th.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second and third quarters are known as special election periods, and are our seasonally smallest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4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preparation of our Condensed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spacing w:after="0" w:line="203"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(1) revenue recognition and commissions receivable, (2) share-based compensation, (3) goodwill and intangible assets, (4) income taxes and (5) liabilities pursuant to TRAs.</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critical accounting policies are described under the heading “Management’s Discussion and Analysis of Financial Condition and Results of Operations— Critical Accounting Policies” in our 2020 Form 10-K. During the three and six months ended June 30, 2021, there were no material changes to our critical accounting policies from those discussed in our 2020 Form 10-K.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w:t>
      </w:r>
    </w:p>
    <w:p>
      <w:pPr>
        <w:spacing w:after="0" w:line="24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qualify as an “emerging growth company” pursuant to the provisions of the JOBS Act, enacted on April 5, 2012. Section 102 of the JOBS Act provides that an “emerging growth company” can take advantage of the extended transition period provided in Section 7(a)(2)(B)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Condensed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38</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41" w:name="page42"/>
    <w:bookmarkEnd w:id="41"/>
    <w:p>
      <w:pPr>
        <w:spacing w:after="0" w:line="247" w:lineRule="auto"/>
        <w:rPr>
          <w:sz w:val="20"/>
          <w:szCs w:val="20"/>
          <w:color w:val="auto"/>
        </w:rPr>
      </w:pPr>
      <w:r>
        <w:rPr>
          <w:rFonts w:ascii="Arial" w:cs="Arial" w:eastAsia="Arial" w:hAnsi="Arial"/>
          <w:sz w:val="16"/>
          <w:szCs w:val="16"/>
          <w:color w:val="auto"/>
        </w:rPr>
        <w:t>We have elected the other exemptions and reduced reporting requirements provided by the JOBS Act. Subject to certain conditions set forth in the JOBS Act, as an emerging growth company we are not required to, among other things, (1) provide an auditor’s attestation report on our systems of internal controls over financial reporting pursuant to Section 404, (2) provide all of the compensation disclosure that may be required of non-emerging growth public companies under the Dodd-Frank Act, (3) comply with the requirement of the PCAOB regarding the communication of critical audit 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earlier of (a) the last day of the fiscal year (i) following the fifth anniversary of the completion of our IPO,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over a rolling 36-month period.</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the normal course of business, we are subject to market risks. Market risk represents the risk of loss that may impact our financial position due to adverse changes in financial market prices and rates. There have been no material changes to our market risk policies or our market risk-sensitive instruments and positions as described in our 2020 Form 10-K.</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Effectiveness of Controls and Procedures</w:t>
      </w:r>
    </w:p>
    <w:p>
      <w:pPr>
        <w:spacing w:after="0" w:line="24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4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at the reasonable assurance level as of June 30, 2021.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41"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There were no changes in our internal control over financial reporting identified in management’s evaluation pursuant to Rules 13a-15(d) or 15d-15(d) of the Exchange Act during the quarter ended June 30, 2021 that materially affected, or are reasonably likely to materially affect, our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39</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0A2299"/>
        </w:rPr>
        <w:drawing>
          <wp:anchor simplePos="0" relativeHeight="251657728" behindDoc="1" locked="0" layoutInCell="0" allowOverlap="1">
            <wp:simplePos x="0" y="0"/>
            <wp:positionH relativeFrom="page">
              <wp:posOffset>208280</wp:posOffset>
            </wp:positionH>
            <wp:positionV relativeFrom="page">
              <wp:posOffset>869315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6" w:lineRule="exact"/>
        <w:rPr>
          <w:sz w:val="20"/>
          <w:szCs w:val="20"/>
          <w:color w:val="auto"/>
        </w:rPr>
      </w:pPr>
    </w:p>
    <w:p>
      <w:pPr>
        <w:ind w:right="960"/>
        <w:spacing w:after="0" w:line="260" w:lineRule="auto"/>
        <w:rPr>
          <w:sz w:val="20"/>
          <w:szCs w:val="20"/>
          <w:color w:val="auto"/>
        </w:rPr>
      </w:pPr>
      <w:r>
        <w:rPr>
          <w:rFonts w:ascii="Arial" w:cs="Arial" w:eastAsia="Arial" w:hAnsi="Arial"/>
          <w:sz w:val="16"/>
          <w:szCs w:val="16"/>
          <w:color w:val="auto"/>
        </w:rPr>
        <w:t>Refer to Note 10, “Commitments And Contingencies,” of the Notes to Condensed Consolidated Financial Statements for information about legal proceedings.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There have been no material changes to the risk factors set forth in our 2020 Form 10-K. Before investing in our Class A common stock, we recommend that investors carefully consider the risks described in the 2020 Form 10-K filed with the SEC, including those under the heading “Item 1A. Risk Factors.” Realization of any of these risks could have a material adverse effect on our financial condition or results of operations. Additional risks and uncertainties not currently known to us or that we deem to be immaterial could also materially adversely affect our business, financial condition, or results of operations.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40</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16"/>
          <w:szCs w:val="16"/>
          <w:b w:val="1"/>
          <w:bCs w:val="1"/>
          <w:color w:val="FFFFFF"/>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64"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17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Incorporated by Reference</w:t>
            </w:r>
          </w:p>
        </w:tc>
        <w:tc>
          <w:tcPr>
            <w:tcW w:w="88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62"/>
        </w:trPr>
        <w:tc>
          <w:tcPr>
            <w:tcW w:w="17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center"/>
              <w:ind w:left="248"/>
              <w:spacing w:after="0"/>
              <w:rPr>
                <w:sz w:val="20"/>
                <w:szCs w:val="20"/>
                <w:color w:val="auto"/>
              </w:rPr>
            </w:pPr>
            <w:r>
              <w:rPr>
                <w:rFonts w:ascii="Arial" w:cs="Arial" w:eastAsia="Arial" w:hAnsi="Arial"/>
                <w:sz w:val="14"/>
                <w:szCs w:val="14"/>
                <w:b w:val="1"/>
                <w:bCs w:val="1"/>
                <w:color w:val="auto"/>
              </w:rPr>
              <w:t>Filed/</w:t>
            </w:r>
          </w:p>
        </w:tc>
      </w:tr>
      <w:tr>
        <w:trPr>
          <w:trHeight w:val="162"/>
        </w:trPr>
        <w:tc>
          <w:tcPr>
            <w:tcW w:w="1740" w:type="dxa"/>
            <w:vAlign w:val="bottom"/>
          </w:tcPr>
          <w:p>
            <w:pPr>
              <w:jc w:val="center"/>
              <w:ind w:right="1108"/>
              <w:spacing w:after="0"/>
              <w:rPr>
                <w:sz w:val="20"/>
                <w:szCs w:val="20"/>
                <w:color w:val="auto"/>
              </w:rPr>
            </w:pPr>
            <w:r>
              <w:rPr>
                <w:rFonts w:ascii="Arial" w:cs="Arial" w:eastAsia="Arial" w:hAnsi="Arial"/>
                <w:sz w:val="14"/>
                <w:szCs w:val="14"/>
                <w:b w:val="1"/>
                <w:bCs w:val="1"/>
                <w:color w:val="auto"/>
              </w:rPr>
              <w:t>Exhibit</w:t>
            </w:r>
          </w:p>
        </w:tc>
        <w:tc>
          <w:tcPr>
            <w:tcW w:w="4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rPr>
              <w:t>Filing</w:t>
            </w:r>
          </w:p>
        </w:tc>
        <w:tc>
          <w:tcPr>
            <w:tcW w:w="1020" w:type="dxa"/>
            <w:vAlign w:val="bottom"/>
          </w:tcPr>
          <w:p>
            <w:pPr>
              <w:jc w:val="center"/>
              <w:ind w:left="248"/>
              <w:spacing w:after="0"/>
              <w:rPr>
                <w:sz w:val="20"/>
                <w:szCs w:val="20"/>
                <w:color w:val="auto"/>
              </w:rPr>
            </w:pPr>
            <w:r>
              <w:rPr>
                <w:rFonts w:ascii="Arial" w:cs="Arial" w:eastAsia="Arial" w:hAnsi="Arial"/>
                <w:sz w:val="14"/>
                <w:szCs w:val="14"/>
                <w:b w:val="1"/>
                <w:bCs w:val="1"/>
                <w:color w:val="auto"/>
              </w:rPr>
              <w:t>Furnished</w:t>
            </w:r>
          </w:p>
        </w:tc>
      </w:tr>
      <w:tr>
        <w:trPr>
          <w:trHeight w:val="190"/>
        </w:trPr>
        <w:tc>
          <w:tcPr>
            <w:tcW w:w="1740" w:type="dxa"/>
            <w:vAlign w:val="bottom"/>
          </w:tcPr>
          <w:p>
            <w:pPr>
              <w:jc w:val="center"/>
              <w:ind w:right="1128"/>
              <w:spacing w:after="0"/>
              <w:rPr>
                <w:sz w:val="20"/>
                <w:szCs w:val="20"/>
                <w:color w:val="auto"/>
              </w:rPr>
            </w:pPr>
            <w:r>
              <w:rPr>
                <w:rFonts w:ascii="Arial" w:cs="Arial" w:eastAsia="Arial" w:hAnsi="Arial"/>
                <w:sz w:val="14"/>
                <w:szCs w:val="14"/>
                <w:b w:val="1"/>
                <w:bCs w:val="1"/>
                <w:color w:val="auto"/>
              </w:rPr>
              <w:t>Number</w:t>
            </w:r>
          </w:p>
        </w:tc>
        <w:tc>
          <w:tcPr>
            <w:tcW w:w="4120" w:type="dxa"/>
            <w:vAlign w:val="bottom"/>
          </w:tcPr>
          <w:p>
            <w:pPr>
              <w:ind w:left="1180"/>
              <w:spacing w:after="0"/>
              <w:rPr>
                <w:sz w:val="20"/>
                <w:szCs w:val="20"/>
                <w:color w:val="auto"/>
              </w:rPr>
            </w:pPr>
            <w:r>
              <w:rPr>
                <w:rFonts w:ascii="Arial" w:cs="Arial" w:eastAsia="Arial" w:hAnsi="Arial"/>
                <w:sz w:val="14"/>
                <w:szCs w:val="14"/>
                <w:b w:val="1"/>
                <w:bCs w:val="1"/>
                <w:color w:val="auto"/>
              </w:rPr>
              <w:t>Description</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Form</w:t>
            </w:r>
          </w:p>
        </w:tc>
        <w:tc>
          <w:tcPr>
            <w:tcW w:w="1120" w:type="dxa"/>
            <w:vAlign w:val="bottom"/>
          </w:tcPr>
          <w:p>
            <w:pPr>
              <w:ind w:left="320"/>
              <w:spacing w:after="0"/>
              <w:rPr>
                <w:sz w:val="20"/>
                <w:szCs w:val="20"/>
                <w:color w:val="auto"/>
              </w:rPr>
            </w:pPr>
            <w:r>
              <w:rPr>
                <w:rFonts w:ascii="Arial" w:cs="Arial" w:eastAsia="Arial" w:hAnsi="Arial"/>
                <w:sz w:val="14"/>
                <w:szCs w:val="14"/>
                <w:b w:val="1"/>
                <w:bCs w:val="1"/>
                <w:color w:val="auto"/>
              </w:rPr>
              <w:t>File No.</w:t>
            </w: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880" w:type="dxa"/>
            <w:vAlign w:val="bottom"/>
          </w:tcPr>
          <w:p>
            <w:pPr>
              <w:jc w:val="center"/>
              <w:ind w:right="88"/>
              <w:spacing w:after="0"/>
              <w:rPr>
                <w:sz w:val="20"/>
                <w:szCs w:val="20"/>
                <w:color w:val="auto"/>
              </w:rPr>
            </w:pPr>
            <w:r>
              <w:rPr>
                <w:rFonts w:ascii="Arial" w:cs="Arial" w:eastAsia="Arial" w:hAnsi="Arial"/>
                <w:sz w:val="14"/>
                <w:szCs w:val="14"/>
                <w:b w:val="1"/>
                <w:bCs w:val="1"/>
                <w:color w:val="auto"/>
              </w:rPr>
              <w:t>Date</w:t>
            </w:r>
          </w:p>
        </w:tc>
        <w:tc>
          <w:tcPr>
            <w:tcW w:w="1020" w:type="dxa"/>
            <w:vAlign w:val="bottom"/>
          </w:tcPr>
          <w:p>
            <w:pPr>
              <w:jc w:val="center"/>
              <w:ind w:left="248"/>
              <w:spacing w:after="0"/>
              <w:rPr>
                <w:sz w:val="20"/>
                <w:szCs w:val="20"/>
                <w:color w:val="auto"/>
              </w:rPr>
            </w:pPr>
            <w:r>
              <w:rPr>
                <w:rFonts w:ascii="Arial" w:cs="Arial" w:eastAsia="Arial" w:hAnsi="Arial"/>
                <w:sz w:val="14"/>
                <w:szCs w:val="14"/>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p>
      <w:pPr>
        <w:spacing w:after="0" w:line="4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60" w:type="dxa"/>
            <w:vAlign w:val="bottom"/>
          </w:tcPr>
          <w:p>
            <w:pPr>
              <w:jc w:val="center"/>
              <w:ind w:right="408"/>
              <w:spacing w:after="0"/>
              <w:rPr>
                <w:sz w:val="20"/>
                <w:szCs w:val="20"/>
                <w:color w:val="auto"/>
              </w:rPr>
            </w:pPr>
            <w:r>
              <w:rPr>
                <w:rFonts w:ascii="Arial" w:cs="Arial" w:eastAsia="Arial" w:hAnsi="Arial"/>
                <w:sz w:val="14"/>
                <w:szCs w:val="14"/>
                <w:color w:val="auto"/>
              </w:rPr>
              <w:t>3.1</w:t>
            </w:r>
          </w:p>
        </w:tc>
        <w:tc>
          <w:tcPr>
            <w:tcW w:w="4820" w:type="dxa"/>
            <w:vAlign w:val="bottom"/>
            <w:gridSpan w:val="11"/>
          </w:tcPr>
          <w:p>
            <w:pPr>
              <w:spacing w:after="0"/>
              <w:rPr>
                <w:rFonts w:ascii="Arial" w:cs="Arial" w:eastAsia="Arial" w:hAnsi="Arial"/>
                <w:sz w:val="14"/>
                <w:szCs w:val="14"/>
                <w:color w:val="0000FF"/>
              </w:rPr>
            </w:pPr>
            <w:hyperlink r:id="rId122">
              <w:r>
                <w:rPr>
                  <w:rFonts w:ascii="Arial" w:cs="Arial" w:eastAsia="Arial" w:hAnsi="Arial"/>
                  <w:sz w:val="14"/>
                  <w:szCs w:val="14"/>
                  <w:color w:val="0000FF"/>
                </w:rPr>
                <w:t>Amended and Restated Certificate of Incorporation of GoHealth, Inc.</w:t>
              </w:r>
            </w:hyperlink>
          </w:p>
        </w:tc>
        <w:tc>
          <w:tcPr>
            <w:tcW w:w="0" w:type="dxa"/>
            <w:vAlign w:val="bottom"/>
          </w:tcPr>
          <w:p>
            <w:pPr>
              <w:spacing w:after="0"/>
              <w:rPr>
                <w:sz w:val="1"/>
                <w:szCs w:val="1"/>
                <w:color w:val="auto"/>
              </w:rPr>
            </w:pPr>
          </w:p>
        </w:tc>
      </w:tr>
      <w:tr>
        <w:trPr>
          <w:trHeight w:val="196"/>
        </w:trPr>
        <w:tc>
          <w:tcPr>
            <w:tcW w:w="760" w:type="dxa"/>
            <w:vAlign w:val="bottom"/>
          </w:tcPr>
          <w:p>
            <w:pPr>
              <w:jc w:val="center"/>
              <w:ind w:right="408"/>
              <w:spacing w:after="0"/>
              <w:rPr>
                <w:sz w:val="20"/>
                <w:szCs w:val="20"/>
                <w:color w:val="auto"/>
              </w:rPr>
            </w:pPr>
            <w:r>
              <w:rPr>
                <w:rFonts w:ascii="Arial" w:cs="Arial" w:eastAsia="Arial" w:hAnsi="Arial"/>
                <w:sz w:val="14"/>
                <w:szCs w:val="14"/>
                <w:color w:val="auto"/>
              </w:rPr>
              <w:t>3.2</w:t>
            </w:r>
          </w:p>
        </w:tc>
        <w:tc>
          <w:tcPr>
            <w:tcW w:w="3140" w:type="dxa"/>
            <w:vAlign w:val="bottom"/>
            <w:tcBorders>
              <w:top w:val="single" w:sz="8" w:color="0000FF"/>
              <w:bottom w:val="single" w:sz="8" w:color="0000FF"/>
            </w:tcBorders>
            <w:gridSpan w:val="2"/>
          </w:tcPr>
          <w:p>
            <w:pPr>
              <w:spacing w:after="0"/>
              <w:rPr>
                <w:rFonts w:ascii="Arial" w:cs="Arial" w:eastAsia="Arial" w:hAnsi="Arial"/>
                <w:sz w:val="14"/>
                <w:szCs w:val="14"/>
                <w:color w:val="0000FF"/>
              </w:rPr>
            </w:pPr>
            <w:hyperlink r:id="rId123">
              <w:r>
                <w:rPr>
                  <w:rFonts w:ascii="Arial" w:cs="Arial" w:eastAsia="Arial" w:hAnsi="Arial"/>
                  <w:sz w:val="14"/>
                  <w:szCs w:val="14"/>
                  <w:color w:val="0000FF"/>
                </w:rPr>
                <w:t>Amended and Restated Bylaws of GoHealth, Inc.</w:t>
              </w:r>
            </w:hyperlink>
          </w:p>
        </w:tc>
        <w:tc>
          <w:tcPr>
            <w:tcW w:w="1220" w:type="dxa"/>
            <w:vAlign w:val="bottom"/>
            <w:tcBorders>
              <w:top w:val="single" w:sz="8" w:color="0000FF"/>
            </w:tcBorders>
            <w:gridSpan w:val="2"/>
          </w:tcPr>
          <w:p>
            <w:pPr>
              <w:spacing w:after="0"/>
              <w:rPr>
                <w:sz w:val="17"/>
                <w:szCs w:val="17"/>
                <w:color w:val="auto"/>
              </w:rPr>
            </w:pPr>
          </w:p>
        </w:tc>
        <w:tc>
          <w:tcPr>
            <w:tcW w:w="4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vMerge w:val="restart"/>
          </w:tcPr>
          <w:p>
            <w:pPr>
              <w:jc w:val="center"/>
              <w:ind w:right="408"/>
              <w:spacing w:after="0"/>
              <w:rPr>
                <w:sz w:val="20"/>
                <w:szCs w:val="20"/>
                <w:color w:val="auto"/>
              </w:rPr>
            </w:pPr>
            <w:r>
              <w:rPr>
                <w:rFonts w:ascii="Arial" w:cs="Arial" w:eastAsia="Arial" w:hAnsi="Arial"/>
                <w:sz w:val="14"/>
                <w:szCs w:val="14"/>
                <w:color w:val="auto"/>
              </w:rPr>
              <w:t>4.1</w:t>
            </w:r>
          </w:p>
        </w:tc>
        <w:tc>
          <w:tcPr>
            <w:tcW w:w="4820" w:type="dxa"/>
            <w:vAlign w:val="bottom"/>
            <w:gridSpan w:val="11"/>
          </w:tcPr>
          <w:p>
            <w:pPr>
              <w:spacing w:after="0"/>
              <w:rPr>
                <w:rFonts w:ascii="Arial" w:cs="Arial" w:eastAsia="Arial" w:hAnsi="Arial"/>
                <w:sz w:val="14"/>
                <w:szCs w:val="14"/>
                <w:color w:val="0000FF"/>
              </w:rPr>
            </w:pPr>
            <w:hyperlink r:id="rId124">
              <w:r>
                <w:rPr>
                  <w:rFonts w:ascii="Arial" w:cs="Arial" w:eastAsia="Arial" w:hAnsi="Arial"/>
                  <w:sz w:val="14"/>
                  <w:szCs w:val="14"/>
                  <w:color w:val="0000FF"/>
                </w:rPr>
                <w:t>Specimen Stock Certificate evidencing the shares of Class A common</w:t>
              </w:r>
            </w:hyperlink>
          </w:p>
        </w:tc>
        <w:tc>
          <w:tcPr>
            <w:tcW w:w="0" w:type="dxa"/>
            <w:vAlign w:val="bottom"/>
          </w:tcPr>
          <w:p>
            <w:pPr>
              <w:spacing w:after="0"/>
              <w:rPr>
                <w:sz w:val="1"/>
                <w:szCs w:val="1"/>
                <w:color w:val="auto"/>
              </w:rPr>
            </w:pPr>
          </w:p>
        </w:tc>
      </w:tr>
      <w:tr>
        <w:trPr>
          <w:trHeight w:val="90"/>
        </w:trPr>
        <w:tc>
          <w:tcPr>
            <w:tcW w:w="760" w:type="dxa"/>
            <w:vAlign w:val="bottom"/>
            <w:vMerge w:val="continue"/>
          </w:tcPr>
          <w:p>
            <w:pPr>
              <w:spacing w:after="0"/>
              <w:rPr>
                <w:sz w:val="7"/>
                <w:szCs w:val="7"/>
                <w:color w:val="auto"/>
              </w:rPr>
            </w:pPr>
          </w:p>
        </w:tc>
        <w:tc>
          <w:tcPr>
            <w:tcW w:w="4460" w:type="dxa"/>
            <w:vAlign w:val="bottom"/>
            <w:tcBorders>
              <w:top w:val="single" w:sz="8" w:color="0000FF"/>
            </w:tcBorders>
            <w:gridSpan w:val="6"/>
            <w:vMerge w:val="restart"/>
          </w:tcPr>
          <w:p>
            <w:pPr>
              <w:spacing w:after="0" w:line="142" w:lineRule="exact"/>
              <w:rPr>
                <w:rFonts w:ascii="Arial" w:cs="Arial" w:eastAsia="Arial" w:hAnsi="Arial"/>
                <w:sz w:val="14"/>
                <w:szCs w:val="14"/>
                <w:color w:val="0000FF"/>
              </w:rPr>
            </w:pPr>
            <w:hyperlink r:id="rId124">
              <w:r>
                <w:rPr>
                  <w:rFonts w:ascii="Arial" w:cs="Arial" w:eastAsia="Arial" w:hAnsi="Arial"/>
                  <w:sz w:val="14"/>
                  <w:szCs w:val="14"/>
                  <w:color w:val="0000FF"/>
                </w:rPr>
                <w:t>stock.</w:t>
              </w:r>
            </w:hyperlink>
          </w:p>
        </w:tc>
        <w:tc>
          <w:tcPr>
            <w:tcW w:w="360" w:type="dxa"/>
            <w:vAlign w:val="bottom"/>
            <w:gridSpan w:val="5"/>
            <w:vMerge w:val="restart"/>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4460" w:type="dxa"/>
            <w:vAlign w:val="bottom"/>
            <w:gridSpan w:val="6"/>
            <w:vMerge w:val="continue"/>
          </w:tcPr>
          <w:p>
            <w:pPr>
              <w:spacing w:after="0"/>
              <w:rPr>
                <w:sz w:val="4"/>
                <w:szCs w:val="4"/>
                <w:color w:val="auto"/>
              </w:rPr>
            </w:pPr>
          </w:p>
        </w:tc>
        <w:tc>
          <w:tcPr>
            <w:tcW w:w="3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60" w:type="dxa"/>
            <w:vAlign w:val="bottom"/>
          </w:tcPr>
          <w:p>
            <w:pPr>
              <w:spacing w:after="0"/>
              <w:rPr>
                <w:sz w:val="15"/>
                <w:szCs w:val="15"/>
                <w:color w:val="auto"/>
              </w:rPr>
            </w:pPr>
          </w:p>
        </w:tc>
        <w:tc>
          <w:tcPr>
            <w:tcW w:w="4300" w:type="dxa"/>
            <w:vAlign w:val="bottom"/>
            <w:tcBorders>
              <w:bottom w:val="single" w:sz="8" w:color="0000FF"/>
            </w:tcBorders>
            <w:gridSpan w:val="3"/>
          </w:tcPr>
          <w:p>
            <w:pPr>
              <w:spacing w:after="0"/>
              <w:rPr>
                <w:rFonts w:ascii="Arial" w:cs="Arial" w:eastAsia="Arial" w:hAnsi="Arial"/>
                <w:sz w:val="14"/>
                <w:szCs w:val="14"/>
                <w:color w:val="0000FF"/>
              </w:rPr>
            </w:pPr>
            <w:hyperlink r:id="rId125">
              <w:r>
                <w:rPr>
                  <w:rFonts w:ascii="Arial" w:cs="Arial" w:eastAsia="Arial" w:hAnsi="Arial"/>
                  <w:sz w:val="14"/>
                  <w:szCs w:val="14"/>
                  <w:color w:val="0000FF"/>
                </w:rPr>
                <w:t>Amendment No. 4 to the Credit Agreement and Incremental Facility</w:t>
              </w:r>
            </w:hyperlink>
          </w:p>
        </w:tc>
        <w:tc>
          <w:tcPr>
            <w:tcW w:w="5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60" w:type="dxa"/>
            <w:vAlign w:val="bottom"/>
            <w:vMerge w:val="restart"/>
          </w:tcPr>
          <w:p>
            <w:pPr>
              <w:jc w:val="center"/>
              <w:ind w:right="408"/>
              <w:spacing w:after="0"/>
              <w:rPr>
                <w:sz w:val="20"/>
                <w:szCs w:val="20"/>
                <w:color w:val="auto"/>
              </w:rPr>
            </w:pPr>
            <w:r>
              <w:rPr>
                <w:rFonts w:ascii="Arial" w:cs="Arial" w:eastAsia="Arial" w:hAnsi="Arial"/>
                <w:sz w:val="14"/>
                <w:szCs w:val="14"/>
                <w:color w:val="auto"/>
              </w:rPr>
              <w:t>10.1</w:t>
            </w:r>
          </w:p>
        </w:tc>
        <w:tc>
          <w:tcPr>
            <w:tcW w:w="4820" w:type="dxa"/>
            <w:vAlign w:val="bottom"/>
            <w:gridSpan w:val="11"/>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Agreement, dated as of May 7, 2021, among Norvax, LLC, as borrower,</w:t>
              </w:r>
            </w:hyperlink>
          </w:p>
        </w:tc>
        <w:tc>
          <w:tcPr>
            <w:tcW w:w="0" w:type="dxa"/>
            <w:vAlign w:val="bottom"/>
          </w:tcPr>
          <w:p>
            <w:pPr>
              <w:spacing w:after="0"/>
              <w:rPr>
                <w:sz w:val="1"/>
                <w:szCs w:val="1"/>
                <w:color w:val="auto"/>
              </w:rPr>
            </w:pPr>
          </w:p>
        </w:tc>
      </w:tr>
      <w:tr>
        <w:trPr>
          <w:trHeight w:val="128"/>
        </w:trPr>
        <w:tc>
          <w:tcPr>
            <w:tcW w:w="760" w:type="dxa"/>
            <w:vAlign w:val="bottom"/>
            <w:vMerge w:val="continue"/>
          </w:tcPr>
          <w:p>
            <w:pPr>
              <w:spacing w:after="0"/>
              <w:rPr>
                <w:sz w:val="11"/>
                <w:szCs w:val="11"/>
                <w:color w:val="auto"/>
              </w:rPr>
            </w:pPr>
          </w:p>
        </w:tc>
        <w:tc>
          <w:tcPr>
            <w:tcW w:w="4560" w:type="dxa"/>
            <w:vAlign w:val="bottom"/>
            <w:tcBorders>
              <w:top w:val="single" w:sz="8" w:color="0000FF"/>
            </w:tcBorders>
            <w:gridSpan w:val="8"/>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Blizzard Midco, LLC, as a guarantor, the other guarantors party thereto,</w:t>
              </w:r>
            </w:hyperlink>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454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Owl Rock Capital Corporation, as administrative agent, collateral agent</w:t>
              </w:r>
            </w:hyperlink>
          </w:p>
        </w:tc>
        <w:tc>
          <w:tcPr>
            <w:tcW w:w="280" w:type="dxa"/>
            <w:vAlign w:val="bottom"/>
            <w:gridSpan w:val="4"/>
          </w:tcPr>
          <w:p>
            <w:pPr>
              <w:ind w:left="20"/>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and</w:t>
              </w:r>
            </w:hyperlink>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444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swingline lender and the other lenders from time to time party thereto.</w:t>
              </w:r>
            </w:hyperlink>
          </w:p>
        </w:tc>
        <w:tc>
          <w:tcPr>
            <w:tcW w:w="36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4300" w:type="dxa"/>
            <w:vAlign w:val="bottom"/>
            <w:tcBorders>
              <w:bottom w:val="single" w:sz="8" w:color="0000FF"/>
            </w:tcBorders>
            <w:gridSpan w:val="3"/>
          </w:tcPr>
          <w:p>
            <w:pPr>
              <w:spacing w:after="0"/>
              <w:rPr>
                <w:rFonts w:ascii="Arial" w:cs="Arial" w:eastAsia="Arial" w:hAnsi="Arial"/>
                <w:sz w:val="14"/>
                <w:szCs w:val="14"/>
                <w:color w:val="0000FF"/>
              </w:rPr>
            </w:pPr>
            <w:hyperlink r:id="rId126">
              <w:r>
                <w:rPr>
                  <w:rFonts w:ascii="Arial" w:cs="Arial" w:eastAsia="Arial" w:hAnsi="Arial"/>
                  <w:sz w:val="14"/>
                  <w:szCs w:val="14"/>
                  <w:color w:val="0000FF"/>
                </w:rPr>
                <w:t>Amendment No. 5 to the Credit Agreement and Incremental Facility</w:t>
              </w:r>
            </w:hyperlink>
          </w:p>
        </w:tc>
        <w:tc>
          <w:tcPr>
            <w:tcW w:w="5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60" w:type="dxa"/>
            <w:vAlign w:val="bottom"/>
            <w:vMerge w:val="restart"/>
          </w:tcPr>
          <w:p>
            <w:pPr>
              <w:jc w:val="center"/>
              <w:ind w:right="408"/>
              <w:spacing w:after="0"/>
              <w:rPr>
                <w:sz w:val="20"/>
                <w:szCs w:val="20"/>
                <w:color w:val="auto"/>
              </w:rPr>
            </w:pPr>
            <w:r>
              <w:rPr>
                <w:rFonts w:ascii="Arial" w:cs="Arial" w:eastAsia="Arial" w:hAnsi="Arial"/>
                <w:sz w:val="14"/>
                <w:szCs w:val="14"/>
                <w:color w:val="auto"/>
              </w:rPr>
              <w:t>10.2</w:t>
            </w:r>
          </w:p>
        </w:tc>
        <w:tc>
          <w:tcPr>
            <w:tcW w:w="4820" w:type="dxa"/>
            <w:vAlign w:val="bottom"/>
            <w:gridSpan w:val="11"/>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Agreement, dated as of June 11, 2021, among Norvax, LLC, as borrower,</w:t>
              </w:r>
            </w:hyperlink>
          </w:p>
        </w:tc>
        <w:tc>
          <w:tcPr>
            <w:tcW w:w="0" w:type="dxa"/>
            <w:vAlign w:val="bottom"/>
          </w:tcPr>
          <w:p>
            <w:pPr>
              <w:spacing w:after="0"/>
              <w:rPr>
                <w:sz w:val="1"/>
                <w:szCs w:val="1"/>
                <w:color w:val="auto"/>
              </w:rPr>
            </w:pPr>
          </w:p>
        </w:tc>
      </w:tr>
      <w:tr>
        <w:trPr>
          <w:trHeight w:val="129"/>
        </w:trPr>
        <w:tc>
          <w:tcPr>
            <w:tcW w:w="760" w:type="dxa"/>
            <w:vAlign w:val="bottom"/>
            <w:vMerge w:val="continue"/>
          </w:tcPr>
          <w:p>
            <w:pPr>
              <w:spacing w:after="0"/>
              <w:rPr>
                <w:sz w:val="11"/>
                <w:szCs w:val="11"/>
                <w:color w:val="auto"/>
              </w:rPr>
            </w:pPr>
          </w:p>
        </w:tc>
        <w:tc>
          <w:tcPr>
            <w:tcW w:w="468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Blizzard Midco, LLC, as a guarantor, the other guarantors party thereto,</w:t>
              </w:r>
            </w:hyperlink>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454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Owl Rock Capital Corporation, as administrative agent, collateral agent</w:t>
              </w:r>
            </w:hyperlink>
          </w:p>
        </w:tc>
        <w:tc>
          <w:tcPr>
            <w:tcW w:w="280" w:type="dxa"/>
            <w:vAlign w:val="bottom"/>
            <w:gridSpan w:val="4"/>
          </w:tcPr>
          <w:p>
            <w:pPr>
              <w:ind w:left="20"/>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and</w:t>
              </w:r>
            </w:hyperlink>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444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swingline lender and the other lenders from time to time party thereto.</w:t>
              </w:r>
            </w:hyperlink>
          </w:p>
        </w:tc>
        <w:tc>
          <w:tcPr>
            <w:tcW w:w="36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jc w:val="center"/>
              <w:ind w:right="188"/>
              <w:spacing w:after="0"/>
              <w:rPr>
                <w:sz w:val="20"/>
                <w:szCs w:val="20"/>
                <w:color w:val="auto"/>
              </w:rPr>
            </w:pPr>
            <w:r>
              <w:rPr>
                <w:rFonts w:ascii="Arial" w:cs="Arial" w:eastAsia="Arial" w:hAnsi="Arial"/>
                <w:sz w:val="14"/>
                <w:szCs w:val="14"/>
                <w:color w:val="auto"/>
              </w:rPr>
              <w:t>10-Q</w:t>
            </w:r>
          </w:p>
        </w:tc>
        <w:tc>
          <w:tcPr>
            <w:tcW w:w="1280" w:type="dxa"/>
            <w:vAlign w:val="bottom"/>
          </w:tcPr>
          <w:p>
            <w:pPr>
              <w:jc w:val="center"/>
              <w:spacing w:after="0"/>
              <w:rPr>
                <w:sz w:val="20"/>
                <w:szCs w:val="20"/>
                <w:color w:val="auto"/>
              </w:rPr>
            </w:pPr>
            <w:r>
              <w:rPr>
                <w:rFonts w:ascii="Arial" w:cs="Arial" w:eastAsia="Arial" w:hAnsi="Arial"/>
                <w:sz w:val="14"/>
                <w:szCs w:val="14"/>
                <w:color w:val="auto"/>
              </w:rPr>
              <w:t>01-39390</w:t>
            </w:r>
          </w:p>
        </w:tc>
        <w:tc>
          <w:tcPr>
            <w:tcW w:w="800" w:type="dxa"/>
            <w:vAlign w:val="bottom"/>
          </w:tcPr>
          <w:p>
            <w:pPr>
              <w:jc w:val="center"/>
              <w:spacing w:after="0"/>
              <w:rPr>
                <w:sz w:val="20"/>
                <w:szCs w:val="20"/>
                <w:color w:val="auto"/>
              </w:rPr>
            </w:pPr>
            <w:r>
              <w:rPr>
                <w:rFonts w:ascii="Arial" w:cs="Arial" w:eastAsia="Arial" w:hAnsi="Arial"/>
                <w:sz w:val="14"/>
                <w:szCs w:val="14"/>
                <w:color w:val="auto"/>
              </w:rPr>
              <w:t>3.1</w:t>
            </w:r>
          </w:p>
        </w:tc>
        <w:tc>
          <w:tcPr>
            <w:tcW w:w="900" w:type="dxa"/>
            <w:vAlign w:val="bottom"/>
          </w:tcPr>
          <w:p>
            <w:pPr>
              <w:jc w:val="right"/>
              <w:spacing w:after="0"/>
              <w:rPr>
                <w:sz w:val="20"/>
                <w:szCs w:val="20"/>
                <w:color w:val="auto"/>
              </w:rPr>
            </w:pPr>
            <w:r>
              <w:rPr>
                <w:rFonts w:ascii="Arial" w:cs="Arial" w:eastAsia="Arial" w:hAnsi="Arial"/>
                <w:sz w:val="14"/>
                <w:szCs w:val="14"/>
                <w:color w:val="auto"/>
              </w:rPr>
              <w:t>8/20/2020</w:t>
            </w:r>
          </w:p>
        </w:tc>
      </w:tr>
      <w:tr>
        <w:trPr>
          <w:trHeight w:val="216"/>
        </w:trPr>
        <w:tc>
          <w:tcPr>
            <w:tcW w:w="580" w:type="dxa"/>
            <w:vAlign w:val="bottom"/>
          </w:tcPr>
          <w:p>
            <w:pPr>
              <w:jc w:val="center"/>
              <w:ind w:right="188"/>
              <w:spacing w:after="0"/>
              <w:rPr>
                <w:sz w:val="20"/>
                <w:szCs w:val="20"/>
                <w:color w:val="auto"/>
              </w:rPr>
            </w:pPr>
            <w:r>
              <w:rPr>
                <w:rFonts w:ascii="Arial" w:cs="Arial" w:eastAsia="Arial" w:hAnsi="Arial"/>
                <w:sz w:val="14"/>
                <w:szCs w:val="14"/>
                <w:color w:val="auto"/>
              </w:rPr>
              <w:t>10-Q</w:t>
            </w:r>
          </w:p>
        </w:tc>
        <w:tc>
          <w:tcPr>
            <w:tcW w:w="1280" w:type="dxa"/>
            <w:vAlign w:val="bottom"/>
          </w:tcPr>
          <w:p>
            <w:pPr>
              <w:jc w:val="center"/>
              <w:spacing w:after="0"/>
              <w:rPr>
                <w:sz w:val="20"/>
                <w:szCs w:val="20"/>
                <w:color w:val="auto"/>
              </w:rPr>
            </w:pPr>
            <w:r>
              <w:rPr>
                <w:rFonts w:ascii="Arial" w:cs="Arial" w:eastAsia="Arial" w:hAnsi="Arial"/>
                <w:sz w:val="14"/>
                <w:szCs w:val="14"/>
                <w:color w:val="auto"/>
              </w:rPr>
              <w:t>01-39390</w:t>
            </w:r>
          </w:p>
        </w:tc>
        <w:tc>
          <w:tcPr>
            <w:tcW w:w="800" w:type="dxa"/>
            <w:vAlign w:val="bottom"/>
          </w:tcPr>
          <w:p>
            <w:pPr>
              <w:jc w:val="center"/>
              <w:spacing w:after="0"/>
              <w:rPr>
                <w:sz w:val="20"/>
                <w:szCs w:val="20"/>
                <w:color w:val="auto"/>
              </w:rPr>
            </w:pPr>
            <w:r>
              <w:rPr>
                <w:rFonts w:ascii="Arial" w:cs="Arial" w:eastAsia="Arial" w:hAnsi="Arial"/>
                <w:sz w:val="14"/>
                <w:szCs w:val="14"/>
                <w:color w:val="auto"/>
              </w:rPr>
              <w:t>3.2</w:t>
            </w:r>
          </w:p>
        </w:tc>
        <w:tc>
          <w:tcPr>
            <w:tcW w:w="900" w:type="dxa"/>
            <w:vAlign w:val="bottom"/>
          </w:tcPr>
          <w:p>
            <w:pPr>
              <w:jc w:val="right"/>
              <w:spacing w:after="0"/>
              <w:rPr>
                <w:sz w:val="20"/>
                <w:szCs w:val="20"/>
                <w:color w:val="auto"/>
              </w:rPr>
            </w:pPr>
            <w:r>
              <w:rPr>
                <w:rFonts w:ascii="Arial" w:cs="Arial" w:eastAsia="Arial" w:hAnsi="Arial"/>
                <w:sz w:val="14"/>
                <w:szCs w:val="14"/>
                <w:color w:val="auto"/>
              </w:rPr>
              <w:t>8/20/2020</w:t>
            </w:r>
          </w:p>
        </w:tc>
      </w:tr>
      <w:tr>
        <w:trPr>
          <w:trHeight w:val="297"/>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S-1</w:t>
            </w:r>
          </w:p>
        </w:tc>
        <w:tc>
          <w:tcPr>
            <w:tcW w:w="128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800" w:type="dxa"/>
            <w:vAlign w:val="bottom"/>
          </w:tcPr>
          <w:p>
            <w:pPr>
              <w:jc w:val="center"/>
              <w:spacing w:after="0"/>
              <w:rPr>
                <w:sz w:val="20"/>
                <w:szCs w:val="20"/>
                <w:color w:val="auto"/>
              </w:rPr>
            </w:pPr>
            <w:r>
              <w:rPr>
                <w:rFonts w:ascii="Arial" w:cs="Arial" w:eastAsia="Arial" w:hAnsi="Arial"/>
                <w:sz w:val="14"/>
                <w:szCs w:val="14"/>
                <w:color w:val="auto"/>
              </w:rPr>
              <w:t>4.1</w:t>
            </w:r>
          </w:p>
        </w:tc>
        <w:tc>
          <w:tcPr>
            <w:tcW w:w="900" w:type="dxa"/>
            <w:vAlign w:val="bottom"/>
          </w:tcPr>
          <w:p>
            <w:pPr>
              <w:jc w:val="right"/>
              <w:spacing w:after="0"/>
              <w:rPr>
                <w:sz w:val="20"/>
                <w:szCs w:val="20"/>
                <w:color w:val="auto"/>
              </w:rPr>
            </w:pPr>
            <w:r>
              <w:rPr>
                <w:rFonts w:ascii="Arial" w:cs="Arial" w:eastAsia="Arial" w:hAnsi="Arial"/>
                <w:sz w:val="14"/>
                <w:szCs w:val="14"/>
                <w:color w:val="auto"/>
              </w:rPr>
              <w:t>6/19/2020</w:t>
            </w:r>
          </w:p>
        </w:tc>
      </w:tr>
      <w:tr>
        <w:trPr>
          <w:trHeight w:val="580"/>
        </w:trPr>
        <w:tc>
          <w:tcPr>
            <w:tcW w:w="580" w:type="dxa"/>
            <w:vAlign w:val="bottom"/>
          </w:tcPr>
          <w:p>
            <w:pPr>
              <w:jc w:val="center"/>
              <w:ind w:right="188"/>
              <w:spacing w:after="0"/>
              <w:rPr>
                <w:sz w:val="20"/>
                <w:szCs w:val="20"/>
                <w:color w:val="auto"/>
              </w:rPr>
            </w:pPr>
            <w:r>
              <w:rPr>
                <w:rFonts w:ascii="Arial" w:cs="Arial" w:eastAsia="Arial" w:hAnsi="Arial"/>
                <w:sz w:val="14"/>
                <w:szCs w:val="14"/>
                <w:color w:val="auto"/>
              </w:rPr>
              <w:t>10-Q</w:t>
            </w:r>
          </w:p>
        </w:tc>
        <w:tc>
          <w:tcPr>
            <w:tcW w:w="1280" w:type="dxa"/>
            <w:vAlign w:val="bottom"/>
          </w:tcPr>
          <w:p>
            <w:pPr>
              <w:jc w:val="center"/>
              <w:spacing w:after="0"/>
              <w:rPr>
                <w:sz w:val="20"/>
                <w:szCs w:val="20"/>
                <w:color w:val="auto"/>
              </w:rPr>
            </w:pPr>
            <w:r>
              <w:rPr>
                <w:rFonts w:ascii="Arial" w:cs="Arial" w:eastAsia="Arial" w:hAnsi="Arial"/>
                <w:sz w:val="14"/>
                <w:szCs w:val="14"/>
                <w:color w:val="auto"/>
              </w:rPr>
              <w:t>01-39390</w:t>
            </w:r>
          </w:p>
        </w:tc>
        <w:tc>
          <w:tcPr>
            <w:tcW w:w="800" w:type="dxa"/>
            <w:vAlign w:val="bottom"/>
          </w:tcPr>
          <w:p>
            <w:pPr>
              <w:jc w:val="center"/>
              <w:spacing w:after="0"/>
              <w:rPr>
                <w:sz w:val="20"/>
                <w:szCs w:val="20"/>
                <w:color w:val="auto"/>
              </w:rPr>
            </w:pPr>
            <w:r>
              <w:rPr>
                <w:rFonts w:ascii="Arial" w:cs="Arial" w:eastAsia="Arial" w:hAnsi="Arial"/>
                <w:sz w:val="14"/>
                <w:szCs w:val="14"/>
                <w:color w:val="auto"/>
              </w:rPr>
              <w:t>10.2</w:t>
            </w:r>
          </w:p>
        </w:tc>
        <w:tc>
          <w:tcPr>
            <w:tcW w:w="900" w:type="dxa"/>
            <w:vAlign w:val="bottom"/>
          </w:tcPr>
          <w:p>
            <w:pPr>
              <w:jc w:val="right"/>
              <w:spacing w:after="0"/>
              <w:rPr>
                <w:sz w:val="20"/>
                <w:szCs w:val="20"/>
                <w:color w:val="auto"/>
              </w:rPr>
            </w:pPr>
            <w:r>
              <w:rPr>
                <w:rFonts w:ascii="Arial" w:cs="Arial" w:eastAsia="Arial" w:hAnsi="Arial"/>
                <w:sz w:val="14"/>
                <w:szCs w:val="14"/>
                <w:color w:val="auto"/>
              </w:rPr>
              <w:t>5/13/2021</w:t>
            </w:r>
          </w:p>
        </w:tc>
      </w:tr>
      <w:tr>
        <w:trPr>
          <w:trHeight w:val="797"/>
        </w:trPr>
        <w:tc>
          <w:tcPr>
            <w:tcW w:w="580" w:type="dxa"/>
            <w:vAlign w:val="bottom"/>
          </w:tcPr>
          <w:p>
            <w:pPr>
              <w:jc w:val="center"/>
              <w:ind w:right="168"/>
              <w:spacing w:after="0"/>
              <w:rPr>
                <w:sz w:val="20"/>
                <w:szCs w:val="20"/>
                <w:color w:val="auto"/>
              </w:rPr>
            </w:pPr>
            <w:r>
              <w:rPr>
                <w:rFonts w:ascii="Arial" w:cs="Arial" w:eastAsia="Arial" w:hAnsi="Arial"/>
                <w:sz w:val="14"/>
                <w:szCs w:val="14"/>
                <w:color w:val="auto"/>
              </w:rPr>
              <w:t>8-K</w:t>
            </w:r>
          </w:p>
        </w:tc>
        <w:tc>
          <w:tcPr>
            <w:tcW w:w="1280" w:type="dxa"/>
            <w:vAlign w:val="bottom"/>
          </w:tcPr>
          <w:p>
            <w:pPr>
              <w:jc w:val="center"/>
              <w:spacing w:after="0"/>
              <w:rPr>
                <w:sz w:val="20"/>
                <w:szCs w:val="20"/>
                <w:color w:val="auto"/>
              </w:rPr>
            </w:pPr>
            <w:r>
              <w:rPr>
                <w:rFonts w:ascii="Arial" w:cs="Arial" w:eastAsia="Arial" w:hAnsi="Arial"/>
                <w:sz w:val="14"/>
                <w:szCs w:val="14"/>
                <w:color w:val="auto"/>
              </w:rPr>
              <w:t>01-39390</w:t>
            </w:r>
          </w:p>
        </w:tc>
        <w:tc>
          <w:tcPr>
            <w:tcW w:w="800" w:type="dxa"/>
            <w:vAlign w:val="bottom"/>
          </w:tcPr>
          <w:p>
            <w:pPr>
              <w:jc w:val="center"/>
              <w:spacing w:after="0"/>
              <w:rPr>
                <w:sz w:val="20"/>
                <w:szCs w:val="20"/>
                <w:color w:val="auto"/>
              </w:rPr>
            </w:pPr>
            <w:r>
              <w:rPr>
                <w:rFonts w:ascii="Arial" w:cs="Arial" w:eastAsia="Arial" w:hAnsi="Arial"/>
                <w:sz w:val="14"/>
                <w:szCs w:val="14"/>
                <w:color w:val="auto"/>
              </w:rPr>
              <w:t>10.1</w:t>
            </w:r>
          </w:p>
        </w:tc>
        <w:tc>
          <w:tcPr>
            <w:tcW w:w="900" w:type="dxa"/>
            <w:vAlign w:val="bottom"/>
          </w:tcPr>
          <w:p>
            <w:pPr>
              <w:jc w:val="right"/>
              <w:spacing w:after="0"/>
              <w:rPr>
                <w:sz w:val="20"/>
                <w:szCs w:val="20"/>
                <w:color w:val="auto"/>
              </w:rPr>
            </w:pPr>
            <w:r>
              <w:rPr>
                <w:rFonts w:ascii="Arial" w:cs="Arial" w:eastAsia="Arial" w:hAnsi="Arial"/>
                <w:sz w:val="14"/>
                <w:szCs w:val="14"/>
                <w:color w:val="auto"/>
              </w:rPr>
              <w:t>6/14/2021</w:t>
            </w:r>
          </w:p>
        </w:tc>
      </w:tr>
    </w:tbl>
    <w:p>
      <w:pPr>
        <w:spacing w:after="0" w:line="432" w:lineRule="exact"/>
        <w:rPr>
          <w:sz w:val="20"/>
          <w:szCs w:val="20"/>
          <w:color w:val="auto"/>
        </w:rPr>
      </w:pPr>
    </w:p>
    <w:p>
      <w:pPr>
        <w:sectPr>
          <w:pgSz w:w="11900" w:h="16838" w:orient="portrait"/>
          <w:cols w:equalWidth="0" w:num="2">
            <w:col w:w="5940" w:space="320"/>
            <w:col w:w="4980"/>
          </w:cols>
          <w:pgMar w:left="320" w:top="1363" w:right="339" w:bottom="1440" w:gutter="0" w:footer="0" w:header="0"/>
          <w:type w:val="continuous"/>
        </w:sectPr>
      </w:pPr>
    </w:p>
    <w:tbl>
      <w:tblPr>
        <w:tblLayout w:type="fixed"/>
        <w:tblInd w:w="200" w:type="dxa"/>
        <w:tblCellMar>
          <w:top w:w="0" w:type="dxa"/>
          <w:left w:w="0" w:type="dxa"/>
          <w:bottom w:w="0" w:type="dxa"/>
          <w:right w:w="0" w:type="dxa"/>
        </w:tblCellMar>
      </w:tblPr>
      <w:tr>
        <w:trPr>
          <w:trHeight w:val="161"/>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31.1</w:t>
            </w:r>
          </w:p>
        </w:tc>
        <w:tc>
          <w:tcPr>
            <w:tcW w:w="4880" w:type="dxa"/>
            <w:vAlign w:val="bottom"/>
            <w:gridSpan w:val="7"/>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Certification of Chief Executive Officer pursuant to Exchange Act Rule 13a-</w:t>
              </w:r>
            </w:hyperlink>
          </w:p>
        </w:tc>
      </w:tr>
      <w:tr>
        <w:trPr>
          <w:trHeight w:val="142"/>
        </w:trPr>
        <w:tc>
          <w:tcPr>
            <w:tcW w:w="900" w:type="dxa"/>
            <w:vAlign w:val="bottom"/>
          </w:tcPr>
          <w:p>
            <w:pPr>
              <w:spacing w:after="0"/>
              <w:rPr>
                <w:sz w:val="12"/>
                <w:szCs w:val="12"/>
                <w:color w:val="auto"/>
              </w:rPr>
            </w:pPr>
          </w:p>
        </w:tc>
        <w:tc>
          <w:tcPr>
            <w:tcW w:w="4760" w:type="dxa"/>
            <w:vAlign w:val="bottom"/>
            <w:tcBorders>
              <w:top w:val="single" w:sz="8" w:color="0000FF"/>
            </w:tcBorders>
            <w:gridSpan w:val="6"/>
          </w:tcPr>
          <w:p>
            <w:pPr>
              <w:spacing w:after="0" w:line="142" w:lineRule="exact"/>
              <w:rPr>
                <w:rFonts w:ascii="Arial" w:cs="Arial" w:eastAsia="Arial" w:hAnsi="Arial"/>
                <w:sz w:val="14"/>
                <w:szCs w:val="14"/>
                <w:color w:val="0000FF"/>
              </w:rPr>
            </w:pPr>
            <w:hyperlink w:anchor="page46">
              <w:r>
                <w:rPr>
                  <w:rFonts w:ascii="Arial" w:cs="Arial" w:eastAsia="Arial" w:hAnsi="Arial"/>
                  <w:sz w:val="14"/>
                  <w:szCs w:val="14"/>
                  <w:color w:val="0000FF"/>
                </w:rPr>
                <w:t>14(a).</w:t>
              </w:r>
            </w:hyperlink>
          </w:p>
        </w:tc>
        <w:tc>
          <w:tcPr>
            <w:tcW w:w="1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31.2</w:t>
            </w:r>
          </w:p>
        </w:tc>
        <w:tc>
          <w:tcPr>
            <w:tcW w:w="4720" w:type="dxa"/>
            <w:vAlign w:val="bottom"/>
            <w:tcBorders>
              <w:bottom w:val="single" w:sz="8" w:color="0000FF"/>
            </w:tcBorders>
            <w:gridSpan w:val="5"/>
          </w:tcPr>
          <w:p>
            <w:pPr>
              <w:spacing w:after="0"/>
              <w:rPr>
                <w:rFonts w:ascii="Arial" w:cs="Arial" w:eastAsia="Arial" w:hAnsi="Arial"/>
                <w:sz w:val="14"/>
                <w:szCs w:val="14"/>
                <w:color w:val="0000FF"/>
              </w:rPr>
            </w:pPr>
            <w:hyperlink w:anchor="page47">
              <w:r>
                <w:rPr>
                  <w:rFonts w:ascii="Arial" w:cs="Arial" w:eastAsia="Arial" w:hAnsi="Arial"/>
                  <w:sz w:val="14"/>
                  <w:szCs w:val="14"/>
                  <w:color w:val="0000FF"/>
                </w:rPr>
                <w:t>Certification of Chief Financial Officer pursuant to Exchange Act Rule 13a-</w:t>
              </w:r>
            </w:hyperlink>
          </w:p>
        </w:tc>
        <w:tc>
          <w:tcPr>
            <w:tcW w:w="160" w:type="dxa"/>
            <w:vAlign w:val="bottom"/>
            <w:gridSpan w:val="2"/>
          </w:tcPr>
          <w:p>
            <w:pPr>
              <w:spacing w:after="0"/>
              <w:rPr>
                <w:sz w:val="17"/>
                <w:szCs w:val="17"/>
                <w:color w:val="auto"/>
              </w:rPr>
            </w:pPr>
          </w:p>
        </w:tc>
      </w:tr>
      <w:tr>
        <w:trPr>
          <w:trHeight w:val="142"/>
        </w:trPr>
        <w:tc>
          <w:tcPr>
            <w:tcW w:w="900" w:type="dxa"/>
            <w:vAlign w:val="bottom"/>
          </w:tcPr>
          <w:p>
            <w:pPr>
              <w:spacing w:after="0"/>
              <w:rPr>
                <w:sz w:val="12"/>
                <w:szCs w:val="12"/>
                <w:color w:val="auto"/>
              </w:rPr>
            </w:pPr>
          </w:p>
        </w:tc>
        <w:tc>
          <w:tcPr>
            <w:tcW w:w="4880" w:type="dxa"/>
            <w:vAlign w:val="bottom"/>
            <w:gridSpan w:val="7"/>
          </w:tcPr>
          <w:p>
            <w:pPr>
              <w:spacing w:after="0" w:line="142" w:lineRule="exact"/>
              <w:rPr>
                <w:rFonts w:ascii="Arial" w:cs="Arial" w:eastAsia="Arial" w:hAnsi="Arial"/>
                <w:sz w:val="14"/>
                <w:szCs w:val="14"/>
                <w:color w:val="0000FF"/>
              </w:rPr>
            </w:pPr>
            <w:hyperlink w:anchor="page47">
              <w:r>
                <w:rPr>
                  <w:rFonts w:ascii="Arial" w:cs="Arial" w:eastAsia="Arial" w:hAnsi="Arial"/>
                  <w:sz w:val="14"/>
                  <w:szCs w:val="14"/>
                  <w:color w:val="0000FF"/>
                </w:rPr>
                <w:t>14(a).</w:t>
              </w:r>
            </w:hyperlink>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32.1</w:t>
            </w:r>
          </w:p>
        </w:tc>
        <w:tc>
          <w:tcPr>
            <w:tcW w:w="4060" w:type="dxa"/>
            <w:vAlign w:val="bottom"/>
            <w:tcBorders>
              <w:bottom w:val="single" w:sz="8" w:color="0000FF"/>
            </w:tcBorders>
            <w:gridSpan w:val="3"/>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Certification of Principal Executive Officer pursuant to 18 U.S.C.</w:t>
              </w:r>
            </w:hyperlink>
          </w:p>
        </w:tc>
        <w:tc>
          <w:tcPr>
            <w:tcW w:w="820" w:type="dxa"/>
            <w:vAlign w:val="bottom"/>
            <w:gridSpan w:val="4"/>
          </w:tcPr>
          <w:p>
            <w:pPr>
              <w:spacing w:after="0"/>
              <w:rPr>
                <w:sz w:val="17"/>
                <w:szCs w:val="17"/>
                <w:color w:val="auto"/>
              </w:rPr>
            </w:pPr>
          </w:p>
        </w:tc>
      </w:tr>
      <w:tr>
        <w:trPr>
          <w:trHeight w:val="142"/>
        </w:trPr>
        <w:tc>
          <w:tcPr>
            <w:tcW w:w="900" w:type="dxa"/>
            <w:vAlign w:val="bottom"/>
          </w:tcPr>
          <w:p>
            <w:pPr>
              <w:spacing w:after="0"/>
              <w:rPr>
                <w:sz w:val="12"/>
                <w:szCs w:val="12"/>
                <w:color w:val="auto"/>
              </w:rPr>
            </w:pPr>
          </w:p>
        </w:tc>
        <w:tc>
          <w:tcPr>
            <w:tcW w:w="880" w:type="dxa"/>
            <w:vAlign w:val="bottom"/>
            <w:tcBorders>
              <w:bottom w:val="single" w:sz="8" w:color="0000FF"/>
            </w:tcBorders>
            <w:gridSpan w:val="2"/>
          </w:tcPr>
          <w:p>
            <w:pPr>
              <w:spacing w:after="0" w:line="142" w:lineRule="exact"/>
              <w:rPr>
                <w:rFonts w:ascii="Arial" w:cs="Arial" w:eastAsia="Arial" w:hAnsi="Arial"/>
                <w:sz w:val="14"/>
                <w:szCs w:val="14"/>
                <w:color w:val="0000FF"/>
              </w:rPr>
            </w:pPr>
            <w:hyperlink w:anchor="page48">
              <w:r>
                <w:rPr>
                  <w:rFonts w:ascii="Arial" w:cs="Arial" w:eastAsia="Arial" w:hAnsi="Arial"/>
                  <w:sz w:val="14"/>
                  <w:szCs w:val="14"/>
                  <w:color w:val="0000FF"/>
                </w:rPr>
                <w:t>Section 1350.</w:t>
              </w:r>
            </w:hyperlink>
          </w:p>
        </w:tc>
        <w:tc>
          <w:tcPr>
            <w:tcW w:w="4000" w:type="dxa"/>
            <w:vAlign w:val="bottom"/>
            <w:gridSpan w:val="5"/>
          </w:tcPr>
          <w:p>
            <w:pPr>
              <w:spacing w:after="0"/>
              <w:rPr>
                <w:sz w:val="12"/>
                <w:szCs w:val="12"/>
                <w:color w:val="auto"/>
              </w:rPr>
            </w:pPr>
          </w:p>
        </w:tc>
      </w:tr>
      <w:tr>
        <w:trPr>
          <w:trHeight w:val="19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32.2</w:t>
            </w:r>
          </w:p>
        </w:tc>
        <w:tc>
          <w:tcPr>
            <w:tcW w:w="4880" w:type="dxa"/>
            <w:vAlign w:val="bottom"/>
            <w:gridSpan w:val="7"/>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Certification of Chief Financial Officer pursuant to 18 U.S.C. Section 1350.</w:t>
              </w:r>
            </w:hyperlink>
          </w:p>
        </w:tc>
      </w:tr>
      <w:tr>
        <w:trPr>
          <w:trHeight w:val="20"/>
        </w:trPr>
        <w:tc>
          <w:tcPr>
            <w:tcW w:w="900" w:type="dxa"/>
            <w:vAlign w:val="bottom"/>
          </w:tcPr>
          <w:p>
            <w:pPr>
              <w:spacing w:after="0" w:line="20" w:lineRule="exact"/>
              <w:rPr>
                <w:sz w:val="1"/>
                <w:szCs w:val="1"/>
                <w:color w:val="auto"/>
              </w:rPr>
            </w:pPr>
          </w:p>
        </w:tc>
        <w:tc>
          <w:tcPr>
            <w:tcW w:w="4700" w:type="dxa"/>
            <w:vAlign w:val="bottom"/>
            <w:gridSpan w:val="4"/>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14"/>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101.INS</w:t>
            </w:r>
          </w:p>
        </w:tc>
        <w:tc>
          <w:tcPr>
            <w:tcW w:w="4880" w:type="dxa"/>
            <w:vAlign w:val="bottom"/>
            <w:gridSpan w:val="7"/>
          </w:tcPr>
          <w:p>
            <w:pPr>
              <w:spacing w:after="0"/>
              <w:rPr>
                <w:sz w:val="20"/>
                <w:szCs w:val="20"/>
                <w:color w:val="auto"/>
              </w:rPr>
            </w:pPr>
            <w:r>
              <w:rPr>
                <w:rFonts w:ascii="Arial" w:cs="Arial" w:eastAsia="Arial" w:hAnsi="Arial"/>
                <w:sz w:val="14"/>
                <w:szCs w:val="14"/>
                <w:color w:val="auto"/>
              </w:rPr>
              <w:t>Inline XBRL Instance Document – the instance document does not appear in</w:t>
            </w:r>
          </w:p>
        </w:tc>
      </w:tr>
      <w:tr>
        <w:trPr>
          <w:trHeight w:val="162"/>
        </w:trPr>
        <w:tc>
          <w:tcPr>
            <w:tcW w:w="900" w:type="dxa"/>
            <w:vAlign w:val="bottom"/>
          </w:tcPr>
          <w:p>
            <w:pPr>
              <w:spacing w:after="0"/>
              <w:rPr>
                <w:sz w:val="14"/>
                <w:szCs w:val="14"/>
                <w:color w:val="auto"/>
              </w:rPr>
            </w:pPr>
          </w:p>
        </w:tc>
        <w:tc>
          <w:tcPr>
            <w:tcW w:w="4880" w:type="dxa"/>
            <w:vAlign w:val="bottom"/>
            <w:gridSpan w:val="7"/>
          </w:tcPr>
          <w:p>
            <w:pPr>
              <w:spacing w:after="0"/>
              <w:rPr>
                <w:sz w:val="20"/>
                <w:szCs w:val="20"/>
                <w:color w:val="auto"/>
              </w:rPr>
            </w:pPr>
            <w:r>
              <w:rPr>
                <w:rFonts w:ascii="Arial" w:cs="Arial" w:eastAsia="Arial" w:hAnsi="Arial"/>
                <w:sz w:val="14"/>
                <w:szCs w:val="14"/>
                <w:color w:val="auto"/>
              </w:rPr>
              <w:t>the Interactive Data File because its XBRL tags are embedded within the</w:t>
            </w:r>
          </w:p>
        </w:tc>
      </w:tr>
      <w:tr>
        <w:trPr>
          <w:trHeight w:val="172"/>
        </w:trPr>
        <w:tc>
          <w:tcPr>
            <w:tcW w:w="900" w:type="dxa"/>
            <w:vAlign w:val="bottom"/>
          </w:tcPr>
          <w:p>
            <w:pPr>
              <w:spacing w:after="0"/>
              <w:rPr>
                <w:sz w:val="14"/>
                <w:szCs w:val="14"/>
                <w:color w:val="auto"/>
              </w:rPr>
            </w:pPr>
          </w:p>
        </w:tc>
        <w:tc>
          <w:tcPr>
            <w:tcW w:w="4880" w:type="dxa"/>
            <w:vAlign w:val="bottom"/>
            <w:gridSpan w:val="7"/>
          </w:tcPr>
          <w:p>
            <w:pPr>
              <w:spacing w:after="0"/>
              <w:rPr>
                <w:sz w:val="20"/>
                <w:szCs w:val="20"/>
                <w:color w:val="auto"/>
              </w:rPr>
            </w:pPr>
            <w:r>
              <w:rPr>
                <w:rFonts w:ascii="Arial" w:cs="Arial" w:eastAsia="Arial" w:hAnsi="Arial"/>
                <w:sz w:val="14"/>
                <w:szCs w:val="14"/>
                <w:color w:val="auto"/>
              </w:rPr>
              <w:t>Inline XBRL document.</w:t>
            </w:r>
          </w:p>
        </w:tc>
      </w:tr>
      <w:tr>
        <w:trPr>
          <w:trHeight w:val="216"/>
        </w:trPr>
        <w:tc>
          <w:tcPr>
            <w:tcW w:w="900" w:type="dxa"/>
            <w:vAlign w:val="bottom"/>
          </w:tcPr>
          <w:p>
            <w:pPr>
              <w:jc w:val="center"/>
              <w:ind w:right="248"/>
              <w:spacing w:after="0"/>
              <w:rPr>
                <w:sz w:val="20"/>
                <w:szCs w:val="20"/>
                <w:color w:val="auto"/>
              </w:rPr>
            </w:pPr>
            <w:r>
              <w:rPr>
                <w:rFonts w:ascii="Arial" w:cs="Arial" w:eastAsia="Arial" w:hAnsi="Arial"/>
                <w:sz w:val="14"/>
                <w:szCs w:val="14"/>
                <w:color w:val="auto"/>
              </w:rPr>
              <w:t>101.SCH</w:t>
            </w:r>
          </w:p>
        </w:tc>
        <w:tc>
          <w:tcPr>
            <w:tcW w:w="4880" w:type="dxa"/>
            <w:vAlign w:val="bottom"/>
            <w:gridSpan w:val="7"/>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16"/>
        </w:trPr>
        <w:tc>
          <w:tcPr>
            <w:tcW w:w="900" w:type="dxa"/>
            <w:vAlign w:val="bottom"/>
          </w:tcPr>
          <w:p>
            <w:pPr>
              <w:jc w:val="center"/>
              <w:ind w:right="268"/>
              <w:spacing w:after="0"/>
              <w:rPr>
                <w:sz w:val="20"/>
                <w:szCs w:val="20"/>
                <w:color w:val="auto"/>
              </w:rPr>
            </w:pPr>
            <w:r>
              <w:rPr>
                <w:rFonts w:ascii="Arial" w:cs="Arial" w:eastAsia="Arial" w:hAnsi="Arial"/>
                <w:sz w:val="14"/>
                <w:szCs w:val="14"/>
                <w:color w:val="auto"/>
              </w:rPr>
              <w:t>101.CAL</w:t>
            </w:r>
          </w:p>
        </w:tc>
        <w:tc>
          <w:tcPr>
            <w:tcW w:w="4880" w:type="dxa"/>
            <w:vAlign w:val="bottom"/>
            <w:gridSpan w:val="7"/>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16"/>
        </w:trPr>
        <w:tc>
          <w:tcPr>
            <w:tcW w:w="900" w:type="dxa"/>
            <w:vAlign w:val="bottom"/>
          </w:tcPr>
          <w:p>
            <w:pPr>
              <w:jc w:val="center"/>
              <w:ind w:right="248"/>
              <w:spacing w:after="0"/>
              <w:rPr>
                <w:sz w:val="20"/>
                <w:szCs w:val="20"/>
                <w:color w:val="auto"/>
              </w:rPr>
            </w:pPr>
            <w:r>
              <w:rPr>
                <w:rFonts w:ascii="Arial" w:cs="Arial" w:eastAsia="Arial" w:hAnsi="Arial"/>
                <w:sz w:val="14"/>
                <w:szCs w:val="14"/>
                <w:color w:val="auto"/>
              </w:rPr>
              <w:t>101.DEF</w:t>
            </w:r>
          </w:p>
        </w:tc>
        <w:tc>
          <w:tcPr>
            <w:tcW w:w="4880" w:type="dxa"/>
            <w:vAlign w:val="bottom"/>
            <w:gridSpan w:val="7"/>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16"/>
        </w:trPr>
        <w:tc>
          <w:tcPr>
            <w:tcW w:w="900" w:type="dxa"/>
            <w:vAlign w:val="bottom"/>
          </w:tcPr>
          <w:p>
            <w:pPr>
              <w:jc w:val="center"/>
              <w:ind w:right="248"/>
              <w:spacing w:after="0"/>
              <w:rPr>
                <w:sz w:val="20"/>
                <w:szCs w:val="20"/>
                <w:color w:val="auto"/>
              </w:rPr>
            </w:pPr>
            <w:r>
              <w:rPr>
                <w:rFonts w:ascii="Arial" w:cs="Arial" w:eastAsia="Arial" w:hAnsi="Arial"/>
                <w:sz w:val="14"/>
                <w:szCs w:val="14"/>
                <w:color w:val="auto"/>
              </w:rPr>
              <w:t>101.LAB</w:t>
            </w:r>
          </w:p>
        </w:tc>
        <w:tc>
          <w:tcPr>
            <w:tcW w:w="4880" w:type="dxa"/>
            <w:vAlign w:val="bottom"/>
            <w:gridSpan w:val="7"/>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16"/>
        </w:trPr>
        <w:tc>
          <w:tcPr>
            <w:tcW w:w="900" w:type="dxa"/>
            <w:vAlign w:val="bottom"/>
          </w:tcPr>
          <w:p>
            <w:pPr>
              <w:jc w:val="center"/>
              <w:ind w:right="248"/>
              <w:spacing w:after="0"/>
              <w:rPr>
                <w:sz w:val="20"/>
                <w:szCs w:val="20"/>
                <w:color w:val="auto"/>
              </w:rPr>
            </w:pPr>
            <w:r>
              <w:rPr>
                <w:rFonts w:ascii="Arial" w:cs="Arial" w:eastAsia="Arial" w:hAnsi="Arial"/>
                <w:sz w:val="14"/>
                <w:szCs w:val="14"/>
                <w:color w:val="auto"/>
              </w:rPr>
              <w:t>101.PRE</w:t>
            </w:r>
          </w:p>
        </w:tc>
        <w:tc>
          <w:tcPr>
            <w:tcW w:w="4880" w:type="dxa"/>
            <w:vAlign w:val="bottom"/>
            <w:gridSpan w:val="7"/>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44" w:lineRule="exact"/>
        <w:rPr>
          <w:sz w:val="20"/>
          <w:szCs w:val="20"/>
          <w:color w:val="auto"/>
        </w:rPr>
      </w:pPr>
    </w:p>
    <w:p>
      <w:pPr>
        <w:ind w:left="1100" w:right="3960" w:hanging="733"/>
        <w:spacing w:after="0" w:line="258" w:lineRule="auto"/>
        <w:tabs>
          <w:tab w:leader="none" w:pos="1100" w:val="left"/>
        </w:tabs>
        <w:numPr>
          <w:ilvl w:val="1"/>
          <w:numId w:val="18"/>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9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 w:lineRule="exact"/>
        <w:rPr>
          <w:rFonts w:ascii="Arial" w:cs="Arial" w:eastAsia="Arial" w:hAnsi="Arial"/>
          <w:sz w:val="14"/>
          <w:szCs w:val="14"/>
          <w:color w:val="auto"/>
        </w:rPr>
      </w:pPr>
    </w:p>
    <w:p>
      <w:pPr>
        <w:ind w:left="280" w:hanging="272"/>
        <w:spacing w:after="0"/>
        <w:tabs>
          <w:tab w:leader="none" w:pos="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p>
    <w:p>
      <w:pPr>
        <w:spacing w:after="0" w:line="726" w:lineRule="exact"/>
        <w:rPr>
          <w:sz w:val="20"/>
          <w:szCs w:val="20"/>
          <w:color w:val="auto"/>
        </w:rPr>
      </w:pPr>
    </w:p>
    <w:p>
      <w:pPr>
        <w:sectPr>
          <w:pgSz w:w="11900" w:h="16838" w:orient="portrait"/>
          <w:cols w:equalWidth="0" w:num="2">
            <w:col w:w="9920" w:space="720"/>
            <w:col w:w="600"/>
          </w:cols>
          <w:pgMar w:left="320" w:top="1363" w:right="339" w:bottom="1440" w:gutter="0" w:footer="0" w:header="0"/>
          <w:type w:val="continuous"/>
        </w:sect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41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color w:val="00497F"/>
        </w:rPr>
        <w:t>SIGNATURES</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67"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5"/>
          <w:szCs w:val="15"/>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Clinton P. Jones</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5"/>
          <w:szCs w:val="15"/>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660" w:type="dxa"/>
        <w:tblCellMar>
          <w:top w:w="0" w:type="dxa"/>
          <w:left w:w="0" w:type="dxa"/>
          <w:bottom w:w="0" w:type="dxa"/>
          <w:right w:w="0" w:type="dxa"/>
        </w:tblCellMar>
      </w:tblPr>
      <w:tr>
        <w:trPr>
          <w:trHeight w:val="189"/>
        </w:trPr>
        <w:tc>
          <w:tcPr>
            <w:tcW w:w="1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260" w:type="dxa"/>
            <w:vAlign w:val="bottom"/>
          </w:tcPr>
          <w:p>
            <w:pPr>
              <w:jc w:val="right"/>
              <w:spacing w:after="0"/>
              <w:rPr>
                <w:sz w:val="20"/>
                <w:szCs w:val="20"/>
                <w:color w:val="auto"/>
              </w:rPr>
            </w:pPr>
            <w:r>
              <w:rPr>
                <w:rFonts w:ascii="Arial" w:cs="Arial" w:eastAsia="Arial" w:hAnsi="Arial"/>
                <w:sz w:val="14"/>
                <w:szCs w:val="14"/>
                <w:color w:val="auto"/>
              </w:rPr>
              <w:t>42</w:t>
            </w:r>
          </w:p>
        </w:tc>
      </w:tr>
    </w:tbl>
    <w:p>
      <w:pPr>
        <w:sectPr>
          <w:pgSz w:w="11900" w:h="16838" w:orient="portrait"/>
          <w:cols w:equalWidth="0" w:num="1">
            <w:col w:w="10980"/>
          </w:cols>
          <w:pgMar w:left="320" w:top="1323" w:right="59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 Clinton P. Jones, certify that:</w:t>
      </w:r>
    </w:p>
    <w:p>
      <w:pPr>
        <w:spacing w:after="0" w:line="221"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GoHealth, Inc.;</w:t>
      </w:r>
    </w:p>
    <w:p>
      <w:pPr>
        <w:spacing w:after="0" w:line="221" w:lineRule="exact"/>
        <w:rPr>
          <w:rFonts w:ascii="Arial" w:cs="Arial" w:eastAsia="Arial" w:hAnsi="Arial"/>
          <w:sz w:val="16"/>
          <w:szCs w:val="16"/>
          <w:color w:val="auto"/>
        </w:rPr>
      </w:pPr>
    </w:p>
    <w:p>
      <w:pPr>
        <w:jc w:val="both"/>
        <w:ind w:left="980" w:right="60" w:hanging="486"/>
        <w:spacing w:after="0" w:line="253"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980" w:right="180" w:hanging="486"/>
        <w:spacing w:after="0" w:line="260"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980" w:right="80" w:hanging="486"/>
        <w:spacing w:after="0" w:line="260"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ind w:left="1460" w:right="80" w:hanging="480"/>
        <w:spacing w:after="0" w:line="253" w:lineRule="auto"/>
        <w:tabs>
          <w:tab w:leader="none" w:pos="1455"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460" w:hanging="480"/>
        <w:spacing w:after="0"/>
        <w:tabs>
          <w:tab w:leader="none" w:pos="14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[omitted];</w:t>
      </w:r>
    </w:p>
    <w:p>
      <w:pPr>
        <w:spacing w:after="0" w:line="221" w:lineRule="exact"/>
        <w:rPr>
          <w:rFonts w:ascii="Arial" w:cs="Arial" w:eastAsia="Arial" w:hAnsi="Arial"/>
          <w:sz w:val="16"/>
          <w:szCs w:val="16"/>
          <w:color w:val="auto"/>
        </w:rPr>
      </w:pPr>
    </w:p>
    <w:p>
      <w:pPr>
        <w:jc w:val="both"/>
        <w:ind w:left="1460" w:hanging="480"/>
        <w:spacing w:after="0" w:line="260" w:lineRule="auto"/>
        <w:tabs>
          <w:tab w:leader="none" w:pos="14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jc w:val="both"/>
        <w:ind w:left="1460" w:right="200" w:hanging="480"/>
        <w:spacing w:after="0" w:line="253" w:lineRule="auto"/>
        <w:tabs>
          <w:tab w:leader="none" w:pos="1455"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980" w:right="120" w:hanging="486"/>
        <w:spacing w:after="0" w:line="260"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460" w:right="480" w:hanging="480"/>
        <w:spacing w:after="0" w:line="260" w:lineRule="auto"/>
        <w:tabs>
          <w:tab w:leader="none" w:pos="1455"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460" w:right="120" w:hanging="480"/>
        <w:spacing w:after="0" w:line="260" w:lineRule="auto"/>
        <w:tabs>
          <w:tab w:leader="none" w:pos="1455"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11, 2021</w:t>
      </w:r>
      <w:r>
        <w:rPr>
          <w:sz w:val="20"/>
          <w:szCs w:val="20"/>
          <w:color w:val="auto"/>
        </w:rPr>
        <w:tab/>
      </w:r>
      <w:r>
        <w:rPr>
          <w:rFonts w:ascii="Arial" w:cs="Arial" w:eastAsia="Arial" w:hAnsi="Arial"/>
          <w:sz w:val="16"/>
          <w:szCs w:val="16"/>
          <w:color w:val="auto"/>
        </w:rPr>
        <w:t>By:</w:t>
        <w:tab/>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Clinton P. Jones</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 Travis J. Matthiesen, certify that:</w:t>
      </w:r>
    </w:p>
    <w:p>
      <w:pPr>
        <w:spacing w:after="0" w:line="221"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GoHealth, Inc.;</w:t>
      </w:r>
    </w:p>
    <w:p>
      <w:pPr>
        <w:spacing w:after="0" w:line="221" w:lineRule="exact"/>
        <w:rPr>
          <w:rFonts w:ascii="Arial" w:cs="Arial" w:eastAsia="Arial" w:hAnsi="Arial"/>
          <w:sz w:val="16"/>
          <w:szCs w:val="16"/>
          <w:color w:val="auto"/>
        </w:rPr>
      </w:pPr>
    </w:p>
    <w:p>
      <w:pPr>
        <w:jc w:val="both"/>
        <w:ind w:left="980" w:right="60" w:hanging="486"/>
        <w:spacing w:after="0" w:line="25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980" w:right="180" w:hanging="486"/>
        <w:spacing w:after="0" w:line="260"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980" w:right="80" w:hanging="486"/>
        <w:spacing w:after="0" w:line="260"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ind w:left="1460" w:right="80" w:hanging="480"/>
        <w:spacing w:after="0" w:line="253" w:lineRule="auto"/>
        <w:tabs>
          <w:tab w:leader="none" w:pos="1455"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460" w:hanging="480"/>
        <w:spacing w:after="0"/>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[omitted];</w:t>
      </w:r>
    </w:p>
    <w:p>
      <w:pPr>
        <w:spacing w:after="0" w:line="221" w:lineRule="exact"/>
        <w:rPr>
          <w:rFonts w:ascii="Arial" w:cs="Arial" w:eastAsia="Arial" w:hAnsi="Arial"/>
          <w:sz w:val="16"/>
          <w:szCs w:val="16"/>
          <w:color w:val="auto"/>
        </w:rPr>
      </w:pPr>
    </w:p>
    <w:p>
      <w:pPr>
        <w:jc w:val="both"/>
        <w:ind w:left="1460" w:hanging="480"/>
        <w:spacing w:after="0" w:line="260" w:lineRule="auto"/>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jc w:val="both"/>
        <w:ind w:left="1460" w:right="200" w:hanging="480"/>
        <w:spacing w:after="0" w:line="253" w:lineRule="auto"/>
        <w:tabs>
          <w:tab w:leader="none" w:pos="1455"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980" w:right="120" w:hanging="486"/>
        <w:spacing w:after="0" w:line="260"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460" w:right="480" w:hanging="480"/>
        <w:spacing w:after="0" w:line="260" w:lineRule="auto"/>
        <w:tabs>
          <w:tab w:leader="none" w:pos="1455"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460" w:right="120" w:hanging="480"/>
        <w:spacing w:after="0" w:line="260" w:lineRule="auto"/>
        <w:tabs>
          <w:tab w:leader="none" w:pos="1455"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11, 2021</w:t>
      </w:r>
      <w:r>
        <w:rPr>
          <w:sz w:val="20"/>
          <w:szCs w:val="20"/>
          <w:color w:val="auto"/>
        </w:rPr>
        <w:tab/>
      </w:r>
      <w:r>
        <w:rPr>
          <w:rFonts w:ascii="Arial" w:cs="Arial" w:eastAsia="Arial" w:hAnsi="Arial"/>
          <w:sz w:val="16"/>
          <w:szCs w:val="16"/>
          <w:color w:val="auto"/>
        </w:rPr>
        <w:t>By:</w:t>
        <w:tab/>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40"/>
          </w:cols>
          <w:pgMar w:left="320" w:top="110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5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1"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In connection with the Quarterly Report on Form 10-Q of GoHealth, Inc. (the “Company”) for the period ended June 30,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980" w:hanging="567"/>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260" w:lineRule="auto"/>
        <w:tabs>
          <w:tab w:leader="none" w:pos="9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11, 2021</w:t>
      </w:r>
      <w:r>
        <w:rPr>
          <w:sz w:val="20"/>
          <w:szCs w:val="20"/>
          <w:color w:val="auto"/>
        </w:rPr>
        <w:tab/>
      </w:r>
      <w:r>
        <w:rPr>
          <w:rFonts w:ascii="Arial" w:cs="Arial" w:eastAsia="Arial" w:hAnsi="Arial"/>
          <w:sz w:val="16"/>
          <w:szCs w:val="16"/>
          <w:color w:val="auto"/>
        </w:rPr>
        <w:t>By:</w:t>
        <w:tab/>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Clinton P. Jones</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5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1"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In connection with the Quarterly Report on Form 10-Q of GoHealth, Inc. (the “Company”) for the period ended June 30,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980" w:hanging="567"/>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260" w:lineRule="auto"/>
        <w:tabs>
          <w:tab w:leader="none" w:pos="9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11, 2021</w:t>
      </w:r>
      <w:r>
        <w:rPr>
          <w:sz w:val="20"/>
          <w:szCs w:val="20"/>
          <w:color w:val="auto"/>
        </w:rPr>
        <w:tab/>
      </w:r>
      <w:r>
        <w:rPr>
          <w:rFonts w:ascii="Arial" w:cs="Arial" w:eastAsia="Arial" w:hAnsi="Arial"/>
          <w:sz w:val="16"/>
          <w:szCs w:val="16"/>
          <w:color w:val="auto"/>
        </w:rPr>
        <w:t>By:</w:t>
        <w:tab/>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3"/>
    </w:lvl>
  </w:abstractNum>
  <w:abstractNum w:abstractNumId="10">
    <w:nsid w:val="25E45D32"/>
    <w:multiLevelType w:val="hybridMultilevel"/>
    <w:lvl w:ilvl="0">
      <w:lvlJc w:val="left"/>
      <w:lvlText w:val="%1."/>
      <w:numFmt w:val="decimal"/>
      <w:start w:val="10"/>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4"/>
    </w:lvl>
  </w:abstractNum>
  <w:abstractNum w:abstractNumId="17">
    <w:nsid w:val="436C6125"/>
    <w:multiLevelType w:val="hybridMultilevel"/>
    <w:lvl w:ilvl="0">
      <w:lvlJc w:val="left"/>
      <w:lvlText w:val="*"/>
      <w:numFmt w:val="bullet"/>
      <w:start w:val="1"/>
    </w:lvl>
    <w:lvl w:ilvl="1">
      <w:lvlJc w:val="left"/>
      <w:lvlText w:val="%2"/>
      <w:numFmt w:val="decimal"/>
      <w:start w:val="104"/>
    </w:lvl>
  </w:abstractNum>
  <w:abstractNum w:abstractNumId="18">
    <w:nsid w:val="628C895D"/>
    <w:multiLevelType w:val="hybridMultilevel"/>
    <w:lvl w:ilvl="0">
      <w:lvlJc w:val="left"/>
      <w:lvlText w:val="**"/>
      <w:numFmt w:val="bullet"/>
      <w:start w:val="1"/>
    </w:lvl>
    <w:lvl w:ilvl="1">
      <w:lvlJc w:val="left"/>
      <w:lvlText w:val="%2"/>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22" Type="http://schemas.openxmlformats.org/officeDocument/2006/relationships/hyperlink" Target="https://www.sec.gov/Archives/edgar/data/1808220/000119312520224832/d935246dex31.htm" TargetMode="External"/><Relationship Id="rId123" Type="http://schemas.openxmlformats.org/officeDocument/2006/relationships/hyperlink" Target="https://www.sec.gov/Archives/edgar/data/1808220/000119312520224832/d935246dex32.htm" TargetMode="External"/><Relationship Id="rId124" Type="http://schemas.openxmlformats.org/officeDocument/2006/relationships/hyperlink" Target="https://www.sec.gov/Archives/edgar/data/1808220/000119312520173051/d797183dex41.htm" TargetMode="External"/><Relationship Id="rId125" Type="http://schemas.openxmlformats.org/officeDocument/2006/relationships/hyperlink" Target="https://www.sec.gov/Archives/edgar/data/1808220/000180822021000019/exhibit102.htm" TargetMode="External"/><Relationship Id="rId126" Type="http://schemas.openxmlformats.org/officeDocument/2006/relationships/hyperlink" Target="https://www.sec.gov/Archives/edgar/data/0001808220/000180822021000022/exhibit101toformdated6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2021-08-12T05:21:52Z</dcterms:created>
  <dcterms:modified xsi:type="dcterms:W3CDTF">2021-08-12T05:21:52Z</dcterms:modified>
</cp:coreProperties>
</file>