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191770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217805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1"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FORM 10-K</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46"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-117475</wp:posOffset>
            </wp:positionV>
            <wp:extent cx="104140" cy="105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45"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For the fiscal year ended December 31, 2020</w:t>
      </w:r>
    </w:p>
    <w:p>
      <w:pPr>
        <w:spacing w:after="0" w:line="9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OR</w:t>
      </w:r>
    </w:p>
    <w:p>
      <w:pPr>
        <w:spacing w:after="0" w:line="166" w:lineRule="exact"/>
        <w:rPr>
          <w:sz w:val="24"/>
          <w:szCs w:val="24"/>
          <w:color w:val="auto"/>
        </w:rPr>
      </w:pPr>
    </w:p>
    <w:p>
      <w:pPr>
        <w:ind w:left="400" w:right="120" w:hanging="374"/>
        <w:spacing w:after="0" w:line="274" w:lineRule="auto"/>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-331470</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52" w:lineRule="exact"/>
        <w:rPr>
          <w:sz w:val="24"/>
          <w:szCs w:val="24"/>
          <w:color w:val="auto"/>
        </w:rPr>
      </w:pPr>
    </w:p>
    <w:p>
      <w:pPr>
        <w:ind w:left="3540"/>
        <w:spacing w:after="0"/>
        <w:tabs>
          <w:tab w:leader="none" w:pos="660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3602990</wp:posOffset>
            </wp:positionH>
            <wp:positionV relativeFrom="paragraph">
              <wp:posOffset>-14605</wp:posOffset>
            </wp:positionV>
            <wp:extent cx="1285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83185</wp:posOffset>
            </wp:positionV>
            <wp:extent cx="2143125" cy="1122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11226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GoHealth, Inc.</w:t>
      </w:r>
    </w:p>
    <w:p>
      <w:pPr>
        <w:spacing w:after="0" w:line="168"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(Exact name of registrant as specified in its charter)</w:t>
      </w:r>
    </w:p>
    <w:p>
      <w:pPr>
        <w:spacing w:after="0" w:line="113"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_________________________</w:t>
      </w:r>
    </w:p>
    <w:p>
      <w:pPr>
        <w:spacing w:after="0" w:line="152" w:lineRule="exact"/>
        <w:rPr>
          <w:sz w:val="24"/>
          <w:szCs w:val="24"/>
          <w:color w:val="auto"/>
        </w:rPr>
      </w:pPr>
    </w:p>
    <w:tbl>
      <w:tblPr>
        <w:tblLayout w:type="fixed"/>
        <w:tblInd w:w="720" w:type="dxa"/>
        <w:tblCellMar>
          <w:top w:w="0" w:type="dxa"/>
          <w:left w:w="0" w:type="dxa"/>
          <w:bottom w:w="0" w:type="dxa"/>
          <w:right w:w="0" w:type="dxa"/>
        </w:tblCellMar>
      </w:tblPr>
      <w:tr>
        <w:trPr>
          <w:trHeight w:val="190"/>
        </w:trPr>
        <w:tc>
          <w:tcPr>
            <w:tcW w:w="4220" w:type="dxa"/>
            <w:vAlign w:val="bottom"/>
          </w:tcPr>
          <w:p>
            <w:pPr>
              <w:jc w:val="center"/>
              <w:spacing w:after="0"/>
              <w:rPr>
                <w:sz w:val="20"/>
                <w:szCs w:val="20"/>
                <w:color w:val="auto"/>
              </w:rPr>
            </w:pPr>
            <w:r>
              <w:rPr>
                <w:rFonts w:ascii="Arial" w:cs="Arial" w:eastAsia="Arial" w:hAnsi="Arial"/>
                <w:sz w:val="14"/>
                <w:szCs w:val="14"/>
                <w:b w:val="1"/>
                <w:bCs w:val="1"/>
                <w:color w:val="auto"/>
              </w:rPr>
              <w:t>Delaware</w:t>
            </w:r>
          </w:p>
        </w:tc>
        <w:tc>
          <w:tcPr>
            <w:tcW w:w="4700" w:type="dxa"/>
            <w:vAlign w:val="bottom"/>
          </w:tcPr>
          <w:p>
            <w:pPr>
              <w:jc w:val="center"/>
              <w:ind w:left="2141"/>
              <w:spacing w:after="0"/>
              <w:rPr>
                <w:sz w:val="20"/>
                <w:szCs w:val="20"/>
                <w:color w:val="auto"/>
              </w:rPr>
            </w:pPr>
            <w:r>
              <w:rPr>
                <w:rFonts w:ascii="Arial" w:cs="Arial" w:eastAsia="Arial" w:hAnsi="Arial"/>
                <w:sz w:val="14"/>
                <w:szCs w:val="14"/>
                <w:b w:val="1"/>
                <w:bCs w:val="1"/>
                <w:color w:val="auto"/>
              </w:rPr>
              <w:t>85-0563805</w:t>
            </w:r>
          </w:p>
        </w:tc>
      </w:tr>
      <w:tr>
        <w:trPr>
          <w:trHeight w:val="235"/>
        </w:trPr>
        <w:tc>
          <w:tcPr>
            <w:tcW w:w="4220" w:type="dxa"/>
            <w:vAlign w:val="bottom"/>
          </w:tcPr>
          <w:p>
            <w:pPr>
              <w:jc w:val="center"/>
              <w:spacing w:after="0"/>
              <w:rPr>
                <w:sz w:val="20"/>
                <w:szCs w:val="20"/>
                <w:color w:val="auto"/>
              </w:rPr>
            </w:pPr>
            <w:r>
              <w:rPr>
                <w:rFonts w:ascii="Arial" w:cs="Arial" w:eastAsia="Arial" w:hAnsi="Arial"/>
                <w:sz w:val="16"/>
                <w:szCs w:val="16"/>
                <w:color w:val="auto"/>
              </w:rPr>
              <w:t>(State or other jurisdiction of incorporation or organization)</w:t>
            </w:r>
          </w:p>
        </w:tc>
        <w:tc>
          <w:tcPr>
            <w:tcW w:w="4700" w:type="dxa"/>
            <w:vAlign w:val="bottom"/>
          </w:tcPr>
          <w:p>
            <w:pPr>
              <w:jc w:val="center"/>
              <w:ind w:left="2141"/>
              <w:spacing w:after="0"/>
              <w:rPr>
                <w:sz w:val="20"/>
                <w:szCs w:val="20"/>
                <w:color w:val="auto"/>
              </w:rPr>
            </w:pPr>
            <w:r>
              <w:rPr>
                <w:rFonts w:ascii="Arial" w:cs="Arial" w:eastAsia="Arial" w:hAnsi="Arial"/>
                <w:sz w:val="16"/>
                <w:szCs w:val="16"/>
                <w:color w:val="auto"/>
              </w:rPr>
              <w:t>(I.R.S. Employer Identification No.)</w:t>
            </w:r>
          </w:p>
        </w:tc>
      </w:tr>
      <w:tr>
        <w:trPr>
          <w:trHeight w:val="494"/>
        </w:trPr>
        <w:tc>
          <w:tcPr>
            <w:tcW w:w="4220" w:type="dxa"/>
            <w:vAlign w:val="bottom"/>
          </w:tcPr>
          <w:p>
            <w:pPr>
              <w:jc w:val="center"/>
              <w:ind w:right="44"/>
              <w:spacing w:after="0"/>
              <w:rPr>
                <w:sz w:val="20"/>
                <w:szCs w:val="20"/>
                <w:color w:val="auto"/>
              </w:rPr>
            </w:pPr>
            <w:r>
              <w:rPr>
                <w:rFonts w:ascii="Arial" w:cs="Arial" w:eastAsia="Arial" w:hAnsi="Arial"/>
                <w:sz w:val="14"/>
                <w:szCs w:val="14"/>
                <w:b w:val="1"/>
                <w:bCs w:val="1"/>
                <w:color w:val="auto"/>
              </w:rPr>
              <w:t>214 West Huron St.</w:t>
            </w:r>
          </w:p>
        </w:tc>
        <w:tc>
          <w:tcPr>
            <w:tcW w:w="4700" w:type="dxa"/>
            <w:vAlign w:val="bottom"/>
          </w:tcPr>
          <w:p>
            <w:pPr>
              <w:spacing w:after="0"/>
              <w:rPr>
                <w:sz w:val="24"/>
                <w:szCs w:val="24"/>
                <w:color w:val="auto"/>
              </w:rPr>
            </w:pPr>
          </w:p>
        </w:tc>
      </w:tr>
      <w:tr>
        <w:trPr>
          <w:trHeight w:val="256"/>
        </w:trPr>
        <w:tc>
          <w:tcPr>
            <w:tcW w:w="4220" w:type="dxa"/>
            <w:vAlign w:val="bottom"/>
          </w:tcPr>
          <w:p>
            <w:pPr>
              <w:ind w:left="1460"/>
              <w:spacing w:after="0"/>
              <w:rPr>
                <w:sz w:val="20"/>
                <w:szCs w:val="20"/>
                <w:color w:val="auto"/>
              </w:rPr>
            </w:pPr>
            <w:r>
              <w:rPr>
                <w:rFonts w:ascii="Arial" w:cs="Arial" w:eastAsia="Arial" w:hAnsi="Arial"/>
                <w:sz w:val="14"/>
                <w:szCs w:val="14"/>
                <w:b w:val="1"/>
                <w:bCs w:val="1"/>
                <w:color w:val="auto"/>
              </w:rPr>
              <w:t>Chicago, Illinois</w:t>
            </w:r>
          </w:p>
        </w:tc>
        <w:tc>
          <w:tcPr>
            <w:tcW w:w="4700" w:type="dxa"/>
            <w:vAlign w:val="bottom"/>
          </w:tcPr>
          <w:p>
            <w:pPr>
              <w:jc w:val="center"/>
              <w:ind w:left="2141"/>
              <w:spacing w:after="0"/>
              <w:rPr>
                <w:sz w:val="20"/>
                <w:szCs w:val="20"/>
                <w:color w:val="auto"/>
              </w:rPr>
            </w:pPr>
            <w:r>
              <w:rPr>
                <w:rFonts w:ascii="Arial" w:cs="Arial" w:eastAsia="Arial" w:hAnsi="Arial"/>
                <w:sz w:val="14"/>
                <w:szCs w:val="14"/>
                <w:b w:val="1"/>
                <w:bCs w:val="1"/>
                <w:color w:val="auto"/>
              </w:rPr>
              <w:t>60654</w:t>
            </w:r>
          </w:p>
        </w:tc>
      </w:tr>
      <w:tr>
        <w:trPr>
          <w:trHeight w:val="235"/>
        </w:trPr>
        <w:tc>
          <w:tcPr>
            <w:tcW w:w="4220" w:type="dxa"/>
            <w:vAlign w:val="bottom"/>
          </w:tcPr>
          <w:p>
            <w:pPr>
              <w:jc w:val="center"/>
              <w:ind w:right="24"/>
              <w:spacing w:after="0"/>
              <w:rPr>
                <w:sz w:val="20"/>
                <w:szCs w:val="20"/>
                <w:color w:val="auto"/>
              </w:rPr>
            </w:pPr>
            <w:r>
              <w:rPr>
                <w:rFonts w:ascii="Arial" w:cs="Arial" w:eastAsia="Arial" w:hAnsi="Arial"/>
                <w:sz w:val="16"/>
                <w:szCs w:val="16"/>
                <w:color w:val="auto"/>
              </w:rPr>
              <w:t>(Address of principal executive offices)</w:t>
            </w:r>
          </w:p>
        </w:tc>
        <w:tc>
          <w:tcPr>
            <w:tcW w:w="4700" w:type="dxa"/>
            <w:vAlign w:val="bottom"/>
          </w:tcPr>
          <w:p>
            <w:pPr>
              <w:jc w:val="center"/>
              <w:ind w:left="2121"/>
              <w:spacing w:after="0"/>
              <w:rPr>
                <w:sz w:val="20"/>
                <w:szCs w:val="20"/>
                <w:color w:val="auto"/>
              </w:rPr>
            </w:pPr>
            <w:r>
              <w:rPr>
                <w:rFonts w:ascii="Arial" w:cs="Arial" w:eastAsia="Arial" w:hAnsi="Arial"/>
                <w:sz w:val="16"/>
                <w:szCs w:val="16"/>
                <w:color w:val="auto"/>
              </w:rPr>
              <w:t>(Zip Code)</w:t>
            </w:r>
          </w:p>
        </w:tc>
      </w:tr>
      <w:tr>
        <w:trPr>
          <w:trHeight w:val="425"/>
        </w:trPr>
        <w:tc>
          <w:tcPr>
            <w:tcW w:w="4220" w:type="dxa"/>
            <w:vAlign w:val="bottom"/>
          </w:tcPr>
          <w:p>
            <w:pPr>
              <w:spacing w:after="0"/>
              <w:rPr>
                <w:sz w:val="24"/>
                <w:szCs w:val="24"/>
                <w:color w:val="auto"/>
              </w:rPr>
            </w:pPr>
          </w:p>
        </w:tc>
        <w:tc>
          <w:tcPr>
            <w:tcW w:w="4700" w:type="dxa"/>
            <w:vAlign w:val="bottom"/>
          </w:tcPr>
          <w:p>
            <w:pPr>
              <w:jc w:val="right"/>
              <w:ind w:right="3321"/>
              <w:spacing w:after="0"/>
              <w:rPr>
                <w:sz w:val="20"/>
                <w:szCs w:val="20"/>
                <w:color w:val="auto"/>
              </w:rPr>
            </w:pPr>
            <w:r>
              <w:rPr>
                <w:rFonts w:ascii="Arial" w:cs="Arial" w:eastAsia="Arial" w:hAnsi="Arial"/>
                <w:sz w:val="18"/>
                <w:szCs w:val="18"/>
                <w:b w:val="1"/>
                <w:bCs w:val="1"/>
                <w:color w:val="auto"/>
              </w:rPr>
              <w:t>(312) 386-8200</w:t>
            </w:r>
          </w:p>
        </w:tc>
      </w:tr>
    </w:tbl>
    <w:p>
      <w:pPr>
        <w:spacing w:after="0" w:line="110"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089"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Name of each exchange</w:t>
            </w:r>
          </w:p>
        </w:tc>
      </w:tr>
      <w:tr>
        <w:trPr>
          <w:trHeight w:val="239"/>
        </w:trPr>
        <w:tc>
          <w:tcPr>
            <w:tcW w:w="3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Title of each class</w:t>
            </w: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Symbol(s)</w:t>
            </w:r>
          </w:p>
        </w:tc>
        <w:tc>
          <w:tcPr>
            <w:tcW w:w="3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gridSpan w:val="2"/>
          </w:tcPr>
          <w:p>
            <w:pPr>
              <w:spacing w:after="0"/>
              <w:rPr>
                <w:sz w:val="2"/>
                <w:szCs w:val="2"/>
                <w:color w:val="auto"/>
              </w:rPr>
            </w:pPr>
          </w:p>
        </w:tc>
      </w:tr>
      <w:tr>
        <w:trPr>
          <w:trHeight w:val="236"/>
        </w:trPr>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Class A Common Stock,</w:t>
            </w: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GOCO</w:t>
            </w:r>
          </w:p>
        </w:tc>
        <w:tc>
          <w:tcPr>
            <w:tcW w:w="3680" w:type="dxa"/>
            <w:vAlign w:val="bottom"/>
            <w:gridSpan w:val="2"/>
          </w:tcPr>
          <w:p>
            <w:pPr>
              <w:jc w:val="center"/>
              <w:spacing w:after="0"/>
              <w:rPr>
                <w:sz w:val="20"/>
                <w:szCs w:val="20"/>
                <w:color w:val="auto"/>
              </w:rPr>
            </w:pPr>
            <w:r>
              <w:rPr>
                <w:rFonts w:ascii="Arial" w:cs="Arial" w:eastAsia="Arial" w:hAnsi="Arial"/>
                <w:sz w:val="18"/>
                <w:szCs w:val="18"/>
                <w:color w:val="auto"/>
              </w:rPr>
              <w:t>The Nasdaq Global Market</w:t>
            </w:r>
          </w:p>
        </w:tc>
      </w:tr>
      <w:tr>
        <w:trPr>
          <w:trHeight w:val="217"/>
        </w:trPr>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rPr>
              <w:t>$0.0001 par value per share</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46"/>
        </w:trPr>
        <w:tc>
          <w:tcPr>
            <w:tcW w:w="752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2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4"/>
        </w:trPr>
        <w:tc>
          <w:tcPr>
            <w:tcW w:w="10060" w:type="dxa"/>
            <w:vAlign w:val="bottom"/>
            <w:gridSpan w:val="5"/>
          </w:tcPr>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114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24"/>
        </w:trPr>
        <w:tc>
          <w:tcPr>
            <w:tcW w:w="10060" w:type="dxa"/>
            <w:vAlign w:val="bottom"/>
            <w:gridSpan w:val="5"/>
          </w:tcPr>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p>
        </w:tc>
        <w:tc>
          <w:tcPr>
            <w:tcW w:w="11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-340360</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6635750</wp:posOffset>
            </wp:positionH>
            <wp:positionV relativeFrom="paragraph">
              <wp:posOffset>-340360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6266815</wp:posOffset>
            </wp:positionH>
            <wp:positionV relativeFrom="paragraph">
              <wp:posOffset>-134620</wp:posOffset>
            </wp:positionV>
            <wp:extent cx="86995" cy="88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6705600</wp:posOffset>
            </wp:positionH>
            <wp:positionV relativeFrom="paragraph">
              <wp:posOffset>-134620</wp:posOffset>
            </wp:positionV>
            <wp:extent cx="86995" cy="88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7" w:lineRule="exact"/>
        <w:rPr>
          <w:sz w:val="20"/>
          <w:szCs w:val="20"/>
          <w:color w:val="auto"/>
        </w:rPr>
      </w:pPr>
    </w:p>
    <w:p>
      <w:pPr>
        <w:ind w:right="4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-133350</wp:posOffset>
            </wp:positionV>
            <wp:extent cx="86995" cy="88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-133350</wp:posOffset>
            </wp:positionV>
            <wp:extent cx="86995" cy="88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8" w:lineRule="exact"/>
        <w:rPr>
          <w:sz w:val="20"/>
          <w:szCs w:val="20"/>
          <w:color w:val="auto"/>
        </w:rPr>
      </w:pPr>
    </w:p>
    <w:p>
      <w:pPr>
        <w:ind w:right="24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-133350</wp:posOffset>
            </wp:positionV>
            <wp:extent cx="86995" cy="88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-133350</wp:posOffset>
            </wp:positionV>
            <wp:extent cx="86995" cy="88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3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60" w:type="dxa"/>
            <w:vAlign w:val="bottom"/>
          </w:tcPr>
          <w:p>
            <w:pPr>
              <w:ind w:left="1640"/>
              <w:spacing w:after="0" w:line="201" w:lineRule="exact"/>
              <w:rPr>
                <w:sz w:val="20"/>
                <w:szCs w:val="20"/>
                <w:color w:val="auto"/>
              </w:rPr>
            </w:pPr>
            <w:r>
              <w:rPr>
                <w:rFonts w:ascii="MS PGothic" w:cs="MS PGothic" w:eastAsia="MS PGothic" w:hAnsi="MS PGothic"/>
                <w:sz w:val="20"/>
                <w:szCs w:val="20"/>
                <w:color w:val="auto"/>
              </w:rPr>
              <w:t>☐</w:t>
            </w:r>
          </w:p>
        </w:tc>
        <w:tc>
          <w:tcPr>
            <w:tcW w:w="376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1640" w:type="dxa"/>
            <w:vAlign w:val="bottom"/>
          </w:tcPr>
          <w:p>
            <w:pPr>
              <w:ind w:left="146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83"/>
        </w:trPr>
        <w:tc>
          <w:tcPr>
            <w:tcW w:w="3420" w:type="dxa"/>
            <w:vAlign w:val="bottom"/>
          </w:tcPr>
          <w:p>
            <w:pPr>
              <w:spacing w:after="0"/>
              <w:rPr>
                <w:sz w:val="20"/>
                <w:szCs w:val="20"/>
                <w:color w:val="auto"/>
              </w:rPr>
            </w:pPr>
            <w:r>
              <w:rPr>
                <w:rFonts w:ascii="Arial" w:cs="Arial" w:eastAsia="Arial" w:hAnsi="Arial"/>
                <w:sz w:val="18"/>
                <w:szCs w:val="18"/>
                <w:color w:val="auto"/>
              </w:rPr>
              <w:t>Non-accelerated filer</w:t>
            </w:r>
          </w:p>
        </w:tc>
        <w:tc>
          <w:tcPr>
            <w:tcW w:w="1960" w:type="dxa"/>
            <w:vAlign w:val="bottom"/>
          </w:tcPr>
          <w:p>
            <w:pPr>
              <w:ind w:left="1640"/>
              <w:spacing w:after="0" w:line="201" w:lineRule="exact"/>
              <w:rPr>
                <w:sz w:val="20"/>
                <w:szCs w:val="20"/>
                <w:color w:val="auto"/>
              </w:rPr>
            </w:pPr>
            <w:r>
              <w:rPr>
                <w:rFonts w:ascii="MS PGothic" w:cs="MS PGothic" w:eastAsia="MS PGothic" w:hAnsi="MS PGothic"/>
                <w:sz w:val="20"/>
                <w:szCs w:val="20"/>
                <w:color w:val="auto"/>
              </w:rPr>
              <w:t>☒</w:t>
            </w:r>
          </w:p>
        </w:tc>
        <w:tc>
          <w:tcPr>
            <w:tcW w:w="3760" w:type="dxa"/>
            <w:vAlign w:val="bottom"/>
          </w:tcPr>
          <w:p>
            <w:pPr>
              <w:ind w:left="140"/>
              <w:spacing w:after="0"/>
              <w:rPr>
                <w:sz w:val="20"/>
                <w:szCs w:val="20"/>
                <w:color w:val="auto"/>
              </w:rPr>
            </w:pPr>
            <w:r>
              <w:rPr>
                <w:rFonts w:ascii="Arial" w:cs="Arial" w:eastAsia="Arial" w:hAnsi="Arial"/>
                <w:sz w:val="18"/>
                <w:szCs w:val="18"/>
                <w:color w:val="auto"/>
              </w:rPr>
              <w:t>Emerging growth company</w:t>
            </w:r>
          </w:p>
        </w:tc>
        <w:tc>
          <w:tcPr>
            <w:tcW w:w="1640" w:type="dxa"/>
            <w:vAlign w:val="bottom"/>
          </w:tcPr>
          <w:p>
            <w:pPr>
              <w:ind w:left="146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0"/>
        </w:trPr>
        <w:tc>
          <w:tcPr>
            <w:tcW w:w="3420" w:type="dxa"/>
            <w:vAlign w:val="bottom"/>
          </w:tcPr>
          <w:p>
            <w:pPr>
              <w:spacing w:after="0"/>
              <w:rPr>
                <w:sz w:val="20"/>
                <w:szCs w:val="20"/>
                <w:color w:val="auto"/>
              </w:rPr>
            </w:pPr>
            <w:r>
              <w:rPr>
                <w:rFonts w:ascii="Arial" w:cs="Arial" w:eastAsia="Arial" w:hAnsi="Arial"/>
                <w:sz w:val="18"/>
                <w:szCs w:val="18"/>
                <w:color w:val="auto"/>
              </w:rPr>
              <w:t>Accelerated filer</w:t>
            </w:r>
          </w:p>
        </w:tc>
        <w:tc>
          <w:tcPr>
            <w:tcW w:w="1960" w:type="dxa"/>
            <w:vAlign w:val="bottom"/>
          </w:tcPr>
          <w:p>
            <w:pPr>
              <w:ind w:left="1640"/>
              <w:spacing w:after="0" w:line="201" w:lineRule="exact"/>
              <w:rPr>
                <w:sz w:val="20"/>
                <w:szCs w:val="20"/>
                <w:color w:val="auto"/>
              </w:rPr>
            </w:pPr>
            <w:r>
              <w:rPr>
                <w:rFonts w:ascii="MS PGothic" w:cs="MS PGothic" w:eastAsia="MS PGothic" w:hAnsi="MS PGothic"/>
                <w:sz w:val="20"/>
                <w:szCs w:val="20"/>
                <w:color w:val="auto"/>
              </w:rPr>
              <w:t>☐</w:t>
            </w:r>
          </w:p>
        </w:tc>
        <w:tc>
          <w:tcPr>
            <w:tcW w:w="376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-506730</wp:posOffset>
            </wp:positionV>
            <wp:extent cx="95250" cy="965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-506730</wp:posOffset>
            </wp:positionV>
            <wp:extent cx="95250" cy="96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-327025</wp:posOffset>
            </wp:positionV>
            <wp:extent cx="95250" cy="96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-327025</wp:posOffset>
            </wp:positionV>
            <wp:extent cx="95250" cy="965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-146685</wp:posOffset>
            </wp:positionV>
            <wp:extent cx="95250" cy="96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169" w:lineRule="exact"/>
        <w:rPr>
          <w:sz w:val="20"/>
          <w:szCs w:val="20"/>
          <w:color w:val="auto"/>
        </w:rPr>
      </w:pPr>
    </w:p>
    <w:p>
      <w:pPr>
        <w:ind w:right="1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5712460</wp:posOffset>
            </wp:positionH>
            <wp:positionV relativeFrom="paragraph">
              <wp:posOffset>-133985</wp:posOffset>
            </wp:positionV>
            <wp:extent cx="86995" cy="88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8" w:lineRule="exact"/>
        <w:rPr>
          <w:sz w:val="20"/>
          <w:szCs w:val="20"/>
          <w:color w:val="auto"/>
        </w:rPr>
      </w:pPr>
    </w:p>
    <w:p>
      <w:pPr>
        <w:ind w:right="20"/>
        <w:spacing w:after="0" w:line="223"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-133350</wp:posOffset>
            </wp:positionV>
            <wp:extent cx="86995" cy="88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2" w:lineRule="exact"/>
        <w:rPr>
          <w:sz w:val="20"/>
          <w:szCs w:val="20"/>
          <w:color w:val="auto"/>
        </w:rPr>
      </w:pPr>
    </w:p>
    <w:p>
      <w:pPr>
        <w:spacing w:after="0" w:line="207" w:lineRule="exact"/>
        <w:tabs>
          <w:tab w:leader="none" w:pos="9180" w:val="left"/>
          <w:tab w:leader="none" w:pos="99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-86360</wp:posOffset>
            </wp:positionV>
            <wp:extent cx="86995" cy="88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6538595</wp:posOffset>
            </wp:positionH>
            <wp:positionV relativeFrom="paragraph">
              <wp:posOffset>-86360</wp:posOffset>
            </wp:positionV>
            <wp:extent cx="86995" cy="88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June 30, 2020, the last business day of the registrant’s most recently completed second fiscal quarter, there was no established public trading market for the registrant’s equity securities. The registrant’s common stock began trading on the Nasdaq Global Market on July 15, 2020.</w:t>
      </w:r>
    </w:p>
    <w:p>
      <w:pPr>
        <w:spacing w:after="0" w:line="94"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As of March 9, 2021, the registrant had 98,447,689 shares of Class A common stock, $0.0001 par value per share, outstanding and 222,752,389 shares of Class B common stock, $0.0001 par value per share, outstanding.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Portions of the registrant’s Definitive Proxy Statement for the 2021 Annual Meeting of Stockholders, which is expected to be filed within 120 days after the Company’s fiscal year ended December 31, 2020, are incorporated by reference into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394335</wp:posOffset>
            </wp:positionV>
            <wp:extent cx="7115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420370</wp:posOffset>
            </wp:positionV>
            <wp:extent cx="71151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232"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5"/>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20" w:type="dxa"/>
            <w:vAlign w:val="bottom"/>
            <w:gridSpan w:val="4"/>
          </w:tcPr>
          <w:p>
            <w:pPr>
              <w:jc w:val="center"/>
              <w:ind w:right="2920"/>
              <w:spacing w:after="0"/>
              <w:rPr>
                <w:sz w:val="20"/>
                <w:szCs w:val="20"/>
                <w:color w:val="auto"/>
              </w:rPr>
            </w:pPr>
            <w:r>
              <w:rPr>
                <w:rFonts w:ascii="Arial" w:cs="Arial" w:eastAsia="Arial" w:hAnsi="Arial"/>
                <w:sz w:val="16"/>
                <w:szCs w:val="16"/>
                <w:b w:val="1"/>
                <w:bCs w:val="1"/>
                <w:color w:val="auto"/>
              </w:rPr>
              <w:t>TABLE OF CONTENTS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ind w:left="38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219"/>
        </w:trPr>
        <w:tc>
          <w:tcPr>
            <w:tcW w:w="1240" w:type="dxa"/>
            <w:vAlign w:val="bottom"/>
            <w:shd w:val="clear" w:color="auto" w:fill="0A2299"/>
          </w:tcPr>
          <w:p>
            <w:pPr>
              <w:spacing w:after="0"/>
              <w:rPr>
                <w:sz w:val="19"/>
                <w:szCs w:val="19"/>
                <w:color w:val="auto"/>
              </w:rPr>
            </w:pPr>
          </w:p>
        </w:tc>
        <w:tc>
          <w:tcPr>
            <w:tcW w:w="220" w:type="dxa"/>
            <w:vAlign w:val="bottom"/>
            <w:shd w:val="clear" w:color="auto" w:fill="0A2299"/>
          </w:tcPr>
          <w:p>
            <w:pPr>
              <w:spacing w:after="0"/>
              <w:rPr>
                <w:sz w:val="19"/>
                <w:szCs w:val="19"/>
                <w:color w:val="auto"/>
              </w:rPr>
            </w:pPr>
          </w:p>
        </w:tc>
        <w:tc>
          <w:tcPr>
            <w:tcW w:w="1920" w:type="dxa"/>
            <w:vAlign w:val="bottom"/>
            <w:shd w:val="clear" w:color="auto" w:fill="0A2299"/>
          </w:tcPr>
          <w:p>
            <w:pPr>
              <w:spacing w:after="0"/>
              <w:rPr>
                <w:sz w:val="19"/>
                <w:szCs w:val="19"/>
                <w:color w:val="auto"/>
              </w:rPr>
            </w:pPr>
          </w:p>
        </w:tc>
        <w:tc>
          <w:tcPr>
            <w:tcW w:w="800" w:type="dxa"/>
            <w:vAlign w:val="bottom"/>
            <w:shd w:val="clear" w:color="auto" w:fill="0A2299"/>
          </w:tcPr>
          <w:p>
            <w:pPr>
              <w:spacing w:after="0"/>
              <w:rPr>
                <w:sz w:val="19"/>
                <w:szCs w:val="19"/>
                <w:color w:val="auto"/>
              </w:rPr>
            </w:pPr>
          </w:p>
        </w:tc>
        <w:tc>
          <w:tcPr>
            <w:tcW w:w="5820" w:type="dxa"/>
            <w:vAlign w:val="bottom"/>
            <w:gridSpan w:val="4"/>
            <w:shd w:val="clear" w:color="auto" w:fill="0A2299"/>
          </w:tcPr>
          <w:p>
            <w:pPr>
              <w:jc w:val="center"/>
              <w:ind w:right="2940"/>
              <w:spacing w:after="0"/>
              <w:rPr>
                <w:sz w:val="20"/>
                <w:szCs w:val="20"/>
                <w:color w:val="auto"/>
              </w:rPr>
            </w:pPr>
            <w:r>
              <w:rPr>
                <w:rFonts w:ascii="Arial" w:cs="Arial" w:eastAsia="Arial" w:hAnsi="Arial"/>
                <w:sz w:val="16"/>
                <w:szCs w:val="16"/>
                <w:b w:val="1"/>
                <w:bCs w:val="1"/>
                <w:color w:val="FFFFFF"/>
                <w:w w:val="99"/>
              </w:rPr>
              <w:t>PART I</w:t>
            </w:r>
          </w:p>
        </w:tc>
        <w:tc>
          <w:tcPr>
            <w:tcW w:w="1240" w:type="dxa"/>
            <w:vAlign w:val="bottom"/>
            <w:shd w:val="clear" w:color="auto" w:fill="0A2299"/>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6"/>
                <w:szCs w:val="16"/>
                <w:color w:val="auto"/>
              </w:rPr>
              <w:t>ITEM 1.</w:t>
            </w:r>
          </w:p>
        </w:tc>
        <w:tc>
          <w:tcPr>
            <w:tcW w:w="8760" w:type="dxa"/>
            <w:vAlign w:val="bottom"/>
            <w:gridSpan w:val="7"/>
          </w:tcPr>
          <w:p>
            <w:pPr>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BUSINESS</w:t>
              </w:r>
            </w:hyperlink>
          </w:p>
        </w:tc>
        <w:tc>
          <w:tcPr>
            <w:tcW w:w="1240" w:type="dxa"/>
            <w:vAlign w:val="bottom"/>
          </w:tcPr>
          <w:p>
            <w:pPr>
              <w:jc w:val="center"/>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5</w:t>
              </w:r>
            </w:hyperlink>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6"/>
                <w:szCs w:val="16"/>
                <w:color w:val="auto"/>
              </w:rPr>
              <w:t>ITEM 1A.</w:t>
            </w:r>
          </w:p>
        </w:tc>
        <w:tc>
          <w:tcPr>
            <w:tcW w:w="8760" w:type="dxa"/>
            <w:vAlign w:val="bottom"/>
            <w:gridSpan w:val="7"/>
          </w:tcPr>
          <w:p>
            <w:pPr>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RISK FACTORS</w:t>
              </w:r>
            </w:hyperlink>
          </w:p>
        </w:tc>
        <w:tc>
          <w:tcPr>
            <w:tcW w:w="1240" w:type="dxa"/>
            <w:vAlign w:val="bottom"/>
          </w:tcPr>
          <w:p>
            <w:pPr>
              <w:jc w:val="center"/>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13</w:t>
              </w:r>
            </w:hyperlink>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6"/>
                <w:szCs w:val="16"/>
                <w:color w:val="auto"/>
              </w:rPr>
              <w:t>ITEM 1B.</w:t>
            </w:r>
          </w:p>
        </w:tc>
        <w:tc>
          <w:tcPr>
            <w:tcW w:w="8760" w:type="dxa"/>
            <w:vAlign w:val="bottom"/>
            <w:gridSpan w:val="7"/>
          </w:tcPr>
          <w:p>
            <w:pPr>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UNRESOLVED STAFF COMMENTS</w:t>
              </w:r>
            </w:hyperlink>
          </w:p>
        </w:tc>
        <w:tc>
          <w:tcPr>
            <w:tcW w:w="1240" w:type="dxa"/>
            <w:vAlign w:val="bottom"/>
          </w:tcPr>
          <w:p>
            <w:pPr>
              <w:jc w:val="center"/>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48</w:t>
              </w:r>
            </w:hyperlink>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6"/>
                <w:szCs w:val="16"/>
                <w:color w:val="auto"/>
              </w:rPr>
              <w:t>ITEM 2.</w:t>
            </w:r>
          </w:p>
        </w:tc>
        <w:tc>
          <w:tcPr>
            <w:tcW w:w="8760" w:type="dxa"/>
            <w:vAlign w:val="bottom"/>
            <w:gridSpan w:val="7"/>
          </w:tcPr>
          <w:p>
            <w:pPr>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PROPERTIES</w:t>
              </w:r>
            </w:hyperlink>
          </w:p>
        </w:tc>
        <w:tc>
          <w:tcPr>
            <w:tcW w:w="1240" w:type="dxa"/>
            <w:vAlign w:val="bottom"/>
          </w:tcPr>
          <w:p>
            <w:pPr>
              <w:jc w:val="center"/>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48</w:t>
              </w:r>
            </w:hyperlink>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6"/>
                <w:szCs w:val="16"/>
                <w:color w:val="auto"/>
              </w:rPr>
              <w:t>ITEM 3.</w:t>
            </w:r>
          </w:p>
        </w:tc>
        <w:tc>
          <w:tcPr>
            <w:tcW w:w="8760" w:type="dxa"/>
            <w:vAlign w:val="bottom"/>
            <w:gridSpan w:val="7"/>
          </w:tcPr>
          <w:p>
            <w:pPr>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LEGAL PROCEEDINGS</w:t>
              </w:r>
            </w:hyperlink>
          </w:p>
        </w:tc>
        <w:tc>
          <w:tcPr>
            <w:tcW w:w="1240" w:type="dxa"/>
            <w:vAlign w:val="bottom"/>
          </w:tcPr>
          <w:p>
            <w:pPr>
              <w:jc w:val="center"/>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48</w:t>
              </w:r>
            </w:hyperlink>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6"/>
                <w:szCs w:val="16"/>
                <w:color w:val="auto"/>
              </w:rPr>
              <w:t>ITEM 4.</w:t>
            </w:r>
          </w:p>
        </w:tc>
        <w:tc>
          <w:tcPr>
            <w:tcW w:w="8760" w:type="dxa"/>
            <w:vAlign w:val="bottom"/>
            <w:gridSpan w:val="7"/>
          </w:tcPr>
          <w:p>
            <w:pPr>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MINE SAFETY DISCLOSURES</w:t>
              </w:r>
            </w:hyperlink>
          </w:p>
        </w:tc>
        <w:tc>
          <w:tcPr>
            <w:tcW w:w="1240" w:type="dxa"/>
            <w:vAlign w:val="bottom"/>
          </w:tcPr>
          <w:p>
            <w:pPr>
              <w:jc w:val="center"/>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48</w:t>
              </w:r>
            </w:hyperlink>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760" w:type="dxa"/>
            <w:vAlign w:val="bottom"/>
            <w:gridSpan w:val="7"/>
          </w:tcPr>
          <w:p>
            <w:pPr>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INFORMATION ABOUT OUR EXECUTIVE OFFICERS</w:t>
              </w:r>
            </w:hyperlink>
          </w:p>
        </w:tc>
        <w:tc>
          <w:tcPr>
            <w:tcW w:w="1240" w:type="dxa"/>
            <w:vAlign w:val="bottom"/>
          </w:tcPr>
          <w:p>
            <w:pPr>
              <w:jc w:val="center"/>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48</w:t>
              </w:r>
            </w:hyperlink>
          </w:p>
        </w:tc>
        <w:tc>
          <w:tcPr>
            <w:tcW w:w="0" w:type="dxa"/>
            <w:vAlign w:val="bottom"/>
          </w:tcPr>
          <w:p>
            <w:pPr>
              <w:spacing w:after="0"/>
              <w:rPr>
                <w:sz w:val="1"/>
                <w:szCs w:val="1"/>
                <w:color w:val="auto"/>
              </w:rPr>
            </w:pPr>
          </w:p>
        </w:tc>
      </w:tr>
      <w:tr>
        <w:trPr>
          <w:trHeight w:val="60"/>
        </w:trPr>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3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0A2299"/>
          </w:tcPr>
          <w:p>
            <w:pPr>
              <w:spacing w:after="0"/>
              <w:rPr>
                <w:sz w:val="18"/>
                <w:szCs w:val="18"/>
                <w:color w:val="auto"/>
              </w:rPr>
            </w:pPr>
          </w:p>
        </w:tc>
        <w:tc>
          <w:tcPr>
            <w:tcW w:w="220" w:type="dxa"/>
            <w:vAlign w:val="bottom"/>
            <w:shd w:val="clear" w:color="auto" w:fill="0A2299"/>
          </w:tcPr>
          <w:p>
            <w:pPr>
              <w:spacing w:after="0"/>
              <w:rPr>
                <w:sz w:val="18"/>
                <w:szCs w:val="18"/>
                <w:color w:val="auto"/>
              </w:rPr>
            </w:pPr>
          </w:p>
        </w:tc>
        <w:tc>
          <w:tcPr>
            <w:tcW w:w="1920" w:type="dxa"/>
            <w:vAlign w:val="bottom"/>
            <w:shd w:val="clear" w:color="auto" w:fill="0A2299"/>
          </w:tcPr>
          <w:p>
            <w:pPr>
              <w:spacing w:after="0"/>
              <w:rPr>
                <w:sz w:val="18"/>
                <w:szCs w:val="18"/>
                <w:color w:val="auto"/>
              </w:rPr>
            </w:pPr>
          </w:p>
        </w:tc>
        <w:tc>
          <w:tcPr>
            <w:tcW w:w="800" w:type="dxa"/>
            <w:vAlign w:val="bottom"/>
            <w:shd w:val="clear" w:color="auto" w:fill="0A2299"/>
          </w:tcPr>
          <w:p>
            <w:pPr>
              <w:spacing w:after="0"/>
              <w:rPr>
                <w:sz w:val="18"/>
                <w:szCs w:val="18"/>
                <w:color w:val="auto"/>
              </w:rPr>
            </w:pPr>
          </w:p>
        </w:tc>
        <w:tc>
          <w:tcPr>
            <w:tcW w:w="5820" w:type="dxa"/>
            <w:vAlign w:val="bottom"/>
            <w:gridSpan w:val="4"/>
            <w:shd w:val="clear" w:color="auto" w:fill="0A2299"/>
          </w:tcPr>
          <w:p>
            <w:pPr>
              <w:jc w:val="center"/>
              <w:ind w:right="2940"/>
              <w:spacing w:after="0"/>
              <w:rPr>
                <w:sz w:val="20"/>
                <w:szCs w:val="20"/>
                <w:color w:val="auto"/>
              </w:rPr>
            </w:pPr>
            <w:r>
              <w:rPr>
                <w:rFonts w:ascii="Arial" w:cs="Arial" w:eastAsia="Arial" w:hAnsi="Arial"/>
                <w:sz w:val="16"/>
                <w:szCs w:val="16"/>
                <w:b w:val="1"/>
                <w:bCs w:val="1"/>
                <w:color w:val="FFFFFF"/>
                <w:w w:val="98"/>
              </w:rPr>
              <w:t>PART II</w:t>
            </w:r>
          </w:p>
        </w:tc>
        <w:tc>
          <w:tcPr>
            <w:tcW w:w="1240" w:type="dxa"/>
            <w:vAlign w:val="bottom"/>
            <w:shd w:val="clear" w:color="auto" w:fill="0A2299"/>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40" w:type="dxa"/>
            <w:vAlign w:val="bottom"/>
            <w:vMerge w:val="restart"/>
          </w:tcPr>
          <w:p>
            <w:pPr>
              <w:ind w:left="20"/>
              <w:spacing w:after="0"/>
              <w:rPr>
                <w:sz w:val="20"/>
                <w:szCs w:val="20"/>
                <w:color w:val="auto"/>
              </w:rPr>
            </w:pPr>
            <w:r>
              <w:rPr>
                <w:rFonts w:ascii="Arial" w:cs="Arial" w:eastAsia="Arial" w:hAnsi="Arial"/>
                <w:sz w:val="16"/>
                <w:szCs w:val="16"/>
                <w:color w:val="auto"/>
              </w:rPr>
              <w:t>ITEM 5.</w:t>
            </w:r>
          </w:p>
        </w:tc>
        <w:tc>
          <w:tcPr>
            <w:tcW w:w="8760" w:type="dxa"/>
            <w:vAlign w:val="bottom"/>
            <w:gridSpan w:val="7"/>
          </w:tcPr>
          <w:p>
            <w:pPr>
              <w:spacing w:after="0" w:line="175" w:lineRule="exact"/>
              <w:rPr>
                <w:rFonts w:ascii="Arial" w:cs="Arial" w:eastAsia="Arial" w:hAnsi="Arial"/>
                <w:sz w:val="16"/>
                <w:szCs w:val="16"/>
                <w:color w:val="0000FF"/>
              </w:rPr>
            </w:pPr>
            <w:hyperlink w:anchor="page54">
              <w:r>
                <w:rPr>
                  <w:rFonts w:ascii="Arial" w:cs="Arial" w:eastAsia="Arial" w:hAnsi="Arial"/>
                  <w:sz w:val="16"/>
                  <w:szCs w:val="16"/>
                  <w:color w:val="0000FF"/>
                </w:rPr>
                <w:t>MARKET FOR REGISTRANT’S COMMON EQUITY, RELATED STOCKHOLDER MATTERS AND ISSUER</w:t>
              </w:r>
            </w:hyperlink>
          </w:p>
        </w:tc>
        <w:tc>
          <w:tcPr>
            <w:tcW w:w="1240" w:type="dxa"/>
            <w:vAlign w:val="bottom"/>
            <w:vMerge w:val="restart"/>
          </w:tcPr>
          <w:p>
            <w:pPr>
              <w:jc w:val="center"/>
              <w:spacing w:after="0"/>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51</w:t>
              </w:r>
            </w:hyperlink>
          </w:p>
        </w:tc>
        <w:tc>
          <w:tcPr>
            <w:tcW w:w="0" w:type="dxa"/>
            <w:vAlign w:val="bottom"/>
          </w:tcPr>
          <w:p>
            <w:pPr>
              <w:spacing w:after="0"/>
              <w:rPr>
                <w:sz w:val="1"/>
                <w:szCs w:val="1"/>
                <w:color w:val="auto"/>
              </w:rPr>
            </w:pPr>
          </w:p>
        </w:tc>
      </w:tr>
      <w:tr>
        <w:trPr>
          <w:trHeight w:val="96"/>
        </w:trPr>
        <w:tc>
          <w:tcPr>
            <w:tcW w:w="1240" w:type="dxa"/>
            <w:vAlign w:val="bottom"/>
            <w:vMerge w:val="continue"/>
          </w:tcPr>
          <w:p>
            <w:pPr>
              <w:spacing w:after="0"/>
              <w:rPr>
                <w:sz w:val="8"/>
                <w:szCs w:val="8"/>
                <w:color w:val="auto"/>
              </w:rPr>
            </w:pPr>
          </w:p>
        </w:tc>
        <w:tc>
          <w:tcPr>
            <w:tcW w:w="7660" w:type="dxa"/>
            <w:vAlign w:val="bottom"/>
            <w:tcBorders>
              <w:top w:val="single" w:sz="8" w:color="0000FF"/>
            </w:tcBorders>
            <w:gridSpan w:val="6"/>
            <w:vMerge w:val="restart"/>
          </w:tcPr>
          <w:p>
            <w:pPr>
              <w:spacing w:after="0" w:line="142" w:lineRule="exact"/>
              <w:rPr>
                <w:rFonts w:ascii="Arial" w:cs="Arial" w:eastAsia="Arial" w:hAnsi="Arial"/>
                <w:sz w:val="16"/>
                <w:szCs w:val="16"/>
                <w:color w:val="0000FF"/>
              </w:rPr>
            </w:pPr>
            <w:hyperlink w:anchor="page54">
              <w:r>
                <w:rPr>
                  <w:rFonts w:ascii="Arial" w:cs="Arial" w:eastAsia="Arial" w:hAnsi="Arial"/>
                  <w:sz w:val="16"/>
                  <w:szCs w:val="16"/>
                  <w:color w:val="0000FF"/>
                </w:rPr>
                <w:t>PURCHASES OF EQUITY SECURITIES</w:t>
              </w:r>
            </w:hyperlink>
          </w:p>
        </w:tc>
        <w:tc>
          <w:tcPr>
            <w:tcW w:w="1100" w:type="dxa"/>
            <w:vAlign w:val="bottom"/>
            <w:vMerge w:val="restart"/>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1240" w:type="dxa"/>
            <w:vAlign w:val="bottom"/>
          </w:tcPr>
          <w:p>
            <w:pPr>
              <w:spacing w:after="0"/>
              <w:rPr>
                <w:sz w:val="4"/>
                <w:szCs w:val="4"/>
                <w:color w:val="auto"/>
              </w:rPr>
            </w:pPr>
          </w:p>
        </w:tc>
        <w:tc>
          <w:tcPr>
            <w:tcW w:w="7660" w:type="dxa"/>
            <w:vAlign w:val="bottom"/>
            <w:gridSpan w:val="6"/>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240" w:type="dxa"/>
            <w:vAlign w:val="bottom"/>
          </w:tcPr>
          <w:p>
            <w:pPr>
              <w:ind w:left="20"/>
              <w:spacing w:after="0"/>
              <w:rPr>
                <w:sz w:val="20"/>
                <w:szCs w:val="20"/>
                <w:color w:val="auto"/>
              </w:rPr>
            </w:pPr>
            <w:r>
              <w:rPr>
                <w:rFonts w:ascii="Arial" w:cs="Arial" w:eastAsia="Arial" w:hAnsi="Arial"/>
                <w:sz w:val="16"/>
                <w:szCs w:val="16"/>
                <w:color w:val="auto"/>
              </w:rPr>
              <w:t>ITEM 6.</w:t>
            </w:r>
          </w:p>
        </w:tc>
        <w:tc>
          <w:tcPr>
            <w:tcW w:w="2940" w:type="dxa"/>
            <w:vAlign w:val="bottom"/>
            <w:tcBorders>
              <w:top w:val="single" w:sz="8" w:color="0000FF"/>
            </w:tcBorders>
            <w:gridSpan w:val="3"/>
          </w:tcPr>
          <w:p>
            <w:pPr>
              <w:spacing w:after="0"/>
              <w:rPr>
                <w:rFonts w:ascii="Arial" w:cs="Arial" w:eastAsia="Arial" w:hAnsi="Arial"/>
                <w:sz w:val="16"/>
                <w:szCs w:val="16"/>
                <w:u w:val="single" w:color="auto"/>
                <w:color w:val="0000FF"/>
              </w:rPr>
            </w:pPr>
            <w:hyperlink w:anchor="page55">
              <w:r>
                <w:rPr>
                  <w:rFonts w:ascii="Arial" w:cs="Arial" w:eastAsia="Arial" w:hAnsi="Arial"/>
                  <w:sz w:val="16"/>
                  <w:szCs w:val="16"/>
                  <w:u w:val="single" w:color="auto"/>
                  <w:color w:val="0000FF"/>
                </w:rPr>
                <w:t>[RESERVED]</w:t>
              </w:r>
            </w:hyperlink>
          </w:p>
        </w:tc>
        <w:tc>
          <w:tcPr>
            <w:tcW w:w="5820" w:type="dxa"/>
            <w:vAlign w:val="bottom"/>
            <w:gridSpan w:val="4"/>
          </w:tcPr>
          <w:p>
            <w:pPr>
              <w:spacing w:after="0"/>
              <w:rPr>
                <w:sz w:val="20"/>
                <w:szCs w:val="20"/>
                <w:color w:val="auto"/>
              </w:rPr>
            </w:pPr>
          </w:p>
        </w:tc>
        <w:tc>
          <w:tcPr>
            <w:tcW w:w="1240" w:type="dxa"/>
            <w:vAlign w:val="bottom"/>
          </w:tcPr>
          <w:p>
            <w:pPr>
              <w:jc w:val="center"/>
              <w:spacing w:after="0"/>
              <w:rPr>
                <w:rFonts w:ascii="Arial" w:cs="Arial" w:eastAsia="Arial" w:hAnsi="Arial"/>
                <w:sz w:val="16"/>
                <w:szCs w:val="16"/>
                <w:u w:val="single" w:color="auto"/>
                <w:color w:val="0000FF"/>
              </w:rPr>
            </w:pPr>
            <w:hyperlink w:anchor="page55">
              <w:r>
                <w:rPr>
                  <w:rFonts w:ascii="Arial" w:cs="Arial" w:eastAsia="Arial" w:hAnsi="Arial"/>
                  <w:sz w:val="16"/>
                  <w:szCs w:val="16"/>
                  <w:u w:val="single" w:color="auto"/>
                  <w:color w:val="0000FF"/>
                </w:rPr>
                <w:t>52</w:t>
              </w:r>
            </w:hyperlink>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6"/>
                <w:szCs w:val="16"/>
                <w:color w:val="auto"/>
              </w:rPr>
              <w:t>ITEM 7.</w:t>
            </w:r>
          </w:p>
        </w:tc>
        <w:tc>
          <w:tcPr>
            <w:tcW w:w="8760" w:type="dxa"/>
            <w:vAlign w:val="bottom"/>
            <w:gridSpan w:val="7"/>
          </w:tcPr>
          <w:p>
            <w:pPr>
              <w:spacing w:after="0"/>
              <w:rPr>
                <w:rFonts w:ascii="Arial" w:cs="Arial" w:eastAsia="Arial" w:hAnsi="Arial"/>
                <w:sz w:val="16"/>
                <w:szCs w:val="16"/>
                <w:u w:val="single" w:color="auto"/>
                <w:color w:val="0000FF"/>
              </w:rPr>
            </w:pPr>
            <w:hyperlink w:anchor="page55">
              <w:r>
                <w:rPr>
                  <w:rFonts w:ascii="Arial" w:cs="Arial" w:eastAsia="Arial" w:hAnsi="Arial"/>
                  <w:sz w:val="16"/>
                  <w:szCs w:val="16"/>
                  <w:u w:val="single" w:color="auto"/>
                  <w:color w:val="0000FF"/>
                </w:rPr>
                <w:t>MANAGEMENT’S DISCUSSION AND ANALYSIS OF FINANCIAL CONDITION AND RESULTS OF OPERATIONS</w:t>
              </w:r>
            </w:hyperlink>
          </w:p>
        </w:tc>
        <w:tc>
          <w:tcPr>
            <w:tcW w:w="1240" w:type="dxa"/>
            <w:vAlign w:val="bottom"/>
          </w:tcPr>
          <w:p>
            <w:pPr>
              <w:jc w:val="center"/>
              <w:spacing w:after="0"/>
              <w:rPr>
                <w:rFonts w:ascii="Arial" w:cs="Arial" w:eastAsia="Arial" w:hAnsi="Arial"/>
                <w:sz w:val="16"/>
                <w:szCs w:val="16"/>
                <w:u w:val="single" w:color="auto"/>
                <w:color w:val="0000FF"/>
              </w:rPr>
            </w:pPr>
            <w:hyperlink w:anchor="page55">
              <w:r>
                <w:rPr>
                  <w:rFonts w:ascii="Arial" w:cs="Arial" w:eastAsia="Arial" w:hAnsi="Arial"/>
                  <w:sz w:val="16"/>
                  <w:szCs w:val="16"/>
                  <w:u w:val="single" w:color="auto"/>
                  <w:color w:val="0000FF"/>
                </w:rPr>
                <w:t>52</w:t>
              </w:r>
            </w:hyperlink>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6"/>
                <w:szCs w:val="16"/>
                <w:color w:val="auto"/>
              </w:rPr>
              <w:t>ITEM 7A.</w:t>
            </w:r>
          </w:p>
        </w:tc>
        <w:tc>
          <w:tcPr>
            <w:tcW w:w="8760" w:type="dxa"/>
            <w:vAlign w:val="bottom"/>
            <w:gridSpan w:val="7"/>
          </w:tcPr>
          <w:p>
            <w:pPr>
              <w:spacing w:after="0"/>
              <w:rPr>
                <w:rFonts w:ascii="Arial" w:cs="Arial" w:eastAsia="Arial" w:hAnsi="Arial"/>
                <w:sz w:val="16"/>
                <w:szCs w:val="16"/>
                <w:u w:val="single" w:color="auto"/>
                <w:color w:val="0000FF"/>
              </w:rPr>
            </w:pPr>
            <w:hyperlink w:anchor="page72">
              <w:r>
                <w:rPr>
                  <w:rFonts w:ascii="Arial" w:cs="Arial" w:eastAsia="Arial" w:hAnsi="Arial"/>
                  <w:sz w:val="16"/>
                  <w:szCs w:val="16"/>
                  <w:u w:val="single" w:color="auto"/>
                  <w:color w:val="0000FF"/>
                </w:rPr>
                <w:t>QUANTITATIVE AND QUALITATIVE DISCLOSURES ABOUT MARKET RISK</w:t>
              </w:r>
            </w:hyperlink>
          </w:p>
        </w:tc>
        <w:tc>
          <w:tcPr>
            <w:tcW w:w="1240" w:type="dxa"/>
            <w:vAlign w:val="bottom"/>
          </w:tcPr>
          <w:p>
            <w:pPr>
              <w:jc w:val="center"/>
              <w:spacing w:after="0"/>
              <w:rPr>
                <w:rFonts w:ascii="Arial" w:cs="Arial" w:eastAsia="Arial" w:hAnsi="Arial"/>
                <w:sz w:val="16"/>
                <w:szCs w:val="16"/>
                <w:u w:val="single" w:color="auto"/>
                <w:color w:val="0000FF"/>
              </w:rPr>
            </w:pPr>
            <w:hyperlink w:anchor="page72">
              <w:r>
                <w:rPr>
                  <w:rFonts w:ascii="Arial" w:cs="Arial" w:eastAsia="Arial" w:hAnsi="Arial"/>
                  <w:sz w:val="16"/>
                  <w:szCs w:val="16"/>
                  <w:u w:val="single" w:color="auto"/>
                  <w:color w:val="0000FF"/>
                </w:rPr>
                <w:t>69</w:t>
              </w:r>
            </w:hyperlink>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6"/>
                <w:szCs w:val="16"/>
                <w:color w:val="auto"/>
              </w:rPr>
              <w:t>ITEM 8.</w:t>
            </w:r>
          </w:p>
        </w:tc>
        <w:tc>
          <w:tcPr>
            <w:tcW w:w="8760" w:type="dxa"/>
            <w:vAlign w:val="bottom"/>
            <w:gridSpan w:val="7"/>
          </w:tcPr>
          <w:p>
            <w:pPr>
              <w:spacing w:after="0"/>
              <w:rPr>
                <w:rFonts w:ascii="Arial" w:cs="Arial" w:eastAsia="Arial" w:hAnsi="Arial"/>
                <w:sz w:val="16"/>
                <w:szCs w:val="16"/>
                <w:u w:val="single" w:color="auto"/>
                <w:color w:val="0000FF"/>
              </w:rPr>
            </w:pPr>
            <w:hyperlink w:anchor="page72">
              <w:r>
                <w:rPr>
                  <w:rFonts w:ascii="Arial" w:cs="Arial" w:eastAsia="Arial" w:hAnsi="Arial"/>
                  <w:sz w:val="16"/>
                  <w:szCs w:val="16"/>
                  <w:u w:val="single" w:color="auto"/>
                  <w:color w:val="0000FF"/>
                </w:rPr>
                <w:t>FINANCIAL STATEMENTS AND SUPPLEMENTARY DATA</w:t>
              </w:r>
            </w:hyperlink>
          </w:p>
        </w:tc>
        <w:tc>
          <w:tcPr>
            <w:tcW w:w="1240" w:type="dxa"/>
            <w:vAlign w:val="bottom"/>
          </w:tcPr>
          <w:p>
            <w:pPr>
              <w:jc w:val="center"/>
              <w:spacing w:after="0"/>
              <w:rPr>
                <w:rFonts w:ascii="Arial" w:cs="Arial" w:eastAsia="Arial" w:hAnsi="Arial"/>
                <w:sz w:val="16"/>
                <w:szCs w:val="16"/>
                <w:u w:val="single" w:color="auto"/>
                <w:color w:val="0000FF"/>
              </w:rPr>
            </w:pPr>
            <w:hyperlink w:anchor="page72">
              <w:r>
                <w:rPr>
                  <w:rFonts w:ascii="Arial" w:cs="Arial" w:eastAsia="Arial" w:hAnsi="Arial"/>
                  <w:sz w:val="16"/>
                  <w:szCs w:val="16"/>
                  <w:u w:val="single" w:color="auto"/>
                  <w:color w:val="0000FF"/>
                </w:rPr>
                <w:t>70</w:t>
              </w:r>
            </w:hyperlink>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40" w:type="dxa"/>
            <w:vAlign w:val="bottom"/>
            <w:gridSpan w:val="6"/>
          </w:tcPr>
          <w:p>
            <w:pPr>
              <w:spacing w:after="0"/>
              <w:rPr>
                <w:rFonts w:ascii="Arial" w:cs="Arial" w:eastAsia="Arial" w:hAnsi="Arial"/>
                <w:sz w:val="16"/>
                <w:szCs w:val="16"/>
                <w:u w:val="single" w:color="auto"/>
                <w:color w:val="0000FF"/>
              </w:rPr>
            </w:pPr>
            <w:hyperlink w:anchor="page74">
              <w:r>
                <w:rPr>
                  <w:rFonts w:ascii="Arial" w:cs="Arial" w:eastAsia="Arial" w:hAnsi="Arial"/>
                  <w:sz w:val="16"/>
                  <w:szCs w:val="16"/>
                  <w:u w:val="single" w:color="auto"/>
                  <w:color w:val="0000FF"/>
                </w:rPr>
                <w:t>CONSOLIDATED STATEMENTS OF OPERATIONS</w:t>
              </w:r>
            </w:hyperlink>
          </w:p>
        </w:tc>
        <w:tc>
          <w:tcPr>
            <w:tcW w:w="1240" w:type="dxa"/>
            <w:vAlign w:val="bottom"/>
          </w:tcPr>
          <w:p>
            <w:pPr>
              <w:jc w:val="center"/>
              <w:spacing w:after="0"/>
              <w:rPr>
                <w:rFonts w:ascii="Arial" w:cs="Arial" w:eastAsia="Arial" w:hAnsi="Arial"/>
                <w:sz w:val="16"/>
                <w:szCs w:val="16"/>
                <w:u w:val="single" w:color="auto"/>
                <w:color w:val="0000FF"/>
              </w:rPr>
            </w:pPr>
            <w:hyperlink w:anchor="page74">
              <w:r>
                <w:rPr>
                  <w:rFonts w:ascii="Arial" w:cs="Arial" w:eastAsia="Arial" w:hAnsi="Arial"/>
                  <w:sz w:val="16"/>
                  <w:szCs w:val="16"/>
                  <w:u w:val="single" w:color="auto"/>
                  <w:color w:val="0000FF"/>
                </w:rPr>
                <w:t>71</w:t>
              </w:r>
            </w:hyperlink>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40" w:type="dxa"/>
            <w:vAlign w:val="bottom"/>
            <w:gridSpan w:val="6"/>
          </w:tcPr>
          <w:p>
            <w:pPr>
              <w:spacing w:after="0"/>
              <w:rPr>
                <w:rFonts w:ascii="Arial" w:cs="Arial" w:eastAsia="Arial" w:hAnsi="Arial"/>
                <w:sz w:val="16"/>
                <w:szCs w:val="16"/>
                <w:u w:val="single" w:color="auto"/>
                <w:color w:val="0000FF"/>
              </w:rPr>
            </w:pPr>
            <w:hyperlink w:anchor="page74">
              <w:r>
                <w:rPr>
                  <w:rFonts w:ascii="Arial" w:cs="Arial" w:eastAsia="Arial" w:hAnsi="Arial"/>
                  <w:sz w:val="16"/>
                  <w:szCs w:val="16"/>
                  <w:u w:val="single" w:color="auto"/>
                  <w:color w:val="0000FF"/>
                </w:rPr>
                <w:t>CONSOLIDATED STATEMENTS OF COMPREHENSIVE INCOME (LOSS)</w:t>
              </w:r>
            </w:hyperlink>
          </w:p>
        </w:tc>
        <w:tc>
          <w:tcPr>
            <w:tcW w:w="1240" w:type="dxa"/>
            <w:vAlign w:val="bottom"/>
          </w:tcPr>
          <w:p>
            <w:pPr>
              <w:jc w:val="center"/>
              <w:spacing w:after="0"/>
              <w:rPr>
                <w:rFonts w:ascii="Arial" w:cs="Arial" w:eastAsia="Arial" w:hAnsi="Arial"/>
                <w:sz w:val="16"/>
                <w:szCs w:val="16"/>
                <w:u w:val="single" w:color="auto"/>
                <w:color w:val="0000FF"/>
              </w:rPr>
            </w:pPr>
            <w:hyperlink w:anchor="page74">
              <w:r>
                <w:rPr>
                  <w:rFonts w:ascii="Arial" w:cs="Arial" w:eastAsia="Arial" w:hAnsi="Arial"/>
                  <w:sz w:val="16"/>
                  <w:szCs w:val="16"/>
                  <w:u w:val="single" w:color="auto"/>
                  <w:color w:val="0000FF"/>
                </w:rPr>
                <w:t>72</w:t>
              </w:r>
            </w:hyperlink>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40" w:type="dxa"/>
            <w:vAlign w:val="bottom"/>
            <w:gridSpan w:val="6"/>
          </w:tcPr>
          <w:p>
            <w:pPr>
              <w:spacing w:after="0"/>
              <w:rPr>
                <w:rFonts w:ascii="Arial" w:cs="Arial" w:eastAsia="Arial" w:hAnsi="Arial"/>
                <w:sz w:val="16"/>
                <w:szCs w:val="16"/>
                <w:u w:val="single" w:color="auto"/>
                <w:color w:val="0000FF"/>
              </w:rPr>
            </w:pPr>
            <w:hyperlink w:anchor="page75">
              <w:r>
                <w:rPr>
                  <w:rFonts w:ascii="Arial" w:cs="Arial" w:eastAsia="Arial" w:hAnsi="Arial"/>
                  <w:sz w:val="16"/>
                  <w:szCs w:val="16"/>
                  <w:u w:val="single" w:color="auto"/>
                  <w:color w:val="0000FF"/>
                </w:rPr>
                <w:t>CONSOLIDATED BALANCE SHEETS</w:t>
              </w:r>
            </w:hyperlink>
          </w:p>
        </w:tc>
        <w:tc>
          <w:tcPr>
            <w:tcW w:w="1240" w:type="dxa"/>
            <w:vAlign w:val="bottom"/>
          </w:tcPr>
          <w:p>
            <w:pPr>
              <w:jc w:val="center"/>
              <w:spacing w:after="0"/>
              <w:rPr>
                <w:rFonts w:ascii="Arial" w:cs="Arial" w:eastAsia="Arial" w:hAnsi="Arial"/>
                <w:sz w:val="16"/>
                <w:szCs w:val="16"/>
                <w:u w:val="single" w:color="auto"/>
                <w:color w:val="0000FF"/>
              </w:rPr>
            </w:pPr>
            <w:hyperlink w:anchor="page75">
              <w:r>
                <w:rPr>
                  <w:rFonts w:ascii="Arial" w:cs="Arial" w:eastAsia="Arial" w:hAnsi="Arial"/>
                  <w:sz w:val="16"/>
                  <w:szCs w:val="16"/>
                  <w:u w:val="single" w:color="auto"/>
                  <w:color w:val="0000FF"/>
                </w:rPr>
                <w:t>73</w:t>
              </w:r>
            </w:hyperlink>
          </w:p>
        </w:tc>
        <w:tc>
          <w:tcPr>
            <w:tcW w:w="0" w:type="dxa"/>
            <w:vAlign w:val="bottom"/>
          </w:tcPr>
          <w:p>
            <w:pPr>
              <w:spacing w:after="0"/>
              <w:rPr>
                <w:sz w:val="1"/>
                <w:szCs w:val="1"/>
                <w:color w:val="auto"/>
              </w:rPr>
            </w:pPr>
          </w:p>
        </w:tc>
      </w:tr>
      <w:tr>
        <w:trPr>
          <w:trHeight w:val="181"/>
        </w:trPr>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40" w:type="dxa"/>
            <w:vAlign w:val="bottom"/>
            <w:gridSpan w:val="6"/>
          </w:tcPr>
          <w:p>
            <w:pPr>
              <w:spacing w:after="0" w:line="181" w:lineRule="exact"/>
              <w:rPr>
                <w:rFonts w:ascii="Arial" w:cs="Arial" w:eastAsia="Arial" w:hAnsi="Arial"/>
                <w:sz w:val="16"/>
                <w:szCs w:val="16"/>
                <w:color w:val="0000FF"/>
              </w:rPr>
            </w:pPr>
            <w:hyperlink w:anchor="page76">
              <w:r>
                <w:rPr>
                  <w:rFonts w:ascii="Arial" w:cs="Arial" w:eastAsia="Arial" w:hAnsi="Arial"/>
                  <w:sz w:val="16"/>
                  <w:szCs w:val="16"/>
                  <w:color w:val="0000FF"/>
                </w:rPr>
                <w:t xml:space="preserve">CONSOLIDATED STATEMENTS OF CHANGES IN STOCKHOLDERS’ / MEMBERS’ </w:t>
              </w:r>
              <w:r>
                <w:rPr>
                  <w:rFonts w:ascii="Arial" w:cs="Arial" w:eastAsia="Arial" w:hAnsi="Arial"/>
                  <w:sz w:val="16"/>
                  <w:szCs w:val="16"/>
                  <w:u w:val="single" w:color="auto"/>
                  <w:color w:val="0000FF"/>
                </w:rPr>
                <w:t>EQUITY</w:t>
              </w:r>
            </w:hyperlink>
          </w:p>
        </w:tc>
        <w:tc>
          <w:tcPr>
            <w:tcW w:w="1240" w:type="dxa"/>
            <w:vAlign w:val="bottom"/>
          </w:tcPr>
          <w:p>
            <w:pPr>
              <w:jc w:val="center"/>
              <w:spacing w:after="0" w:line="181" w:lineRule="exact"/>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74</w:t>
              </w:r>
            </w:hyperlink>
          </w:p>
        </w:tc>
        <w:tc>
          <w:tcPr>
            <w:tcW w:w="0" w:type="dxa"/>
            <w:vAlign w:val="bottom"/>
          </w:tcPr>
          <w:p>
            <w:pPr>
              <w:spacing w:after="0"/>
              <w:rPr>
                <w:sz w:val="1"/>
                <w:szCs w:val="1"/>
                <w:color w:val="auto"/>
              </w:rPr>
            </w:pPr>
          </w:p>
        </w:tc>
      </w:tr>
      <w:tr>
        <w:trPr>
          <w:trHeight w:val="231"/>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00" w:type="dxa"/>
            <w:vAlign w:val="bottom"/>
            <w:tcBorders>
              <w:top w:val="single" w:sz="8" w:color="0000FF"/>
            </w:tcBorders>
            <w:gridSpan w:val="3"/>
          </w:tcPr>
          <w:p>
            <w:pPr>
              <w:spacing w:after="0"/>
              <w:rPr>
                <w:rFonts w:ascii="Arial" w:cs="Arial" w:eastAsia="Arial" w:hAnsi="Arial"/>
                <w:sz w:val="16"/>
                <w:szCs w:val="16"/>
                <w:u w:val="single" w:color="auto"/>
                <w:color w:val="0000FF"/>
              </w:rPr>
            </w:pPr>
            <w:hyperlink w:anchor="page78">
              <w:r>
                <w:rPr>
                  <w:rFonts w:ascii="Arial" w:cs="Arial" w:eastAsia="Arial" w:hAnsi="Arial"/>
                  <w:sz w:val="16"/>
                  <w:szCs w:val="16"/>
                  <w:u w:val="single" w:color="auto"/>
                  <w:color w:val="0000FF"/>
                </w:rPr>
                <w:t>CONSOLIDATED STATEMENTS OF CASH FLOWS</w:t>
              </w:r>
            </w:hyperlink>
          </w:p>
        </w:tc>
        <w:tc>
          <w:tcPr>
            <w:tcW w:w="2440" w:type="dxa"/>
            <w:vAlign w:val="bottom"/>
            <w:gridSpan w:val="3"/>
          </w:tcPr>
          <w:p>
            <w:pPr>
              <w:spacing w:after="0"/>
              <w:rPr>
                <w:sz w:val="20"/>
                <w:szCs w:val="20"/>
                <w:color w:val="auto"/>
              </w:rPr>
            </w:pPr>
          </w:p>
        </w:tc>
        <w:tc>
          <w:tcPr>
            <w:tcW w:w="1240" w:type="dxa"/>
            <w:vAlign w:val="bottom"/>
          </w:tcPr>
          <w:p>
            <w:pPr>
              <w:jc w:val="center"/>
              <w:spacing w:after="0"/>
              <w:rPr>
                <w:rFonts w:ascii="Arial" w:cs="Arial" w:eastAsia="Arial" w:hAnsi="Arial"/>
                <w:sz w:val="16"/>
                <w:szCs w:val="16"/>
                <w:u w:val="single" w:color="auto"/>
                <w:color w:val="0000FF"/>
              </w:rPr>
            </w:pPr>
            <w:hyperlink w:anchor="page78">
              <w:r>
                <w:rPr>
                  <w:rFonts w:ascii="Arial" w:cs="Arial" w:eastAsia="Arial" w:hAnsi="Arial"/>
                  <w:sz w:val="16"/>
                  <w:szCs w:val="16"/>
                  <w:u w:val="single" w:color="auto"/>
                  <w:color w:val="0000FF"/>
                </w:rPr>
                <w:t>76</w:t>
              </w:r>
            </w:hyperlink>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40" w:type="dxa"/>
            <w:vAlign w:val="bottom"/>
            <w:gridSpan w:val="6"/>
          </w:tcPr>
          <w:p>
            <w:pPr>
              <w:spacing w:after="0"/>
              <w:rPr>
                <w:rFonts w:ascii="Arial" w:cs="Arial" w:eastAsia="Arial" w:hAnsi="Arial"/>
                <w:sz w:val="16"/>
                <w:szCs w:val="16"/>
                <w:u w:val="single" w:color="auto"/>
                <w:color w:val="0000FF"/>
              </w:rPr>
            </w:pPr>
            <w:hyperlink w:anchor="page79">
              <w:r>
                <w:rPr>
                  <w:rFonts w:ascii="Arial" w:cs="Arial" w:eastAsia="Arial" w:hAnsi="Arial"/>
                  <w:sz w:val="16"/>
                  <w:szCs w:val="16"/>
                  <w:u w:val="single" w:color="auto"/>
                  <w:color w:val="0000FF"/>
                </w:rPr>
                <w:t>NOTES TO CONSOLIDATED FINANCIAL STATEMENTS</w:t>
              </w:r>
            </w:hyperlink>
          </w:p>
        </w:tc>
        <w:tc>
          <w:tcPr>
            <w:tcW w:w="1240" w:type="dxa"/>
            <w:vAlign w:val="bottom"/>
          </w:tcPr>
          <w:p>
            <w:pPr>
              <w:jc w:val="center"/>
              <w:spacing w:after="0"/>
              <w:rPr>
                <w:rFonts w:ascii="Arial" w:cs="Arial" w:eastAsia="Arial" w:hAnsi="Arial"/>
                <w:sz w:val="16"/>
                <w:szCs w:val="16"/>
                <w:u w:val="single" w:color="auto"/>
                <w:color w:val="0000FF"/>
              </w:rPr>
            </w:pPr>
            <w:hyperlink w:anchor="page79">
              <w:r>
                <w:rPr>
                  <w:rFonts w:ascii="Arial" w:cs="Arial" w:eastAsia="Arial" w:hAnsi="Arial"/>
                  <w:sz w:val="16"/>
                  <w:szCs w:val="16"/>
                  <w:u w:val="single" w:color="auto"/>
                  <w:color w:val="0000FF"/>
                </w:rPr>
                <w:t>77</w:t>
              </w:r>
            </w:hyperlink>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6"/>
                <w:szCs w:val="16"/>
                <w:color w:val="auto"/>
              </w:rPr>
              <w:t>ITEM 9.</w:t>
            </w:r>
          </w:p>
        </w:tc>
        <w:tc>
          <w:tcPr>
            <w:tcW w:w="8760" w:type="dxa"/>
            <w:vAlign w:val="bottom"/>
            <w:gridSpan w:val="7"/>
          </w:tcPr>
          <w:p>
            <w:pPr>
              <w:spacing w:after="0"/>
              <w:rPr>
                <w:rFonts w:ascii="Arial" w:cs="Arial" w:eastAsia="Arial" w:hAnsi="Arial"/>
                <w:sz w:val="16"/>
                <w:szCs w:val="16"/>
                <w:u w:val="single" w:color="auto"/>
                <w:color w:val="0000FF"/>
              </w:rPr>
            </w:pPr>
            <w:hyperlink w:anchor="page108">
              <w:r>
                <w:rPr>
                  <w:rFonts w:ascii="Arial" w:cs="Arial" w:eastAsia="Arial" w:hAnsi="Arial"/>
                  <w:sz w:val="16"/>
                  <w:szCs w:val="16"/>
                  <w:u w:val="single" w:color="auto"/>
                  <w:color w:val="0000FF"/>
                </w:rPr>
                <w:t>CHANGES IN AND DISAGREEMENTS WITH ACCOUNTANTS ON ACCOUNTING AND FINANCIAL DISCLOSURE</w:t>
              </w:r>
            </w:hyperlink>
          </w:p>
        </w:tc>
        <w:tc>
          <w:tcPr>
            <w:tcW w:w="1240" w:type="dxa"/>
            <w:vAlign w:val="bottom"/>
          </w:tcPr>
          <w:p>
            <w:pPr>
              <w:jc w:val="center"/>
              <w:spacing w:after="0"/>
              <w:rPr>
                <w:rFonts w:ascii="Arial" w:cs="Arial" w:eastAsia="Arial" w:hAnsi="Arial"/>
                <w:sz w:val="16"/>
                <w:szCs w:val="16"/>
                <w:u w:val="single" w:color="auto"/>
                <w:color w:val="0000FF"/>
                <w:w w:val="97"/>
              </w:rPr>
            </w:pPr>
            <w:hyperlink w:anchor="page108">
              <w:r>
                <w:rPr>
                  <w:rFonts w:ascii="Arial" w:cs="Arial" w:eastAsia="Arial" w:hAnsi="Arial"/>
                  <w:sz w:val="16"/>
                  <w:szCs w:val="16"/>
                  <w:u w:val="single" w:color="auto"/>
                  <w:color w:val="0000FF"/>
                  <w:w w:val="97"/>
                </w:rPr>
                <w:t>106</w:t>
              </w:r>
            </w:hyperlink>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6"/>
                <w:szCs w:val="16"/>
                <w:color w:val="auto"/>
              </w:rPr>
              <w:t>ITEM 9A.</w:t>
            </w:r>
          </w:p>
        </w:tc>
        <w:tc>
          <w:tcPr>
            <w:tcW w:w="8760" w:type="dxa"/>
            <w:vAlign w:val="bottom"/>
            <w:gridSpan w:val="7"/>
          </w:tcPr>
          <w:p>
            <w:pPr>
              <w:spacing w:after="0"/>
              <w:rPr>
                <w:rFonts w:ascii="Arial" w:cs="Arial" w:eastAsia="Arial" w:hAnsi="Arial"/>
                <w:sz w:val="16"/>
                <w:szCs w:val="16"/>
                <w:u w:val="single" w:color="auto"/>
                <w:color w:val="0000FF"/>
              </w:rPr>
            </w:pPr>
            <w:hyperlink w:anchor="page109">
              <w:r>
                <w:rPr>
                  <w:rFonts w:ascii="Arial" w:cs="Arial" w:eastAsia="Arial" w:hAnsi="Arial"/>
                  <w:sz w:val="16"/>
                  <w:szCs w:val="16"/>
                  <w:u w:val="single" w:color="auto"/>
                  <w:color w:val="0000FF"/>
                </w:rPr>
                <w:t>CONTROLS AND PROCEDURES</w:t>
              </w:r>
            </w:hyperlink>
          </w:p>
        </w:tc>
        <w:tc>
          <w:tcPr>
            <w:tcW w:w="1240" w:type="dxa"/>
            <w:vAlign w:val="bottom"/>
          </w:tcPr>
          <w:p>
            <w:pPr>
              <w:jc w:val="center"/>
              <w:spacing w:after="0"/>
              <w:rPr>
                <w:rFonts w:ascii="Arial" w:cs="Arial" w:eastAsia="Arial" w:hAnsi="Arial"/>
                <w:sz w:val="16"/>
                <w:szCs w:val="16"/>
                <w:u w:val="single" w:color="auto"/>
                <w:color w:val="0000FF"/>
                <w:w w:val="97"/>
              </w:rPr>
            </w:pPr>
            <w:hyperlink w:anchor="page109">
              <w:r>
                <w:rPr>
                  <w:rFonts w:ascii="Arial" w:cs="Arial" w:eastAsia="Arial" w:hAnsi="Arial"/>
                  <w:sz w:val="16"/>
                  <w:szCs w:val="16"/>
                  <w:u w:val="single" w:color="auto"/>
                  <w:color w:val="0000FF"/>
                  <w:w w:val="97"/>
                </w:rPr>
                <w:t>106</w:t>
              </w:r>
            </w:hyperlink>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6"/>
                <w:szCs w:val="16"/>
                <w:color w:val="auto"/>
              </w:rPr>
              <w:t>ITEM 9B.</w:t>
            </w:r>
          </w:p>
        </w:tc>
        <w:tc>
          <w:tcPr>
            <w:tcW w:w="8760" w:type="dxa"/>
            <w:vAlign w:val="bottom"/>
            <w:gridSpan w:val="7"/>
          </w:tcPr>
          <w:p>
            <w:pPr>
              <w:spacing w:after="0"/>
              <w:rPr>
                <w:rFonts w:ascii="Arial" w:cs="Arial" w:eastAsia="Arial" w:hAnsi="Arial"/>
                <w:sz w:val="16"/>
                <w:szCs w:val="16"/>
                <w:u w:val="single" w:color="auto"/>
                <w:color w:val="0000FF"/>
              </w:rPr>
            </w:pPr>
            <w:hyperlink w:anchor="page109">
              <w:r>
                <w:rPr>
                  <w:rFonts w:ascii="Arial" w:cs="Arial" w:eastAsia="Arial" w:hAnsi="Arial"/>
                  <w:sz w:val="16"/>
                  <w:szCs w:val="16"/>
                  <w:u w:val="single" w:color="auto"/>
                  <w:color w:val="0000FF"/>
                </w:rPr>
                <w:t>OTHER INFORMATION</w:t>
              </w:r>
            </w:hyperlink>
          </w:p>
        </w:tc>
        <w:tc>
          <w:tcPr>
            <w:tcW w:w="1240" w:type="dxa"/>
            <w:vAlign w:val="bottom"/>
          </w:tcPr>
          <w:p>
            <w:pPr>
              <w:jc w:val="center"/>
              <w:spacing w:after="0"/>
              <w:rPr>
                <w:rFonts w:ascii="Arial" w:cs="Arial" w:eastAsia="Arial" w:hAnsi="Arial"/>
                <w:sz w:val="16"/>
                <w:szCs w:val="16"/>
                <w:u w:val="single" w:color="auto"/>
                <w:color w:val="0000FF"/>
                <w:w w:val="97"/>
              </w:rPr>
            </w:pPr>
            <w:hyperlink w:anchor="page109">
              <w:r>
                <w:rPr>
                  <w:rFonts w:ascii="Arial" w:cs="Arial" w:eastAsia="Arial" w:hAnsi="Arial"/>
                  <w:sz w:val="16"/>
                  <w:szCs w:val="16"/>
                  <w:u w:val="single" w:color="auto"/>
                  <w:color w:val="0000FF"/>
                  <w:w w:val="97"/>
                </w:rPr>
                <w:t>106</w:t>
              </w:r>
            </w:hyperlink>
          </w:p>
        </w:tc>
        <w:tc>
          <w:tcPr>
            <w:tcW w:w="0" w:type="dxa"/>
            <w:vAlign w:val="bottom"/>
          </w:tcPr>
          <w:p>
            <w:pPr>
              <w:spacing w:after="0"/>
              <w:rPr>
                <w:sz w:val="1"/>
                <w:szCs w:val="1"/>
                <w:color w:val="auto"/>
              </w:rPr>
            </w:pPr>
          </w:p>
        </w:tc>
      </w:tr>
      <w:tr>
        <w:trPr>
          <w:trHeight w:val="60"/>
        </w:trPr>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3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0A2299"/>
          </w:tcPr>
          <w:p>
            <w:pPr>
              <w:spacing w:after="0"/>
              <w:rPr>
                <w:sz w:val="18"/>
                <w:szCs w:val="18"/>
                <w:color w:val="auto"/>
              </w:rPr>
            </w:pPr>
          </w:p>
        </w:tc>
        <w:tc>
          <w:tcPr>
            <w:tcW w:w="220" w:type="dxa"/>
            <w:vAlign w:val="bottom"/>
            <w:shd w:val="clear" w:color="auto" w:fill="0A2299"/>
          </w:tcPr>
          <w:p>
            <w:pPr>
              <w:spacing w:after="0"/>
              <w:rPr>
                <w:sz w:val="18"/>
                <w:szCs w:val="18"/>
                <w:color w:val="auto"/>
              </w:rPr>
            </w:pPr>
          </w:p>
        </w:tc>
        <w:tc>
          <w:tcPr>
            <w:tcW w:w="1920" w:type="dxa"/>
            <w:vAlign w:val="bottom"/>
            <w:shd w:val="clear" w:color="auto" w:fill="0A2299"/>
          </w:tcPr>
          <w:p>
            <w:pPr>
              <w:spacing w:after="0"/>
              <w:rPr>
                <w:sz w:val="18"/>
                <w:szCs w:val="18"/>
                <w:color w:val="auto"/>
              </w:rPr>
            </w:pPr>
          </w:p>
        </w:tc>
        <w:tc>
          <w:tcPr>
            <w:tcW w:w="800" w:type="dxa"/>
            <w:vAlign w:val="bottom"/>
            <w:shd w:val="clear" w:color="auto" w:fill="0A2299"/>
          </w:tcPr>
          <w:p>
            <w:pPr>
              <w:spacing w:after="0"/>
              <w:rPr>
                <w:sz w:val="18"/>
                <w:szCs w:val="18"/>
                <w:color w:val="auto"/>
              </w:rPr>
            </w:pPr>
          </w:p>
        </w:tc>
        <w:tc>
          <w:tcPr>
            <w:tcW w:w="5820" w:type="dxa"/>
            <w:vAlign w:val="bottom"/>
            <w:gridSpan w:val="4"/>
            <w:shd w:val="clear" w:color="auto" w:fill="0A2299"/>
          </w:tcPr>
          <w:p>
            <w:pPr>
              <w:jc w:val="center"/>
              <w:ind w:right="2940"/>
              <w:spacing w:after="0"/>
              <w:rPr>
                <w:sz w:val="20"/>
                <w:szCs w:val="20"/>
                <w:color w:val="auto"/>
              </w:rPr>
            </w:pPr>
            <w:r>
              <w:rPr>
                <w:rFonts w:ascii="Arial" w:cs="Arial" w:eastAsia="Arial" w:hAnsi="Arial"/>
                <w:sz w:val="16"/>
                <w:szCs w:val="16"/>
                <w:b w:val="1"/>
                <w:bCs w:val="1"/>
                <w:color w:val="FFFFFF"/>
                <w:w w:val="97"/>
              </w:rPr>
              <w:t>PART III</w:t>
            </w:r>
          </w:p>
        </w:tc>
        <w:tc>
          <w:tcPr>
            <w:tcW w:w="1240" w:type="dxa"/>
            <w:vAlign w:val="bottom"/>
            <w:shd w:val="clear" w:color="auto" w:fill="0A229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6"/>
                <w:szCs w:val="16"/>
                <w:color w:val="auto"/>
              </w:rPr>
              <w:t>ITEM 10.</w:t>
            </w:r>
          </w:p>
        </w:tc>
        <w:tc>
          <w:tcPr>
            <w:tcW w:w="8760" w:type="dxa"/>
            <w:vAlign w:val="bottom"/>
            <w:gridSpan w:val="7"/>
          </w:tcPr>
          <w:p>
            <w:pPr>
              <w:spacing w:after="0"/>
              <w:rPr>
                <w:rFonts w:ascii="Arial" w:cs="Arial" w:eastAsia="Arial" w:hAnsi="Arial"/>
                <w:sz w:val="16"/>
                <w:szCs w:val="16"/>
                <w:u w:val="single" w:color="auto"/>
                <w:color w:val="0000FF"/>
              </w:rPr>
            </w:pPr>
            <w:hyperlink w:anchor="page110">
              <w:r>
                <w:rPr>
                  <w:rFonts w:ascii="Arial" w:cs="Arial" w:eastAsia="Arial" w:hAnsi="Arial"/>
                  <w:sz w:val="16"/>
                  <w:szCs w:val="16"/>
                  <w:u w:val="single" w:color="auto"/>
                  <w:color w:val="0000FF"/>
                </w:rPr>
                <w:t>DIRECTORS, EXECUTIVE OFFICERS AND CORPORATE GOVERNANCE</w:t>
              </w:r>
            </w:hyperlink>
          </w:p>
        </w:tc>
        <w:tc>
          <w:tcPr>
            <w:tcW w:w="1240" w:type="dxa"/>
            <w:vAlign w:val="bottom"/>
          </w:tcPr>
          <w:p>
            <w:pPr>
              <w:jc w:val="center"/>
              <w:spacing w:after="0"/>
              <w:rPr>
                <w:rFonts w:ascii="Arial" w:cs="Arial" w:eastAsia="Arial" w:hAnsi="Arial"/>
                <w:sz w:val="16"/>
                <w:szCs w:val="16"/>
                <w:u w:val="single" w:color="auto"/>
                <w:color w:val="0000FF"/>
                <w:w w:val="97"/>
              </w:rPr>
            </w:pPr>
            <w:hyperlink w:anchor="page110">
              <w:r>
                <w:rPr>
                  <w:rFonts w:ascii="Arial" w:cs="Arial" w:eastAsia="Arial" w:hAnsi="Arial"/>
                  <w:sz w:val="16"/>
                  <w:szCs w:val="16"/>
                  <w:u w:val="single" w:color="auto"/>
                  <w:color w:val="0000FF"/>
                  <w:w w:val="97"/>
                </w:rPr>
                <w:t>107</w:t>
              </w:r>
            </w:hyperlink>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6"/>
                <w:szCs w:val="16"/>
                <w:color w:val="auto"/>
              </w:rPr>
              <w:t>ITEM 11.</w:t>
            </w:r>
          </w:p>
        </w:tc>
        <w:tc>
          <w:tcPr>
            <w:tcW w:w="8760" w:type="dxa"/>
            <w:vAlign w:val="bottom"/>
            <w:gridSpan w:val="7"/>
          </w:tcPr>
          <w:p>
            <w:pPr>
              <w:spacing w:after="0"/>
              <w:rPr>
                <w:rFonts w:ascii="Arial" w:cs="Arial" w:eastAsia="Arial" w:hAnsi="Arial"/>
                <w:sz w:val="16"/>
                <w:szCs w:val="16"/>
                <w:u w:val="single" w:color="auto"/>
                <w:color w:val="0000FF"/>
              </w:rPr>
            </w:pPr>
            <w:hyperlink w:anchor="page110">
              <w:r>
                <w:rPr>
                  <w:rFonts w:ascii="Arial" w:cs="Arial" w:eastAsia="Arial" w:hAnsi="Arial"/>
                  <w:sz w:val="16"/>
                  <w:szCs w:val="16"/>
                  <w:u w:val="single" w:color="auto"/>
                  <w:color w:val="0000FF"/>
                </w:rPr>
                <w:t>EXECUTIVE COMPENSATION</w:t>
              </w:r>
            </w:hyperlink>
          </w:p>
        </w:tc>
        <w:tc>
          <w:tcPr>
            <w:tcW w:w="1240" w:type="dxa"/>
            <w:vAlign w:val="bottom"/>
          </w:tcPr>
          <w:p>
            <w:pPr>
              <w:jc w:val="center"/>
              <w:spacing w:after="0"/>
              <w:rPr>
                <w:rFonts w:ascii="Arial" w:cs="Arial" w:eastAsia="Arial" w:hAnsi="Arial"/>
                <w:sz w:val="16"/>
                <w:szCs w:val="16"/>
                <w:u w:val="single" w:color="auto"/>
                <w:color w:val="0000FF"/>
                <w:w w:val="97"/>
              </w:rPr>
            </w:pPr>
            <w:hyperlink w:anchor="page110">
              <w:r>
                <w:rPr>
                  <w:rFonts w:ascii="Arial" w:cs="Arial" w:eastAsia="Arial" w:hAnsi="Arial"/>
                  <w:sz w:val="16"/>
                  <w:szCs w:val="16"/>
                  <w:u w:val="single" w:color="auto"/>
                  <w:color w:val="0000FF"/>
                  <w:w w:val="97"/>
                </w:rPr>
                <w:t>107</w:t>
              </w:r>
            </w:hyperlink>
          </w:p>
        </w:tc>
        <w:tc>
          <w:tcPr>
            <w:tcW w:w="0" w:type="dxa"/>
            <w:vAlign w:val="bottom"/>
          </w:tcPr>
          <w:p>
            <w:pPr>
              <w:spacing w:after="0"/>
              <w:rPr>
                <w:sz w:val="1"/>
                <w:szCs w:val="1"/>
                <w:color w:val="auto"/>
              </w:rPr>
            </w:pPr>
          </w:p>
        </w:tc>
      </w:tr>
      <w:tr>
        <w:trPr>
          <w:trHeight w:val="181"/>
        </w:trPr>
        <w:tc>
          <w:tcPr>
            <w:tcW w:w="1240" w:type="dxa"/>
            <w:vAlign w:val="bottom"/>
            <w:vMerge w:val="restart"/>
          </w:tcPr>
          <w:p>
            <w:pPr>
              <w:ind w:left="20"/>
              <w:spacing w:after="0"/>
              <w:rPr>
                <w:sz w:val="20"/>
                <w:szCs w:val="20"/>
                <w:color w:val="auto"/>
              </w:rPr>
            </w:pPr>
            <w:r>
              <w:rPr>
                <w:rFonts w:ascii="Arial" w:cs="Arial" w:eastAsia="Arial" w:hAnsi="Arial"/>
                <w:sz w:val="16"/>
                <w:szCs w:val="16"/>
                <w:color w:val="auto"/>
              </w:rPr>
              <w:t>ITEM 12.</w:t>
            </w:r>
          </w:p>
        </w:tc>
        <w:tc>
          <w:tcPr>
            <w:tcW w:w="7400" w:type="dxa"/>
            <w:vAlign w:val="bottom"/>
            <w:tcBorders>
              <w:bottom w:val="single" w:sz="8" w:color="0000FF"/>
            </w:tcBorders>
            <w:gridSpan w:val="5"/>
          </w:tcPr>
          <w:p>
            <w:pPr>
              <w:spacing w:after="0" w:line="181" w:lineRule="exact"/>
              <w:rPr>
                <w:rFonts w:ascii="Arial" w:cs="Arial" w:eastAsia="Arial" w:hAnsi="Arial"/>
                <w:sz w:val="16"/>
                <w:szCs w:val="16"/>
                <w:color w:val="0000FF"/>
              </w:rPr>
            </w:pPr>
            <w:hyperlink w:anchor="page110">
              <w:r>
                <w:rPr>
                  <w:rFonts w:ascii="Arial" w:cs="Arial" w:eastAsia="Arial" w:hAnsi="Arial"/>
                  <w:sz w:val="16"/>
                  <w:szCs w:val="16"/>
                  <w:color w:val="0000FF"/>
                </w:rPr>
                <w:t>SECURITY OWNERSHIP OF CERTAIN BENEFICIAL OWNERS AND MANAGEMENT AND RELATED</w:t>
              </w:r>
            </w:hyperlink>
          </w:p>
        </w:tc>
        <w:tc>
          <w:tcPr>
            <w:tcW w:w="1360" w:type="dxa"/>
            <w:vAlign w:val="bottom"/>
            <w:gridSpan w:val="2"/>
          </w:tcPr>
          <w:p>
            <w:pPr>
              <w:spacing w:after="0"/>
              <w:rPr>
                <w:sz w:val="15"/>
                <w:szCs w:val="15"/>
                <w:color w:val="auto"/>
              </w:rPr>
            </w:pPr>
          </w:p>
        </w:tc>
        <w:tc>
          <w:tcPr>
            <w:tcW w:w="1240" w:type="dxa"/>
            <w:vAlign w:val="bottom"/>
            <w:vMerge w:val="restart"/>
          </w:tcPr>
          <w:p>
            <w:pPr>
              <w:jc w:val="center"/>
              <w:spacing w:after="0"/>
              <w:rPr>
                <w:rFonts w:ascii="Arial" w:cs="Arial" w:eastAsia="Arial" w:hAnsi="Arial"/>
                <w:sz w:val="16"/>
                <w:szCs w:val="16"/>
                <w:u w:val="single" w:color="auto"/>
                <w:color w:val="0000FF"/>
                <w:w w:val="97"/>
              </w:rPr>
            </w:pPr>
            <w:hyperlink w:anchor="page110">
              <w:r>
                <w:rPr>
                  <w:rFonts w:ascii="Arial" w:cs="Arial" w:eastAsia="Arial" w:hAnsi="Arial"/>
                  <w:sz w:val="16"/>
                  <w:szCs w:val="16"/>
                  <w:u w:val="single" w:color="auto"/>
                  <w:color w:val="0000FF"/>
                  <w:w w:val="97"/>
                </w:rPr>
                <w:t>107</w:t>
              </w:r>
            </w:hyperlink>
          </w:p>
        </w:tc>
        <w:tc>
          <w:tcPr>
            <w:tcW w:w="0" w:type="dxa"/>
            <w:vAlign w:val="bottom"/>
          </w:tcPr>
          <w:p>
            <w:pPr>
              <w:spacing w:after="0"/>
              <w:rPr>
                <w:sz w:val="1"/>
                <w:szCs w:val="1"/>
                <w:color w:val="auto"/>
              </w:rPr>
            </w:pPr>
          </w:p>
        </w:tc>
      </w:tr>
      <w:tr>
        <w:trPr>
          <w:trHeight w:val="95"/>
        </w:trPr>
        <w:tc>
          <w:tcPr>
            <w:tcW w:w="1240" w:type="dxa"/>
            <w:vAlign w:val="bottom"/>
            <w:vMerge w:val="continue"/>
          </w:tcPr>
          <w:p>
            <w:pPr>
              <w:spacing w:after="0"/>
              <w:rPr>
                <w:sz w:val="8"/>
                <w:szCs w:val="8"/>
                <w:color w:val="auto"/>
              </w:rPr>
            </w:pPr>
          </w:p>
        </w:tc>
        <w:tc>
          <w:tcPr>
            <w:tcW w:w="8760" w:type="dxa"/>
            <w:vAlign w:val="bottom"/>
            <w:gridSpan w:val="7"/>
            <w:vMerge w:val="restart"/>
          </w:tcPr>
          <w:p>
            <w:pPr>
              <w:spacing w:after="0" w:line="142" w:lineRule="exact"/>
              <w:rPr>
                <w:rFonts w:ascii="Arial" w:cs="Arial" w:eastAsia="Arial" w:hAnsi="Arial"/>
                <w:sz w:val="16"/>
                <w:szCs w:val="16"/>
                <w:color w:val="0000FF"/>
              </w:rPr>
            </w:pPr>
            <w:hyperlink w:anchor="page110">
              <w:r>
                <w:rPr>
                  <w:rFonts w:ascii="Arial" w:cs="Arial" w:eastAsia="Arial" w:hAnsi="Arial"/>
                  <w:sz w:val="16"/>
                  <w:szCs w:val="16"/>
                  <w:color w:val="0000FF"/>
                </w:rPr>
                <w:t>STOCKHOLDERS MATTERS</w:t>
              </w:r>
            </w:hyperlink>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240" w:type="dxa"/>
            <w:vAlign w:val="bottom"/>
          </w:tcPr>
          <w:p>
            <w:pPr>
              <w:spacing w:after="0"/>
              <w:rPr>
                <w:sz w:val="4"/>
                <w:szCs w:val="4"/>
                <w:color w:val="auto"/>
              </w:rPr>
            </w:pPr>
          </w:p>
        </w:tc>
        <w:tc>
          <w:tcPr>
            <w:tcW w:w="8760" w:type="dxa"/>
            <w:vAlign w:val="bottom"/>
            <w:gridSpan w:val="7"/>
            <w:vMerge w:val="continue"/>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66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40" w:type="dxa"/>
            <w:vAlign w:val="bottom"/>
          </w:tcPr>
          <w:p>
            <w:pPr>
              <w:ind w:left="20"/>
              <w:spacing w:after="0"/>
              <w:rPr>
                <w:sz w:val="20"/>
                <w:szCs w:val="20"/>
                <w:color w:val="auto"/>
              </w:rPr>
            </w:pPr>
            <w:r>
              <w:rPr>
                <w:rFonts w:ascii="Arial" w:cs="Arial" w:eastAsia="Arial" w:hAnsi="Arial"/>
                <w:sz w:val="16"/>
                <w:szCs w:val="16"/>
                <w:color w:val="auto"/>
              </w:rPr>
              <w:t>ITEM 13.</w:t>
            </w:r>
          </w:p>
        </w:tc>
        <w:tc>
          <w:tcPr>
            <w:tcW w:w="8760" w:type="dxa"/>
            <w:vAlign w:val="bottom"/>
            <w:gridSpan w:val="7"/>
          </w:tcPr>
          <w:p>
            <w:pPr>
              <w:spacing w:after="0"/>
              <w:rPr>
                <w:rFonts w:ascii="Arial" w:cs="Arial" w:eastAsia="Arial" w:hAnsi="Arial"/>
                <w:sz w:val="16"/>
                <w:szCs w:val="16"/>
                <w:u w:val="single" w:color="auto"/>
                <w:color w:val="0000FF"/>
              </w:rPr>
            </w:pPr>
            <w:hyperlink w:anchor="page110">
              <w:r>
                <w:rPr>
                  <w:rFonts w:ascii="Arial" w:cs="Arial" w:eastAsia="Arial" w:hAnsi="Arial"/>
                  <w:sz w:val="16"/>
                  <w:szCs w:val="16"/>
                  <w:u w:val="single" w:color="auto"/>
                  <w:color w:val="0000FF"/>
                </w:rPr>
                <w:t>CERTAIN RELATIONSHIPS AND RELATED TRANSACTIONS, AND DIRECTOR INDEPENDENCE.</w:t>
              </w:r>
            </w:hyperlink>
          </w:p>
        </w:tc>
        <w:tc>
          <w:tcPr>
            <w:tcW w:w="1240" w:type="dxa"/>
            <w:vAlign w:val="bottom"/>
          </w:tcPr>
          <w:p>
            <w:pPr>
              <w:jc w:val="center"/>
              <w:spacing w:after="0"/>
              <w:rPr>
                <w:rFonts w:ascii="Arial" w:cs="Arial" w:eastAsia="Arial" w:hAnsi="Arial"/>
                <w:sz w:val="16"/>
                <w:szCs w:val="16"/>
                <w:u w:val="single" w:color="auto"/>
                <w:color w:val="0000FF"/>
                <w:w w:val="97"/>
              </w:rPr>
            </w:pPr>
            <w:hyperlink w:anchor="page110">
              <w:r>
                <w:rPr>
                  <w:rFonts w:ascii="Arial" w:cs="Arial" w:eastAsia="Arial" w:hAnsi="Arial"/>
                  <w:sz w:val="16"/>
                  <w:szCs w:val="16"/>
                  <w:u w:val="single" w:color="auto"/>
                  <w:color w:val="0000FF"/>
                  <w:w w:val="97"/>
                </w:rPr>
                <w:t>107</w:t>
              </w:r>
            </w:hyperlink>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6"/>
                <w:szCs w:val="16"/>
                <w:color w:val="auto"/>
              </w:rPr>
              <w:t>ITEM 14.</w:t>
            </w:r>
          </w:p>
        </w:tc>
        <w:tc>
          <w:tcPr>
            <w:tcW w:w="8760" w:type="dxa"/>
            <w:vAlign w:val="bottom"/>
            <w:gridSpan w:val="7"/>
          </w:tcPr>
          <w:p>
            <w:pPr>
              <w:spacing w:after="0"/>
              <w:rPr>
                <w:rFonts w:ascii="Arial" w:cs="Arial" w:eastAsia="Arial" w:hAnsi="Arial"/>
                <w:sz w:val="16"/>
                <w:szCs w:val="16"/>
                <w:u w:val="single" w:color="auto"/>
                <w:color w:val="0000FF"/>
              </w:rPr>
            </w:pPr>
            <w:hyperlink w:anchor="page110">
              <w:r>
                <w:rPr>
                  <w:rFonts w:ascii="Arial" w:cs="Arial" w:eastAsia="Arial" w:hAnsi="Arial"/>
                  <w:sz w:val="16"/>
                  <w:szCs w:val="16"/>
                  <w:u w:val="single" w:color="auto"/>
                  <w:color w:val="0000FF"/>
                </w:rPr>
                <w:t>PRINCIPAL ACCOUNTANT FEES AND SERVICES</w:t>
              </w:r>
            </w:hyperlink>
          </w:p>
        </w:tc>
        <w:tc>
          <w:tcPr>
            <w:tcW w:w="1240" w:type="dxa"/>
            <w:vAlign w:val="bottom"/>
          </w:tcPr>
          <w:p>
            <w:pPr>
              <w:jc w:val="center"/>
              <w:spacing w:after="0"/>
              <w:rPr>
                <w:rFonts w:ascii="Arial" w:cs="Arial" w:eastAsia="Arial" w:hAnsi="Arial"/>
                <w:sz w:val="16"/>
                <w:szCs w:val="16"/>
                <w:u w:val="single" w:color="auto"/>
                <w:color w:val="0000FF"/>
                <w:w w:val="97"/>
              </w:rPr>
            </w:pPr>
            <w:hyperlink w:anchor="page110">
              <w:r>
                <w:rPr>
                  <w:rFonts w:ascii="Arial" w:cs="Arial" w:eastAsia="Arial" w:hAnsi="Arial"/>
                  <w:sz w:val="16"/>
                  <w:szCs w:val="16"/>
                  <w:u w:val="single" w:color="auto"/>
                  <w:color w:val="0000FF"/>
                  <w:w w:val="97"/>
                </w:rPr>
                <w:t>107</w:t>
              </w:r>
            </w:hyperlink>
          </w:p>
        </w:tc>
        <w:tc>
          <w:tcPr>
            <w:tcW w:w="0" w:type="dxa"/>
            <w:vAlign w:val="bottom"/>
          </w:tcPr>
          <w:p>
            <w:pPr>
              <w:spacing w:after="0"/>
              <w:rPr>
                <w:sz w:val="1"/>
                <w:szCs w:val="1"/>
                <w:color w:val="auto"/>
              </w:rPr>
            </w:pPr>
          </w:p>
        </w:tc>
      </w:tr>
      <w:tr>
        <w:trPr>
          <w:trHeight w:val="60"/>
        </w:trPr>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3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0A2299"/>
          </w:tcPr>
          <w:p>
            <w:pPr>
              <w:spacing w:after="0"/>
              <w:rPr>
                <w:sz w:val="18"/>
                <w:szCs w:val="18"/>
                <w:color w:val="auto"/>
              </w:rPr>
            </w:pPr>
          </w:p>
        </w:tc>
        <w:tc>
          <w:tcPr>
            <w:tcW w:w="220" w:type="dxa"/>
            <w:vAlign w:val="bottom"/>
            <w:shd w:val="clear" w:color="auto" w:fill="0A2299"/>
          </w:tcPr>
          <w:p>
            <w:pPr>
              <w:spacing w:after="0"/>
              <w:rPr>
                <w:sz w:val="18"/>
                <w:szCs w:val="18"/>
                <w:color w:val="auto"/>
              </w:rPr>
            </w:pPr>
          </w:p>
        </w:tc>
        <w:tc>
          <w:tcPr>
            <w:tcW w:w="1920" w:type="dxa"/>
            <w:vAlign w:val="bottom"/>
            <w:shd w:val="clear" w:color="auto" w:fill="0A2299"/>
          </w:tcPr>
          <w:p>
            <w:pPr>
              <w:spacing w:after="0"/>
              <w:rPr>
                <w:sz w:val="18"/>
                <w:szCs w:val="18"/>
                <w:color w:val="auto"/>
              </w:rPr>
            </w:pPr>
          </w:p>
        </w:tc>
        <w:tc>
          <w:tcPr>
            <w:tcW w:w="800" w:type="dxa"/>
            <w:vAlign w:val="bottom"/>
            <w:shd w:val="clear" w:color="auto" w:fill="0A2299"/>
          </w:tcPr>
          <w:p>
            <w:pPr>
              <w:spacing w:after="0"/>
              <w:rPr>
                <w:sz w:val="18"/>
                <w:szCs w:val="18"/>
                <w:color w:val="auto"/>
              </w:rPr>
            </w:pPr>
          </w:p>
        </w:tc>
        <w:tc>
          <w:tcPr>
            <w:tcW w:w="5820" w:type="dxa"/>
            <w:vAlign w:val="bottom"/>
            <w:gridSpan w:val="4"/>
            <w:shd w:val="clear" w:color="auto" w:fill="0A2299"/>
          </w:tcPr>
          <w:p>
            <w:pPr>
              <w:jc w:val="center"/>
              <w:ind w:right="2920"/>
              <w:spacing w:after="0"/>
              <w:rPr>
                <w:sz w:val="20"/>
                <w:szCs w:val="20"/>
                <w:color w:val="auto"/>
              </w:rPr>
            </w:pPr>
            <w:r>
              <w:rPr>
                <w:rFonts w:ascii="Arial" w:cs="Arial" w:eastAsia="Arial" w:hAnsi="Arial"/>
                <w:sz w:val="16"/>
                <w:szCs w:val="16"/>
                <w:b w:val="1"/>
                <w:bCs w:val="1"/>
                <w:color w:val="FFFFFF"/>
                <w:w w:val="98"/>
              </w:rPr>
              <w:t>PART IV</w:t>
            </w:r>
          </w:p>
        </w:tc>
        <w:tc>
          <w:tcPr>
            <w:tcW w:w="1240" w:type="dxa"/>
            <w:vAlign w:val="bottom"/>
            <w:shd w:val="clear" w:color="auto" w:fill="0A229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6"/>
                <w:szCs w:val="16"/>
                <w:color w:val="auto"/>
              </w:rPr>
              <w:t>ITEM 15.</w:t>
            </w:r>
          </w:p>
        </w:tc>
        <w:tc>
          <w:tcPr>
            <w:tcW w:w="8760" w:type="dxa"/>
            <w:vAlign w:val="bottom"/>
            <w:gridSpan w:val="7"/>
          </w:tcPr>
          <w:p>
            <w:pPr>
              <w:spacing w:after="0"/>
              <w:rPr>
                <w:rFonts w:ascii="Arial" w:cs="Arial" w:eastAsia="Arial" w:hAnsi="Arial"/>
                <w:sz w:val="16"/>
                <w:szCs w:val="16"/>
                <w:u w:val="single" w:color="auto"/>
                <w:color w:val="0000FF"/>
              </w:rPr>
            </w:pPr>
            <w:hyperlink w:anchor="page111">
              <w:r>
                <w:rPr>
                  <w:rFonts w:ascii="Arial" w:cs="Arial" w:eastAsia="Arial" w:hAnsi="Arial"/>
                  <w:sz w:val="16"/>
                  <w:szCs w:val="16"/>
                  <w:u w:val="single" w:color="auto"/>
                  <w:color w:val="0000FF"/>
                </w:rPr>
                <w:t>EXHIBIT AND FINANCIAL STATEMENT SCHEDULES</w:t>
              </w:r>
            </w:hyperlink>
          </w:p>
        </w:tc>
        <w:tc>
          <w:tcPr>
            <w:tcW w:w="1240" w:type="dxa"/>
            <w:vAlign w:val="bottom"/>
          </w:tcPr>
          <w:p>
            <w:pPr>
              <w:jc w:val="center"/>
              <w:spacing w:after="0"/>
              <w:rPr>
                <w:rFonts w:ascii="Arial" w:cs="Arial" w:eastAsia="Arial" w:hAnsi="Arial"/>
                <w:sz w:val="16"/>
                <w:szCs w:val="16"/>
                <w:u w:val="single" w:color="auto"/>
                <w:color w:val="0000FF"/>
                <w:w w:val="97"/>
              </w:rPr>
            </w:pPr>
            <w:hyperlink w:anchor="page111">
              <w:r>
                <w:rPr>
                  <w:rFonts w:ascii="Arial" w:cs="Arial" w:eastAsia="Arial" w:hAnsi="Arial"/>
                  <w:sz w:val="16"/>
                  <w:szCs w:val="16"/>
                  <w:u w:val="single" w:color="auto"/>
                  <w:color w:val="0000FF"/>
                  <w:w w:val="97"/>
                </w:rPr>
                <w:t>108</w:t>
              </w:r>
            </w:hyperlink>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6"/>
                <w:szCs w:val="16"/>
                <w:color w:val="auto"/>
              </w:rPr>
              <w:t>ITEM 16.</w:t>
            </w:r>
          </w:p>
        </w:tc>
        <w:tc>
          <w:tcPr>
            <w:tcW w:w="8760" w:type="dxa"/>
            <w:vAlign w:val="bottom"/>
            <w:gridSpan w:val="7"/>
          </w:tcPr>
          <w:p>
            <w:pPr>
              <w:spacing w:after="0"/>
              <w:rPr>
                <w:rFonts w:ascii="Arial" w:cs="Arial" w:eastAsia="Arial" w:hAnsi="Arial"/>
                <w:sz w:val="16"/>
                <w:szCs w:val="16"/>
                <w:u w:val="single" w:color="auto"/>
                <w:color w:val="0000FF"/>
              </w:rPr>
            </w:pPr>
            <w:hyperlink w:anchor="page112">
              <w:r>
                <w:rPr>
                  <w:rFonts w:ascii="Arial" w:cs="Arial" w:eastAsia="Arial" w:hAnsi="Arial"/>
                  <w:sz w:val="16"/>
                  <w:szCs w:val="16"/>
                  <w:u w:val="single" w:color="auto"/>
                  <w:color w:val="0000FF"/>
                </w:rPr>
                <w:t>FORM 10-K SUMMARY</w:t>
              </w:r>
            </w:hyperlink>
          </w:p>
        </w:tc>
        <w:tc>
          <w:tcPr>
            <w:tcW w:w="1240" w:type="dxa"/>
            <w:vAlign w:val="bottom"/>
          </w:tcPr>
          <w:p>
            <w:pPr>
              <w:jc w:val="center"/>
              <w:spacing w:after="0"/>
              <w:rPr>
                <w:rFonts w:ascii="Arial" w:cs="Arial" w:eastAsia="Arial" w:hAnsi="Arial"/>
                <w:sz w:val="16"/>
                <w:szCs w:val="16"/>
                <w:u w:val="single" w:color="auto"/>
                <w:color w:val="0000FF"/>
                <w:w w:val="97"/>
              </w:rPr>
            </w:pPr>
            <w:hyperlink w:anchor="page112">
              <w:r>
                <w:rPr>
                  <w:rFonts w:ascii="Arial" w:cs="Arial" w:eastAsia="Arial" w:hAnsi="Arial"/>
                  <w:sz w:val="16"/>
                  <w:szCs w:val="16"/>
                  <w:u w:val="single" w:color="auto"/>
                  <w:color w:val="0000FF"/>
                  <w:w w:val="97"/>
                </w:rPr>
                <w:t>109</w:t>
              </w:r>
            </w:hyperlink>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760" w:type="dxa"/>
            <w:vAlign w:val="bottom"/>
            <w:gridSpan w:val="7"/>
          </w:tcPr>
          <w:p>
            <w:pPr>
              <w:spacing w:after="0"/>
              <w:rPr>
                <w:rFonts w:ascii="Arial" w:cs="Arial" w:eastAsia="Arial" w:hAnsi="Arial"/>
                <w:sz w:val="16"/>
                <w:szCs w:val="16"/>
                <w:u w:val="single" w:color="auto"/>
                <w:color w:val="0000FF"/>
              </w:rPr>
            </w:pPr>
            <w:hyperlink w:anchor="page112">
              <w:r>
                <w:rPr>
                  <w:rFonts w:ascii="Arial" w:cs="Arial" w:eastAsia="Arial" w:hAnsi="Arial"/>
                  <w:sz w:val="16"/>
                  <w:szCs w:val="16"/>
                  <w:u w:val="single" w:color="auto"/>
                  <w:color w:val="0000FF"/>
                </w:rPr>
                <w:t>SIGNATURES</w:t>
              </w:r>
            </w:hyperlink>
          </w:p>
        </w:tc>
        <w:tc>
          <w:tcPr>
            <w:tcW w:w="1240" w:type="dxa"/>
            <w:vAlign w:val="bottom"/>
          </w:tcPr>
          <w:p>
            <w:pPr>
              <w:jc w:val="center"/>
              <w:spacing w:after="0"/>
              <w:rPr>
                <w:rFonts w:ascii="Arial" w:cs="Arial" w:eastAsia="Arial" w:hAnsi="Arial"/>
                <w:sz w:val="16"/>
                <w:szCs w:val="16"/>
                <w:u w:val="single" w:color="auto"/>
                <w:color w:val="0000FF"/>
                <w:w w:val="97"/>
              </w:rPr>
            </w:pPr>
            <w:hyperlink w:anchor="page112">
              <w:r>
                <w:rPr>
                  <w:rFonts w:ascii="Arial" w:cs="Arial" w:eastAsia="Arial" w:hAnsi="Arial"/>
                  <w:sz w:val="16"/>
                  <w:szCs w:val="16"/>
                  <w:u w:val="single" w:color="auto"/>
                  <w:color w:val="0000FF"/>
                  <w:w w:val="97"/>
                </w:rPr>
                <w:t>110</w:t>
              </w:r>
            </w:hyperlink>
          </w:p>
        </w:tc>
        <w:tc>
          <w:tcPr>
            <w:tcW w:w="0" w:type="dxa"/>
            <w:vAlign w:val="bottom"/>
          </w:tcPr>
          <w:p>
            <w:pPr>
              <w:spacing w:after="0"/>
              <w:rPr>
                <w:sz w:val="1"/>
                <w:szCs w:val="1"/>
                <w:color w:val="auto"/>
              </w:rPr>
            </w:pPr>
          </w:p>
        </w:tc>
      </w:tr>
      <w:tr>
        <w:trPr>
          <w:trHeight w:val="985"/>
        </w:trPr>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4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and debt service obligations, are forward-looking statements.</w:t>
      </w:r>
    </w:p>
    <w:p>
      <w:pPr>
        <w:spacing w:after="0" w:line="20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Annual Report on Form 10-K are only predictions.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0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These forward-looking statements speak only as of the date of this Annual Report on Form 10-K and are subject to a number of important factors that could cause actual results to differ materially from those in the forward-looking statements, including the factors described under the sections in this Annual Report on Form 10-K titled “Summary Risk Factors,” “Risk Factors” and “Management’s Discussion and Analysis of Financial Condition and Results of Operations.”</w:t>
      </w:r>
    </w:p>
    <w:p>
      <w:pPr>
        <w:spacing w:after="0" w:line="201"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2"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CERTAIN DEFINITIONS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As used in this Annual Report on Form 10-K, unless the context otherwise requires:</w:t>
      </w:r>
    </w:p>
    <w:p>
      <w:pPr>
        <w:spacing w:after="0" w:line="205" w:lineRule="exact"/>
        <w:rPr>
          <w:sz w:val="20"/>
          <w:szCs w:val="20"/>
          <w:color w:val="auto"/>
        </w:rPr>
      </w:pPr>
    </w:p>
    <w:p>
      <w:pPr>
        <w:ind w:left="660" w:right="160" w:hanging="328"/>
        <w:spacing w:after="0" w:line="25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w:t>
      </w:r>
      <w:r>
        <w:rPr>
          <w:rFonts w:ascii="Arial" w:cs="Arial" w:eastAsia="Arial" w:hAnsi="Arial"/>
          <w:sz w:val="16"/>
          <w:szCs w:val="16"/>
          <w:i w:val="1"/>
          <w:iCs w:val="1"/>
          <w:color w:val="auto"/>
        </w:rPr>
        <w:t>our</w:t>
      </w:r>
      <w:r>
        <w:rPr>
          <w:rFonts w:ascii="Arial" w:cs="Arial" w:eastAsia="Arial" w:hAnsi="Arial"/>
          <w:sz w:val="16"/>
          <w:szCs w:val="16"/>
          <w:color w:val="auto"/>
        </w:rPr>
        <w:t>,” the “</w:t>
      </w:r>
      <w:r>
        <w:rPr>
          <w:rFonts w:ascii="Arial" w:cs="Arial" w:eastAsia="Arial" w:hAnsi="Arial"/>
          <w:sz w:val="16"/>
          <w:szCs w:val="16"/>
          <w:i w:val="1"/>
          <w:iCs w:val="1"/>
          <w:color w:val="auto"/>
        </w:rPr>
        <w:t>Company</w:t>
      </w:r>
      <w:r>
        <w:rPr>
          <w:rFonts w:ascii="Arial" w:cs="Arial" w:eastAsia="Arial" w:hAnsi="Arial"/>
          <w:sz w:val="16"/>
          <w:szCs w:val="16"/>
          <w:color w:val="auto"/>
        </w:rPr>
        <w:t>,” “</w:t>
      </w:r>
      <w:r>
        <w:rPr>
          <w:rFonts w:ascii="Arial" w:cs="Arial" w:eastAsia="Arial" w:hAnsi="Arial"/>
          <w:sz w:val="16"/>
          <w:szCs w:val="16"/>
          <w:i w:val="1"/>
          <w:iCs w:val="1"/>
          <w:color w:val="auto"/>
        </w:rPr>
        <w:t>GoHealth</w:t>
      </w:r>
      <w:r>
        <w:rPr>
          <w:rFonts w:ascii="Arial" w:cs="Arial" w:eastAsia="Arial" w:hAnsi="Arial"/>
          <w:sz w:val="16"/>
          <w:szCs w:val="16"/>
          <w:color w:val="auto"/>
        </w:rPr>
        <w:t>” and similar references refer: (1) following the consummation of the Transactions, including our initial public offering, or IPO, to GoHealth, Inc., and, unless otherwise stated, all of its direct and indirect subsidiaries, including GoHealth Holdings, LLC (formerly known as Blizzard Parent, LLC), and (2) prior to the completion of the Transactions, including our IPO, to GoHealth Holdings, LLC and, unless otherwise stated, all of its direct and indirect subsidiaries, or, as applicable, the Predecessor.</w:t>
      </w:r>
    </w:p>
    <w:p>
      <w:pPr>
        <w:spacing w:after="0" w:line="180" w:lineRule="exact"/>
        <w:rPr>
          <w:rFonts w:ascii="Arial" w:cs="Arial" w:eastAsia="Arial" w:hAnsi="Arial"/>
          <w:sz w:val="16"/>
          <w:szCs w:val="16"/>
          <w:color w:val="auto"/>
        </w:rPr>
      </w:pPr>
    </w:p>
    <w:p>
      <w:pPr>
        <w:ind w:left="660" w:right="40" w:hanging="328"/>
        <w:spacing w:after="0" w:line="28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Blocker Company</w:t>
      </w:r>
      <w:r>
        <w:rPr>
          <w:rFonts w:ascii="Arial" w:cs="Arial" w:eastAsia="Arial" w:hAnsi="Arial"/>
          <w:sz w:val="16"/>
          <w:szCs w:val="16"/>
          <w:color w:val="auto"/>
        </w:rPr>
        <w:t>” refers to an entity affiliated with Centerbridge that was an indirect owner of LLC Interests in GoHealth Holdings, LLC prior to the Transactions and is taxable as a corporation for U.S. federal income tax purposes.</w:t>
      </w:r>
    </w:p>
    <w:p>
      <w:pPr>
        <w:spacing w:after="0" w:line="163" w:lineRule="exact"/>
        <w:rPr>
          <w:rFonts w:ascii="Arial" w:cs="Arial" w:eastAsia="Arial" w:hAnsi="Arial"/>
          <w:sz w:val="16"/>
          <w:szCs w:val="16"/>
          <w:color w:val="auto"/>
        </w:rPr>
      </w:pPr>
    </w:p>
    <w:p>
      <w:pPr>
        <w:ind w:left="660" w:right="40" w:hanging="328"/>
        <w:spacing w:after="0" w:line="28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Blocker Shareholders</w:t>
      </w:r>
      <w:r>
        <w:rPr>
          <w:rFonts w:ascii="Arial" w:cs="Arial" w:eastAsia="Arial" w:hAnsi="Arial"/>
          <w:sz w:val="16"/>
          <w:szCs w:val="16"/>
          <w:color w:val="auto"/>
        </w:rPr>
        <w:t>” 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spacing w:after="0" w:line="163" w:lineRule="exact"/>
        <w:rPr>
          <w:rFonts w:ascii="Arial" w:cs="Arial" w:eastAsia="Arial" w:hAnsi="Arial"/>
          <w:sz w:val="16"/>
          <w:szCs w:val="16"/>
          <w:color w:val="auto"/>
        </w:rPr>
      </w:pPr>
    </w:p>
    <w:p>
      <w:pPr>
        <w:ind w:left="660" w:right="300" w:hanging="328"/>
        <w:spacing w:after="0" w:line="263"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Centerbridge</w:t>
      </w:r>
      <w:r>
        <w:rPr>
          <w:rFonts w:ascii="Arial" w:cs="Arial" w:eastAsia="Arial" w:hAnsi="Arial"/>
          <w:sz w:val="16"/>
          <w:szCs w:val="16"/>
          <w:color w:val="auto"/>
        </w:rPr>
        <w:t>” refers to Centerbridge Capital Partners III, L.P., our sponsor and a Delaware limited partnership, certain funds affiliated with Centerbridge Capital Partners III, L.P. and other entities over which Centerbridge Capital Partners III, L.P. has voting control (including any such fund or entity formed to hold shares of Class A common stock for the Blocker Shareholders).</w:t>
      </w:r>
    </w:p>
    <w:p>
      <w:pPr>
        <w:spacing w:after="0" w:line="178" w:lineRule="exact"/>
        <w:rPr>
          <w:rFonts w:ascii="Arial" w:cs="Arial" w:eastAsia="Arial" w:hAnsi="Arial"/>
          <w:sz w:val="16"/>
          <w:szCs w:val="16"/>
          <w:color w:val="auto"/>
        </w:rPr>
      </w:pPr>
    </w:p>
    <w:p>
      <w:pPr>
        <w:ind w:left="660" w:right="100" w:hanging="328"/>
        <w:spacing w:after="0" w:line="28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Centerbridge Acquisition</w:t>
      </w:r>
      <w:r>
        <w:rPr>
          <w:rFonts w:ascii="Arial" w:cs="Arial" w:eastAsia="Arial" w:hAnsi="Arial"/>
          <w:sz w:val="16"/>
          <w:szCs w:val="16"/>
          <w:color w:val="auto"/>
        </w:rPr>
        <w:t>” refers to the acquisition, on September 13, 2019, by Centerbridge, indirectly through a subsidiary of GoHealth Holdings, LLC (formerly known as Blizzard Parent, LLC), an entity formed in contemplation of the acquisition, of a 100% interest in Norvax.</w:t>
      </w:r>
    </w:p>
    <w:p>
      <w:pPr>
        <w:spacing w:after="0" w:line="163" w:lineRule="exact"/>
        <w:rPr>
          <w:rFonts w:ascii="Arial" w:cs="Arial" w:eastAsia="Arial" w:hAnsi="Arial"/>
          <w:sz w:val="16"/>
          <w:szCs w:val="16"/>
          <w:color w:val="auto"/>
        </w:rPr>
      </w:pPr>
    </w:p>
    <w:p>
      <w:pPr>
        <w:ind w:left="660" w:hanging="328"/>
        <w:spacing w:after="0" w:line="252"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Equity Owners</w:t>
      </w:r>
      <w:r>
        <w:rPr>
          <w:rFonts w:ascii="Arial" w:cs="Arial" w:eastAsia="Arial" w:hAnsi="Arial"/>
          <w:sz w:val="16"/>
          <w:szCs w:val="16"/>
          <w:color w:val="auto"/>
        </w:rPr>
        <w:t>” refer collectively to direct or indirect holders of LLC Interests and our Class B common stock immediately following consummation of the Transactions, including Centerbridge, Norwest,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listing rules of The Nasdaq Global Market (the “Nasdaq rules”)) who are disinterested), cash or newly-issued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299085</wp:posOffset>
            </wp:positionV>
            <wp:extent cx="8255"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299085</wp:posOffset>
            </wp:positionV>
            <wp:extent cx="8890"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ectPr>
          <w:pgSz w:w="11900" w:h="16838" w:orient="portrait"/>
          <w:cols w:equalWidth="0" w:num="3">
            <w:col w:w="4580" w:space="540"/>
            <w:col w:w="1040" w:space="360"/>
            <w:col w:w="4700"/>
          </w:cols>
          <w:pgMar w:left="320" w:top="1323" w:right="359" w:bottom="1440" w:gutter="0" w:footer="0" w:header="0"/>
          <w:type w:val="continuous"/>
        </w:sectPr>
      </w:pPr>
    </w:p>
    <w:bookmarkStart w:id="4" w:name="page5"/>
    <w:bookmarkEnd w:id="4"/>
    <w:p>
      <w:pPr>
        <w:ind w:left="660" w:right="80" w:hanging="328"/>
        <w:spacing w:after="0" w:line="28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Founders</w:t>
      </w:r>
      <w:r>
        <w:rPr>
          <w:rFonts w:ascii="Arial" w:cs="Arial" w:eastAsia="Arial" w:hAnsi="Arial"/>
          <w:sz w:val="16"/>
          <w:szCs w:val="16"/>
          <w:color w:val="auto"/>
        </w:rPr>
        <w:t>” refer to Brandon M. Cruz, our Co-Founder and Chief Strategy Officer and Special Advisor to the Executive Team, and Clinton P. Jones, our Co-Founder and Chief Executive Officer.</w:t>
      </w:r>
    </w:p>
    <w:p>
      <w:pPr>
        <w:spacing w:after="0" w:line="163" w:lineRule="exact"/>
        <w:rPr>
          <w:rFonts w:ascii="Arial" w:cs="Arial" w:eastAsia="Arial" w:hAnsi="Arial"/>
          <w:sz w:val="16"/>
          <w:szCs w:val="16"/>
          <w:color w:val="auto"/>
        </w:rPr>
      </w:pPr>
    </w:p>
    <w:p>
      <w:pPr>
        <w:ind w:left="660" w:right="20" w:hanging="328"/>
        <w:spacing w:after="0" w:line="253"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Former Profits Unit Holders</w:t>
      </w:r>
      <w:r>
        <w:rPr>
          <w:rFonts w:ascii="Arial" w:cs="Arial" w:eastAsia="Arial" w:hAnsi="Arial"/>
          <w:sz w:val="16"/>
          <w:szCs w:val="16"/>
          <w:color w:val="auto"/>
        </w:rPr>
        <w:t>” refers collectively to certain of our directors and certain current and former officers and employees, in each case, who directly or indirectly held existing vested and unvested profits units, which were comprised of profits units that have time-based vesting conditions and profits units that have performance-based vesting conditions, of GoHealth Holdings, LLC pursuant to GoHealth Holdings, LLC’s existing profits unit plan and who received LLC Interests in exchange for their profits units in connection with the Transactions. LLC Interests received in exchange for unvested profits units remain subject to their existing time-based vesting requirements. Profit units with performance-based vesting conditions fully vested as such conditions were met in connection with our IPO.</w:t>
      </w:r>
    </w:p>
    <w:p>
      <w:pPr>
        <w:spacing w:after="0" w:line="186" w:lineRule="exact"/>
        <w:rPr>
          <w:rFonts w:ascii="Arial" w:cs="Arial" w:eastAsia="Arial" w:hAnsi="Arial"/>
          <w:sz w:val="16"/>
          <w:szCs w:val="16"/>
          <w:color w:val="auto"/>
        </w:rPr>
      </w:pPr>
    </w:p>
    <w:p>
      <w:pPr>
        <w:ind w:left="660" w:right="580" w:hanging="328"/>
        <w:spacing w:after="0" w:line="28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GoHealth Holdings, LLC Agreement</w:t>
      </w:r>
      <w:r>
        <w:rPr>
          <w:rFonts w:ascii="Arial" w:cs="Arial" w:eastAsia="Arial" w:hAnsi="Arial"/>
          <w:sz w:val="16"/>
          <w:szCs w:val="16"/>
          <w:color w:val="auto"/>
        </w:rPr>
        <w:t>” refers to GoHealth Holdings, LLC’s amended and restated limited liability company agreement, which became effective substantially concurrently with or prior to the consummation of our IPO.</w:t>
      </w:r>
    </w:p>
    <w:p>
      <w:pPr>
        <w:spacing w:after="0" w:line="163"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LLC Interests</w:t>
      </w:r>
      <w:r>
        <w:rPr>
          <w:rFonts w:ascii="Arial" w:cs="Arial" w:eastAsia="Arial" w:hAnsi="Arial"/>
          <w:sz w:val="16"/>
          <w:szCs w:val="16"/>
          <w:color w:val="auto"/>
        </w:rPr>
        <w:t>” refer to the common units of GoHealth Holdings, LLC, including those that we purchased with a portion of the net proceeds from our IPO.</w:t>
      </w:r>
    </w:p>
    <w:p>
      <w:pPr>
        <w:spacing w:after="0" w:line="16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Norwest</w:t>
      </w:r>
      <w:r>
        <w:rPr>
          <w:rFonts w:ascii="Arial" w:cs="Arial" w:eastAsia="Arial" w:hAnsi="Arial"/>
          <w:sz w:val="16"/>
          <w:szCs w:val="16"/>
          <w:color w:val="auto"/>
        </w:rPr>
        <w:t>” refers to Norwest Equity Partners and certain funds affiliated with Norwest Equity Partners.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Norvax</w:t>
      </w:r>
      <w:r>
        <w:rPr>
          <w:rFonts w:ascii="Arial" w:cs="Arial" w:eastAsia="Arial" w:hAnsi="Arial"/>
          <w:sz w:val="16"/>
          <w:szCs w:val="16"/>
          <w:color w:val="auto"/>
        </w:rPr>
        <w:t>” or “</w:t>
      </w:r>
      <w:r>
        <w:rPr>
          <w:rFonts w:ascii="Arial" w:cs="Arial" w:eastAsia="Arial" w:hAnsi="Arial"/>
          <w:sz w:val="16"/>
          <w:szCs w:val="16"/>
          <w:i w:val="1"/>
          <w:iCs w:val="1"/>
          <w:color w:val="auto"/>
        </w:rPr>
        <w:t>Predecessor</w:t>
      </w:r>
      <w:r>
        <w:rPr>
          <w:rFonts w:ascii="Arial" w:cs="Arial" w:eastAsia="Arial" w:hAnsi="Arial"/>
          <w:sz w:val="16"/>
          <w:szCs w:val="16"/>
          <w:color w:val="auto"/>
        </w:rPr>
        <w:t>” refers to Norvax, LLC, a Delaware limited liability company and a subsidiary of GoHealth Holdings, LLC.</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NVX Holdings</w:t>
      </w:r>
      <w:r>
        <w:rPr>
          <w:rFonts w:ascii="Arial" w:cs="Arial" w:eastAsia="Arial" w:hAnsi="Arial"/>
          <w:sz w:val="16"/>
          <w:szCs w:val="16"/>
          <w:color w:val="auto"/>
        </w:rPr>
        <w:t>” refers to NVX Holdings, Inc., a Delaware corporation that is controlled by the Founders.</w:t>
      </w:r>
    </w:p>
    <w:p>
      <w:pPr>
        <w:spacing w:after="0" w:line="221"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Original Equity Owners</w:t>
      </w:r>
      <w:r>
        <w:rPr>
          <w:rFonts w:ascii="Arial" w:cs="Arial" w:eastAsia="Arial" w:hAnsi="Arial"/>
          <w:sz w:val="16"/>
          <w:szCs w:val="16"/>
          <w:color w:val="auto"/>
        </w:rPr>
        <w:t>” refer to the owners of LLC Interests in GoHealth Holdings, LLC prior to the consummation of the Transactions, collectively, which include Centerbridge, Norwest, our Founders and certain executive officers, employees and other minority investors.</w:t>
      </w:r>
    </w:p>
    <w:p>
      <w:pPr>
        <w:spacing w:after="0" w:line="16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Predecessor 2019 Period</w:t>
      </w:r>
      <w:r>
        <w:rPr>
          <w:rFonts w:ascii="Arial" w:cs="Arial" w:eastAsia="Arial" w:hAnsi="Arial"/>
          <w:sz w:val="16"/>
          <w:szCs w:val="16"/>
          <w:color w:val="auto"/>
        </w:rPr>
        <w:t>” refers to the period preceding the Centerbridge Acquisition from January 1, 2019 through September 12, 2019.</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Successor 2019 Period</w:t>
      </w:r>
      <w:r>
        <w:rPr>
          <w:rFonts w:ascii="Arial" w:cs="Arial" w:eastAsia="Arial" w:hAnsi="Arial"/>
          <w:sz w:val="16"/>
          <w:szCs w:val="16"/>
          <w:color w:val="auto"/>
        </w:rPr>
        <w:t>” refers to the period succeeding the Centerbridge Acquisition from September 13, 2019 through December 31, 2019.</w:t>
      </w:r>
    </w:p>
    <w:p>
      <w:pPr>
        <w:spacing w:after="0" w:line="221" w:lineRule="exact"/>
        <w:rPr>
          <w:rFonts w:ascii="Arial" w:cs="Arial" w:eastAsia="Arial" w:hAnsi="Arial"/>
          <w:sz w:val="16"/>
          <w:szCs w:val="16"/>
          <w:color w:val="auto"/>
        </w:rPr>
      </w:pPr>
    </w:p>
    <w:p>
      <w:pPr>
        <w:ind w:left="660" w:right="120" w:hanging="328"/>
        <w:spacing w:after="0" w:line="263"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Transactions</w:t>
      </w:r>
      <w:r>
        <w:rPr>
          <w:rFonts w:ascii="Arial" w:cs="Arial" w:eastAsia="Arial" w:hAnsi="Arial"/>
          <w:sz w:val="16"/>
          <w:szCs w:val="16"/>
          <w:color w:val="auto"/>
        </w:rPr>
        <w:t>” refer to our IPO and certain organizational transactions that were effected in connection with our IPO, and the application of the net proceeds therefrom. See Note 1, “Description of Business and Significant Accounting Policies,” to the Consolidated Financial Statements for a description of the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GoHealth, Inc. is a holding company and the sole managing member of GoHealth Holdings, LLC, and its principal asset consists of LLC Interests.</w:t>
      </w:r>
    </w:p>
    <w:p>
      <w:pPr>
        <w:spacing w:after="0" w:line="221"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All dollars and share amounts, except per share amounts, disclosed in this Annual Report on Form 10-K are stated in thousands unless otherwise noted.</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SUMMARY RISK FACTORS</w:t>
      </w:r>
    </w:p>
    <w:p>
      <w:pPr>
        <w:spacing w:after="0" w:line="24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business is subject to numerous risks and uncertainties, including those described in Part I, Item 1A. “Risk Factors” in this Annual Report on Form 10-K. You should carefully consider these risks and uncertainties when investing in our Class A common stock. The principal risks and uncertainties affecting our business include the following:</w:t>
      </w:r>
    </w:p>
    <w:p>
      <w:pPr>
        <w:spacing w:after="0" w:line="20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marketing and sale of Medicare plans are subject to numerous, complex and frequently changing laws, regulations and guidelines;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business may be harmed if we lose our relationships with carriers or if our relationships with carriers change;</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failure to grow our customer base or retain our existing customers;</w:t>
      </w:r>
    </w:p>
    <w:p>
      <w:pPr>
        <w:spacing w:after="0" w:line="221" w:lineRule="exact"/>
        <w:rPr>
          <w:rFonts w:ascii="Arial" w:cs="Arial" w:eastAsia="Arial" w:hAnsi="Arial"/>
          <w:sz w:val="16"/>
          <w:szCs w:val="16"/>
          <w:color w:val="auto"/>
        </w:rPr>
      </w:pPr>
    </w:p>
    <w:p>
      <w:pPr>
        <w:ind w:left="660" w:right="10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Carriers may reduce the commissions paid to us and change their underwriting practices in ways that reduce the number of, or impact the renewal or approval rates of, insurance policies sold through our platform;</w:t>
      </w:r>
    </w:p>
    <w:p>
      <w:pPr>
        <w:spacing w:after="0" w:line="195"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Significant consolidation in the health insurance industry could adversely alter our relationships with carriers;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Information technology system failures could interrupt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310515</wp:posOffset>
            </wp:positionV>
            <wp:extent cx="8255"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310515</wp:posOffset>
            </wp:positionV>
            <wp:extent cx="889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00"/>
          </w:cols>
          <w:pgMar w:left="320" w:top="1327" w:right="37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ectPr>
          <w:pgSz w:w="11900" w:h="16838" w:orient="portrait"/>
          <w:cols w:equalWidth="0" w:num="3">
            <w:col w:w="4580" w:space="540"/>
            <w:col w:w="1040" w:space="360"/>
            <w:col w:w="4680"/>
          </w:cols>
          <w:pgMar w:left="320" w:top="1327" w:right="379" w:bottom="1440" w:gutter="0" w:footer="0" w:header="0"/>
          <w:type w:val="continuous"/>
        </w:sectPr>
      </w:pPr>
    </w:p>
    <w:bookmarkStart w:id="5" w:name="page6"/>
    <w:bookmarkEnd w:id="5"/>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Factors that impact our estimate of LTV (as defined below);</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sell Medicare-related health insurance plans is largely dependent on our licensed health insurance agents;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and developments in the health insurance system and laws and regulations governing the health insurance markets;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effectively advertise our products on a cost-effective basis or market the availability of our products through specific channels; and</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Founders and Centerbridge have significant influence over us, including control over decisions that require the approval of stockholders.</w:t>
      </w:r>
    </w:p>
    <w:p>
      <w:pPr>
        <w:spacing w:after="0" w:line="201" w:lineRule="exact"/>
        <w:rPr>
          <w:rFonts w:ascii="Arial" w:cs="Arial" w:eastAsia="Arial" w:hAnsi="Arial"/>
          <w:sz w:val="16"/>
          <w:szCs w:val="16"/>
          <w:color w:val="auto"/>
        </w:rPr>
      </w:pPr>
    </w:p>
    <w:p>
      <w:pPr>
        <w:ind w:left="2340"/>
        <w:spacing w:after="0"/>
        <w:rPr>
          <w:rFonts w:ascii="Arial" w:cs="Arial" w:eastAsia="Arial" w:hAnsi="Arial"/>
          <w:sz w:val="16"/>
          <w:szCs w:val="16"/>
          <w:color w:val="auto"/>
        </w:rPr>
      </w:pPr>
      <w:r>
        <w:rPr>
          <w:rFonts w:ascii="Arial" w:cs="Arial" w:eastAsia="Arial" w:hAnsi="Arial"/>
          <w:sz w:val="16"/>
          <w:szCs w:val="16"/>
          <w:b w:val="1"/>
          <w:bCs w:val="1"/>
          <w:color w:val="auto"/>
        </w:rPr>
        <w:t>KEY TERMS AND PERFORMANCE INDICATORS; NON-GAAP FINANCIAL MEASURES</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Throughout this Annual Report on Form 10-K, we use a number of key terms and provide a number of key performance indicators used by management. We define these terms and key performance indicators as follows:</w:t>
      </w:r>
    </w:p>
    <w:p>
      <w:pPr>
        <w:spacing w:after="0" w:line="179"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Approved Submissions</w:t>
      </w:r>
      <w:r>
        <w:rPr>
          <w:rFonts w:ascii="Arial" w:cs="Arial" w:eastAsia="Arial" w:hAnsi="Arial"/>
          <w:sz w:val="16"/>
          <w:szCs w:val="16"/>
          <w:color w:val="auto"/>
        </w:rPr>
        <w:t>” refer to Submitted Policies approved by carriers for the identified product during the indicated period.</w:t>
      </w:r>
    </w:p>
    <w:p>
      <w:pPr>
        <w:spacing w:after="0" w:line="221" w:lineRule="exact"/>
        <w:rPr>
          <w:rFonts w:ascii="Arial" w:cs="Arial" w:eastAsia="Arial" w:hAnsi="Arial"/>
          <w:sz w:val="16"/>
          <w:szCs w:val="16"/>
          <w:color w:val="auto"/>
        </w:rPr>
      </w:pPr>
    </w:p>
    <w:p>
      <w:pPr>
        <w:ind w:left="660" w:right="180" w:hanging="328"/>
        <w:spacing w:after="0" w:line="263"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w:t>
      </w:r>
      <w:r>
        <w:rPr>
          <w:rFonts w:ascii="Arial" w:cs="Arial" w:eastAsia="Arial" w:hAnsi="Arial"/>
          <w:sz w:val="16"/>
          <w:szCs w:val="16"/>
          <w:color w:val="auto"/>
        </w:rPr>
        <w:t>” represents, as applicable for the period, EBITDA as further adjusted for share-based compensation expense, expense related to the accelerated vesting of certain equity awards, change in fair value of contingent consideration liability, Centerbridge Acquisition costs, severance costs and one time indirect costs in connection with our IPO.</w:t>
      </w:r>
    </w:p>
    <w:p>
      <w:pPr>
        <w:spacing w:after="0" w:line="178"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 margin</w:t>
      </w:r>
      <w:r>
        <w:rPr>
          <w:rFonts w:ascii="Arial" w:cs="Arial" w:eastAsia="Arial" w:hAnsi="Arial"/>
          <w:sz w:val="16"/>
          <w:szCs w:val="16"/>
          <w:color w:val="auto"/>
        </w:rPr>
        <w:t>” refers to Adjusted EBITDA divided by net revenues.</w:t>
      </w:r>
    </w:p>
    <w:p>
      <w:pPr>
        <w:spacing w:after="0" w:line="221" w:lineRule="exact"/>
        <w:rPr>
          <w:rFonts w:ascii="Arial" w:cs="Arial" w:eastAsia="Arial" w:hAnsi="Arial"/>
          <w:sz w:val="16"/>
          <w:szCs w:val="16"/>
          <w:color w:val="auto"/>
        </w:rPr>
      </w:pPr>
    </w:p>
    <w:p>
      <w:pPr>
        <w:ind w:left="660" w:right="60" w:hanging="328"/>
        <w:spacing w:after="0" w:line="263"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CAC</w:t>
      </w:r>
      <w:r>
        <w:rPr>
          <w:rFonts w:ascii="Arial" w:cs="Arial" w:eastAsia="Arial" w:hAnsi="Arial"/>
          <w:sz w:val="16"/>
          <w:szCs w:val="16"/>
          <w:color w:val="auto"/>
        </w:rPr>
        <w:t>” refers to the cost to convert a prospect into a customer less other non-commission carrier revenue for such period. CAC is comprised of cost of revenue, marketing and advertising expenses and customer care and enrollment expenses less other revenue and is presented on a per commissionable Approved Submission basis.</w:t>
      </w:r>
    </w:p>
    <w:p>
      <w:pPr>
        <w:spacing w:after="0" w:line="178"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Conversion Rate</w:t>
      </w:r>
      <w:r>
        <w:rPr>
          <w:rFonts w:ascii="Arial" w:cs="Arial" w:eastAsia="Arial" w:hAnsi="Arial"/>
          <w:sz w:val="16"/>
          <w:szCs w:val="16"/>
          <w:color w:val="auto"/>
        </w:rPr>
        <w:t>” refers to approved commissionable submissions over qualified prospects.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represents net income (loss) before interest expense, income tax expense (benefit) and depreciation and amortization expense.</w:t>
      </w:r>
    </w:p>
    <w:p>
      <w:pPr>
        <w:spacing w:after="0" w:line="221" w:lineRule="exact"/>
        <w:rPr>
          <w:rFonts w:ascii="Arial" w:cs="Arial" w:eastAsia="Arial" w:hAnsi="Arial"/>
          <w:sz w:val="16"/>
          <w:szCs w:val="16"/>
          <w:color w:val="auto"/>
        </w:rPr>
      </w:pPr>
    </w:p>
    <w:p>
      <w:pPr>
        <w:ind w:left="660" w:right="280" w:hanging="328"/>
        <w:spacing w:after="0" w:line="263"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LTV</w:t>
      </w:r>
      <w:r>
        <w:rPr>
          <w:rFonts w:ascii="Arial" w:cs="Arial" w:eastAsia="Arial" w:hAnsi="Arial"/>
          <w:sz w:val="16"/>
          <w:szCs w:val="16"/>
          <w:color w:val="auto"/>
        </w:rPr>
        <w:t>” refers to the Lifetime Value of Commissions per Approved Submission,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w:t>
      </w:r>
    </w:p>
    <w:p>
      <w:pPr>
        <w:spacing w:after="0" w:line="178" w:lineRule="exact"/>
        <w:rPr>
          <w:rFonts w:ascii="Arial" w:cs="Arial" w:eastAsia="Arial" w:hAnsi="Arial"/>
          <w:sz w:val="16"/>
          <w:szCs w:val="16"/>
          <w:color w:val="auto"/>
        </w:rPr>
      </w:pPr>
    </w:p>
    <w:p>
      <w:pPr>
        <w:ind w:left="660" w:right="420" w:hanging="328"/>
        <w:spacing w:after="0" w:line="258"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LTV Per Approved Submission</w:t>
      </w:r>
      <w:r>
        <w:rPr>
          <w:rFonts w:ascii="Arial" w:cs="Arial" w:eastAsia="Arial" w:hAnsi="Arial"/>
          <w:sz w:val="16"/>
          <w:szCs w:val="16"/>
          <w:color w:val="auto"/>
        </w:rPr>
        <w:t>” refers to the Lifetime Value of Commissions per Approved Submission,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divided by (ii) the number of commissionable Approved Submissions for such period.</w:t>
      </w:r>
    </w:p>
    <w:p>
      <w:pPr>
        <w:spacing w:after="0" w:line="180" w:lineRule="exact"/>
        <w:rPr>
          <w:rFonts w:ascii="Arial" w:cs="Arial" w:eastAsia="Arial" w:hAnsi="Arial"/>
          <w:sz w:val="16"/>
          <w:szCs w:val="16"/>
          <w:color w:val="auto"/>
        </w:rPr>
      </w:pPr>
    </w:p>
    <w:p>
      <w:pPr>
        <w:ind w:left="660" w:right="40" w:hanging="328"/>
        <w:spacing w:after="0" w:line="253"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LTV/CAC</w:t>
      </w:r>
      <w:r>
        <w:rPr>
          <w:rFonts w:ascii="Arial" w:cs="Arial" w:eastAsia="Arial" w:hAnsi="Arial"/>
          <w:sz w:val="16"/>
          <w:szCs w:val="16"/>
          <w:color w:val="auto"/>
        </w:rPr>
        <w:t>” refers to the Lifetime Value of Commissions per Consumer Acquisition Cost,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prospect into a customer less other non-commission carrier revenue for such period, or CAC. CAC is comprised of cost of revenue, marketing and advertising expenses and customer care and enrollment expenses less other revenue and is presented on a per commissionable Approved Submission basis.</w:t>
      </w:r>
    </w:p>
    <w:p>
      <w:pPr>
        <w:spacing w:after="0" w:line="186" w:lineRule="exact"/>
        <w:rPr>
          <w:rFonts w:ascii="Arial" w:cs="Arial" w:eastAsia="Arial" w:hAnsi="Arial"/>
          <w:sz w:val="16"/>
          <w:szCs w:val="16"/>
          <w:color w:val="auto"/>
        </w:rPr>
      </w:pPr>
    </w:p>
    <w:p>
      <w:pPr>
        <w:ind w:left="660" w:right="300" w:hanging="328"/>
        <w:spacing w:after="0" w:line="281"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Submitted Policies</w:t>
      </w:r>
      <w:r>
        <w:rPr>
          <w:rFonts w:ascii="Arial" w:cs="Arial" w:eastAsia="Arial" w:hAnsi="Arial"/>
          <w:sz w:val="16"/>
          <w:szCs w:val="16"/>
          <w:color w:val="auto"/>
        </w:rPr>
        <w:t>” refer to completed applications that, with respect to each such application, the consumer has authorized us to submit to the carrier.</w:t>
      </w:r>
    </w:p>
    <w:p>
      <w:pPr>
        <w:spacing w:after="0" w:line="179" w:lineRule="exact"/>
        <w:rPr>
          <w:sz w:val="20"/>
          <w:szCs w:val="20"/>
          <w:color w:val="auto"/>
        </w:rPr>
      </w:pPr>
    </w:p>
    <w:p>
      <w:pPr>
        <w:ind w:right="620"/>
        <w:spacing w:after="0" w:line="253" w:lineRule="auto"/>
        <w:rPr>
          <w:sz w:val="20"/>
          <w:szCs w:val="20"/>
          <w:color w:val="auto"/>
        </w:rPr>
      </w:pPr>
      <w:r>
        <w:rPr>
          <w:rFonts w:ascii="Arial" w:cs="Arial" w:eastAsia="Arial" w:hAnsi="Arial"/>
          <w:sz w:val="16"/>
          <w:szCs w:val="16"/>
          <w:color w:val="auto"/>
        </w:rPr>
        <w:t>We use supplemental measures of our performance that are derived from our consolidated financial information, but which are not presented in our Consolidated Financial Statements prepared in accordance with U.S. generally accepted accounting principles (“GAAP”). These non-GAAP financial measures include EBITDA; Adjusted EBITDA and Adjusted 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297815</wp:posOffset>
            </wp:positionV>
            <wp:extent cx="8255"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297815</wp:posOffset>
            </wp:positionV>
            <wp:extent cx="8890"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ectPr>
          <w:pgSz w:w="11900" w:h="16838" w:orient="portrait"/>
          <w:cols w:equalWidth="0" w:num="3">
            <w:col w:w="4580" w:space="540"/>
            <w:col w:w="1040" w:space="360"/>
            <w:col w:w="4720"/>
          </w:cols>
          <w:pgMar w:left="320" w:top="1343"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color w:val="auto"/>
        </w:rPr>
        <w:t>Adjusted EBITDA is the primary financial performance measure used by management to evaluate its business and monitor its results of operations.</w:t>
      </w:r>
    </w:p>
    <w:p>
      <w:pPr>
        <w:spacing w:after="0" w:line="221"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Annual Report on Form 10-K.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0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Annual Report on Form 10-K.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300355</wp:posOffset>
            </wp:positionV>
            <wp:extent cx="8255"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300355</wp:posOffset>
            </wp:positionV>
            <wp:extent cx="889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180"/>
          </w:cols>
          <w:pgMar w:left="320" w:top="1343" w:right="39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ectPr>
          <w:pgSz w:w="11900" w:h="16838" w:orient="portrait"/>
          <w:cols w:equalWidth="0" w:num="3">
            <w:col w:w="4580" w:space="540"/>
            <w:col w:w="1040" w:space="360"/>
            <w:col w:w="4660"/>
          </w:cols>
          <w:pgMar w:left="320" w:top="1343" w:right="39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t>Part I</w:t>
      </w:r>
    </w:p>
    <w:p>
      <w:pPr>
        <w:sectPr>
          <w:pgSz w:w="11900" w:h="16838" w:orient="portrait"/>
          <w:cols w:equalWidth="0" w:num="1">
            <w:col w:w="11240"/>
          </w:cols>
          <w:pgMar w:left="320" w:top="1368" w:right="339" w:bottom="144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1. BUSINESS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87"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We are a leading health insurance marketplace whose mission is to improve access to healthcare in America. Our proprietary technology platform leverages modern machine-learning algorithms powered by nearly two decades of insurance behavioral data optimize the process for helping individuals find the best health insurance plan for their specific needs. Our differentiated combination of a vertically-integrated consumer acquisition platform and highly trained agents has enabled us to enroll millions of people in Medicare and individual and family plans since our inception. With nearly 11,000 Americans turning 65 years old every day and GoHealth’s track record of significant growth in net revenues in the Medicare space over the last five years, we believe we will continue to be one of the top choices for unbiased insurance advice to help navigate one of the most important purchasing decisions individuals make.</w:t>
      </w:r>
    </w:p>
    <w:p>
      <w:pPr>
        <w:spacing w:after="0" w:line="20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Over the last two decades, we have consistently invested in our technology, data science and business processes to enroll people in health insurance plans while helping carriers scale their product and plan offerings. Our platform utilizes proprietary technology, machine-learning capabilities, data feedback, efficient business processes, and highly skilled and trained agents, to connect consumers with health insurance carriers (“carriers”), through multiple channels. Through our platform, we primarily offer Medicare Advantage policies, but also offer a wide array of health insurance policies, including, but not limited to, Medicare Supplement, prescription drug plans, and individual and family plans, and allow consumers to choose how to purchase these plans, either with the assistance of our agents or directly online.</w:t>
      </w:r>
    </w:p>
    <w:p>
      <w:pPr>
        <w:spacing w:after="0" w:line="20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For many consumers, choosing a health insurance plan is confusing and difficult, and seemingly small differences between health insurance plans can lead to significant out-of-pocket costs or lack of access to critical medicines, providers or facilities. We simplify the process by offering education, transparency and choice. This includes providing a large selection of health insurance plan choices, unbiased advice informed by consumers’ specific needs, transparency of health insurance plan benefits and fit, assistance accessing available government subsidies and a high-touch TeleCare team. The TeleCare team is focused on increasing consumer engagement with the GoHealth brand, selling new products and services to our consumers that address their healthcare needs, and helping consumers maximize their health insurance plan benefits to support long-term health and wellness. Carriers also benefit from our platform, especially those looking to access the large and fast-growing Medicare-eligible population. We believe carriers utilize our large-scale data and technology as well as our efficient marketing and conversion processes to reduce their CAC, compared to carrier-employed agent workforces.</w:t>
      </w:r>
    </w:p>
    <w:p>
      <w:pPr>
        <w:spacing w:after="0" w:line="207"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We also provide services to our consumers in our Medicare segments through our Encompass Platform. The Encompass Platform offerings include value-based care provider engagement, health risk assessments, social determinants of health screening, and preferred pharmacy programs. Our TeleCare team administers Encompass programs on behalf of our carrier partners and further supports consumer persistency by proactively engaging with and educating consumers about their benefits through Plan Fit Check calls.</w:t>
      </w:r>
    </w:p>
    <w:p>
      <w:pPr>
        <w:spacing w:after="0" w:line="202"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We have a track record of consistent revenue growth and entering new market segments of insurance products over the last two decades. We create significant value for both consumers and carriers, through our marketplace, which is evidenced by our high growth rate and strong customer engagement dynamics. Over the last four years, we have increasingly shifted our focus towards Medicare products and de-emphasized individual and family health insurance products. This shift in focus has enabled us to capitalize on:</w:t>
      </w:r>
    </w:p>
    <w:p>
      <w:pPr>
        <w:spacing w:after="0" w:line="202" w:lineRule="exact"/>
        <w:rPr>
          <w:sz w:val="20"/>
          <w:szCs w:val="20"/>
          <w:color w:val="auto"/>
        </w:rPr>
      </w:pPr>
    </w:p>
    <w:p>
      <w:pPr>
        <w:ind w:left="660" w:right="480" w:hanging="328"/>
        <w:spacing w:after="0" w:line="260"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Strong demographic trends, with Medicare enrollment expected to grow from approximately 62 million individuals in 2020 to approximately 80 million individuals by 2030;</w:t>
      </w:r>
    </w:p>
    <w:p>
      <w:pPr>
        <w:spacing w:after="0" w:line="195" w:lineRule="exact"/>
        <w:rPr>
          <w:rFonts w:ascii="Arial" w:cs="Arial" w:eastAsia="Arial" w:hAnsi="Arial"/>
          <w:sz w:val="16"/>
          <w:szCs w:val="16"/>
          <w:color w:val="auto"/>
        </w:rPr>
      </w:pPr>
    </w:p>
    <w:p>
      <w:pPr>
        <w:ind w:left="660" w:right="140" w:hanging="328"/>
        <w:spacing w:after="0" w:line="253"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increasing proportion of the Medicare-eligible population that is choosing commercial insurance solutions, with 39% of Medicare beneficiaries, or approximately 24 million people, enrolled in Medicare Advantage plans in 2020, an increase of approximately 2.1 million people from 2019 to 2020; and</w:t>
      </w:r>
    </w:p>
    <w:p>
      <w:pPr>
        <w:spacing w:after="0" w:line="201" w:lineRule="exact"/>
        <w:rPr>
          <w:rFonts w:ascii="Arial" w:cs="Arial" w:eastAsia="Arial" w:hAnsi="Arial"/>
          <w:sz w:val="16"/>
          <w:szCs w:val="16"/>
          <w:color w:val="auto"/>
        </w:rPr>
      </w:pPr>
    </w:p>
    <w:p>
      <w:pPr>
        <w:ind w:left="660" w:right="160" w:hanging="328"/>
        <w:spacing w:after="0" w:line="260"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Carriers historic reliance on an antiquated traditional field agent driven sales process lacking in transparency, choice and convenience and ripe for disruption by digitally-enabled and technology-driven marketplaces like our platform.</w:t>
      </w:r>
    </w:p>
    <w:p>
      <w:pPr>
        <w:spacing w:after="0" w:line="195"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color w:val="auto"/>
        </w:rPr>
        <w:t>Today, we estimate a total addressable market of nearly $30 billion for Medicare Advantage and Medicare Supplement products. We believe that these trends will drive a larger market in the coming years that, when taken together with our other product and plan offerings, will result in an even larger addressable market. We also believe that we are poised to benefit from market share gains in what has traditionally been a highly fragmented market.</w:t>
      </w:r>
    </w:p>
    <w:p>
      <w:pPr>
        <w:spacing w:after="0" w:line="20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With social distancing measures having been implemented to curtail the spread of COVID-19, we successfully transitioned our agents and other employees to a work from home working environment. We believe the investments we have made in our technology infrastructure have allowed for a seamless transition to a remote working environment without any material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297815</wp:posOffset>
            </wp:positionV>
            <wp:extent cx="8255"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297815</wp:posOffset>
            </wp:positionV>
            <wp:extent cx="889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ectPr>
          <w:pgSz w:w="11900" w:h="16838" w:orient="portrait"/>
          <w:cols w:equalWidth="0" w:num="3">
            <w:col w:w="4580" w:space="540"/>
            <w:col w:w="1040" w:space="360"/>
            <w:col w:w="4720"/>
          </w:cols>
          <w:pgMar w:left="320" w:top="1368" w:right="339" w:bottom="1440" w:gutter="0" w:footer="0" w:header="0"/>
          <w:type w:val="continuous"/>
        </w:sectPr>
      </w:pPr>
    </w:p>
    <w:bookmarkStart w:id="8" w:name="page9"/>
    <w:bookmarkEnd w:id="8"/>
    <w:p>
      <w:pPr>
        <w:spacing w:after="0" w:line="249" w:lineRule="auto"/>
        <w:rPr>
          <w:sz w:val="20"/>
          <w:szCs w:val="20"/>
          <w:color w:val="auto"/>
        </w:rPr>
      </w:pPr>
      <w:r>
        <w:rPr>
          <w:rFonts w:ascii="Arial" w:cs="Arial" w:eastAsia="Arial" w:hAnsi="Arial"/>
          <w:sz w:val="16"/>
          <w:szCs w:val="16"/>
          <w:color w:val="auto"/>
        </w:rPr>
        <w:t>to our business, highlighting its resilience. We believe that our business is well-suited to navigate the current environment in which consumers are particularly focused on healthcare issues and mortality. While social distancing requirements have pushed consumers to conduct business remotely, the underlying demand dynamics for our core products remain unchanged. Additionally, because of our remote agent platform, we believe agents will continue to be attracted to our bonus-based agent compensation model and the stable and attractive source of income it can provide, thereby allowing us to continue to recruit and retain agents. Further, as consumers become more comfortable with conducting business remotely, we believe consumer adoption of distribution models such as ours may continue to accelerate long after the COVID-19 pandemic ends.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Model</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Platform</w:t>
      </w:r>
    </w:p>
    <w:p>
      <w:pPr>
        <w:spacing w:after="0" w:line="183"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Our platform utilizes proprietary technology, machine-learning capabilities, data, efficient business processes, and highly skilled and trained agents to generate a stable, visible revenue stream that benefits from favorable demographic trends. The key components of our platform are:</w:t>
      </w:r>
    </w:p>
    <w:p>
      <w:pPr>
        <w:spacing w:after="0" w:line="175" w:lineRule="exact"/>
        <w:rPr>
          <w:sz w:val="20"/>
          <w:szCs w:val="20"/>
          <w:color w:val="auto"/>
        </w:rPr>
      </w:pPr>
    </w:p>
    <w:p>
      <w:pPr>
        <w:ind w:left="660" w:right="80" w:hanging="328"/>
        <w:spacing w:after="0" w:line="26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Data-Driven, Omnichannel Marketing: </w:t>
      </w:r>
      <w:r>
        <w:rPr>
          <w:rFonts w:ascii="Arial" w:cs="Arial" w:eastAsia="Arial" w:hAnsi="Arial"/>
          <w:sz w:val="16"/>
          <w:szCs w:val="16"/>
          <w:color w:val="auto"/>
        </w:rPr>
        <w:t>Based on predictive consumer lead targeting and a high cadence of multivariate testing on consumer lead</w:t>
      </w:r>
      <w:r>
        <w:rPr>
          <w:rFonts w:ascii="Arial" w:cs="Arial" w:eastAsia="Arial" w:hAnsi="Arial"/>
          <w:sz w:val="16"/>
          <w:szCs w:val="16"/>
          <w:b w:val="1"/>
          <w:bCs w:val="1"/>
          <w:color w:val="auto"/>
        </w:rPr>
        <w:t xml:space="preserve"> </w:t>
      </w:r>
      <w:r>
        <w:rPr>
          <w:rFonts w:ascii="Arial" w:cs="Arial" w:eastAsia="Arial" w:hAnsi="Arial"/>
          <w:sz w:val="16"/>
          <w:szCs w:val="16"/>
          <w:color w:val="auto"/>
        </w:rPr>
        <w:t>generation properties, our data-driven, omnichannel marketing drives increased impressions and qualified prospects with a target return on marketing spend.</w:t>
      </w:r>
    </w:p>
    <w:p>
      <w:pPr>
        <w:spacing w:after="0" w:line="171" w:lineRule="exact"/>
        <w:rPr>
          <w:rFonts w:ascii="Arial" w:cs="Arial" w:eastAsia="Arial" w:hAnsi="Arial"/>
          <w:sz w:val="16"/>
          <w:szCs w:val="16"/>
          <w:color w:val="auto"/>
        </w:rPr>
      </w:pPr>
    </w:p>
    <w:p>
      <w:pPr>
        <w:ind w:left="660" w:right="240" w:hanging="328"/>
        <w:spacing w:after="0" w:line="26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Proprietary LeadScore Technology: </w:t>
      </w:r>
      <w:r>
        <w:rPr>
          <w:rFonts w:ascii="Arial" w:cs="Arial" w:eastAsia="Arial" w:hAnsi="Arial"/>
          <w:sz w:val="16"/>
          <w:szCs w:val="16"/>
          <w:color w:val="auto"/>
        </w:rPr>
        <w:t>LeadScore, one of our proprietary machine-learning technologies, is built on large-scale, end-to-end sales</w:t>
      </w:r>
      <w:r>
        <w:rPr>
          <w:rFonts w:ascii="Arial" w:cs="Arial" w:eastAsia="Arial" w:hAnsi="Arial"/>
          <w:sz w:val="16"/>
          <w:szCs w:val="16"/>
          <w:b w:val="1"/>
          <w:bCs w:val="1"/>
          <w:color w:val="auto"/>
        </w:rPr>
        <w:t xml:space="preserve"> </w:t>
      </w:r>
      <w:r>
        <w:rPr>
          <w:rFonts w:ascii="Arial" w:cs="Arial" w:eastAsia="Arial" w:hAnsi="Arial"/>
          <w:sz w:val="16"/>
          <w:szCs w:val="16"/>
          <w:color w:val="auto"/>
        </w:rPr>
        <w:t>data, predicts the LTV and conversion probability of consumer leads, and is utilized to optimize routing of the consumer leads in real-time regardless of their source.</w:t>
      </w:r>
    </w:p>
    <w:p>
      <w:pPr>
        <w:spacing w:after="0" w:line="171" w:lineRule="exact"/>
        <w:rPr>
          <w:rFonts w:ascii="Arial" w:cs="Arial" w:eastAsia="Arial" w:hAnsi="Arial"/>
          <w:sz w:val="16"/>
          <w:szCs w:val="16"/>
          <w:color w:val="auto"/>
        </w:rPr>
      </w:pPr>
    </w:p>
    <w:p>
      <w:pPr>
        <w:jc w:val="both"/>
        <w:ind w:left="660" w:right="40" w:hanging="328"/>
        <w:spacing w:after="0" w:line="26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Sophisticated Matching Technology: </w:t>
      </w:r>
      <w:r>
        <w:rPr>
          <w:rFonts w:ascii="Arial" w:cs="Arial" w:eastAsia="Arial" w:hAnsi="Arial"/>
          <w:sz w:val="16"/>
          <w:szCs w:val="16"/>
          <w:color w:val="auto"/>
        </w:rPr>
        <w:t>Our proprietary qualified prospect distribution, routing, and priority queuing technology based on LeadScore</w:t>
      </w:r>
      <w:r>
        <w:rPr>
          <w:rFonts w:ascii="Arial" w:cs="Arial" w:eastAsia="Arial" w:hAnsi="Arial"/>
          <w:sz w:val="16"/>
          <w:szCs w:val="16"/>
          <w:b w:val="1"/>
          <w:bCs w:val="1"/>
          <w:color w:val="auto"/>
        </w:rPr>
        <w:t xml:space="preserve"> </w:t>
      </w:r>
      <w:r>
        <w:rPr>
          <w:rFonts w:ascii="Arial" w:cs="Arial" w:eastAsia="Arial" w:hAnsi="Arial"/>
          <w:sz w:val="16"/>
          <w:szCs w:val="16"/>
          <w:color w:val="auto"/>
        </w:rPr>
        <w:t>and agent performance data models help us to optimally match qualified prospects to those agents most likely to convert the qualified prospect to a customer.</w:t>
      </w:r>
    </w:p>
    <w:p>
      <w:pPr>
        <w:spacing w:after="0" w:line="171" w:lineRule="exact"/>
        <w:rPr>
          <w:rFonts w:ascii="Arial" w:cs="Arial" w:eastAsia="Arial" w:hAnsi="Arial"/>
          <w:sz w:val="16"/>
          <w:szCs w:val="16"/>
          <w:color w:val="auto"/>
        </w:rPr>
      </w:pPr>
    </w:p>
    <w:p>
      <w:pPr>
        <w:ind w:left="660" w:right="80" w:hanging="328"/>
        <w:spacing w:after="0" w:line="26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The Marketplace: </w:t>
      </w:r>
      <w:r>
        <w:rPr>
          <w:rFonts w:ascii="Arial" w:cs="Arial" w:eastAsia="Arial" w:hAnsi="Arial"/>
          <w:sz w:val="16"/>
          <w:szCs w:val="16"/>
          <w:color w:val="auto"/>
        </w:rPr>
        <w:t>Our proprietary Marketplace technology features decision support tools and seamlessly integrates with carrier enterprise</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empowering our highly skilled and trained agents to quickly and efficiently select the right health insurance plan for each consumer based on their specific needs and enroll them in those plans.</w:t>
      </w:r>
    </w:p>
    <w:p>
      <w:pPr>
        <w:spacing w:after="0" w:line="171" w:lineRule="exact"/>
        <w:rPr>
          <w:rFonts w:ascii="Arial" w:cs="Arial" w:eastAsia="Arial" w:hAnsi="Arial"/>
          <w:sz w:val="16"/>
          <w:szCs w:val="16"/>
          <w:color w:val="auto"/>
        </w:rPr>
      </w:pPr>
    </w:p>
    <w:p>
      <w:pPr>
        <w:ind w:left="660" w:right="40" w:hanging="328"/>
        <w:spacing w:after="0" w:line="26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TeleCare Team: </w:t>
      </w:r>
      <w:r>
        <w:rPr>
          <w:rFonts w:ascii="Arial" w:cs="Arial" w:eastAsia="Arial" w:hAnsi="Arial"/>
          <w:sz w:val="16"/>
          <w:szCs w:val="16"/>
          <w:color w:val="auto"/>
        </w:rPr>
        <w:t>Our high-touch TeleCare team is focused on increasing consumer engagement with the GoHealth brand, selling new products and</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to our consumers that help meet their healthcare needs, and helping consumers maximize their health insurance plan benefits to support long-term health and wellness.</w:t>
      </w:r>
    </w:p>
    <w:p>
      <w:pPr>
        <w:spacing w:after="0" w:line="171" w:lineRule="exact"/>
        <w:rPr>
          <w:rFonts w:ascii="Arial" w:cs="Arial" w:eastAsia="Arial" w:hAnsi="Arial"/>
          <w:sz w:val="16"/>
          <w:szCs w:val="16"/>
          <w:color w:val="auto"/>
        </w:rPr>
      </w:pPr>
    </w:p>
    <w:p>
      <w:pPr>
        <w:ind w:left="660" w:right="40" w:hanging="328"/>
        <w:spacing w:after="0" w:line="28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Scalable and Compliant Infrastructure: </w:t>
      </w:r>
      <w:r>
        <w:rPr>
          <w:rFonts w:ascii="Arial" w:cs="Arial" w:eastAsia="Arial" w:hAnsi="Arial"/>
          <w:sz w:val="16"/>
          <w:szCs w:val="16"/>
          <w:color w:val="auto"/>
        </w:rPr>
        <w:t>Our cloud infrastructure and compliance-by-design technology ensures scalability and compliance across</w:t>
      </w:r>
      <w:r>
        <w:rPr>
          <w:rFonts w:ascii="Arial" w:cs="Arial" w:eastAsia="Arial" w:hAnsi="Arial"/>
          <w:sz w:val="16"/>
          <w:szCs w:val="16"/>
          <w:b w:val="1"/>
          <w:bCs w:val="1"/>
          <w:color w:val="auto"/>
        </w:rPr>
        <w:t xml:space="preserve"> </w:t>
      </w:r>
      <w:r>
        <w:rPr>
          <w:rFonts w:ascii="Arial" w:cs="Arial" w:eastAsia="Arial" w:hAnsi="Arial"/>
          <w:sz w:val="16"/>
          <w:szCs w:val="16"/>
          <w:color w:val="auto"/>
        </w:rPr>
        <w:t>our platform, essential in a highly regulated industry and crucial from a carrier partner perspective.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Value Proposition: Scale Benefits and LTV/CAC Focus</w:t>
      </w:r>
    </w:p>
    <w:p>
      <w:pPr>
        <w:spacing w:after="0" w:line="237"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We believe that LTV/CAC provides the best metric on a per commissionable Approved Submission basis into the efficiency and performance of our integrated platform. We focus on strengthening the key drivers of LTV/CAC, including marketing costs, the consumer lead to customer conversion rate and customer satisfaction. While we offer both do-it-yourself and agent-assisted channels to accommodate consumers’ preferences, we believe that for most qualified Medicare prospects, an agent-assisted model maximizes LTV/CAC. As we continue to scale our platform, we improve our key drivers through specialization and optimization using our proprietary data and machine-learning.</w:t>
      </w:r>
    </w:p>
    <w:p>
      <w:pPr>
        <w:spacing w:after="0" w:line="20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believe the key components of our platform are difficult to replicate for field-based agents, carrier-employed agents, and other digital or telesales competitors, making us increasingly valuable to carriers and consumers. As we increase the number of Submitted Policies, our data on qualified prospect, agent, and carrier performance becomes richer, feeding into our machine-learning and data science-enabled feedback loops, making our marketing and technology even smarter. This differentiates us from other channels and competitors, allowing us to generate more consumer leads, convert those consumer leads to customers at a higher rate, serve our customers over a longer period of time, and reduce our CAC.</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We operate our business in four segments: (i) Medicare—Internal, (ii) Medicare—External, (iii) Individual and Family Plans, or IFP and Other—Internal and</w:t>
      </w:r>
    </w:p>
    <w:p>
      <w:pPr>
        <w:spacing w:after="0" w:line="5" w:lineRule="exact"/>
        <w:rPr>
          <w:sz w:val="20"/>
          <w:szCs w:val="20"/>
          <w:color w:val="auto"/>
        </w:rPr>
      </w:pPr>
    </w:p>
    <w:p>
      <w:pPr>
        <w:ind w:right="100" w:firstLine="8"/>
        <w:spacing w:after="0" w:line="253" w:lineRule="auto"/>
        <w:tabs>
          <w:tab w:leader="none" w:pos="27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IFP and Other—External. The Medicare segments focus on sales of Medicare Advantage, Medicare Supplement, Medicare prescription drug plans, and Medicare Special Needs Plans (“SNPs”) for multiple carriers. The Medicare and IFP and Other segments are organized by distribution channel, as further described below:</w:t>
      </w:r>
    </w:p>
    <w:p>
      <w:pPr>
        <w:spacing w:after="0" w:line="181" w:lineRule="exact"/>
        <w:rPr>
          <w:rFonts w:ascii="Arial" w:cs="Arial" w:eastAsia="Arial" w:hAnsi="Arial"/>
          <w:sz w:val="16"/>
          <w:szCs w:val="16"/>
          <w:color w:val="auto"/>
        </w:rPr>
      </w:pPr>
    </w:p>
    <w:p>
      <w:pPr>
        <w:ind w:left="660" w:right="260" w:hanging="328"/>
        <w:spacing w:after="0" w:line="286" w:lineRule="auto"/>
        <w:tabs>
          <w:tab w:leader="none" w:pos="649" w:val="left"/>
        </w:tabs>
        <w:numPr>
          <w:ilvl w:val="1"/>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Internal: </w:t>
      </w:r>
      <w:r>
        <w:rPr>
          <w:rFonts w:ascii="Arial" w:cs="Arial" w:eastAsia="Arial" w:hAnsi="Arial"/>
          <w:sz w:val="16"/>
          <w:szCs w:val="16"/>
          <w:color w:val="auto"/>
        </w:rPr>
        <w:t>The internal segments primarily consist of sales of products and plans by GoHealth-employed agents offering qualified prospects plans</w:t>
      </w:r>
      <w:r>
        <w:rPr>
          <w:rFonts w:ascii="Arial" w:cs="Arial" w:eastAsia="Arial" w:hAnsi="Arial"/>
          <w:sz w:val="16"/>
          <w:szCs w:val="16"/>
          <w:b w:val="1"/>
          <w:bCs w:val="1"/>
          <w:color w:val="auto"/>
        </w:rPr>
        <w:t xml:space="preserve"> </w:t>
      </w:r>
      <w:r>
        <w:rPr>
          <w:rFonts w:ascii="Arial" w:cs="Arial" w:eastAsia="Arial" w:hAnsi="Arial"/>
          <w:sz w:val="16"/>
          <w:szCs w:val="16"/>
          <w:color w:val="auto"/>
        </w:rPr>
        <w:t>from multiple carriers, GoHealth-employed agents offering qualified prospects plans 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281940</wp:posOffset>
            </wp:positionV>
            <wp:extent cx="8255"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281940</wp:posOffset>
            </wp:positionV>
            <wp:extent cx="8890"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ectPr>
          <w:pgSz w:w="11900" w:h="16838" w:orient="portrait"/>
          <w:cols w:equalWidth="0" w:num="3">
            <w:col w:w="4580" w:space="540"/>
            <w:col w:w="1040" w:space="360"/>
            <w:col w:w="4720"/>
          </w:cols>
          <w:pgMar w:left="320" w:top="1343" w:right="339" w:bottom="1440" w:gutter="0" w:footer="0" w:header="0"/>
          <w:type w:val="continuous"/>
        </w:sectPr>
      </w:pPr>
    </w:p>
    <w:bookmarkStart w:id="9" w:name="page10"/>
    <w:bookmarkEnd w:id="9"/>
    <w:p>
      <w:pPr>
        <w:ind w:left="660"/>
        <w:spacing w:after="0"/>
        <w:rPr>
          <w:sz w:val="20"/>
          <w:szCs w:val="20"/>
          <w:color w:val="auto"/>
        </w:rPr>
      </w:pPr>
      <w:r>
        <w:rPr>
          <w:rFonts w:ascii="Arial" w:cs="Arial" w:eastAsia="Arial" w:hAnsi="Arial"/>
          <w:sz w:val="16"/>
          <w:szCs w:val="16"/>
          <w:color w:val="auto"/>
        </w:rPr>
        <w:t>carrier-specific basis, or sales of products and plans through our online platform without the assistance of our agents, which we refer to as DIY.</w:t>
      </w:r>
    </w:p>
    <w:p>
      <w:pPr>
        <w:spacing w:after="0" w:line="201" w:lineRule="exact"/>
        <w:rPr>
          <w:sz w:val="20"/>
          <w:szCs w:val="20"/>
          <w:color w:val="auto"/>
        </w:rPr>
      </w:pPr>
    </w:p>
    <w:p>
      <w:pPr>
        <w:ind w:left="660" w:right="80" w:hanging="328"/>
        <w:spacing w:after="0" w:line="26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External: </w:t>
      </w:r>
      <w:r>
        <w:rPr>
          <w:rFonts w:ascii="Arial" w:cs="Arial" w:eastAsia="Arial" w:hAnsi="Arial"/>
          <w:sz w:val="16"/>
          <w:szCs w:val="16"/>
          <w:color w:val="auto"/>
        </w:rPr>
        <w:t>The external segments represent sales of products and plans under GoHealth’s carrier contracts using an independent, national network</w:t>
      </w:r>
      <w:r>
        <w:rPr>
          <w:rFonts w:ascii="Arial" w:cs="Arial" w:eastAsia="Arial" w:hAnsi="Arial"/>
          <w:sz w:val="16"/>
          <w:szCs w:val="16"/>
          <w:b w:val="1"/>
          <w:bCs w:val="1"/>
          <w:color w:val="auto"/>
        </w:rPr>
        <w:t xml:space="preserve"> </w:t>
      </w:r>
      <w:r>
        <w:rPr>
          <w:rFonts w:ascii="Arial" w:cs="Arial" w:eastAsia="Arial" w:hAnsi="Arial"/>
          <w:sz w:val="16"/>
          <w:szCs w:val="16"/>
          <w:color w:val="auto"/>
        </w:rPr>
        <w:t>of agents, or external agencies, which are not employed by GoHealth. These agents utilize our technology and platform to enroll consumers in health insurance plans and provide a means to earn a return on consumer leads that otherwise may have not been addressed.</w:t>
      </w:r>
    </w:p>
    <w:p>
      <w:pPr>
        <w:spacing w:after="0" w:line="19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Medicare—Internal segment is the largest segment by revenue and a primary contributor to our growth and margin expansion. Over the last two years, we grew the Medicare—Internal segment multi-carrier channel agent count and prioritized the placement of qualified prospects into the Medicare—Internal segment. Going forward, we intend to continue our focus on growth and placing qualified prospects within this segment. The Medicare—Internal segment also provides significant benefits to the broader business. For example, carriers that partner with us through one or more of our internal segment businesses will often supplement our marketing and technology investments. Additionally, the external segments can be used when the number of consumer leads in our marketplace is higher than we can address in a timely fashion using our internal channel.</w:t>
      </w:r>
    </w:p>
    <w:p>
      <w:pPr>
        <w:spacing w:after="0" w:line="20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IFP and Other segments focus on sales of individual and family plans (which include fixed indemnity and major medical plans), dental plans, vision plans and other ancillary plans to individuals that are not Medicare-eligible. The IFP and Other segments represent a valuable source of diversification of products, carriers, consumers and revenue that are not tied solely to Medicare. Many of the products in the IFP and Other segments have a policy life under a single year.</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Market and Trends Impacting the Industry</w:t>
      </w:r>
    </w:p>
    <w:p>
      <w:pPr>
        <w:spacing w:after="0" w:line="187" w:lineRule="exact"/>
        <w:rPr>
          <w:sz w:val="20"/>
          <w:szCs w:val="20"/>
          <w:color w:val="auto"/>
        </w:rPr>
      </w:pPr>
    </w:p>
    <w:p>
      <w:pPr>
        <w:jc w:val="both"/>
        <w:ind w:right="180"/>
        <w:spacing w:after="0" w:line="260" w:lineRule="auto"/>
        <w:rPr>
          <w:sz w:val="20"/>
          <w:szCs w:val="20"/>
          <w:color w:val="auto"/>
        </w:rPr>
      </w:pPr>
      <w:r>
        <w:rPr>
          <w:rFonts w:ascii="Arial" w:cs="Arial" w:eastAsia="Arial" w:hAnsi="Arial"/>
          <w:sz w:val="16"/>
          <w:szCs w:val="16"/>
          <w:color w:val="auto"/>
        </w:rPr>
        <w:t>Demographic, consumer preference and regulatory factors are driving growth in the individual health insurance market. We service this market through the Medicare segments and the IFP and Other segments.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Medicare</w:t>
      </w:r>
    </w:p>
    <w:p>
      <w:pPr>
        <w:spacing w:after="0" w:line="183"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Medicare enrollment is expected to grow significantly over the next 10 years as nearly 11,000 individuals turn 65 each day and become Medicare-eligible. The proportion of the population that is age 65 and older increased from 13% in 2010 to 16% in 2019 and is expected to reach 21% by 2030, according to the United States Census Bureau. As a result, Medicare enrollment is expected to grow from approximately 62 million individuals in 2020 to approximately 80 million individuals by 2030. This growth in Medicare enrollment will increase the numbers of qualified prospects for our marketing efforts. Internet usage by individuals age 65 and older is also increasing, with 73% using the Internet in 2019 compared to 40% in 2009 according to the Pew Research Center. Seniors are also transacting more online, with 55% of people age 65 and older making online purchases monthly.</w:t>
      </w:r>
    </w:p>
    <w:p>
      <w:pPr>
        <w:spacing w:after="0" w:line="151"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In addition to the growth in Medicare-eligible beneficiaries and higher online usage, the interest in Medicare-eligible individuals in private Medicare plans is expected to continue to increase. In 2020, 39% of all Medicare beneficiaries were enrolled in Medicare Advantage plans and between 2019 and 2020, total Medicare Advantage enrollment grew by about 2.1 million individuals or 9%. According to estimates, Medicare Advantage penetration is likely to reach 50% penetration for all Medicare-eligible individuals by 2025 and could reach as high as 60% to 70% between 2030 and 2040. Compared to original Medicare, Medicare Advantage has lower annual healthcare costs and access to greater benefits. In addition, we expect the increase in Medicare Advantage penetration to accelerate due to the COVID-19 pandemic because of increasing consumer preference for online and telephonic insurance enrollment as opposed to face-to-face consultations. We believe the increased penetration of Medicare Advantage, as well as the growth of the number of Medicare-eligible individuals, will lead to increased submissions for marketplaces, such as ours in the future. Consumers choose Medicare Advantage plans around a specific criteria set which includes premium, total expected costs out of pocket, provider network composition, formulary coverage and supplemental benefits, which we believe are more efficiently addressed through a non-field-based distribution channel.</w:t>
      </w:r>
    </w:p>
    <w:p>
      <w:pPr>
        <w:spacing w:after="0" w:line="15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growth in Medicare-eligible seniors and growing interest in private Medicare plans has led to an increase in plan choices. In addition to the increase in plan choices, the differences between health insurance plans has increased significantly. For 2019, the Centers for Medicare and Medicaid Services (“CMS”) eliminated the meaningful difference requirement to improve competition, innovation and available benefit offerings and provide beneficiaries with affordable health insurance plans that are tailored to a consumer’s specific healthcare needs and financial situation. The types of supplemental benefits that health insurance plans cover increased in 2018, 2019 and 2020 and now cover transportation assistance, meal benefits, in-home support, telemonitoring, and caregivers support, among others. This growth in plan choices made education and assistance with plan selection more important for consumers and allows carriers to target specific Medicare Advantage plans with packages of benefits designed to be attractive to different segments of Medicare consumers. Marketplaces such as ours help educate consumers, and assist them in making informed plan choices. In addition, we specifically micro-target our marketing to precise populations to allow carriers to grow increasingly differentiated health insurance plans. This precise marketing is more difficult for traditional radio or television-based marketing channels.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Individual and Family Plans</w:t>
      </w:r>
    </w:p>
    <w:p>
      <w:pPr>
        <w:spacing w:after="0" w:line="183"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After the passage of the Affordable Care Act (“ACA”), the individual health insurance market grew from 10.6 million enrollees in 2013 to 17.4 million enrollees in 2015. Such increase was driven by (1) the requirement to purchase health insurance,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294005</wp:posOffset>
            </wp:positionV>
            <wp:extent cx="8255"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294005</wp:posOffset>
            </wp:positionV>
            <wp:extent cx="8890"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ectPr>
          <w:pgSz w:w="11900" w:h="16838" w:orient="portrait"/>
          <w:cols w:equalWidth="0" w:num="3">
            <w:col w:w="4580" w:space="540"/>
            <w:col w:w="1040" w:space="360"/>
            <w:col w:w="4720"/>
          </w:cols>
          <w:pgMar w:left="320" w:top="1343" w:right="339" w:bottom="1440" w:gutter="0" w:footer="0" w:header="0"/>
          <w:type w:val="continuous"/>
        </w:sectPr>
      </w:pPr>
    </w:p>
    <w:bookmarkStart w:id="10" w:name="page11"/>
    <w:bookmarkEnd w:id="10"/>
    <w:p>
      <w:pPr>
        <w:spacing w:after="0" w:line="251" w:lineRule="auto"/>
        <w:rPr>
          <w:sz w:val="20"/>
          <w:szCs w:val="20"/>
          <w:color w:val="auto"/>
        </w:rPr>
      </w:pPr>
      <w:r>
        <w:rPr>
          <w:rFonts w:ascii="Arial" w:cs="Arial" w:eastAsia="Arial" w:hAnsi="Arial"/>
          <w:sz w:val="16"/>
          <w:szCs w:val="16"/>
          <w:color w:val="auto"/>
        </w:rPr>
        <w:t>individual mandate, (2) the requirement that carriers not consider pre-existing medical conditions in coverage decisions and (3) premium subsidies for middle and lower income individuals that were also contained in that legislation. With the repeal of the individual mandate in 2017 and broader economic trends, such as gains in employment, which increased the number of people having job-based coverage, the individual market has declined. The relative importance of the IFP and Other segments continues to diminish as we allocate resources to the fast growing Medicare segments.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Carrier Relationships</w:t>
      </w:r>
    </w:p>
    <w:p>
      <w:pPr>
        <w:spacing w:after="0" w:line="18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maintain longstanding, deeply integrated relationships with leading carriers in the United States, who have some of the industry’s most widely recognizable brands. For the twelve months ended December 31, 2019 and 2018, the primary carriers that we served in the Medicare segments were carriers owned by Humana and Anthem, and we have made significant investments in our carrier network in 2020, including United, Cigna and Aetna, among others. These high-quality relationships have resulted in strong carrier retention rates; since our inception, we have never had a carrier terminate for performance. We typically enter into contractual agency relationships with carriers that are non-exclusive and terminable on short notice by either party for any reason. Carriers often have the ability to terminate or amend our agreements unilaterally on short notice, including provisions in our agreements relating to our commission rates.</w:t>
      </w:r>
    </w:p>
    <w:p>
      <w:pPr>
        <w:spacing w:after="0" w:line="15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believe carriers see our method of acquiring consumers as scalable and efficient and, ultimately, as cost-advantageous compared to their own models, and provide us, in some cases, with marketing development. The carriers are responsible for paying our commissions and, for these purposes, act as our customers. We do not currently generate revenues directly from the consumers to whom we sell insurance policies on behalf of carriers.</w:t>
      </w:r>
    </w:p>
    <w:p>
      <w:pPr>
        <w:spacing w:after="0" w:line="14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 core element of our value proposition to carriers relates to our ability to reliably place policies in compliance with applicable regulations and carrier-specific requirements. As such, we work closely with carriers to develop approved scripts and to undertake regular audits of our compliance with carrier requirements. In addition, our agents operate under compensation structures established to fully align their incentives with our compliance objectives.</w:t>
      </w:r>
    </w:p>
    <w:p>
      <w:pPr>
        <w:spacing w:after="0" w:line="93"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Carriers owned by Humana, Anthem and United accounted for (i) approximately 40%, 29% and 13%, respectively, of net revenues for the twelve months ended December 31, 2020, approximately 46%, 22% and 4%, respectively, of net revenues for the Successor 2019 Period, approximately 31%, 18% and 10%, respectively, of net revenues for the Predecessor 2019 Period and 25%, 8% and 8%, respectively, of net revenues for the twelve months ended December 31, 2018.</w:t>
      </w:r>
    </w:p>
    <w:p>
      <w:pPr>
        <w:spacing w:after="0" w:line="94"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We continue to focus on building out our carrier footprint in order to provide our consumers with a greater choice of health insurance plans. This expanded carrier footprint positions the Company well to help maximize the likelihood of finding the right policy for consumers, driving better conversion of incoming calls and higher persistency in plans.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Technology</w:t>
      </w:r>
    </w:p>
    <w:p>
      <w:pPr>
        <w:spacing w:after="0" w:line="18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have a technology culture that incentivizes the relentless improvement of every measurable point of the consumer experience. We harness our data, in unison with a deep investment in data expertise, to power key decision engines that scrutinize every step of the consumer journey and identify areas where technology and process-improvement investment will most impact our unit economics, including driving improvements in LTV/CAC. We operate dozens of proprietary technology systems, which support a data-driven consumer acquisition, service, and retention lifecycle within the health insurance market.</w:t>
      </w:r>
    </w:p>
    <w:p>
      <w:pPr>
        <w:spacing w:after="0" w:line="182" w:lineRule="exact"/>
        <w:rPr>
          <w:sz w:val="20"/>
          <w:szCs w:val="20"/>
          <w:color w:val="auto"/>
        </w:rPr>
      </w:pPr>
    </w:p>
    <w:p>
      <w:pPr>
        <w:ind w:left="660" w:right="140" w:hanging="328"/>
        <w:spacing w:after="0" w:line="253"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Consumer Lead Acquisition: </w:t>
      </w:r>
      <w:r>
        <w:rPr>
          <w:rFonts w:ascii="Arial" w:cs="Arial" w:eastAsia="Arial" w:hAnsi="Arial"/>
          <w:sz w:val="16"/>
          <w:szCs w:val="16"/>
          <w:color w:val="auto"/>
        </w:rPr>
        <w:t>We acquire consumer leads through many channels, including paid Internet searches, television advertising, direct</w:t>
      </w:r>
      <w:r>
        <w:rPr>
          <w:rFonts w:ascii="Arial" w:cs="Arial" w:eastAsia="Arial" w:hAnsi="Arial"/>
          <w:sz w:val="16"/>
          <w:szCs w:val="16"/>
          <w:b w:val="1"/>
          <w:bCs w:val="1"/>
          <w:color w:val="auto"/>
        </w:rPr>
        <w:t xml:space="preserve"> </w:t>
      </w:r>
      <w:r>
        <w:rPr>
          <w:rFonts w:ascii="Arial" w:cs="Arial" w:eastAsia="Arial" w:hAnsi="Arial"/>
          <w:sz w:val="16"/>
          <w:szCs w:val="16"/>
          <w:color w:val="auto"/>
        </w:rPr>
        <w:t>mail, affiliate sources, organic traffic from GoHealth.com and other channels. We use our streaming data systems to monitor CAC, the attributes and volume of consumer leads, the efficiency of the sales process, and historical performance benchmarks on a real-time basis. These systems allow our marketing team and automated marketing systems to make informed consumer lead acquisition decisions, resulting in lower CAC. Further, we have engineered our online lead generation forms that capture consumer leads to conduct high-volume testing of our consumer lead systems. Finally, our Consent Manager system ensures the capture of verifiable consent to call or text each consumer lead in compliance with the Telephone Consumer Protection Act (“TCPA”).</w:t>
      </w:r>
    </w:p>
    <w:p>
      <w:pPr>
        <w:spacing w:after="0" w:line="181" w:lineRule="exact"/>
        <w:rPr>
          <w:rFonts w:ascii="Arial" w:cs="Arial" w:eastAsia="Arial" w:hAnsi="Arial"/>
          <w:sz w:val="16"/>
          <w:szCs w:val="16"/>
          <w:color w:val="auto"/>
        </w:rPr>
      </w:pPr>
    </w:p>
    <w:p>
      <w:pPr>
        <w:ind w:left="660" w:right="60" w:hanging="328"/>
        <w:spacing w:after="0" w:line="25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Lead Scoring: </w:t>
      </w:r>
      <w:r>
        <w:rPr>
          <w:rFonts w:ascii="Arial" w:cs="Arial" w:eastAsia="Arial" w:hAnsi="Arial"/>
          <w:sz w:val="16"/>
          <w:szCs w:val="16"/>
          <w:color w:val="auto"/>
        </w:rPr>
        <w:t>When consumers engage with us through the telephone or our website, our data systems capture attributes about the consumer,</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specific advertisement and channel that precipitated the consumer’s engagement. Our proprietary LeadScore technology applies a machine-learning model to years of historical consumer lead data we have gathered and their measured long-term outcomes to predict the expected LTV of all incoming consumer leads from the moment they connect with us. We use LeadScore to make several decisions throughout the sales process about how to optimize the routing of the consumer lead and what agents or agencies are best suited to serve each consumer.</w:t>
      </w:r>
    </w:p>
    <w:p>
      <w:pPr>
        <w:spacing w:after="0" w:line="179" w:lineRule="exact"/>
        <w:rPr>
          <w:rFonts w:ascii="Arial" w:cs="Arial" w:eastAsia="Arial" w:hAnsi="Arial"/>
          <w:sz w:val="16"/>
          <w:szCs w:val="16"/>
          <w:color w:val="auto"/>
        </w:rPr>
      </w:pPr>
    </w:p>
    <w:p>
      <w:pPr>
        <w:ind w:left="660" w:hanging="328"/>
        <w:spacing w:after="0" w:line="26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Contact Queuing: </w:t>
      </w:r>
      <w:r>
        <w:rPr>
          <w:rFonts w:ascii="Arial" w:cs="Arial" w:eastAsia="Arial" w:hAnsi="Arial"/>
          <w:sz w:val="16"/>
          <w:szCs w:val="16"/>
          <w:color w:val="auto"/>
        </w:rPr>
        <w:t>We utilize our SPLICE system, a proprietary contact queue prioritized by LTV and throttled by an integrated monitor of agent</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to optimize outreach to our most valuable online consumer leads at a point in time when they can be connected to our agents with minimal wait time.</w:t>
      </w:r>
    </w:p>
    <w:p>
      <w:pPr>
        <w:spacing w:after="0" w:line="171" w:lineRule="exact"/>
        <w:rPr>
          <w:rFonts w:ascii="Arial" w:cs="Arial" w:eastAsia="Arial" w:hAnsi="Arial"/>
          <w:sz w:val="16"/>
          <w:szCs w:val="16"/>
          <w:color w:val="auto"/>
        </w:rPr>
      </w:pPr>
    </w:p>
    <w:p>
      <w:pPr>
        <w:ind w:left="660" w:right="140" w:hanging="328"/>
        <w:spacing w:after="0" w:line="28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Outbound Contact and Qualification: </w:t>
      </w:r>
      <w:r>
        <w:rPr>
          <w:rFonts w:ascii="Arial" w:cs="Arial" w:eastAsia="Arial" w:hAnsi="Arial"/>
          <w:sz w:val="16"/>
          <w:szCs w:val="16"/>
          <w:color w:val="auto"/>
        </w:rPr>
        <w:t>Following SPLICE’s automated decision for consumer outreach, our automatic telephony system contacts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consumer and immediately places them on the phone with an agent, who gathers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281940</wp:posOffset>
            </wp:positionV>
            <wp:extent cx="8255"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281940</wp:posOffset>
            </wp:positionV>
            <wp:extent cx="889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289" w:right="35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ectPr>
          <w:pgSz w:w="11900" w:h="16838" w:orient="portrait"/>
          <w:cols w:equalWidth="0" w:num="3">
            <w:col w:w="4580" w:space="540"/>
            <w:col w:w="1040" w:space="360"/>
            <w:col w:w="4700"/>
          </w:cols>
          <w:pgMar w:left="320" w:top="1289" w:right="359" w:bottom="1440" w:gutter="0" w:footer="0" w:header="0"/>
          <w:type w:val="continuous"/>
        </w:sectPr>
      </w:pPr>
    </w:p>
    <w:bookmarkStart w:id="11" w:name="page12"/>
    <w:bookmarkEnd w:id="11"/>
    <w:p>
      <w:pPr>
        <w:ind w:left="328"/>
        <w:spacing w:after="0" w:line="253" w:lineRule="auto"/>
        <w:rPr>
          <w:sz w:val="20"/>
          <w:szCs w:val="20"/>
          <w:color w:val="auto"/>
        </w:rPr>
      </w:pPr>
      <w:r>
        <w:rPr>
          <w:rFonts w:ascii="Arial" w:cs="Arial" w:eastAsia="Arial" w:hAnsi="Arial"/>
          <w:sz w:val="16"/>
          <w:szCs w:val="16"/>
          <w:color w:val="auto"/>
        </w:rPr>
        <w:t>information to personalize the consumer’s sales experience, who we refer to as an Advocate. We also use the data gathered by our Advocates to improve the sales process by testing the questions our Advocates ask and building data models of how consumers’ answers affect agent-consumer fit, consumer-product fit, CAC, LTV, and long-term customer satisfaction.</w:t>
      </w:r>
    </w:p>
    <w:p>
      <w:pPr>
        <w:spacing w:after="0" w:line="181" w:lineRule="exact"/>
        <w:rPr>
          <w:sz w:val="20"/>
          <w:szCs w:val="20"/>
          <w:color w:val="auto"/>
        </w:rPr>
      </w:pPr>
    </w:p>
    <w:p>
      <w:pPr>
        <w:ind w:left="328" w:right="20" w:hanging="328"/>
        <w:spacing w:after="0" w:line="254" w:lineRule="auto"/>
        <w:tabs>
          <w:tab w:leader="none" w:pos="317"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Lead Distribution: </w:t>
      </w:r>
      <w:r>
        <w:rPr>
          <w:rFonts w:ascii="Arial" w:cs="Arial" w:eastAsia="Arial" w:hAnsi="Arial"/>
          <w:sz w:val="16"/>
          <w:szCs w:val="16"/>
          <w:color w:val="auto"/>
        </w:rPr>
        <w:t>At the conclusion of the information-gathering process, and while the consumer is still on the phone, we use our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lead auction system to make a health insurance market for the lead. External agencies participate in the auction along with our internal agency and programs, and present a pricing bid based on the consumer lead’s profile. We compete in the auction, winning the lead in the vast majority of cases, as our unit economics make typical consumer leads far more profitable for us to service than to distribute to external agencies. Our Assisted Live Transfer technology connects the call to the winner, via either warm (attended) transfer or cold (blind) transfer, dynamically chosen based on the availability of Advocates.</w:t>
      </w:r>
    </w:p>
    <w:p>
      <w:pPr>
        <w:spacing w:after="0" w:line="181" w:lineRule="exact"/>
        <w:rPr>
          <w:rFonts w:ascii="Arial" w:cs="Arial" w:eastAsia="Arial" w:hAnsi="Arial"/>
          <w:sz w:val="16"/>
          <w:szCs w:val="16"/>
          <w:color w:val="auto"/>
        </w:rPr>
      </w:pPr>
    </w:p>
    <w:p>
      <w:pPr>
        <w:ind w:left="328" w:hanging="328"/>
        <w:spacing w:after="0" w:line="254" w:lineRule="auto"/>
        <w:tabs>
          <w:tab w:leader="none" w:pos="317"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Optimized Call Routing: </w:t>
      </w:r>
      <w:r>
        <w:rPr>
          <w:rFonts w:ascii="Arial" w:cs="Arial" w:eastAsia="Arial" w:hAnsi="Arial"/>
          <w:sz w:val="16"/>
          <w:szCs w:val="16"/>
          <w:color w:val="auto"/>
        </w:rPr>
        <w:t>If the consumer lead is distributed from an Advocate further into our internal sales process, our CallRouter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partitions the consumer leads into clusters based on lead and agent attributes. Each cluster is serviced by insurance agents with specialized licensing, training, experience, and performance characteristics tailored to that cluster. An agent can be assigned to one or more clusters, and each agent has a rank within each cluster to express the agent’s relative proficiency for servicing consumer leads in the cluster. Agent, consumer lead, and cluster performance data are continuously gathered and regularly analyzed by machine-learning experts and sales managers alike to ensure optimal call-routing.</w:t>
      </w:r>
    </w:p>
    <w:p>
      <w:pPr>
        <w:spacing w:after="0" w:line="181" w:lineRule="exact"/>
        <w:rPr>
          <w:rFonts w:ascii="Arial" w:cs="Arial" w:eastAsia="Arial" w:hAnsi="Arial"/>
          <w:sz w:val="16"/>
          <w:szCs w:val="16"/>
          <w:color w:val="auto"/>
        </w:rPr>
      </w:pPr>
    </w:p>
    <w:p>
      <w:pPr>
        <w:ind w:left="328" w:right="120" w:hanging="328"/>
        <w:spacing w:after="0" w:line="286" w:lineRule="auto"/>
        <w:tabs>
          <w:tab w:leader="none" w:pos="317"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Consumer Lead Management: </w:t>
      </w:r>
      <w:r>
        <w:rPr>
          <w:rFonts w:ascii="Arial" w:cs="Arial" w:eastAsia="Arial" w:hAnsi="Arial"/>
          <w:sz w:val="16"/>
          <w:szCs w:val="16"/>
          <w:color w:val="auto"/>
        </w:rPr>
        <w:t>As consumer leads are assigned and connected to agents, our BrokerOffice technology provides guidance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agents on the most appealing value proposition to the consumer based on the information previously collected about the consumer.</w:t>
      </w:r>
    </w:p>
    <w:p>
      <w:pPr>
        <w:spacing w:after="0" w:line="155" w:lineRule="exact"/>
        <w:rPr>
          <w:rFonts w:ascii="Arial" w:cs="Arial" w:eastAsia="Arial" w:hAnsi="Arial"/>
          <w:sz w:val="16"/>
          <w:szCs w:val="16"/>
          <w:color w:val="auto"/>
        </w:rPr>
      </w:pPr>
    </w:p>
    <w:p>
      <w:pPr>
        <w:ind w:left="328" w:right="20" w:hanging="328"/>
        <w:spacing w:after="0" w:line="252" w:lineRule="auto"/>
        <w:tabs>
          <w:tab w:leader="none" w:pos="317"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Marketplace: </w:t>
      </w:r>
      <w:r>
        <w:rPr>
          <w:rFonts w:ascii="Arial" w:cs="Arial" w:eastAsia="Arial" w:hAnsi="Arial"/>
          <w:sz w:val="16"/>
          <w:szCs w:val="16"/>
          <w:color w:val="auto"/>
        </w:rPr>
        <w:t>After reviewing the consumer’s profile in BrokerOffice, the agent launches our Marketplace technology. Our Marketplace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comparative shopping capabilities for all products available to the consumer in their geography and across carriers. It also ensures that while the agent has access to, and is able to compare, all products in the market, they only sell products for which they are appointed and licensed. The Marketplace has a growing set of decision support capabilities to guide the agent to the consumer’s ideal plan. For example, agents have the ability to look up each consumer’s providers and prescription drugs to compare their coverage inclusion and cost across plans. When the agent is ready to apply for a specific plan with the consumer, they may do so directly through the Marketplace. If the consumer requires time to consider the plan, the agent can send a personalized plan proposal either by email or SMS text message. Consumers can review proposals and enroll on their own directly from their phone, tablet, or computer.</w:t>
      </w:r>
    </w:p>
    <w:p>
      <w:pPr>
        <w:spacing w:after="0" w:line="182" w:lineRule="exact"/>
        <w:rPr>
          <w:rFonts w:ascii="Arial" w:cs="Arial" w:eastAsia="Arial" w:hAnsi="Arial"/>
          <w:sz w:val="16"/>
          <w:szCs w:val="16"/>
          <w:color w:val="auto"/>
        </w:rPr>
      </w:pPr>
    </w:p>
    <w:p>
      <w:pPr>
        <w:ind w:left="328" w:right="80" w:hanging="328"/>
        <w:spacing w:after="0" w:line="259" w:lineRule="auto"/>
        <w:tabs>
          <w:tab w:leader="none" w:pos="317"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Electronic Applications: </w:t>
      </w:r>
      <w:r>
        <w:rPr>
          <w:rFonts w:ascii="Arial" w:cs="Arial" w:eastAsia="Arial" w:hAnsi="Arial"/>
          <w:sz w:val="16"/>
          <w:szCs w:val="16"/>
          <w:color w:val="auto"/>
        </w:rPr>
        <w:t>We utilize proprietary domain-specific language for the rapid development and deployment of compliant electronic</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applications. We ensure that insurance applications can be built and validated using standard, reusable modules wherever appropriate, while still being able to seamlessly integrate custom components as necessary. Completed applications are delivered directly to the corresponding carrier through custom integration partnerships.</w:t>
      </w:r>
    </w:p>
    <w:p>
      <w:pPr>
        <w:spacing w:after="0" w:line="177" w:lineRule="exact"/>
        <w:rPr>
          <w:rFonts w:ascii="Arial" w:cs="Arial" w:eastAsia="Arial" w:hAnsi="Arial"/>
          <w:sz w:val="16"/>
          <w:szCs w:val="16"/>
          <w:color w:val="auto"/>
        </w:rPr>
      </w:pPr>
    </w:p>
    <w:p>
      <w:pPr>
        <w:ind w:left="328" w:right="280" w:hanging="328"/>
        <w:spacing w:after="0" w:line="254" w:lineRule="auto"/>
        <w:tabs>
          <w:tab w:leader="none" w:pos="317"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Consumer Lifecycle Management: </w:t>
      </w:r>
      <w:r>
        <w:rPr>
          <w:rFonts w:ascii="Arial" w:cs="Arial" w:eastAsia="Arial" w:hAnsi="Arial"/>
          <w:sz w:val="16"/>
          <w:szCs w:val="16"/>
          <w:color w:val="auto"/>
        </w:rPr>
        <w:t>We receive application submission, commission, and book of business data regularly from each integrated</w:t>
      </w:r>
      <w:r>
        <w:rPr>
          <w:rFonts w:ascii="Arial" w:cs="Arial" w:eastAsia="Arial" w:hAnsi="Arial"/>
          <w:sz w:val="16"/>
          <w:szCs w:val="16"/>
          <w:b w:val="1"/>
          <w:bCs w:val="1"/>
          <w:color w:val="auto"/>
        </w:rPr>
        <w:t xml:space="preserve"> </w:t>
      </w:r>
      <w:r>
        <w:rPr>
          <w:rFonts w:ascii="Arial" w:cs="Arial" w:eastAsia="Arial" w:hAnsi="Arial"/>
          <w:sz w:val="16"/>
          <w:szCs w:val="16"/>
          <w:color w:val="auto"/>
        </w:rPr>
        <w:t>carrier. We integrate this data with the other consumer data gathered throughout the consumer lifecycle to build a Retention Model using our machine-learning technology, which identifies consumers in need of engagement. Similar to many of our other systems, the Retention Model is continuously tested to increase performance and capability. We also use post-sale data from carriers to model how retention outcomes relate to consumer, marketing, and customer journey attributes so that every piece of our technology can be further optimized to maximize customer satisfaction and improve the sales process.</w:t>
      </w:r>
    </w:p>
    <w:p>
      <w:pPr>
        <w:spacing w:after="0" w:line="181" w:lineRule="exact"/>
        <w:rPr>
          <w:rFonts w:ascii="Arial" w:cs="Arial" w:eastAsia="Arial" w:hAnsi="Arial"/>
          <w:sz w:val="16"/>
          <w:szCs w:val="16"/>
          <w:color w:val="auto"/>
        </w:rPr>
      </w:pPr>
    </w:p>
    <w:p>
      <w:pPr>
        <w:ind w:left="328" w:right="300" w:hanging="328"/>
        <w:spacing w:after="0" w:line="259" w:lineRule="auto"/>
        <w:tabs>
          <w:tab w:leader="none" w:pos="317"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Monitoring: </w:t>
      </w:r>
      <w:r>
        <w:rPr>
          <w:rFonts w:ascii="Arial" w:cs="Arial" w:eastAsia="Arial" w:hAnsi="Arial"/>
          <w:sz w:val="16"/>
          <w:szCs w:val="16"/>
          <w:color w:val="auto"/>
        </w:rPr>
        <w:t>We have also developed several enabling and monitoring technologies to detect and automatically address anomalies and</w:t>
      </w:r>
      <w:r>
        <w:rPr>
          <w:rFonts w:ascii="Arial" w:cs="Arial" w:eastAsia="Arial" w:hAnsi="Arial"/>
          <w:sz w:val="16"/>
          <w:szCs w:val="16"/>
          <w:b w:val="1"/>
          <w:bCs w:val="1"/>
          <w:color w:val="auto"/>
        </w:rPr>
        <w:t xml:space="preserve"> </w:t>
      </w:r>
      <w:r>
        <w:rPr>
          <w:rFonts w:ascii="Arial" w:cs="Arial" w:eastAsia="Arial" w:hAnsi="Arial"/>
          <w:sz w:val="16"/>
          <w:szCs w:val="16"/>
          <w:color w:val="auto"/>
        </w:rPr>
        <w:t>inefficiencies in our operations based on deviations from baseline norms, and to ensure that our operations are fully compliant. Agent calls are continuously monitored so that we automatically redact PCI from compliant call recordings in real time. Various network and agent performance metrics are tracked so that we can exert control over our advertising and sales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295910</wp:posOffset>
            </wp:positionV>
            <wp:extent cx="8255"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295910</wp:posOffset>
            </wp:positionV>
            <wp:extent cx="8890"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0868"/>
          </w:cols>
          <w:pgMar w:left="652" w:top="1343" w:right="37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3328"/>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9</w:t>
      </w:r>
    </w:p>
    <w:p>
      <w:pPr>
        <w:sectPr>
          <w:pgSz w:w="11900" w:h="16838" w:orient="portrait"/>
          <w:cols w:equalWidth="0" w:num="3">
            <w:col w:w="4248" w:space="540"/>
            <w:col w:w="1040" w:space="360"/>
            <w:col w:w="4680"/>
          </w:cols>
          <w:pgMar w:left="652" w:top="1343" w:right="37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Our Agents</w:t>
      </w:r>
    </w:p>
    <w:p>
      <w:pPr>
        <w:spacing w:after="0" w:line="18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Since our inception, our highly skilled and trained agents have enrolled millions of people in Medicare and individual and family plans. Our technology, lead distribution and workflow allow agents to work in our Benefits Center or to work remotely at home, providing us with a sustainable avenue for growth.</w:t>
      </w:r>
    </w:p>
    <w:p>
      <w:pPr>
        <w:spacing w:after="0" w:line="195"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Our agent base consists of licensed Tier 2 and TeleCare agents who assist in guiding consumers through their healthcare journey. Our licensed Tier Two agents help consumers choose the best plan for them and enroll consumers into policies. TeleCare agents further engage and help consumers utilize their benefits and better engage consumers, helping drive higher satisfaction and persistency. Our agents benefit from a rigorous training program consisting of four-to-eight weeks of classroom and interactive instruction prior to engaging with consumers. Our training courses cover insurance licensing, compliance requirements, customer service interactions, live role playing, and systems use. We competitively compensate agents to incentivize their productivity, increase member retention and improve customer satisfaction. In addition to an hourly wage, we also compensate our agents through a structured bonus program. Our bonus program is designed to compensate agents based on the customer experience and plan lifetime. Customer experience is measured through a customer satisfaction survey. Plan lifetime is measured through policy issuance and retention.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Marketing</w:t>
      </w:r>
    </w:p>
    <w:p>
      <w:pPr>
        <w:spacing w:after="0" w:line="187"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We employ data-driven, omnichannel marketing efforts to increase consumer phone calls and visits to our website and convert those calls and visits into customers. Our marketing initiatives include:</w:t>
      </w:r>
    </w:p>
    <w:p>
      <w:pPr>
        <w:spacing w:after="0" w:line="121" w:lineRule="exact"/>
        <w:rPr>
          <w:sz w:val="20"/>
          <w:szCs w:val="20"/>
          <w:color w:val="auto"/>
        </w:rPr>
      </w:pPr>
    </w:p>
    <w:p>
      <w:pPr>
        <w:ind w:left="660" w:right="100" w:hanging="328"/>
        <w:spacing w:after="0" w:line="28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Offline Media Marketing: </w:t>
      </w:r>
      <w:r>
        <w:rPr>
          <w:rFonts w:ascii="Arial" w:cs="Arial" w:eastAsia="Arial" w:hAnsi="Arial"/>
          <w:sz w:val="16"/>
          <w:szCs w:val="16"/>
          <w:color w:val="auto"/>
        </w:rPr>
        <w:t>Our offline media channel consists of branded advertisements run on television (both linear and over-the-top) and radio,</w:t>
      </w:r>
      <w:r>
        <w:rPr>
          <w:rFonts w:ascii="Arial" w:cs="Arial" w:eastAsia="Arial" w:hAnsi="Arial"/>
          <w:sz w:val="16"/>
          <w:szCs w:val="16"/>
          <w:b w:val="1"/>
          <w:bCs w:val="1"/>
          <w:color w:val="auto"/>
        </w:rPr>
        <w:t xml:space="preserve"> </w:t>
      </w:r>
      <w:r>
        <w:rPr>
          <w:rFonts w:ascii="Arial" w:cs="Arial" w:eastAsia="Arial" w:hAnsi="Arial"/>
          <w:sz w:val="16"/>
          <w:szCs w:val="16"/>
          <w:color w:val="auto"/>
        </w:rPr>
        <w:t>as well as targeted direct mail campaigns.</w:t>
      </w:r>
    </w:p>
    <w:p>
      <w:pPr>
        <w:spacing w:after="0" w:line="101" w:lineRule="exact"/>
        <w:rPr>
          <w:rFonts w:ascii="Arial" w:cs="Arial" w:eastAsia="Arial" w:hAnsi="Arial"/>
          <w:sz w:val="16"/>
          <w:szCs w:val="16"/>
          <w:color w:val="auto"/>
        </w:rPr>
      </w:pPr>
    </w:p>
    <w:p>
      <w:pPr>
        <w:ind w:left="660" w:right="200" w:hanging="328"/>
        <w:spacing w:after="0" w:line="26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Digital (Online) Media: </w:t>
      </w:r>
      <w:r>
        <w:rPr>
          <w:rFonts w:ascii="Arial" w:cs="Arial" w:eastAsia="Arial" w:hAnsi="Arial"/>
          <w:sz w:val="16"/>
          <w:szCs w:val="16"/>
          <w:color w:val="auto"/>
        </w:rPr>
        <w:t>Our digital media channel consists of branded advertisements run on paid search, display, native and social media</w:t>
      </w:r>
      <w:r>
        <w:rPr>
          <w:rFonts w:ascii="Arial" w:cs="Arial" w:eastAsia="Arial" w:hAnsi="Arial"/>
          <w:sz w:val="16"/>
          <w:szCs w:val="16"/>
          <w:b w:val="1"/>
          <w:bCs w:val="1"/>
          <w:color w:val="auto"/>
        </w:rPr>
        <w:t xml:space="preserve"> </w:t>
      </w:r>
      <w:r>
        <w:rPr>
          <w:rFonts w:ascii="Arial" w:cs="Arial" w:eastAsia="Arial" w:hAnsi="Arial"/>
          <w:sz w:val="16"/>
          <w:szCs w:val="16"/>
          <w:color w:val="auto"/>
        </w:rPr>
        <w:t>platforms. These paid media efforts are supported by unpaid email and organic search campaigns. Our online advertising programs are delivered across all Internet-enabled devices, including desktop computers, tablet computers and smart phones.</w:t>
      </w:r>
    </w:p>
    <w:p>
      <w:pPr>
        <w:spacing w:after="0" w:line="117" w:lineRule="exact"/>
        <w:rPr>
          <w:rFonts w:ascii="Arial" w:cs="Arial" w:eastAsia="Arial" w:hAnsi="Arial"/>
          <w:sz w:val="16"/>
          <w:szCs w:val="16"/>
          <w:color w:val="auto"/>
        </w:rPr>
      </w:pPr>
    </w:p>
    <w:p>
      <w:pPr>
        <w:ind w:left="660" w:right="240" w:hanging="328"/>
        <w:spacing w:after="0" w:line="26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Marketing Partners: </w:t>
      </w:r>
      <w:r>
        <w:rPr>
          <w:rFonts w:ascii="Arial" w:cs="Arial" w:eastAsia="Arial" w:hAnsi="Arial"/>
          <w:sz w:val="16"/>
          <w:szCs w:val="16"/>
          <w:color w:val="auto"/>
        </w:rPr>
        <w:t>Our marketing partner consumer acquisition channel consists of a network comprised of hundreds of partners that drive</w:t>
      </w:r>
      <w:r>
        <w:rPr>
          <w:rFonts w:ascii="Arial" w:cs="Arial" w:eastAsia="Arial" w:hAnsi="Arial"/>
          <w:sz w:val="16"/>
          <w:szCs w:val="16"/>
          <w:b w:val="1"/>
          <w:bCs w:val="1"/>
          <w:color w:val="auto"/>
        </w:rPr>
        <w:t xml:space="preserve"> </w:t>
      </w:r>
      <w:r>
        <w:rPr>
          <w:rFonts w:ascii="Arial" w:cs="Arial" w:eastAsia="Arial" w:hAnsi="Arial"/>
          <w:sz w:val="16"/>
          <w:szCs w:val="16"/>
          <w:color w:val="auto"/>
        </w:rPr>
        <w:t>consumers to our e-commerce platform and Benefits Center. These partners include healthcare industry participants, such as insurance carriers, financial and online services partners in industries, such as banking and insurance, as well as affiliate organizations.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 and Compliance</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marketing and sale of insurance products and plans is a heavily regulated industry. Various aspects of our business are, may become, or may be viewed by regulators from time to time as subject, directly or indirectly, to U.S. federal, state and foreign laws and regulations. We are affected by laws and regulations that apply to businesses in general, the healthcare industry, and the insurance industry, as well as to businesses operating on the internet. This includes a continually expanding and evolving range of laws, regulations and standards that address financial services, information security, data protection, privacy and data collection and destruction, marketing of Medicare Advantage and other Medicare plans, healthcare compliance and fraud and abuse, among other things. We are also subject to laws governing marketing and advertising activities conducted by telephone, email, mobile devices and the internet. In addition, we are a licensed insurance producer in all 50 U.S. states and the District of Columbia. Insurance is highly regulated by the states in which we do business, and we are required to comply with and maintain various licenses and approvals. Regulatory authorities often have the discretion to grant, renew and revoke the various licenses and approvals we need to conduct our activities and, should we fail to retain our licenses, our business and results of operations could be adversely affected.</w:t>
      </w:r>
    </w:p>
    <w:p>
      <w:pPr>
        <w:spacing w:after="0" w:line="15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Medicare segments are subject to regulations and guidelines issued by CMS that place a number of requirements on carriers, agents and brokers in connection with the marketing and sale of Medicare Advantage and Medicare Part D prescription drug plans. State insurance departments also regulate the marketing and sale of Medicare Supplement plans. CMS and state insurance department regulations and guidelines include a number of prohibitions regarding the ability to contact Medicare-eligible individuals and place many restrictions on the marketing of Medicare-related plans. For example, our carriers are required to file with CMS and state departments of insurance certain of our platforms, our call center scripts and other marketing materials we use to market Medicare-related plans. In some instances, CMS or state departments of insurance must approve the material before we use it. In addition, the laws and regulations applicable to the marketing and sale of Medicare-related plans are ambiguous, complex and, with respect to regulations and guidance issued by CMS for Medicare Advantage and Medicare Part D prescription drug plans, change frequently, and may do so as a result of the effects of the COVID-19 pandemic.</w:t>
      </w:r>
    </w:p>
    <w:p>
      <w:pPr>
        <w:spacing w:after="0" w:line="15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There are also numerous state and federal laws and regulations related to the privacy and security of health information. Laws in all 50 states require businesses to provide notices to affected individuals whose personal information has been disclosed as a result of a data breach, and certain states require notifications for data breaches involving individually identifiable health information. Most states require holders of personal information to maintain safeguards and take certain actions in response to a data breach, such as maintaining reasonable security measures and providing prompt notification of the breach to affected individuals and the state’s attorney general. In particular, regulations promulgated pursuant to the HIPAA require us to maintain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299085</wp:posOffset>
            </wp:positionV>
            <wp:extent cx="8255"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299085</wp:posOffset>
            </wp:positionV>
            <wp:extent cx="8890"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10</w:t>
      </w:r>
    </w:p>
    <w:p>
      <w:pPr>
        <w:sectPr>
          <w:pgSz w:w="11900" w:h="16838" w:orient="portrait"/>
          <w:cols w:equalWidth="0" w:num="3">
            <w:col w:w="4580" w:space="540"/>
            <w:col w:w="1040" w:space="360"/>
            <w:col w:w="4720"/>
          </w:cols>
          <w:pgMar w:left="320" w:top="1323" w:right="339" w:bottom="1440" w:gutter="0" w:footer="0" w:header="0"/>
          <w:type w:val="continuous"/>
        </w:sectPr>
      </w:pPr>
    </w:p>
    <w:bookmarkStart w:id="13" w:name="page14"/>
    <w:bookmarkEnd w:id="13"/>
    <w:p>
      <w:pPr>
        <w:ind w:right="60"/>
        <w:spacing w:after="0" w:line="247" w:lineRule="auto"/>
        <w:rPr>
          <w:sz w:val="20"/>
          <w:szCs w:val="20"/>
          <w:color w:val="auto"/>
        </w:rPr>
      </w:pPr>
      <w:r>
        <w:rPr>
          <w:rFonts w:ascii="Arial" w:cs="Arial" w:eastAsia="Arial" w:hAnsi="Arial"/>
          <w:sz w:val="16"/>
          <w:szCs w:val="16"/>
          <w:color w:val="auto"/>
        </w:rPr>
        <w:t>the privacy of individually-identifiable health information that we collect on behalf of carriers, implement measures to safeguard such information and provide notification in the event of a breach in the privacy or confidentiality of such information. If we were to be found to have breached our obligations under HIPAA, we could be subject to enforcement actions by the U.S. Department of Health and Human Services Office for Civil Rights (“OCR”) and state health regulators and lawsuits, including class action law suits, by private plaintiffs. In addition, OCR performs compliance audits in order to proactively enforce the HIPAA privacy and security standards. OCR has become an increasingly active regulator and has signaled its intention to continue this trend. OCR has the discretion to impose penalties without being required to attempt to resolve violations through informal means; further OCR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maintained policies, processes and a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57"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In addition, we have entered into contracts with carriers and others regarding the collection, maintenance, protection, use, transmission, disclosure or disposal of sensitive personal information. The use and disclosure of certain data that we collect from consumers are also regulated in some instances by other federal laws, including the Gramm-Leach-Bliley Act (“GLBA”), and state statutes implementing GLBA, which generally require brokers to provide customers with notice regarding how their non-public personal health and financial information is used and the opportunity to “opt out” of certain disclosures before sharing such information with a third party, and which generally require safeguards for the protection of personal information. We regularly assess our compliance with privacy and security requirements.</w:t>
      </w:r>
    </w:p>
    <w:p>
      <w:pPr>
        <w:spacing w:after="0" w:line="15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These requirements are evolving, and states are beginning to adopt additional requirements, including California, where the California Consumer Privacy Act of 2018 (“CCPA”) took effect beginning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In addition to government action, health insurance carrier expectations relating to privacy and security protections are increasing and evolving. We have incurred significant costs to develop new processes and procedures and to adopt new technology in an effort to comply with privacy and security laws and regulations and carrier expectations and to protect against cybersecurity risks and security breaches. We expect to continue to do so in the future. Violations of federal and state privacy and security laws and other contractual requirements may result in significant liability and expense, damage to our reputation or termination of relationship with government-run health insurance exchanges and our members, marketing partners and carriers.</w:t>
      </w:r>
    </w:p>
    <w:p>
      <w:pPr>
        <w:spacing w:after="0" w:line="15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Federal and state consumer protection laws are being applied increasingly by the Federal Trade Commission (“FTC”), Federal Communications Commission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members that describe how we handle personal information and choices members may have about the way we handle personal information. If such information that we publish is considered untrue, we may be subject to government claims of unfair or deceptive trade practices, which could lead to significant liabilities and consequences.</w:t>
      </w:r>
    </w:p>
    <w:p>
      <w:pPr>
        <w:spacing w:after="0" w:line="34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New York’s cybersecurity regulation for financial services companies requires entities under the jurisdiction of the New York Department of Financial Services (“NYDFS”), including insurance entities, to establish and maintain a cybersecurity program designed to protect private consumer data. The Cybersecurity Model Law adopted by the National Association of Insurance Commissioners (“NAIC”) is functionally similar to the NYDFS rule and is intended to establish the standards for data security and for the investigation and notification of data breaches applicable to insurance licensees in states adopting the law.</w:t>
      </w:r>
    </w:p>
    <w:p>
      <w:pPr>
        <w:spacing w:after="0" w:line="340"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addition, the United States regulates marketing and certain other communications by telephone and email, and individual states also impose restrictions on telephone marketing. The laws and regulations governing the use of emails and telephone calls for such purposes continue to evolve, and changes in technology, the marketplace or consumer preferences may lead to the adoption of additional laws or regulations or changes in interpretation of existing laws or regulations. The TCPA and other federal and state laws prohibit companies from making telemarketing calls to numbers listed in the Federal Do-Not-Call Registry and impose other obligations and limitations on making phone calls and sending text messages to consumers. The CAN-SPAM Act regulates commercial email messages and specifies penalties for the transmission of commercial email messages that do not comply with certain requirements, such as providing an opt-out mechanism for stopping future emails from senders. We are required to comply with these and similar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302260</wp:posOffset>
            </wp:positionV>
            <wp:extent cx="8255"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302260</wp:posOffset>
            </wp:positionV>
            <wp:extent cx="8890" cy="120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289"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11</w:t>
      </w:r>
    </w:p>
    <w:p>
      <w:pPr>
        <w:sectPr>
          <w:pgSz w:w="11900" w:h="16838" w:orient="portrait"/>
          <w:cols w:equalWidth="0" w:num="3">
            <w:col w:w="4580" w:space="540"/>
            <w:col w:w="1040" w:space="360"/>
            <w:col w:w="4720"/>
          </w:cols>
          <w:pgMar w:left="320" w:top="1289"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Patents, Trademarks and Other Intellectual Property</w:t>
      </w:r>
    </w:p>
    <w:p>
      <w:pPr>
        <w:spacing w:after="0" w:line="187" w:lineRule="exact"/>
        <w:rPr>
          <w:sz w:val="20"/>
          <w:szCs w:val="20"/>
          <w:color w:val="auto"/>
        </w:rPr>
      </w:pPr>
    </w:p>
    <w:p>
      <w:pPr>
        <w:ind w:right="320"/>
        <w:spacing w:after="0" w:line="249" w:lineRule="auto"/>
        <w:rPr>
          <w:sz w:val="20"/>
          <w:szCs w:val="20"/>
          <w:color w:val="auto"/>
        </w:rPr>
      </w:pPr>
      <w:r>
        <w:rPr>
          <w:rFonts w:ascii="Arial" w:cs="Arial" w:eastAsia="Arial" w:hAnsi="Arial"/>
          <w:sz w:val="16"/>
          <w:szCs w:val="16"/>
          <w:color w:val="auto"/>
        </w:rPr>
        <w:t>We rely on a combination of copyright, trademark and trade secret laws as well as confidentiality procedures and contractual provisions to protect our proprietary software, including Marketplace, and our brands. We have registered or applied to register certain of our trademarks in the United States and several other countries. Our registered trademarks have an original duration between 10 and 20 years. We also license intellectual property from third parties, including software that is incorporated in or bundled with our proprietary software applications. We generally control access to and use of our proprietary software and other confidential information through the use of internal and external controls, including entering into non-disclosure and confidentiality agreements with both our employees and third parties.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87"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The market for the distribution of health insurance products and plans is highly competitive, fragmented and evolving as purchasing behavior shifts from traditional field-based agent models towards digital and telephonic platforms. Our competition leverages a variety of channels including government-run health insurance exchanges, carrier-employed agents, field based independent agents and brokers, or platforms that distribute directly to the consumer digitally or telephonically. We aim to differentiate our products and services on the basis of our ability to match consumers with the insurance products that best match their needs by leveraging our carrier relationships, proprietary technology, machine-learning capabilities and extensive data, efficient business processes, and highly skilled and trained agents.</w:t>
      </w:r>
    </w:p>
    <w:p>
      <w:pPr>
        <w:spacing w:after="0" w:line="131" w:lineRule="exact"/>
        <w:rPr>
          <w:sz w:val="20"/>
          <w:szCs w:val="20"/>
          <w:color w:val="auto"/>
        </w:rPr>
      </w:pPr>
    </w:p>
    <w:p>
      <w:pPr>
        <w:ind w:left="660" w:right="40" w:hanging="328"/>
        <w:spacing w:after="0" w:line="259"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Internet Marketers and Telesales Distribution Platforms: </w:t>
      </w:r>
      <w:r>
        <w:rPr>
          <w:rFonts w:ascii="Arial" w:cs="Arial" w:eastAsia="Arial" w:hAnsi="Arial"/>
          <w:sz w:val="16"/>
          <w:szCs w:val="16"/>
          <w:color w:val="auto"/>
        </w:rPr>
        <w:t>There are many marketing companies and distribution platforms that use the Internet</w:t>
      </w:r>
      <w:r>
        <w:rPr>
          <w:rFonts w:ascii="Arial" w:cs="Arial" w:eastAsia="Arial" w:hAnsi="Arial"/>
          <w:sz w:val="16"/>
          <w:szCs w:val="16"/>
          <w:b w:val="1"/>
          <w:bCs w:val="1"/>
          <w:color w:val="auto"/>
        </w:rPr>
        <w:t xml:space="preserve"> </w:t>
      </w:r>
      <w:r>
        <w:rPr>
          <w:rFonts w:ascii="Arial" w:cs="Arial" w:eastAsia="Arial" w:hAnsi="Arial"/>
          <w:sz w:val="16"/>
          <w:szCs w:val="16"/>
          <w:color w:val="auto"/>
        </w:rPr>
        <w:t>or telesales models to find consumers interested in purchasing health insurance and are compensated for referring those consumers to agents and carriers. We compete with these companies using similar business models to ours, such as eHealth, Inc. and SelectQuote Inc., for qualified prospects, sales, and carrier relationships.</w:t>
      </w:r>
    </w:p>
    <w:p>
      <w:pPr>
        <w:spacing w:after="0" w:line="123" w:lineRule="exact"/>
        <w:rPr>
          <w:rFonts w:ascii="Arial" w:cs="Arial" w:eastAsia="Arial" w:hAnsi="Arial"/>
          <w:sz w:val="16"/>
          <w:szCs w:val="16"/>
          <w:color w:val="auto"/>
        </w:rPr>
      </w:pPr>
    </w:p>
    <w:p>
      <w:pPr>
        <w:ind w:left="660" w:right="40" w:hanging="328"/>
        <w:spacing w:after="0" w:line="259"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Carrier-Employed Agents: </w:t>
      </w:r>
      <w:r>
        <w:rPr>
          <w:rFonts w:ascii="Arial" w:cs="Arial" w:eastAsia="Arial" w:hAnsi="Arial"/>
          <w:sz w:val="16"/>
          <w:szCs w:val="16"/>
          <w:color w:val="auto"/>
        </w:rPr>
        <w:t>Some health insurance carriers directly market and sell their plans to consumers through their own agents, call centers</w:t>
      </w:r>
      <w:r>
        <w:rPr>
          <w:rFonts w:ascii="Arial" w:cs="Arial" w:eastAsia="Arial" w:hAnsi="Arial"/>
          <w:sz w:val="16"/>
          <w:szCs w:val="16"/>
          <w:b w:val="1"/>
          <w:bCs w:val="1"/>
          <w:color w:val="auto"/>
        </w:rPr>
        <w:t xml:space="preserve"> </w:t>
      </w:r>
      <w:r>
        <w:rPr>
          <w:rFonts w:ascii="Arial" w:cs="Arial" w:eastAsia="Arial" w:hAnsi="Arial"/>
          <w:sz w:val="16"/>
          <w:szCs w:val="16"/>
          <w:color w:val="auto"/>
        </w:rPr>
        <w:t>and websites. Although we offer health insurance plans for many of these carriers, they also compete with us by offering their plans directly to consumers. Most of these carriers have brand recognition, significant financial resources, and have become experienced in marketing their products to consumers through traditional and emerging channels.</w:t>
      </w:r>
    </w:p>
    <w:p>
      <w:pPr>
        <w:spacing w:after="0" w:line="69" w:lineRule="exact"/>
        <w:rPr>
          <w:rFonts w:ascii="Arial" w:cs="Arial" w:eastAsia="Arial" w:hAnsi="Arial"/>
          <w:sz w:val="16"/>
          <w:szCs w:val="16"/>
          <w:color w:val="auto"/>
        </w:rPr>
      </w:pPr>
    </w:p>
    <w:p>
      <w:pPr>
        <w:ind w:left="660" w:right="320" w:hanging="328"/>
        <w:spacing w:after="0" w:line="26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Independent Agents and Brokers: </w:t>
      </w:r>
      <w:r>
        <w:rPr>
          <w:rFonts w:ascii="Arial" w:cs="Arial" w:eastAsia="Arial" w:hAnsi="Arial"/>
          <w:sz w:val="16"/>
          <w:szCs w:val="16"/>
          <w:color w:val="auto"/>
        </w:rPr>
        <w:t>We compete with thousands of local insurance agents and brokers across the United States who sell</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products in their communities. While many of these agents offer health insurance products without significant utilization of advanced technology or the Internet, a number have embraced telesales or established websites providing an online shopping experience for consumers.</w:t>
      </w:r>
    </w:p>
    <w:p>
      <w:pPr>
        <w:spacing w:after="0" w:line="171" w:lineRule="exact"/>
        <w:rPr>
          <w:rFonts w:ascii="Arial" w:cs="Arial" w:eastAsia="Arial" w:hAnsi="Arial"/>
          <w:sz w:val="16"/>
          <w:szCs w:val="16"/>
          <w:color w:val="auto"/>
        </w:rPr>
      </w:pPr>
    </w:p>
    <w:p>
      <w:pPr>
        <w:ind w:left="660" w:right="280" w:hanging="328"/>
        <w:spacing w:after="0" w:line="256" w:lineRule="auto"/>
        <w:tabs>
          <w:tab w:leader="none" w:pos="649"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Government: </w:t>
      </w:r>
      <w:r>
        <w:rPr>
          <w:rFonts w:ascii="Arial" w:cs="Arial" w:eastAsia="Arial" w:hAnsi="Arial"/>
          <w:sz w:val="16"/>
          <w:szCs w:val="16"/>
          <w:color w:val="auto"/>
        </w:rPr>
        <w:t>We compete with the federal government’s original Medicare program in marketing Medicare insurance plans. CMS also offers</w:t>
      </w:r>
      <w:r>
        <w:rPr>
          <w:rFonts w:ascii="Arial" w:cs="Arial" w:eastAsia="Arial" w:hAnsi="Arial"/>
          <w:sz w:val="16"/>
          <w:szCs w:val="16"/>
          <w:b w:val="1"/>
          <w:bCs w:val="1"/>
          <w:color w:val="auto"/>
        </w:rPr>
        <w:t xml:space="preserve"> </w:t>
      </w:r>
      <w:r>
        <w:rPr>
          <w:rFonts w:ascii="Arial" w:cs="Arial" w:eastAsia="Arial" w:hAnsi="Arial"/>
          <w:sz w:val="16"/>
          <w:szCs w:val="16"/>
          <w:color w:val="auto"/>
        </w:rPr>
        <w:t>Medicare-plan online enrollment, information and comparison tools, and has established call centers for the sale of Medicare Advantage and Medicare Part D prescription drug plans (collectively, Medicare Plans). CMS has regulatory authority over Medicare Plans and can influence the competitiveness of Medicare Plans compared to the original Medicare program, as well as the compensation that health insurance carriers are allowed to pay to us.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87"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The Medicare annual enrollment period occurs from October 15th to December 7th.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1st to March 31st, commission revenue is typically second-highest in our first quarter. The second and third quarters are known as special election periods, and commission revenue is lower during these quarters.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expenses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As of December 31, 2020, we employed 3,067 employees. We employed 2,960 people in the United States and 107 in Slovakia. During the Medicare annual enrollment period, we typically hire additional full time employees. None of our employees are represented by a labor union or are party to a collective bargaining agreement, and we have had no labor-related work stoppages. We consider our employee relations to be good.</w:t>
      </w:r>
    </w:p>
    <w:p>
      <w:pPr>
        <w:spacing w:after="0" w:line="20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consider diversity and inclusion as part of what drives our success. Our diverse teams positively affect our relationships with consumers, carriers, and the communities we serve. As we grow, we intend to continue to use the strength of our mission and our diverse people to continue to make a difference to the lives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297815</wp:posOffset>
            </wp:positionV>
            <wp:extent cx="8255" cy="120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297815</wp:posOffset>
            </wp:positionV>
            <wp:extent cx="8890"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ectPr>
          <w:pgSz w:w="11900" w:h="16838" w:orient="portrait"/>
          <w:cols w:equalWidth="0" w:num="3">
            <w:col w:w="4580" w:space="540"/>
            <w:col w:w="1040" w:space="360"/>
            <w:col w:w="4700"/>
          </w:cols>
          <w:pgMar w:left="320" w:top="1323"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color w:val="auto"/>
        </w:rPr>
        <w:t>We have implemented several measures to incorporate diversity and inclusion practices into our business strategy, including the following:</w:t>
      </w:r>
    </w:p>
    <w:p>
      <w:pPr>
        <w:spacing w:after="0" w:line="221" w:lineRule="exact"/>
        <w:rPr>
          <w:sz w:val="20"/>
          <w:szCs w:val="20"/>
          <w:color w:val="auto"/>
        </w:rPr>
      </w:pPr>
    </w:p>
    <w:p>
      <w:pPr>
        <w:ind w:left="660" w:right="48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Requiring all employees to attend cultural training, a series of courses providing education and awareness specific to diversity, discrimination, harassment, and emotional intelligence.</w:t>
      </w:r>
    </w:p>
    <w:p>
      <w:pPr>
        <w:spacing w:after="0" w:line="195" w:lineRule="exact"/>
        <w:rPr>
          <w:rFonts w:ascii="Arial" w:cs="Arial" w:eastAsia="Arial" w:hAnsi="Arial"/>
          <w:sz w:val="16"/>
          <w:szCs w:val="16"/>
          <w:color w:val="auto"/>
        </w:rPr>
      </w:pPr>
    </w:p>
    <w:p>
      <w:pPr>
        <w:ind w:left="660" w:right="48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development and implementation of Respectful Spaces, a program affording employees an outlet to have dialogue about sensitive topics impacting them at work, home and within their communities and globally.</w:t>
      </w:r>
    </w:p>
    <w:p>
      <w:pPr>
        <w:spacing w:after="0" w:line="195" w:lineRule="exact"/>
        <w:rPr>
          <w:rFonts w:ascii="Arial" w:cs="Arial" w:eastAsia="Arial" w:hAnsi="Arial"/>
          <w:sz w:val="16"/>
          <w:szCs w:val="16"/>
          <w:color w:val="auto"/>
        </w:rPr>
      </w:pPr>
    </w:p>
    <w:p>
      <w:pPr>
        <w:ind w:left="660" w:hanging="328"/>
        <w:spacing w:after="0" w:line="253"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Formal training of our leaders to help employees successfully navigate sensitive topics that may surface and encourage respectful dialogue. To support the development of our diversity strategy, leaders and executive teams attended a vendor-led training to gain fundamental knowledge about diversity, inclusion, and belonging. The objective of the training was to outline our commitments to diversity and inclusion for the future.</w:t>
      </w:r>
    </w:p>
    <w:p>
      <w:pPr>
        <w:spacing w:after="0" w:line="201" w:lineRule="exact"/>
        <w:rPr>
          <w:rFonts w:ascii="Arial" w:cs="Arial" w:eastAsia="Arial" w:hAnsi="Arial"/>
          <w:sz w:val="16"/>
          <w:szCs w:val="16"/>
          <w:color w:val="auto"/>
        </w:rPr>
      </w:pPr>
    </w:p>
    <w:p>
      <w:pPr>
        <w:ind w:left="660" w:right="38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Formation of interest and employee resource groups to allow employees to share information, network, and work on their professional and personal development; including, Black Lives Matter, Women in Sales and Allies and Women at GoHealth.</w:t>
      </w:r>
    </w:p>
    <w:p>
      <w:pPr>
        <w:spacing w:after="0" w:line="19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As of December 31, 2020, approximately 51% of our global workforce and 39% of our employees in managerial roles identified as female. Additionally, as of December 31, 2020, approximately 4%, 33%, 9%, 5%, and 43%, of our global workforce identified as Asian, Black or African American, Hispanic or Latino, Other (defined as American Indian, Alaska Native, Native Hawaiian or Other Pacific Islander, and Multiracial ethnicities), or White, respectively. As of December 31, 2020, approximately 4%, 29%, 10%, 5%, and 52%, of our employees in managerial roles identified as Asian, Black or African American, Hispanic or Latino, Other (defined as American Indian, Alaska Native, Native Hawaiian or Other Pacific Islander, and Multiracial ethnicities), or White, respectively.</w:t>
      </w:r>
    </w:p>
    <w:p>
      <w:pPr>
        <w:spacing w:after="0" w:line="205"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Our success is also rooted in hiring passionate employees, including sales professionals, entrepreneurs, analysts, marketers, engineers, and more – all of whom believe in our mission statement. We are proud of our lively, employee-driven culture and aim to offer our team the benefits and support they need to thrive. We offer comprehensive benefit programs to our employees, including major medical, dental and vision benefits, life insurance coverage, flexible spending accounts, 401(k) retirement plan with a Company match, an employee stock purchase plan offering, along with numerous other offers aimed at supporting our employees both personally and professionally. We recognize and support the growth and development of our employees and offer opportunities to participate in internal as well as external learning programs.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8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U.S. Securities and Exchange Commission (“SEC”) maintains an internet site that contains reports, proxy and information statements, and other information regarding issuers that file electronically with the SEC (</w:t>
      </w:r>
      <w:r>
        <w:rPr>
          <w:rFonts w:ascii="Arial" w:cs="Arial" w:eastAsia="Arial" w:hAnsi="Arial"/>
          <w:sz w:val="16"/>
          <w:szCs w:val="16"/>
          <w:i w:val="1"/>
          <w:iCs w:val="1"/>
          <w:color w:val="auto"/>
        </w:rPr>
        <w:t>www.sec.gov</w:t>
      </w:r>
      <w:r>
        <w:rPr>
          <w:rFonts w:ascii="Arial" w:cs="Arial" w:eastAsia="Arial" w:hAnsi="Arial"/>
          <w:sz w:val="16"/>
          <w:szCs w:val="16"/>
          <w:color w:val="auto"/>
        </w:rPr>
        <w:t>). Our Annual Reports on Form 10-K, Quarterly Reports on Form 10-Q, Current Reports on Form 8-K and amendments to reports filed or furnished pursuant to Sections 13(a) and 15(d) of the Exchange Act are also available free of charge on our investor relations website as soon as reasonably practicable after we electronically file such material with, or furnish it to, the SEC (</w:t>
      </w:r>
      <w:r>
        <w:rPr>
          <w:rFonts w:ascii="Arial" w:cs="Arial" w:eastAsia="Arial" w:hAnsi="Arial"/>
          <w:sz w:val="16"/>
          <w:szCs w:val="16"/>
          <w:i w:val="1"/>
          <w:iCs w:val="1"/>
          <w:color w:val="auto"/>
        </w:rPr>
        <w:t>investors.gohealth.com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487680</wp:posOffset>
            </wp:positionV>
            <wp:extent cx="8255"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487680</wp:posOffset>
            </wp:positionV>
            <wp:extent cx="8890"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13</w:t>
      </w:r>
    </w:p>
    <w:p>
      <w:pPr>
        <w:sectPr>
          <w:pgSz w:w="11900" w:h="16838" w:orient="portrait"/>
          <w:cols w:equalWidth="0" w:num="3">
            <w:col w:w="4580" w:space="540"/>
            <w:col w:w="1040" w:space="360"/>
            <w:col w:w="4720"/>
          </w:cols>
          <w:pgMar w:left="320" w:top="1343"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b w:val="1"/>
          <w:bCs w:val="1"/>
          <w:color w:val="0A2299"/>
        </w:rPr>
        <w:t>ITEM 1A. RISK FACTORS</w:t>
      </w:r>
    </w:p>
    <w:p>
      <w:pPr>
        <w:spacing w:after="0" w:line="6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and uncertainties described below, together with all of the other information in this Annual Report on Form 10-K, including our Consolidated Financial Statements and the related Notes, before deciding to invest in our Class A common stock. The occurrence of any of the events described below could harm our business, operating results and financial condition. In such an event, the market price of our Class A common stock could decline, and you may lose all or part of your investment. Additional risks and uncertainties not presently known to us or that we currently deem immaterial may also impair our business. See “Cautionary Note Regarding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22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i w:val="1"/>
          <w:iCs w:val="1"/>
          <w:color w:val="auto"/>
        </w:rPr>
        <w:t>The marketing and sale of Medicare plans are subject to numerous, complex and frequently changing laws, regulations and guidelines, and non-compliance with or changes in laws, regulations and guidelines could harm our business, operating results and financial condition.</w:t>
      </w:r>
    </w:p>
    <w:p>
      <w:pPr>
        <w:spacing w:after="0" w:line="176"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Our business and operating results are heavily dependent on marketing and selling Medicare plans. The marketing and sale of Medicare Advantage and Medicare Part D prescription drug plans are principally regulated by CMS, but are also subject to state laws. The marketing and sale of Medicare Supplement plans are principally regulated on a state-by-state basis by state departments of insurance or equivalent state departments. The laws and regulations applicable to the marketing and sale of Medicare plans are numerous, ambiguous and complex, and, particularly with respect to regulations and guidance issued by CMS for Medicare Advantage and Medicare Part D prescription drug plans are frequently changing. We have and will continue to take steps to ensure compliance with laws, regulations and guidelines applicable to the sale and marketing of Medicare plans. For example, we have tailored our websites and sales processes for Medicare plans to comply with several requirements that are solely applicable to the sale and marketing of Medicare-related health insurance plans. Many aspects of our online platforms and our marketing material and processes, as well as changes to these platforms, materials and processes, including call center scripts, must be filed with CMS and reviewed and approved by carriers in light of CMS requirements. In addition, certain aspects of our Medicare plan marketing partner relationships have been in the past, and will be in the future, subjected to CMS review and carrier review. Changes to the laws, regulations and guidelines relating to the sale and marketing of Medicare plans, their interpretation or the manner in which they are enforced could be incompatible with these relationships, the manner in which we conduct our business, our platforms or our sale of Medicare plans, which could harm our business, operating results and financial condition.</w:t>
      </w:r>
    </w:p>
    <w:p>
      <w:pPr>
        <w:spacing w:after="0" w:line="211"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CMS scrutinizes Medicare carriers and Medicare carriers may be held responsible for actions that we and our agents take. As a result, carriers may terminate their relationship with us or take other corrective action against us if our Medicare product sales, marketing or operations are not in compliance with Medicare or other requirements or give rise to too many complaints. See “—Our business may be harmed if we lose our relationship with carriers or if our relationships with carriers change, particularly if we or our contracted carriers temporarily or permanently lose the ability to market and sell Medicare plans.”</w:t>
      </w:r>
    </w:p>
    <w:p>
      <w:pPr>
        <w:spacing w:after="0" w:line="20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Due to potential changes in CMS guidance, enforcement, interpretation or, in light of the COVID-19 pandemic, waivers, of existing laws, regulations and guidance applicable to our marketing and sale of Medicare products, or as a result of new laws, regulations and guidelines, CMS, state departments of insurance or carriers may object to or not approve aspects of our online platforms or marketing materials and processes and determine that certain existing aspects of our Medicare-related business are not in compliance with the applicable laws, regulations and guidance. As a result, the progress of our Medicare operations could be slowed or we could be prevented from operating aspects of our Medicare revenue generating activities altogether, which would harm our business, operating results and financial condition, particularly if it occurred during the Medicare annual enrollment period.</w:t>
      </w:r>
    </w:p>
    <w:p>
      <w:pPr>
        <w:spacing w:after="0" w:line="185"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b w:val="1"/>
          <w:bCs w:val="1"/>
          <w:i w:val="1"/>
          <w:iCs w:val="1"/>
          <w:color w:val="auto"/>
        </w:rPr>
        <w:t>Our business may be harmed if we lose our relationship with carriers or if our relationships with carriers change, particularly if we or our contracted carriers temporarily or permanently lose the ability to market and sell Medicare plans.</w:t>
      </w:r>
    </w:p>
    <w:p>
      <w:pPr>
        <w:spacing w:after="0" w:line="17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contractual relationships with carriers, including those with whom we have carrier-branded sales arrangements, are typically non-exclusive and terminable on short notice by either party for any reason. Carriers may be unwilling to allow us to sell their insurance products for a variety of reasons, including competitive or regulatory reasons, dissatisfaction with the insureds that we place with them or because they do not want to be associated with our brand. Additionally, in the future, an increasing number of carriers may decide to rely on their own internal distribution channels, including traditional in-house agents and their own websites, to sell their own products, which could limit or prohibit us from distributing their products. Also, because we do not have exclusive relationships with carriers, carriers can and do use our competitors to sell their products.</w:t>
      </w:r>
    </w:p>
    <w:p>
      <w:pPr>
        <w:spacing w:after="0" w:line="20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If a carrier is not satisfied with our services, it could cause us to incur additional costs and impact our profitability. For example, a carrier could terminate our services, decrease our commissions going forward or restrict our ability to market their products. Moreover, if we fail to meet our contractual obligations to any of our carriers, we could be subject to legal liability or lose our carrier relationships. In addition, these claims against us may produce negative publicity that could hurt our reputation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298450</wp:posOffset>
            </wp:positionV>
            <wp:extent cx="8255"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298450</wp:posOffset>
            </wp:positionV>
            <wp:extent cx="8890"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14</w:t>
      </w:r>
    </w:p>
    <w:p>
      <w:pPr>
        <w:sectPr>
          <w:pgSz w:w="11900" w:h="16838" w:orient="portrait"/>
          <w:cols w:equalWidth="0" w:num="3">
            <w:col w:w="4580" w:space="540"/>
            <w:col w:w="1040" w:space="360"/>
            <w:col w:w="4700"/>
          </w:cols>
          <w:pgMar w:left="320" w:top="1323"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color w:val="auto"/>
        </w:rPr>
        <w:t>business and adversely affect our ability to retain business, find new consumers to sell products to or secure new business with other carriers.</w:t>
      </w:r>
    </w:p>
    <w:p>
      <w:pPr>
        <w:spacing w:after="0" w:line="221"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In addition, with respect to the plans we sell in the IFP and Other segments and Medicare Supplement plans, carriers periodically change the criteria they use for determining whether they are willing to insure individuals. Future changes in carrier underwriting criteria could negatively impact sales of, or the renewal or approval rates of, insurance policies on our platform, which could negatively impact our revenue.</w:t>
      </w:r>
    </w:p>
    <w:p>
      <w:pPr>
        <w:spacing w:after="0" w:line="201"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may decide to terminate our relationship with a carrier for a number of reasons and the termination of our relationship with a carrier could reduce the variety of insurance products we distribute. In connection with such a termination, we would lose a source of commissions for future sales, and, in a limited number of cases, future commissions for past sales. Our business could also be harmed if we fail to develop new carrier relationships or offer customers a wide variety of insurance products.</w:t>
      </w:r>
    </w:p>
    <w:p>
      <w:pPr>
        <w:spacing w:after="0" w:line="202" w:lineRule="exact"/>
        <w:rPr>
          <w:sz w:val="20"/>
          <w:szCs w:val="20"/>
          <w:color w:val="auto"/>
        </w:rPr>
      </w:pPr>
    </w:p>
    <w:p>
      <w:pPr>
        <w:jc w:val="both"/>
        <w:ind w:right="100"/>
        <w:spacing w:after="0" w:line="248" w:lineRule="auto"/>
        <w:rPr>
          <w:sz w:val="20"/>
          <w:szCs w:val="20"/>
          <w:color w:val="auto"/>
        </w:rPr>
      </w:pPr>
      <w:r>
        <w:rPr>
          <w:rFonts w:ascii="Arial" w:cs="Arial" w:eastAsia="Arial" w:hAnsi="Arial"/>
          <w:sz w:val="16"/>
          <w:szCs w:val="16"/>
          <w:color w:val="auto"/>
        </w:rPr>
        <w:t>We may also lose the ability to market and sell Medicare plans for one or more Medicare carriers. The regulations for selling Medicare health insurance are complex and can change frequently and may change in response to the COVID-19 pandemic. If we, our agents, or a carrier violate any of the requirements imposed by CMS, or federal or state laws or regulations, a carrier may terminate our relationship, or CMS may penalize a carrier by suspending, limiting, or terminating that carrier’s ability to market and sell Medicare plans. Moreover, if any of our carriers terminate its relationship with us for cause, we may have to disclose such termination to other carriers, which may result in termination of additional carrier relationships. Because the Medicare products we sell are sourced from a relatively small number of carriers, if we lose the ability to market one of those carrier’s Medicare plans, even temporarily, or if one of those carriers loses its Medicare product membership, our business, operating results and financial condition could be harmed.</w:t>
      </w:r>
    </w:p>
    <w:p>
      <w:pPr>
        <w:spacing w:after="0" w:line="188"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b w:val="1"/>
          <w:bCs w:val="1"/>
          <w:i w:val="1"/>
          <w:iCs w:val="1"/>
          <w:color w:val="auto"/>
        </w:rPr>
        <w:t>Our failure to grow our customer base or retain our existing customers could adversely impact our business, operating results and financial condition.</w:t>
      </w:r>
    </w:p>
    <w:p>
      <w:pPr>
        <w:spacing w:after="0" w:line="17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receive commissions from carriers for health insurance plans sold through us. When one of these plans is canceled, or if we otherwise do not remain the agent on the plan, we no longer receive the related commission payment and do not receive any commissions from renewals. Our customers may choose to discontinue their health insurance plans for a variety of reasons. Any decrease in the amount of time we retain our customers could adversely impact the estimated LTV we use for purposes of recognizing revenue. See “—Our operating results may be adversely impacted by factors that impact our estimate of LTV.” Moreover, if we are not able to successfully retain existing customers and limit health insurance plan turnover, our cash flows from operations will be adversely impacted and our business, operating results and financial condition would be harmed.</w:t>
      </w:r>
    </w:p>
    <w:p>
      <w:pPr>
        <w:spacing w:after="0" w:line="205"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In addition, in certain circumstances, the Medicare-related commission rates that we receive may be higher in the first calendar year of a plan if the plan is the first Medicare Advantage plan issued to the customer. Similarly, the individual and family plans commission rates that we receive are typically higher in the first twelve months of a policy. After the first twelve months, they generally decline significantly. As a result, if we do not add a sufficient number of customers to new plans, our business, operating results and financial condition would be harmed.</w:t>
      </w:r>
    </w:p>
    <w:p>
      <w:pPr>
        <w:spacing w:after="0" w:line="202"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Our business primarily generates revenue through the sale of Medicare Advantage plans. In some instances, traditional Medicare may be more attractive than Medicare Advantage because, for example, potential provider network restrictions imposed by Medicare Advantage plans do not exist in traditional Medicare, allowing patients with traditional Medicare to visit any doctor that accepts Medicare. In those instances, consumers may opt not to purchase a Medicare Advantage plan from us.</w:t>
      </w:r>
    </w:p>
    <w:p>
      <w:pPr>
        <w:spacing w:after="0" w:line="202"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In general, the growth in our customer base is highly dependent upon our success in attracting new customers during the Medicare annual enrollment period. In 2020, approximately 54% of our Medicare Advantage and Medicare Supplement policies were submitted during the three months ended December 31, 2020. If our ability to market and sell Medicare-related health insurance and individual and family plans is constrained during an enrollment period for any reason, such as technology failures, reduced allocation of resources, any inability to timely employ, license, train, certify and retain our employees and our contractors and their agents to sell plans, interruptions in the operation of our website or systems, disruptions caused by other external factors, such as the COVID-19 pandemic, or issues with government-run health insurance exchanges, we could acquire fewer customers or suffer a reduction in our existing customer base and our business, operating results and financial condition could be harmed.</w:t>
      </w:r>
    </w:p>
    <w:p>
      <w:pPr>
        <w:spacing w:after="0" w:line="188" w:lineRule="exact"/>
        <w:rPr>
          <w:sz w:val="20"/>
          <w:szCs w:val="20"/>
          <w:color w:val="auto"/>
        </w:rPr>
      </w:pPr>
    </w:p>
    <w:p>
      <w:pPr>
        <w:jc w:val="both"/>
        <w:ind w:right="540"/>
        <w:spacing w:after="0" w:line="266" w:lineRule="auto"/>
        <w:rPr>
          <w:sz w:val="20"/>
          <w:szCs w:val="20"/>
          <w:color w:val="auto"/>
        </w:rPr>
      </w:pPr>
      <w:r>
        <w:rPr>
          <w:rFonts w:ascii="Arial" w:cs="Arial" w:eastAsia="Arial" w:hAnsi="Arial"/>
          <w:sz w:val="16"/>
          <w:szCs w:val="16"/>
          <w:b w:val="1"/>
          <w:bCs w:val="1"/>
          <w:i w:val="1"/>
          <w:iCs w:val="1"/>
          <w:color w:val="auto"/>
        </w:rPr>
        <w:t>Carriers may reduce the commissions paid to us and change their underwriting practices in ways that reduce the number of, or impact the renewal or approval rates of, insurance policies sold through our platform, which could harm our business, operating results and financial condition.</w:t>
      </w:r>
    </w:p>
    <w:p>
      <w:pPr>
        <w:spacing w:after="0" w:line="19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Our commission rates from carriers are either set by each carrier or negotiated between us and each carrier. The commission rates we are paid are, for any given plan for a given customer, based on a number factors, including the carriers offering those plans, the state of residence of customers, the laws and regulations in the jurisdictions where the customer is located, and the customer’s previous Medicare enrollment history (if any). Carriers have the right to alter these commission rates with relatively short notice and have altered, and may in the future alter, the contractual relationships we have with them, including, in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299085</wp:posOffset>
            </wp:positionV>
            <wp:extent cx="8255"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299085</wp:posOffset>
            </wp:positionV>
            <wp:extent cx="8890"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00"/>
          </w:cols>
          <w:pgMar w:left="320" w:top="1343" w:right="37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15</w:t>
      </w:r>
    </w:p>
    <w:p>
      <w:pPr>
        <w:sectPr>
          <w:pgSz w:w="11900" w:h="16838" w:orient="portrait"/>
          <w:cols w:equalWidth="0" w:num="3">
            <w:col w:w="4580" w:space="540"/>
            <w:col w:w="1040" w:space="360"/>
            <w:col w:w="4680"/>
          </w:cols>
          <w:pgMar w:left="320" w:top="1343" w:right="379" w:bottom="1440" w:gutter="0" w:footer="0" w:header="0"/>
          <w:type w:val="continuous"/>
        </w:sectPr>
      </w:pPr>
    </w:p>
    <w:bookmarkStart w:id="18" w:name="page19"/>
    <w:bookmarkEnd w:id="18"/>
    <w:p>
      <w:pPr>
        <w:ind w:right="40"/>
        <w:spacing w:after="0" w:line="249" w:lineRule="auto"/>
        <w:rPr>
          <w:sz w:val="20"/>
          <w:szCs w:val="20"/>
          <w:color w:val="auto"/>
        </w:rPr>
      </w:pPr>
      <w:r>
        <w:rPr>
          <w:rFonts w:ascii="Arial" w:cs="Arial" w:eastAsia="Arial" w:hAnsi="Arial"/>
          <w:sz w:val="16"/>
          <w:szCs w:val="16"/>
          <w:color w:val="auto"/>
        </w:rPr>
        <w:t>instances by unilateral amendment of our contracts relating to commission rates or otherwise. For example, CMS could reduce the amount paid by CMS to Medicare Advantage plans or change the regulations and/or timelines applicable to the Medicare Advantage program, particularly in response to the COVID-19 pandemic, which could result in decreased commission rates or reduce carrier participation in the Medicare Advantage program. Changes of this nature could result in reduced commissions, or could impact our relationship with such carriers and potentially lead to contract termination. Because revenue in the Medicare segments is concentrated in a relatively small number of carriers, we are particularly vulnerable to changes in commission rates and changes in the competitiveness of our carriers’ Medicare products.</w:t>
      </w:r>
    </w:p>
    <w:p>
      <w:pPr>
        <w:spacing w:after="0" w:line="18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i w:val="1"/>
          <w:iCs w:val="1"/>
          <w:color w:val="auto"/>
        </w:rPr>
        <w:t>Significant consolidation in the health insurance industry could adversely alter our relationships with carriers and harm our business, operating results and financial condition.</w:t>
      </w:r>
    </w:p>
    <w:p>
      <w:pPr>
        <w:spacing w:after="0" w:line="17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health insurance industry in the United States has experienced a substantial amount of consolidation, resulting in a decrease in the number of carriers. Consolidation in the health insurance industry, particularly involving one of our key carriers, could cause a loss of, or changes in, our relationship with that carrier and may reduce our commission or other revenue from that carrier. In the future, due to this consolidation, we may be forced to offer health insurance from a reduced number of carriers or to derive a greater portion of our revenue from a more concentrated number of carriers as our business and the health insurance industry evolve.</w:t>
      </w:r>
    </w:p>
    <w:p>
      <w:pPr>
        <w:spacing w:after="0" w:line="20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Additionally, mergers among carriers or an acquisition of one carrier by another carrier may trigger changes to our agreements with such carriers. For example, carriers may unilaterally amend or terminate our agreements on short notice, which could adversely impact or terminate the commission payments that we receive from these carriers. Our revenue could be adversely impacted if we are unable to maintain currently existing levels of business with any of our significant carriers if we are unable to offset any loss of business with alternative carriers. We expect that a small number of carriers will account for a significant portion of our revenue for the foreseeable future and any impairment of our relationship with, or the material financial impairment of, these carriers could adversely affect our business, operating results and financial condition. See “—We currently depend on a small group of carriers for a substantial portion of our revenue.”</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Information technology system failures could interrupt our operations and have a material adverse effect on our business, financial condition and results of operations.</w:t>
      </w:r>
    </w:p>
    <w:p>
      <w:pPr>
        <w:spacing w:after="0" w:line="176"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ability to sell insurance is dependent upon our information technology systems. In connection with sales of Medicare plans, CMS rules require that our health insurance agent employees utilize CMS-approved scripts and that we record and maintain the recording of telephonic interactions. We rely on telephone, call recording, customer relationship management and other systems and technology in our sales operations to sell Medicare plans, and we are dependent upon third parties for some of these systems and technologies, including our telephone services, which are provided by Five9, call recording systems and other communications systems. Carriers often audit these recordings for compliance purposes and listen to them in connection with investigating complaints. We have had in the past, and may in the future, experience failures of certain of our systems, including our telephone and call recording systems. For example, we have experienced failures of our systems due to power outages, which have negatively impacted our ability to sell plans. The effectiveness and stability of our systems and technology are critical to our ability to sell Medicare plans, particularly during the Medicare enrollment periods and the failure or interruption of any of these systems and technologies or any inability to handle increased business volume may have a material adverse effect on our business, operating results and financial condition and subject us to litigation or to actions by regulatory authorities.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results may be adversely impacted by factors that impact our estimate of LTV.</w:t>
      </w:r>
    </w:p>
    <w:p>
      <w:pPr>
        <w:spacing w:after="0" w:line="24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We recognize revenue at the time a Submitted Policy becomes an Approved Submission by applying the latest estimated LTV for that product. We estimate commission revenue for each product by using a portfolio approach to a group of approved customers that are organized based on a variety of attributes, which we refer to as “vintages.” We estimate the cash commissions we expect to collect for each approved customer vintage by evaluating various factors, including, but not limited to, commission rates, carriers, estimated average plan duration, the regulatory environment, and historic cancellations of health insurance plans offered by carriers with which we have a relationship. On a quarterly basis, we recompute LTV at a vintage level for all outstanding vintages, review and monitor changes in the data used to estimate LTV as well as the cash received for each vintage as compared to our original estimates. The fluctuations of cash received for each vintage and LTV may be significant and may or may not be indicative of the need to adjust LTVs for prior period vintages. Management analyzes these fluctuations and, to the extent we see changes in our estimates of the cash commission collections that we believe are indicative of an increase or decrease to prior period LTVs, we will adjust LTVs for the affected vintages at the time such determination is made. Changes in LTV may result in an increase or a decrease to revenue and a corresponding increase or decrease to commissions receivable, accordingly. We refer to the net commission revenue from customers approved in prior periods as “adjustment revenue” and our revenue can fluctuate significantly from period to period as a result of adjustment revenue.</w:t>
      </w:r>
    </w:p>
    <w:p>
      <w:pPr>
        <w:spacing w:after="0" w:line="21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As we continue to evaluate our LTV estimation models, we may in the future make further changes based on a number of factors and such changes could result in significant increases or decreases in revenue. LTVs are estimates and are based on a number of assumptions, which include, but are not limited to, estimates of the conversion rates of commissionable Approved Submissions into customers, forecasted average plan duration and forecasted commission rates we expect to receive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298450</wp:posOffset>
            </wp:positionV>
            <wp:extent cx="8255" cy="1200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298450</wp:posOffset>
            </wp:positionV>
            <wp:extent cx="8890" cy="1200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16</w:t>
      </w:r>
    </w:p>
    <w:p>
      <w:pPr>
        <w:sectPr>
          <w:pgSz w:w="11900" w:h="16838" w:orient="portrait"/>
          <w:cols w:equalWidth="0" w:num="3">
            <w:col w:w="4580" w:space="540"/>
            <w:col w:w="1040" w:space="360"/>
            <w:col w:w="4720"/>
          </w:cols>
          <w:pgMar w:left="320" w:top="1343" w:right="339" w:bottom="1440" w:gutter="0" w:footer="0" w:header="0"/>
          <w:type w:val="continuous"/>
        </w:sectPr>
      </w:pPr>
    </w:p>
    <w:bookmarkStart w:id="19" w:name="page20"/>
    <w:bookmarkEnd w:id="19"/>
    <w:p>
      <w:pPr>
        <w:ind w:right="100"/>
        <w:spacing w:after="0" w:line="248" w:lineRule="auto"/>
        <w:rPr>
          <w:sz w:val="20"/>
          <w:szCs w:val="20"/>
          <w:color w:val="auto"/>
        </w:rPr>
      </w:pPr>
      <w:r>
        <w:rPr>
          <w:rFonts w:ascii="Arial" w:cs="Arial" w:eastAsia="Arial" w:hAnsi="Arial"/>
          <w:sz w:val="16"/>
          <w:szCs w:val="16"/>
          <w:color w:val="auto"/>
        </w:rPr>
        <w:t>approved customer’s plan. These assumptions are based on historical trends and require significant judgment by our management in interpreting those trends. Changes in our historical trends will result in changes to our LTV estimates in future periods and, therefore, could adversely affect our revenue and financial results in those future periods. As a result, negative changes in the factors upon which we estimate LTVs, such as reduced conversion of commissionable Approved Submissions to customers, increased health insurance plan termination or a reduction in the lifetime commission amounts we expect to receive for selling the plan to a customer or other changes could harm our business, operating results and financial condition. In addition, if we ultimately receive commission payments that are less than the amount we estimated when we recognized commission revenues, we would need to write off the remaining commissions receivable balance, which could materially adversely impact our operating results and financial condition.</w:t>
      </w:r>
    </w:p>
    <w:p>
      <w:pPr>
        <w:spacing w:after="0" w:line="20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forecasted average plan duration is another important factor in our estimation of LTV. We receive commissions from carriers for policies sold through us that go on to become customers of those carriers. When one of these plans is canceled, or if we otherwise do not remain the agent on the policy, we no longer receive the related commission payment. Our forecasted average plan duration and health insurance plan termination rates are calculated based on our historical data by plan type and for certain products, such as our Medicare Advantage products which constitute the majority of our revenue, and if we are unable to produce an accurate forecasted average plan duration, our business, operating results and financial condition may be adversely impacted. Additionally, from time to time, carriers may stop offering products in a geographic area. While in many cases, carriers will still support existing customers in those geographic areas, because they are no longer offering new plans, the retention of those customers may be adversely impacted, thereby impacting our expected LTVs.</w:t>
      </w:r>
    </w:p>
    <w:p>
      <w:pPr>
        <w:spacing w:after="0" w:line="20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Commission rates are also a factor in estimating our LTVs, which are impacted by a variety of factors, including the particular health insurance plans chosen by our customers, the carriers offering those plans, our customers’ states of residence, the laws and regulations in those jurisdictions, the average premiums of plans purchased through us and healthcare reform. Any reduction in our average commission revenue per customer could harm our business, operating results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System failures or capacity constraints could harm our business, financial condition and operating results.</w:t>
      </w:r>
    </w:p>
    <w:p>
      <w:pPr>
        <w:spacing w:after="0" w:line="24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performance, reliability and availability of our technology platform and underlying network infrastructures are critical to our financial results, our brand and our relationship with customers, marketing partners and carriers. Although we regularly attempt to enhance our technology platform and system infrastructure, system failures and interruptions may occur if we are unsuccessful in these efforts, if we are unable to accurately project the rate or timing of increases in our website traffic or inbound call volume or for other reasons, some of which are completely outside our control. Additionally, we are also reliant on the systems of our carriers to submit plan enrollment applications from potential customers. We have in the past, and could in the future, experience significant failures and interruptions of our systems and the systems of our carriers, which would harm our business, operating results and financial condition. If these failures or interruptions occurred during the Medicare annual enrollment period or during the open enrollment period under healthcare reform, the negative impact on us would be particularly pronounced.</w:t>
      </w:r>
    </w:p>
    <w:p>
      <w:pPr>
        <w:spacing w:after="0" w:line="20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rely in part upon third-party vendors, including data center and bandwidth providers, to operate our technology platform. We cannot predict whether additional network capacity will be available from these vendors as we need it, and our network or our suppliers’ networks might be unable to achieve or maintain a sufficiently high capacity of data transmission to allow us to process health insurance applications in a timely manner or effectively download data, especially if our website traffic increases. For example, a rapid expansion of our business could affect the service levels at our data centers or cause such data centers and systems to fail. Any system failure or service level reduction that causes an interruption to, or decreases the responsiveness of, our services would impair our revenue-generating capabilities and damage our reputation. In addition, any loss of data could result in loss of customers and subject us to potential liability. Our databases and systems are vulnerable to damage or interruption from human error, fire, floods, power loss, telecommunications failures, physical or electronic break-ins, computer viruses, acts of terrorism, other attempts to harm our systems and similar events. In addition, our operations are vulnerable to earthquakes, fires, severe weather, pandemics and other natural disasters in Illinois, North Carolina, Utah, Honduras, Slovakia and other parts of the world where we, our agents and vendors operate.</w:t>
      </w:r>
    </w:p>
    <w:p>
      <w:pPr>
        <w:spacing w:after="0" w:line="20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owners of our data center facilities and our other third-party vendors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 Problems faced by our third-party data center locations with the telecommunications network providers with whom we or they contract, or with the systems by which our telecommunications providers allocate capacity among their clients, including us, could adversely affect the experience of our clients and consumers. Our third-party data center operators could decide to close their facilities without adequate notice. In addition, any financial difficulties, such as bankruptcy faced by our third-party data centers, operators or any of the service providers with whom we or they contract may have negative effects on our business, the nature and extent of which are difficult to predict.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301625</wp:posOffset>
            </wp:positionV>
            <wp:extent cx="8255"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301625</wp:posOffset>
            </wp:positionV>
            <wp:extent cx="8890"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ectPr>
          <w:pgSz w:w="11900" w:h="16838" w:orient="portrait"/>
          <w:cols w:equalWidth="0" w:num="3">
            <w:col w:w="4580" w:space="540"/>
            <w:col w:w="1040" w:space="360"/>
            <w:col w:w="4720"/>
          </w:cols>
          <w:pgMar w:left="320" w:top="1343"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b w:val="1"/>
          <w:bCs w:val="1"/>
          <w:i w:val="1"/>
          <w:iCs w:val="1"/>
          <w:color w:val="auto"/>
        </w:rPr>
        <w:t>Our ability to sell Medicare-related health insurance plans is largely dependent on our licensed health insurance agents.</w:t>
      </w:r>
    </w:p>
    <w:p>
      <w:pPr>
        <w:spacing w:after="0" w:line="24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success of our operations is largely dependent on our licensed health insurance agents, upon whom we rely to sell insurance. In order to sell Medicare-related health insurance plans, agents must be licensed by the states in which they are selling plans and certified and appointed with the carrier that offers the plans in each applicable state. Because a significant number of Medicare plans are sold in the fourth quarter each year during the Medicare annual enrollment period, we retain and train a significant number of additional employees in a limited period of time. We must also ensure that our agents are timely licensed in a significant number of states and certified and appointed with the carriers whose products we sell. We depend upon our employees, state departments of insurance and carriers for the licensing, certification and appointment of our agents. We may not be successful in timely hiring or sourcing a sufficient number of additional agents or other employees needed to operate our business. Even if we are successful in hiring or sourcing a sufficient number of agents, we may experience temporary shortages of agents due to illness, poor weather conditions or other natural disasters, personal emergencies and other events outside our control. See “—The extent to which the COVID-19 outbreak and measures taken in response thereto impact our business, results of operations and financial condition will depend on future developments, which are highly uncertain and cannot be predicted.”</w:t>
      </w:r>
    </w:p>
    <w:p>
      <w:pPr>
        <w:spacing w:after="0" w:line="20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have recently implemented a work from home program for our agents, partly in response to the effects from the COVID-19 pandemic. It may be more difficult for us to manage and monitor our agents in remote settings and we may have to expend more management time and incur more costs to do so. Agents may also face additional distractions working from home that may prevent them from efficiently selling plans. If our agents are not able to effectively work from home, we may not be able to sell as many plans, which would negatively impact our business, financial condition and results of operations.</w:t>
      </w:r>
    </w:p>
    <w:p>
      <w:pPr>
        <w:spacing w:after="0" w:line="202"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Our success in recruiting highly skilled and qualified agents can depend on factors outside of our control, including the strength of the general economy and local employment markets and the availability of alternative forms of employment. During periods when we are unable to recruit high-performing agents, we tend to experience higher turnover rates. The productivity of our agents is influenced by their average tenure. Without qualified individuals to serve in customer facing roles, we may produce less commission revenue, which could have a material adverse effect on our business, operating results and financial condition.</w:t>
      </w:r>
    </w:p>
    <w:p>
      <w:pPr>
        <w:spacing w:after="0" w:line="18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Changes and developments in the health insurance system and laws and regulations governing the health insurance markets in the United States could materially adversely affect our business, operating results, financial condition and qualified prospects.</w:t>
      </w:r>
    </w:p>
    <w:p>
      <w:pPr>
        <w:spacing w:after="0" w:line="176"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Our business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in March 2010, the ACA became law. The ACA substantially changed the way healthcare is financed by both commercial and government payers and contains a number of provisions that impact our business and operations, including the expansion of Medicaid eligibility to additional categories of individuals. Since its enactment, there have been judicial and Congressional challenges to certain aspects of the ACA, and we expect there will be additional challenges and amendments to the ACA in the future. On December 14, 2018, a Texas U.S. District Court Judge ruled that the ACA is unconstitutional in its entirety because the “individual mandate” was repealed by Congress as part of the Tax Cuts and Jobs Act.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and, on November 10, 2020, the U.S. Supreme Court heard oral arguments. It remains unclear when or how the Supreme Court will rule. It is also unclear how other efforts to challenge, repeal, or replace the ACA will impact the ACA or our business.</w:t>
      </w:r>
    </w:p>
    <w:p>
      <w:pPr>
        <w:spacing w:after="0" w:line="212"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Additionally, ongoing health reform efforts and measures may expand the role of government-sponsored coverage, including single payer or so called “Medicare-for-All” proposals, which could have far-reaching implications for the insurance industry if enacted. Some proposals would seek to eliminate the private marketplace, whereas others would expand a government-sponsored option to a larger population. The results of the 2020 U.S. presidential and congressional elections have created regulatory uncertainty, including with respect to the U.S. government’s role, in the U.S. healthcare industry. As a result of such elections, there are renewed and reinvigorated calls for health insurance reform, which could cause significant uncertainty in the U.S. healthcare market, could increase our costs, decrease our revenues or inhibit our ability to sell our products. We are unable to predict the full impact of healthcare reform initiatives on our operations in light of the uncertainty of whether initiatives will be successful and the uncertainty regarding the terms and timing of any provisions enacted and the impact of any of those provisions on various healthcare and insurance industry participants. In particular, because our platform provides customers with a venue to shop for insurance policies from a curated panel of the nation’s leading carriers, the expansion of government-sponsored coverage through “Medicare-for-All” or the implantation of a single payer system may materially and adversely impact our business, operating results, financial condition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304800</wp:posOffset>
            </wp:positionV>
            <wp:extent cx="8255"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304800</wp:posOffset>
            </wp:positionV>
            <wp:extent cx="8890"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ectPr>
          <w:pgSz w:w="11900" w:h="16838" w:orient="portrait"/>
          <w:cols w:equalWidth="0" w:num="3">
            <w:col w:w="4580" w:space="540"/>
            <w:col w:w="1040" w:space="360"/>
            <w:col w:w="4720"/>
          </w:cols>
          <w:pgMar w:left="320" w:top="1323" w:right="339" w:bottom="1440" w:gutter="0" w:footer="0" w:header="0"/>
          <w:type w:val="continuous"/>
        </w:sectPr>
      </w:pPr>
    </w:p>
    <w:bookmarkStart w:id="21" w:name="page22"/>
    <w:bookmarkEnd w:id="21"/>
    <w:p>
      <w:pPr>
        <w:ind w:right="100"/>
        <w:spacing w:after="0" w:line="253" w:lineRule="auto"/>
        <w:rPr>
          <w:sz w:val="20"/>
          <w:szCs w:val="20"/>
          <w:color w:val="auto"/>
        </w:rPr>
      </w:pPr>
      <w:r>
        <w:rPr>
          <w:rFonts w:ascii="Arial" w:cs="Arial" w:eastAsia="Arial" w:hAnsi="Arial"/>
          <w:sz w:val="16"/>
          <w:szCs w:val="16"/>
          <w:color w:val="auto"/>
        </w:rPr>
        <w:t>Changes in laws, regulations and guidelines governing health insurance may also be incompatible with various aspects of our business and require that we make significant modifications to our existing technology or practices, which may be costly and time-consuming to implement and could also harm our business, operating results and financial condition.</w:t>
      </w:r>
    </w:p>
    <w:p>
      <w:pPr>
        <w:spacing w:after="0" w:line="20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For instance, some carriers compensate us for marketing services, consistent with CMS regulations. If regulatory developments limit or remove the ability for carriers to compensate us through these funds, or the government determines that our arrangements do not meet the regulatory requirements, the compensation we receive from carriers would decline, which would materially and adversely impact our business, operating results and financial condition.</w:t>
      </w:r>
    </w:p>
    <w:p>
      <w:pPr>
        <w:spacing w:after="0" w:line="20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Various aspects of healthcare reform could also cause carriers to discontinue certain health insurance products or prohibit us from distributing certain health insurance products in particular jurisdictions. We rely heavily on SNPs during the special enrollment periods, which allows us to utilize our agents throughout the year. If states adopt new laws and regulations or modify the existing laws and regulations governing Medicaid, such changes could decrease the number of individuals eligible for Dual Eligible Special Needs Plans, or D-SNP, which could have a material adverse impact on our business, operating results and financial condition.Our business, operating results, financial condition and prospects may be materially and adversely affected if we are unable to adapt to developments in healthcare reform in the United States.</w:t>
      </w:r>
    </w:p>
    <w:p>
      <w:pPr>
        <w:spacing w:after="0" w:line="185"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b w:val="1"/>
          <w:bCs w:val="1"/>
          <w:i w:val="1"/>
          <w:iCs w:val="1"/>
          <w:color w:val="auto"/>
        </w:rPr>
        <w:t>Our business could be harmed if we are unable to effectively advertise our products on a cost-effective basis or market the availability of our products through specific channels.</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use the Internet, television, radio, mail, e-mail and the telephone, among other channels, to market our services and to communicate with qualified prospects or our existing customers. Some of our competitors have greater financial resources, which enable them to purchase significantly more advertising than we are able to purchase. Further, the cost of marketing and advertising may fluctuate significantly based on demand. If the cost of marketing and advertising increases for any reason, we may not be able to purchase as many advertisements as we typically would or would have to incur greater costs to do so. For example, we saw significant increase in the demand for television and radio advertisements as leading up to the U.S. presidential election in November 2020. The election coincided with the Medicare annual enrollment period, which is a period of heightened television and radio advertising for our business. As a result of this increase in demand and costs, we may not be able to purchase all of the television and radio advertising we typically purchase during a Medicare annual enrollment period or we may have to pay more to purchase television and radio advertisements, which could materially and adversely impact our business, financial condition and results of operations.</w:t>
      </w:r>
    </w:p>
    <w:p>
      <w:pPr>
        <w:spacing w:after="0" w:line="206"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Additionally, we derive a significant portion of our website traffic from consumers who search for health insurance through Internet search engines and through social media. A critical factor in attracting consumers to our website is whether we are prominently displayed in response to an Internet search relating to health insurance or on a social media platform. Search engines typically provide two types of search results, algorithmic listings and paid advertisements. We rely primarily on paid advertisements to attract consumers to our websites and otherwise generate demand for our services. To the extent the competition for advertising is high, we may experience increases in the cost of paid Internet search advertising and social media advertising. Further, the competition for search engine placement and social media presence increases substantially during the enrollment periods for Medicare-related health insurance and for individual and family health insurance. If paid search advertising costs or social media advertising costs increase or become cost prohibitive, whether as a result of competition, algorithm changes or otherwise, our advertising expenses could rise significantly or we could reduce or discontinue our paid search advertisements or social media advertisements, in either case which would harm our business, operating results and financial condition.</w:t>
      </w:r>
    </w:p>
    <w:p>
      <w:pPr>
        <w:spacing w:after="0" w:line="20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Our ability to advertise is also dependent on the laws and regulations governing the advertising and marketing of health insurance products and our other products or services, which continue to evolve and carry significant penalties for violations of law. Changes in technology, the marketplace or consumer preferences may lead to the adoption of additional laws or regulations or changes in interpretation of existing laws or regulations. If new laws or regulations are adopted, or existing laws and regulations are interpreted or enforced, to impose additional restrictions on our ability to advertise to our customers or qualified prospects, we may not be able to communicate with them in a cost-effective manner.</w:t>
      </w:r>
    </w:p>
    <w:p>
      <w:pPr>
        <w:spacing w:after="0" w:line="203"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For example, Internet service providers, e-mail service providers and others attempt to block the transmission of unsolicited e-mail, commonly known as “spam.” Many Internet and e-mail service providers have relationships with organizations whose purpose it is to detect and notify the Internet and e-mail service providers of entities that the organization believes are sending unsolicited e-mail. If an Internet or e-mail service provider identifies e-mail from us as “spam” as a result of reports from these organizations or otherwise, we can be placed on a restricted list that will block our e-mail to customers or qualified prospects. Further, we are subject to the CAN-SPAM Act, which regulates commercial e-mail messages and specifies penalties for the transmission of commercial e-mail messages that do not comply with certain requirements, such as providing an opt-out mechanism for stopping future e-mails from senders.</w:t>
      </w:r>
    </w:p>
    <w:p>
      <w:pPr>
        <w:spacing w:after="0" w:line="39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also use telephones to communicate with and market to customers and prospective customers and some of these communications may be subject to the TCPA, and other telemarketing laws. The TCPA and other laws, including state laws, relating to telemarketing restrict our ability to market and engage in other communications using the telephone in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297815</wp:posOffset>
            </wp:positionV>
            <wp:extent cx="8255"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297815</wp:posOffset>
            </wp:positionV>
            <wp:extent cx="8890"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43" w:right="3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19</w:t>
      </w:r>
    </w:p>
    <w:p>
      <w:pPr>
        <w:sectPr>
          <w:pgSz w:w="11900" w:h="16838" w:orient="portrait"/>
          <w:cols w:equalWidth="0" w:num="3">
            <w:col w:w="4580" w:space="540"/>
            <w:col w:w="1040" w:space="360"/>
            <w:col w:w="4700"/>
          </w:cols>
          <w:pgMar w:left="320" w:top="1343" w:right="359" w:bottom="1440" w:gutter="0" w:footer="0" w:header="0"/>
          <w:type w:val="continuous"/>
        </w:sectPr>
      </w:pPr>
    </w:p>
    <w:bookmarkStart w:id="22" w:name="page23"/>
    <w:bookmarkEnd w:id="22"/>
    <w:p>
      <w:pPr>
        <w:spacing w:after="0" w:line="247" w:lineRule="auto"/>
        <w:rPr>
          <w:sz w:val="20"/>
          <w:szCs w:val="20"/>
          <w:color w:val="auto"/>
        </w:rPr>
      </w:pPr>
      <w:r>
        <w:rPr>
          <w:rFonts w:ascii="Arial" w:cs="Arial" w:eastAsia="Arial" w:hAnsi="Arial"/>
          <w:sz w:val="16"/>
          <w:szCs w:val="16"/>
          <w:color w:val="auto"/>
        </w:rPr>
        <w:t>respects. For instance, the TCPA prohibits us from using an automatic telephone dialing system to make certain telephone calls or transmit text messages to wireless telephone numbers without prior express consent or without consulting the FTC’s national “Do Not Call” registry. We have policies and technical controls in place to comply with the TCPA and other telemarketing laws, including processes and procedures to consult the “Do Not Call” registry and to ensure that automated telephone calls are not performed without obtaining prior consent. However, despite our legal compliance, we have in the past and may in the future become subject to claims that we have violated the TCPA and/or other telemarketing laws. See “—From time to time we are subject to various legal proceedings which could adversely affect our business, financial condition or results of operations.” The TCPA provides for private rights of action and potential statutory damages for each violation and additional penalties for each willful violation, and other telemarketing laws may entail additional remedies. In the event that we are found to have violated the TCPA and/or other telemarketing laws, our business, operating results and financial condition could be harmed and liability incurred. In addition, telephone carriers may block or put customer warnings on calls originating from call centers. Customers increasingly screen their incoming e-mails, telephone calls, and text messages, including by using screening tools and warnings, and, therefore, our customers or qualified prospects may not reliably receive our communications. If we are unable to communicate effectively by e-mail or telephone with our customers and qualified prospects as a result of legislation, blockage, screening technologies or otherwise, our business, operating results and financial condition would be harmed.</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depend on a small group of carriers for a substantial portion of our revenue.</w:t>
      </w:r>
    </w:p>
    <w:p>
      <w:pPr>
        <w:spacing w:after="0" w:line="24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derive a large portion of our revenue from a limited number of carriers. Carriers owned by Humana, Anthem and United accounted for: (i) approximately 40%, 29% and 13%, respectively, of net revenues for the twelve months ended December 31, 2020 and 40%, 20%, and 6%,respectively, of net revenues for the twelve months ended December 31, 2019; (ii) approximately 39%, 32% and 14%, respectively, of Medicare—Internal segment revenue for the twelve months ended December 31, 2020, and 51%, 23% and 0% respectively, of Medicare—Internal segment revenue for the twelve months ended December 31, 2019; and (iii) approximately 58%, 27% and 4%, respectively, of Medicare—External segment revenue for the twelve months ended December 31, 2020 and 46%, 32% and 0%, respectively, of Medicare—External segment revenue for the twelve months ended December 31, 2019.</w:t>
      </w:r>
    </w:p>
    <w:p>
      <w:pPr>
        <w:spacing w:after="0" w:line="205"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In addition, carriers owned by UnitedHealth Group represented approximately 27% of IFP and Other—Internal segment revenue for the twelve months ended December 31, 2020 and for the twelve months ended December 31, 2019.</w:t>
      </w:r>
    </w:p>
    <w:p>
      <w:pPr>
        <w:spacing w:after="0" w:line="19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Our agreements with carriers to sell policies are typically terminable by our carriers without cause. Should we become dependent on fewer carrier relationships (whether as a result of the termination of carrier relationships, carrier consolidation or otherwise), we may become more vulnerable to adverse changes in our relationships with carriers, particularly in states where we distribute insurance from a relatively smaller number of carriers or where a small number of carriers dominate the market, and our business, operating results and financial condition could be harmed.</w:t>
      </w:r>
    </w:p>
    <w:p>
      <w:pPr>
        <w:spacing w:after="0" w:line="182"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b w:val="1"/>
          <w:bCs w:val="1"/>
          <w:i w:val="1"/>
          <w:iCs w:val="1"/>
          <w:color w:val="auto"/>
        </w:rPr>
        <w:t>If investments we make in enrollment periods do not result in a significant number of Approved Submissions, our business, operating results and financial condition would be harmed.</w:t>
      </w:r>
    </w:p>
    <w:p>
      <w:pPr>
        <w:spacing w:after="0" w:line="176"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 an attempt to attract and enroll a large number of individuals during the Medicare annual enrollment period and the healthcare reform open enrollment period, we may invest in areas of our business, including technology and content, customer care and enrollment, and marketing and advertising. We have in the past made investments in areas of our business in advance of enrollment periods that have not yielded the results we expected when making those investments. Any investment we make in any enrollment period may not result in a significant number of Approved Submissions to offset the investments we make. To the extent our investment does not yield a significant number of Approved Submissions, our business, operating results and financial condition would be harmed.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carriers to prepare accurate commission reports and send them to us in a timely manner.</w:t>
      </w:r>
    </w:p>
    <w:p>
      <w:pPr>
        <w:spacing w:after="0" w:line="24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Our carriers typically pay us a specified percentage of the premium amount collected by the carrier or a flat rate per policy during the period that a consumer maintains coverage under a policy. We rely on carriers to report the amount of commissions we earn accurately and on time. We use carriers’ commission reports to calculate our revenue, prepare our financial reports, projections, and budgets and direct our marketing and other operating efforts. It is often difficult for us to independently determine whether carriers are reporting all commissions due to us, primarily because the majority of the purchasers of our insurance products who terminate their policies do so by discontinuing their premium payments to the carrier instead of informing us of the cancellation. For example, there have been instances where we have determined that policy cancellation data reported to us by a carrier has not been accurate. To the extent that carriers inaccurately or belatedly report the amount of commissions due to us, we may not be able to collect and recognize revenue to which we are entitled, which would harm our business, operating results and financial condition. In addition, the technological connections of our systems with the carriers’ systems that provide us up-to-date information about coverage and commissions could fail or carriers could cease providing us with access to this information, which could impede our ability to compile our operating results in a timely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300355</wp:posOffset>
            </wp:positionV>
            <wp:extent cx="8255" cy="120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300355</wp:posOffset>
            </wp:positionV>
            <wp:extent cx="8890" cy="1200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43" w:right="35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20</w:t>
      </w:r>
    </w:p>
    <w:p>
      <w:pPr>
        <w:sectPr>
          <w:pgSz w:w="11900" w:h="16838" w:orient="portrait"/>
          <w:cols w:equalWidth="0" w:num="3">
            <w:col w:w="4580" w:space="540"/>
            <w:col w:w="1040" w:space="360"/>
            <w:col w:w="4700"/>
          </w:cols>
          <w:pgMar w:left="320" w:top="1343" w:right="359" w:bottom="1440" w:gutter="0" w:footer="0" w:header="0"/>
          <w:type w:val="continuous"/>
        </w:sectPr>
      </w:pPr>
    </w:p>
    <w:bookmarkStart w:id="23" w:name="page24"/>
    <w:bookmarkEnd w:id="23"/>
    <w:p>
      <w:pPr>
        <w:ind w:right="240"/>
        <w:spacing w:after="0" w:line="286" w:lineRule="auto"/>
        <w:rPr>
          <w:sz w:val="20"/>
          <w:szCs w:val="20"/>
          <w:color w:val="auto"/>
        </w:rPr>
      </w:pPr>
      <w:r>
        <w:rPr>
          <w:rFonts w:ascii="Arial" w:cs="Arial" w:eastAsia="Arial" w:hAnsi="Arial"/>
          <w:sz w:val="16"/>
          <w:szCs w:val="16"/>
          <w:b w:val="1"/>
          <w:bCs w:val="1"/>
          <w:i w:val="1"/>
          <w:iCs w:val="1"/>
          <w:color w:val="auto"/>
        </w:rPr>
        <w:t>Changes in the health insurance market or in the variety, quality and affordability of the insurance products offered by carriers could harm our business, operating results and financial condition.</w:t>
      </w:r>
    </w:p>
    <w:p>
      <w:pPr>
        <w:spacing w:after="0" w:line="176"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demand for our agency services is impacted by the variety, quality and price of the insurance products we distribute. If insurance carriers do not continue to provide us with a variety of insurance products, or if as a result of consolidation in the insurance industry or for any other reason the choices of carrier products that we are able to offer are limited, our sales may decrease and our business, operating results and financial condition could be harmed.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quarterly results of operations may fluctuate significantly due to seasonality.</w:t>
      </w:r>
    </w:p>
    <w:p>
      <w:pPr>
        <w:spacing w:after="0" w:line="24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Medicare annual enrollment period occurs from October 15th to December 7th each year.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1st to March 31st, commission revenue is typically second-highest in our first quarter. The individual and family health insurance open enrollment period runs from November 1st through December 15th of each year for most states, and we expect the number of approved applications for individual and family health insurance to be higher in the fourth quarter compared to other quarters of the year as a result.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39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seasonality of our business could change in the future due to other factors, including as a result of changes in timing of the Medicare or individual and family health plan enrollment periods and changes in the laws and regulations that govern the sale of health insurance. We may not be able to timely adjust to changes in the seasonality of our business. If the timing of the enrollment periods for Medicare-related health insurance or individual and family health insurance changes, we may not be able to timely adapt to changes in customer demand. If we are not successful in responding to changes in the seasonality of our business, our business, operating results and financial condition could be harmed.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Pressure from existing and new competitors may adversely affect our business, operating results and financial condition.</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Our competitors provide services designed to help customers shop for insurance. Some of these competitors include:</w:t>
      </w:r>
    </w:p>
    <w:p>
      <w:pPr>
        <w:spacing w:after="0" w:line="221" w:lineRule="exact"/>
        <w:rPr>
          <w:sz w:val="20"/>
          <w:szCs w:val="20"/>
          <w:color w:val="auto"/>
        </w:rPr>
      </w:pPr>
    </w:p>
    <w:p>
      <w:pPr>
        <w:ind w:left="660" w:right="24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companies that operate insurance search websites or websites that provide quote information or the opportunity to purchase insurance products online, including aggregators and lead generators;</w:t>
      </w:r>
    </w:p>
    <w:p>
      <w:pPr>
        <w:spacing w:after="0" w:line="195"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companies that advertise primarily through the television;</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individual insurance carriers, including through the operation of their own websites, physical storefront operations and broker arrangements;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traditional insurance agents or brokers; and</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field marketing organizations.</w:t>
      </w:r>
    </w:p>
    <w:p>
      <w:pPr>
        <w:spacing w:after="0" w:line="22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New competitors may enter the market for the distribution of insurance products with competing insurance platforms, which could have an adverse effect on our business, operating results and financial condition. Our competitors could significantly impede our ability to maintain or increase the number of policies sold through our platform and may develop and market new technologies that render our platform less competitive or obsolete. In addition, if our competitors develop platforms with similar or superior functionality to ours and we are not able to produce certain volumes for our carriers, we may see a reduction in our marketing payments and our revenue would likely be reduced and our business, operating results and financial condition would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successfully compete with government-run health insurance exchanges, our business may be harmed.</w:t>
      </w:r>
    </w:p>
    <w:p>
      <w:pPr>
        <w:spacing w:after="0" w:line="24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Our business competes with government-run health insurance exchanges with respect to our sale of Medicare-related health insurance and individual and family plans. Consumers can shop for and purchase Medicare Advantage and Medicare Part D Prescription Drug plans through a website operated by the federal government and can also obtain plan selection assistance from the federal government in connection with their purchase of a Medicare Advantage and Medicare Part D Prescription Drug plan. Competition from government-run health insurance exchanges could increase our marketing costs, reduce our revenue and could otherwise harm our business, operating results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299085</wp:posOffset>
            </wp:positionV>
            <wp:extent cx="8255"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299085</wp:posOffset>
            </wp:positionV>
            <wp:extent cx="8890" cy="1200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00"/>
          </w:cols>
          <w:pgMar w:left="320" w:top="1323" w:right="37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21</w:t>
      </w:r>
    </w:p>
    <w:p>
      <w:pPr>
        <w:sectPr>
          <w:pgSz w:w="11900" w:h="16838" w:orient="portrait"/>
          <w:cols w:equalWidth="0" w:num="3">
            <w:col w:w="4580" w:space="540"/>
            <w:col w:w="1040" w:space="360"/>
            <w:col w:w="4680"/>
          </w:cols>
          <w:pgMar w:left="320" w:top="1323" w:right="379" w:bottom="1440" w:gutter="0" w:footer="0" w:header="0"/>
          <w:type w:val="continuous"/>
        </w:sectPr>
      </w:pPr>
    </w:p>
    <w:bookmarkStart w:id="24" w:name="page25"/>
    <w:bookmarkEnd w:id="24"/>
    <w:p>
      <w:pPr>
        <w:ind w:right="60"/>
        <w:spacing w:after="0" w:line="286" w:lineRule="auto"/>
        <w:rPr>
          <w:sz w:val="20"/>
          <w:szCs w:val="20"/>
          <w:color w:val="auto"/>
        </w:rPr>
      </w:pPr>
      <w:r>
        <w:rPr>
          <w:rFonts w:ascii="Arial" w:cs="Arial" w:eastAsia="Arial" w:hAnsi="Arial"/>
          <w:sz w:val="16"/>
          <w:szCs w:val="16"/>
          <w:b w:val="1"/>
          <w:bCs w:val="1"/>
          <w:i w:val="1"/>
          <w:iCs w:val="1"/>
          <w:color w:val="auto"/>
        </w:rPr>
        <w:t>If we fail to comply with certain healthcare laws, including fraud and abuse laws, we could face substantial penalties and our business, results of operations and financial condition could be adversely affected.</w:t>
      </w:r>
    </w:p>
    <w:p>
      <w:pPr>
        <w:spacing w:after="0" w:line="176" w:lineRule="exact"/>
        <w:rPr>
          <w:sz w:val="20"/>
          <w:szCs w:val="20"/>
          <w:color w:val="auto"/>
        </w:rPr>
      </w:pPr>
    </w:p>
    <w:p>
      <w:pPr>
        <w:jc w:val="both"/>
        <w:ind w:right="600"/>
        <w:spacing w:after="0" w:line="253" w:lineRule="auto"/>
        <w:rPr>
          <w:sz w:val="20"/>
          <w:szCs w:val="20"/>
          <w:color w:val="auto"/>
        </w:rPr>
      </w:pPr>
      <w:r>
        <w:rPr>
          <w:rFonts w:ascii="Arial" w:cs="Arial" w:eastAsia="Arial" w:hAnsi="Arial"/>
          <w:sz w:val="16"/>
          <w:szCs w:val="16"/>
          <w:color w:val="auto"/>
        </w:rPr>
        <w:t>Our arrangements with carriers, particularly those that contract with federal healthcare care programs, are highly regulated and subject us to broadly applicable federal and state fraud and abuse and other federal and state healthcare laws and regulations. These laws may constrain the business or financial arrangements and relationships through which we conduct our operations, including the following:</w:t>
      </w:r>
    </w:p>
    <w:p>
      <w:pPr>
        <w:spacing w:after="0" w:line="201" w:lineRule="exact"/>
        <w:rPr>
          <w:sz w:val="20"/>
          <w:szCs w:val="20"/>
          <w:color w:val="auto"/>
        </w:rPr>
      </w:pPr>
    </w:p>
    <w:p>
      <w:pPr>
        <w:ind w:left="660" w:hanging="328"/>
        <w:spacing w:after="0" w:line="248"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federal Anti-Kickback Statute, or the AKS, which prohibits, among other things, any person or entity from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There are a number of statutory exceptions and regulatory safe harbors protecting some common activities from prosecution; however, these are drawn narrowly and require strict compliance in order to offer protection. Additionally, a person or entity does not need to have actual knowledge of the statute or specific intent to violate it in order to have committed a violation;</w:t>
      </w:r>
    </w:p>
    <w:p>
      <w:pPr>
        <w:spacing w:after="0" w:line="208" w:lineRule="exact"/>
        <w:rPr>
          <w:rFonts w:ascii="Arial" w:cs="Arial" w:eastAsia="Arial" w:hAnsi="Arial"/>
          <w:sz w:val="16"/>
          <w:szCs w:val="16"/>
          <w:color w:val="auto"/>
        </w:rPr>
      </w:pPr>
    </w:p>
    <w:p>
      <w:pPr>
        <w:ind w:left="660" w:right="20" w:hanging="328"/>
        <w:spacing w:after="0" w:line="249"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federal false claims, including the civil False Claims Act, which, among other things, impose criminal and civil penalties against individuals or entities for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The False Claims Act can be enforced by private citizens through civil qui tam actions. A claim includes “any request or demand” for money or property presented to the U.S. government;</w:t>
      </w:r>
    </w:p>
    <w:p>
      <w:pPr>
        <w:spacing w:after="0" w:line="204" w:lineRule="exact"/>
        <w:rPr>
          <w:rFonts w:ascii="Arial" w:cs="Arial" w:eastAsia="Arial" w:hAnsi="Arial"/>
          <w:sz w:val="16"/>
          <w:szCs w:val="16"/>
          <w:color w:val="auto"/>
        </w:rPr>
      </w:pPr>
    </w:p>
    <w:p>
      <w:pPr>
        <w:ind w:left="660" w:right="40" w:hanging="328"/>
        <w:spacing w:after="0" w:line="253"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01" w:lineRule="exact"/>
        <w:rPr>
          <w:rFonts w:ascii="Arial" w:cs="Arial" w:eastAsia="Arial" w:hAnsi="Arial"/>
          <w:sz w:val="16"/>
          <w:szCs w:val="16"/>
          <w:color w:val="auto"/>
        </w:rPr>
      </w:pPr>
    </w:p>
    <w:p>
      <w:pPr>
        <w:ind w:left="660" w:right="40" w:hanging="328"/>
        <w:spacing w:after="0" w:line="248"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Health Insurance Portability and Accountability Act, or HIPAA, which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payers, willingly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need not have actual knowledge of the statute or specific intent to violate it in order to have committed a violation; and</w:t>
      </w:r>
    </w:p>
    <w:p>
      <w:pPr>
        <w:spacing w:after="0" w:line="208" w:lineRule="exact"/>
        <w:rPr>
          <w:rFonts w:ascii="Arial" w:cs="Arial" w:eastAsia="Arial" w:hAnsi="Arial"/>
          <w:sz w:val="16"/>
          <w:szCs w:val="16"/>
          <w:color w:val="auto"/>
        </w:rPr>
      </w:pPr>
    </w:p>
    <w:p>
      <w:pPr>
        <w:ind w:left="660" w:right="12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be more restrictive and may apply to healthcare items or services reimbursed by non-governmental third-party payors, including private insurers, or by the patients themselves.</w:t>
      </w:r>
    </w:p>
    <w:p>
      <w:pPr>
        <w:spacing w:after="0" w:line="19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187"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b w:val="1"/>
          <w:bCs w:val="1"/>
          <w:i w:val="1"/>
          <w:iCs w:val="1"/>
          <w:color w:val="auto"/>
        </w:rPr>
        <w:t>We operate in a complex state regulatory environment that is constantly changing. If we fail to comply with the numerous state laws and regulations that are applicable to the sale of health insurance, our business, operating results and financial condition could be harmed.</w:t>
      </w:r>
    </w:p>
    <w:p>
      <w:pPr>
        <w:spacing w:after="0" w:line="17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offer, sale and purchase of health insurance is heavily regulated by various states and the regulatory landscape is constantly changing. States have adopted and will continue to adopt new laws and regulations, including in response to healthcare reform legislation and it is difficult to predict how these new laws and regulations will impact our business. In some cases such laws and regulations could amplify the adverse impacts of healthcare reform to our business, or states may adopt new requirements that adversely impact our business, operating results and financial condition.. These rules and regulations could adversely impact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299085</wp:posOffset>
            </wp:positionV>
            <wp:extent cx="8255" cy="120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299085</wp:posOffset>
            </wp:positionV>
            <wp:extent cx="8890"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22</w:t>
      </w:r>
    </w:p>
    <w:p>
      <w:pPr>
        <w:sectPr>
          <w:pgSz w:w="11900" w:h="16838" w:orient="portrait"/>
          <w:cols w:equalWidth="0" w:num="3">
            <w:col w:w="4580" w:space="540"/>
            <w:col w:w="1040" w:space="360"/>
            <w:col w:w="4700"/>
          </w:cols>
          <w:pgMar w:left="320" w:top="1323" w:right="359" w:bottom="1440" w:gutter="0" w:footer="0" w:header="0"/>
          <w:type w:val="continuous"/>
        </w:sectPr>
      </w:pPr>
    </w:p>
    <w:bookmarkStart w:id="25" w:name="page26"/>
    <w:bookmarkEnd w:id="25"/>
    <w:p>
      <w:pPr>
        <w:ind w:right="320"/>
        <w:spacing w:after="0" w:line="260" w:lineRule="auto"/>
        <w:rPr>
          <w:sz w:val="20"/>
          <w:szCs w:val="20"/>
          <w:color w:val="auto"/>
        </w:rPr>
      </w:pPr>
      <w:r>
        <w:rPr>
          <w:rFonts w:ascii="Arial" w:cs="Arial" w:eastAsia="Arial" w:hAnsi="Arial"/>
          <w:sz w:val="16"/>
          <w:szCs w:val="16"/>
          <w:color w:val="auto"/>
        </w:rPr>
        <w:t>business because carriers may exit the market of selling such plans due to regulatory concerns, determine it is not profitable to sell the plans or increase plan premiums to a degree that reduces customer demand for them.</w:t>
      </w:r>
    </w:p>
    <w:p>
      <w:pPr>
        <w:spacing w:after="0" w:line="19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Additionally, a long-standing provision in almost all states’ laws provides that once health insurance premiums are set by the carrier and approved by state regulators, they are fixed and not generally subject to negotiation or discounting by insurance companies or agents. State regulations generally prohibit carriers, agents and brokers from providing financial incentives, such as rebates, to their customers in connection with the sale of health insurance. As a result, we do not currently compete with carriers or other agents and brokers on the price of the health insurance plans offered on our website. If these regulations change, we could be forced to reduce prices or provide rebates or other incentives for the health insurance plans sold through our technology platform, which would harm our business, operating results and financial condition. Although commissions do not currently have to be disclosed to the public, if commissions become more regulated and commissions paid to us have to be disclosed, it is possible that carriers may lower our commission rates, which could reduce our revenue.</w:t>
      </w:r>
    </w:p>
    <w:p>
      <w:pPr>
        <w:spacing w:after="0" w:line="20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State regulators require us to maintain a valid license in each state in which we transact health insurance business and further require that we adhere to sales, documentation and administration practices specific to that state. We must maintain our health insurance licenses to continue selling plans and to continue to receive commissions from carriers. In addition, each employee who transacts health insurance business on our behalf must maintain a valid license in one or more states. Because we do business in all 50 states and the District of Columbia, compliance with health insurance-related laws, rules and regulations is difficult and imposes significant costs on our business.</w:t>
      </w:r>
    </w:p>
    <w:p>
      <w:pPr>
        <w:spacing w:after="0" w:line="20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addition, we must ensure that our agents have received all licenses, appointments and certifications required by state authorities and our carriers in order to transact business. If the relevant state authorities or our carriers experience shutdowns or continued business disruptions due to the COVID-19 pandemic, we may be unable to secure these required licenses, appointments and certifications for our agents in a timely manner, or at all.</w:t>
      </w:r>
    </w:p>
    <w:p>
      <w:pPr>
        <w:spacing w:after="0" w:line="201"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Due to the complexity, periodic modification and differing interpretations of state insurance laws and regulations, we may not have always been, and we may not always be, in compliance with them. New state insurance laws, regulations and guidelines also may not be compatible with the sale of health insurance over the Internet or with various aspects of our platform or manner of marketing or selling health insurance plans. Failure to comply with insurance laws, regulations and guidelines or other laws and regulations applicable to our business could result in significant liability, additional department of insurance licensing requirements, required modification of our advertising and business practices, the revocation of our licenses in a particular jurisdiction, termination of our relationship with carriers, loss of commissions and/or our inability to sell health insurance plans, which could significantly increase our operating expenses, result in the loss of carrier relationships and our commission revenue and otherwise harm our business, operating results and financial condition. Moreover, an adverse regulatory action in one jurisdiction could result in penalties and adversely affect our license status, business or reputation in other jurisdictions due to the requirement that adverse regulatory actions in one jurisdiction be reported to other jurisdictions. We have received, and may in the future receive, inquiries from regulators regarding our marketing and business practices and compliance with laws and regulations. We may be required to modify our practices in connection with the inquiries. Failure to adequately respond to such inquiries could result in adverse regulatory action that could harm our business, operating results and financial condition. Even if the allegations in any regulatory or other action against us are proven false, any surrounding negative publicity could harm consumer, marketing partner or carrier confidence in us, which could significantly damage our brand.</w:t>
      </w:r>
    </w:p>
    <w:p>
      <w:pPr>
        <w:spacing w:after="0" w:line="19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If we are not successful in cost-effectively converting consumer leads into customers for which we receive commissions, our business, operating results and financial condition would be harmed.</w:t>
      </w:r>
    </w:p>
    <w:p>
      <w:pPr>
        <w:spacing w:after="0" w:line="17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Obtaining quality consumer leads is important to our business, but our ability to convert these consumer leads to customers is also a key to our success. Our growth depends in large part upon growth in Approved Submissions in a given period. The rate at which we grow our Approved Submissions directly impacts our revenue. In addition, the rate at which Submitted Policies turn into commissionable Approved Submissions impacts the expected LTV of our customers, which impacts the revenue that we are able to recognize. A number of factors have influenced, and could in the future influence, these conversion rates for any given period, some of which are outside of our control. These factors include:</w:t>
      </w:r>
    </w:p>
    <w:p>
      <w:pPr>
        <w:spacing w:after="0" w:line="203" w:lineRule="exact"/>
        <w:rPr>
          <w:sz w:val="20"/>
          <w:szCs w:val="20"/>
          <w:color w:val="auto"/>
        </w:rPr>
      </w:pPr>
    </w:p>
    <w:p>
      <w:pPr>
        <w:ind w:left="660" w:right="80" w:hanging="328"/>
        <w:spacing w:after="0" w:line="253"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customer shopping behavior due to circumstances outside of our control, such as economic conditions, customers’ ability or willingness to pay for health insurance, adverse weather conditions or natural disasters, the effects of pandemics, such as COVID-19, availability of unemployment benefits or proposed or enacted legislative or regulatory changes impacting our business, including healthcare reform;</w:t>
      </w:r>
    </w:p>
    <w:p>
      <w:pPr>
        <w:spacing w:after="0" w:line="201"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quality of, and changes to, the customer experience on our platform;</w:t>
      </w:r>
    </w:p>
    <w:p>
      <w:pPr>
        <w:spacing w:after="0" w:line="221" w:lineRule="exact"/>
        <w:rPr>
          <w:rFonts w:ascii="Arial" w:cs="Arial" w:eastAsia="Arial" w:hAnsi="Arial"/>
          <w:sz w:val="16"/>
          <w:szCs w:val="16"/>
          <w:color w:val="auto"/>
        </w:rPr>
      </w:pPr>
    </w:p>
    <w:p>
      <w:pPr>
        <w:ind w:left="660" w:right="52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regulatory requirements, including those that make the experience on our platform cumbersome or difficult to navigate or reduce the ability of customers to purchase plans outside of enrollment periods;</w:t>
      </w:r>
    </w:p>
    <w:p>
      <w:pPr>
        <w:spacing w:after="0" w:line="19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variety, competitiveness and affordability of the health insurance plans that we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310515</wp:posOffset>
            </wp:positionV>
            <wp:extent cx="8255" cy="1200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310515</wp:posOffset>
            </wp:positionV>
            <wp:extent cx="8890" cy="1200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23</w:t>
      </w:r>
    </w:p>
    <w:p>
      <w:pPr>
        <w:sectPr>
          <w:pgSz w:w="11900" w:h="16838" w:orient="portrait"/>
          <w:cols w:equalWidth="0" w:num="3">
            <w:col w:w="4580" w:space="540"/>
            <w:col w:w="1040" w:space="360"/>
            <w:col w:w="4720"/>
          </w:cols>
          <w:pgMar w:left="320" w:top="1343" w:right="339" w:bottom="1440" w:gutter="0" w:footer="0" w:header="0"/>
          <w:type w:val="continuous"/>
        </w:sectPr>
      </w:pPr>
    </w:p>
    <w:bookmarkStart w:id="26" w:name="page27"/>
    <w:bookmarkEnd w:id="26"/>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system failures or interruptions in the operation of our technology platform or call center operations;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the mix of customers who are referred to us through our direct, marketing partner and online advertising customer acquisition channels;</w:t>
      </w:r>
    </w:p>
    <w:p>
      <w:pPr>
        <w:spacing w:after="0" w:line="221" w:lineRule="exact"/>
        <w:rPr>
          <w:rFonts w:ascii="Arial" w:cs="Arial" w:eastAsia="Arial" w:hAnsi="Arial"/>
          <w:sz w:val="16"/>
          <w:szCs w:val="16"/>
          <w:color w:val="auto"/>
        </w:rPr>
      </w:pPr>
    </w:p>
    <w:p>
      <w:pPr>
        <w:ind w:left="660" w:right="34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carriers offering health insurance plans for which customers have expressed interest, and the degree to which our technology is integrated with those carriers;</w:t>
      </w:r>
    </w:p>
    <w:p>
      <w:pPr>
        <w:spacing w:after="0" w:line="195" w:lineRule="exact"/>
        <w:rPr>
          <w:rFonts w:ascii="Arial" w:cs="Arial" w:eastAsia="Arial" w:hAnsi="Arial"/>
          <w:sz w:val="16"/>
          <w:szCs w:val="16"/>
          <w:color w:val="auto"/>
        </w:rPr>
      </w:pPr>
    </w:p>
    <w:p>
      <w:pPr>
        <w:ind w:left="660" w:right="1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carrier guidelines applicable to applications submitted by customers, the amount of time a carrier takes to make a decision on that application and the percentage of submitted applications approved by carriers;</w:t>
      </w:r>
    </w:p>
    <w:p>
      <w:pPr>
        <w:spacing w:after="0" w:line="195"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effectiveness of agents in assisting customers; and</w:t>
      </w:r>
    </w:p>
    <w:p>
      <w:pPr>
        <w:spacing w:after="0" w:line="221" w:lineRule="exact"/>
        <w:rPr>
          <w:rFonts w:ascii="Arial" w:cs="Arial" w:eastAsia="Arial" w:hAnsi="Arial"/>
          <w:sz w:val="16"/>
          <w:szCs w:val="16"/>
          <w:color w:val="auto"/>
        </w:rPr>
      </w:pPr>
    </w:p>
    <w:p>
      <w:pPr>
        <w:ind w:left="660" w:right="10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enroll subsidy-eligible individuals in qualified health plans through government-run health insurance exchanges and the efficacy of the process we are required to use to do so.</w:t>
      </w:r>
    </w:p>
    <w:p>
      <w:pPr>
        <w:spacing w:after="0" w:line="19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conversion rates can be impacted by changes in the mix of customers referred to us through our customer acquisition channels. We may make changes to our technology platform in response to regulatory requirements or undertake other initiatives in an attempt to improve the customer experience or for other reasons. These changes have in the past, and may in the future have the unintended consequence of adversely impacting our conversion rates. A decline in the percentage of consumers who submit health insurance applications on our platform and are converted into approved customers could cause an increase in our CAC and impact our revenue in any given period. To the extent our conversion rate suffers, our customer base may decline, which would harm our business, operating results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receive commission payments from carriers over time, but incur significant upfront expenses to enroll customers.</w:t>
      </w:r>
    </w:p>
    <w:p>
      <w:pPr>
        <w:spacing w:after="0" w:line="241"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The enrollment of consumers on our platform requires significant upfront expenses, including marketing and advertising expenses and customer care and enrollment expenses, in order to generate qualified prospects, educate and enroll those consumers in our products and plans, and submit completed applications to carriers. However, the resulting commissions are generally paid to us over time, with the first payments often several weeks or months after we submit completed applications to our carriers. These factors cause us to require significant cash to fund our working capital needs, and our operating cash flows could be adversely impacted by a substantial increase in the volume of applications submitted by us.</w:t>
      </w:r>
    </w:p>
    <w:p>
      <w:pPr>
        <w:spacing w:after="0" w:line="183"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b w:val="1"/>
          <w:bCs w:val="1"/>
          <w:i w:val="1"/>
          <w:iCs w:val="1"/>
          <w:color w:val="auto"/>
        </w:rPr>
        <w:t>If we are unable to maintain effective relationships with our existing third-party marketing companies or if we do not establish successful relationships with new marketing companies our business, operating results and financial condition could be harmed.</w:t>
      </w:r>
    </w:p>
    <w:p>
      <w:pPr>
        <w:spacing w:after="0" w:line="176"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We frequently enter into contractual marketing relationships with online and offline businesses that help us acquire consumer leads. These marketing partners include television advertisers, online advertising companies, call referral programs, and other marketing vendors. We compensate some marketing companies on a fee-per-service model and some on a submitted health insurance application basis. The success of our relationship with each marketing company is dependent on a number of factors, including but not limited to: the continued positive market presence, reputation and growth of the marketing company, the effectiveness of the marketing company’s advertisements, the compliance of each marketing company with applicable laws, regulations and guidelines and the contractual terms we negotiate with the marketing company, including the marketing fees we agree to pay.</w:t>
      </w:r>
    </w:p>
    <w:p>
      <w:pPr>
        <w:spacing w:after="0" w:line="20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While we have relationships with a large number of marketing companies, we depend upon services and/or referrals from only a limited number for a significant portion of the submitted applications we receive. Given our reliance on various marketing companies, our business operating results and financial condition would be harmed if (i) we are unable to maintain successful relationships with these companies; (ii) we fail to establish successful relationships with new marketing companies; (iii) we experience competition in our provision of services from key marketing companies; and (iv) if we are required to pay increased amounts to these marketing companies.</w:t>
      </w:r>
    </w:p>
    <w:p>
      <w:pPr>
        <w:spacing w:after="0" w:line="20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Competition for referrals from third-party lead referral companies has increased particularly during the enrollment periods for Medicare-related health insurance and individual and family health insurance. We may lose referrals if our competitors pay these companies more than we do or be forced to pay increased fees, which could harm our business, operating results and financial condition. In addition, the promulgation of laws, regulations or guidelines, or the interpretation of existing laws, regulations and guidelines, by state departments of insurance or by CMS, could cause our relationships with third-party referral companies to be in non-compliance with those laws, regulations and guidelines. If CMS or state departments of insurance were to change existing laws, regulations or guidelines, or interpret existing laws, regulations or guidelines, to prohibit these arrangements, we could experience a significant decline in the number of Medicare-eligible individuals who are referred to our platforms and Benefits Center, which would harm our business, operating results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301625</wp:posOffset>
            </wp:positionV>
            <wp:extent cx="8255" cy="1200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301625</wp:posOffset>
            </wp:positionV>
            <wp:extent cx="8890"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43" w:right="35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ectPr>
          <w:pgSz w:w="11900" w:h="16838" w:orient="portrait"/>
          <w:cols w:equalWidth="0" w:num="3">
            <w:col w:w="4580" w:space="540"/>
            <w:col w:w="1040" w:space="360"/>
            <w:col w:w="4700"/>
          </w:cols>
          <w:pgMar w:left="320" w:top="1343" w:right="359" w:bottom="1440" w:gutter="0" w:footer="0" w:header="0"/>
          <w:type w:val="continuous"/>
        </w:sectPr>
      </w:pPr>
    </w:p>
    <w:bookmarkStart w:id="27" w:name="page28"/>
    <w:bookmarkEnd w:id="27"/>
    <w:p>
      <w:pPr>
        <w:ind w:right="140"/>
        <w:spacing w:after="0" w:line="286" w:lineRule="auto"/>
        <w:rPr>
          <w:sz w:val="20"/>
          <w:szCs w:val="20"/>
          <w:color w:val="auto"/>
        </w:rPr>
      </w:pPr>
      <w:r>
        <w:rPr>
          <w:rFonts w:ascii="Arial" w:cs="Arial" w:eastAsia="Arial" w:hAnsi="Arial"/>
          <w:sz w:val="16"/>
          <w:szCs w:val="16"/>
          <w:b w:val="1"/>
          <w:bCs w:val="1"/>
          <w:i w:val="1"/>
          <w:iCs w:val="1"/>
          <w:color w:val="auto"/>
        </w:rPr>
        <w:t>If we lose key management or fail to meet our need for qualified employees, our business, financial condition and results of operations could be materially adversely affected.</w:t>
      </w:r>
    </w:p>
    <w:p>
      <w:pPr>
        <w:spacing w:after="0" w:line="176"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We rely, in part, upon the accumulated knowledge, skills and experience of our executive officers. Our Chief Executive Officer has been with us for more than 19 years and our executive officers have a combined total of 63 years of experience in the health insurance industry. The loss of the services of any of our executive officers could have a material adverse effect on our business, financial condition and results of operations, as we may not be able to find suitable individuals to replace such officers on a timely basis or without incurring increased costs, or at all. We currently do not have any key man insurance covering our Chief Executive Officer. If our executive officers were to leave us or become incapacitated, it might negatively impact our planning and execution of business strategy and operations. We believe that our future success will depend on our continued ability to attract and retain highly skilled and qualified executive personnel for all areas of our organization, for which there is a high level of competition for such personnel in our industry. Our inability to meet our executive staffing requirements in the future could have a material adverse effect on our business, financial condition and results of operations.</w:t>
      </w:r>
    </w:p>
    <w:p>
      <w:pPr>
        <w:spacing w:after="0" w:line="20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Our future success is also dependent upon our ability to attract, retain and effectively deploy qualified employees. We may need to offer higher compensation and other benefits in order to attract and retain key personnel in the future. To attract top talent, we must offer competitive compensation packages before we have the opportunity to validate the productivity and effectiveness of new employees. Additionally, we may not be able to hire new employees quickly enough, we may not have adequate resources to meet our hiring needs, and we may not effectively deploy our workforce in order to efficiently allocate our internal resources. If we fail to meet our hiring needs, successfully integrate our new hires or effectively deploy our existing personnel, our efficiency and ability to meet our forecasts, our ability to successfully execute on our strategic plan to return to revenue growth and our employee morale, productivity and retention could all suffer. Any of these factors could materially adversely affect our business, operating results and financial condition.</w:t>
      </w:r>
    </w:p>
    <w:p>
      <w:pPr>
        <w:spacing w:after="0" w:line="188"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i w:val="1"/>
          <w:iCs w:val="1"/>
          <w:color w:val="auto"/>
        </w:rPr>
        <w:t>We are subject to privacy and data protection laws governing the transmission, security and privacy of personal information, particularly individually identifiable health information, which may impose restrictions on the manner in which we process such information and subject us to enforcement and penalties if we are unable to fully comply with such laws.</w:t>
      </w:r>
    </w:p>
    <w:p>
      <w:pPr>
        <w:spacing w:after="0" w:line="191"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Numerous federal, state and international laws and regulations govern the collection, use, disclosure, storage, processing, transmission and destruction of personal information, including individually identifiable health information. These laws and regulations, including their interpretation by governmental agencies and regulators, are subject to frequent change. These regulations could have a negative impact on our business, for example:</w:t>
      </w:r>
    </w:p>
    <w:p>
      <w:pPr>
        <w:spacing w:after="0" w:line="201" w:lineRule="exact"/>
        <w:rPr>
          <w:sz w:val="20"/>
          <w:szCs w:val="20"/>
          <w:color w:val="auto"/>
        </w:rPr>
      </w:pPr>
    </w:p>
    <w:p>
      <w:pPr>
        <w:ind w:left="660" w:right="40" w:hanging="328"/>
        <w:spacing w:after="0" w:line="249"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HIPAA and its implementing regulations were enacted to ensure that employees can retain and at times transfer their health insurance when they change jobs, and to simplify healthcare administrative processes. The enactment of HIPAA also expanded protection of the privacy and security of protected health information and required the adoption of standards for the exchange of electronic health information. Among the standards that the Department of Health and Human Services has adopted pursuant to HIPAA are standards for electronic transactions and code sets, unique identifiers for providers, employers, health plans and individuals, security, electronic signatures, privacy and enforcement. Failure to comply with HIPAA could result in enforcement activity, fines, penalties and litigation that could have a material adverse effect on us;</w:t>
      </w:r>
    </w:p>
    <w:p>
      <w:pPr>
        <w:spacing w:after="0" w:line="204" w:lineRule="exact"/>
        <w:rPr>
          <w:rFonts w:ascii="Arial" w:cs="Arial" w:eastAsia="Arial" w:hAnsi="Arial"/>
          <w:sz w:val="16"/>
          <w:szCs w:val="16"/>
          <w:color w:val="auto"/>
        </w:rPr>
      </w:pPr>
    </w:p>
    <w:p>
      <w:pPr>
        <w:ind w:left="660" w:hanging="328"/>
        <w:spacing w:after="0" w:line="248"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Health Information Technology for Economic and Clinical Health Act (“HITECH Act”) sets forth health information security breach notification requirements and increased penalties for violation of HIPAA. The HITECH Act requires individual notification for all breaches, media notification of breaches of over 500 individuals and at least annual reporting of all breaches to the Department of Health and Human Services. The HITECH Act also replaced the prior penalty system of one tier of penalties of $100 per violation and an annual maximum of $25,000 with a four-tier system of sanctions for breaches ranging from the original $100 per violation and an annual maximum of $25,000 for the first tier to a fourth-tier minimum of $50,000 per violation and an annual maximum of $1.5 million per violation category. These penalties are required to be adjusted for inflation. Failure to comply with the HITECH Act could result in enforcement activity, fines, penalties and litigation that could have a material adverse effect on us;</w:t>
      </w:r>
    </w:p>
    <w:p>
      <w:pPr>
        <w:spacing w:after="0" w:line="208" w:lineRule="exact"/>
        <w:rPr>
          <w:rFonts w:ascii="Arial" w:cs="Arial" w:eastAsia="Arial" w:hAnsi="Arial"/>
          <w:sz w:val="16"/>
          <w:szCs w:val="16"/>
          <w:color w:val="auto"/>
        </w:rPr>
      </w:pPr>
    </w:p>
    <w:p>
      <w:pPr>
        <w:ind w:left="660" w:right="30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federal and state laws restricting the use and protecting the privacy and security of individually identifiable information may apply, many of which are not preempted by HIPAA; and</w:t>
      </w:r>
    </w:p>
    <w:p>
      <w:pPr>
        <w:spacing w:after="0" w:line="195" w:lineRule="exact"/>
        <w:rPr>
          <w:rFonts w:ascii="Arial" w:cs="Arial" w:eastAsia="Arial" w:hAnsi="Arial"/>
          <w:sz w:val="16"/>
          <w:szCs w:val="16"/>
          <w:color w:val="auto"/>
        </w:rPr>
      </w:pPr>
    </w:p>
    <w:p>
      <w:pPr>
        <w:jc w:val="both"/>
        <w:ind w:left="660" w:right="20" w:hanging="328"/>
        <w:spacing w:after="0" w:line="253"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Federal and state consumer protection laws are increasingly being applied by the Federal Trade Commission, or FTC, and states’ attorneys general to regulate the collection, use, processing, destruction, storage and disclosure of individually identifiable information, through websites or otherwise, and to regulate the presentation of website content.</w:t>
      </w:r>
    </w:p>
    <w:p>
      <w:pPr>
        <w:spacing w:after="0" w:line="20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are required to comply with federal and state laws governing the transmission, security and privacy of personal information that we may obtain or have access to in connection with the provision of our services. Despite the security measures that we have in place to ensure compliance with privacy and data protection laws, our facilities and systems, and those of our third-party vendors and subcontractors, are vulnerable to security breaches, acts of vandalism or theft, computer viruses, malware,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298450</wp:posOffset>
            </wp:positionV>
            <wp:extent cx="8255"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298450</wp:posOffset>
            </wp:positionV>
            <wp:extent cx="8890" cy="1200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25</w:t>
      </w:r>
    </w:p>
    <w:p>
      <w:pPr>
        <w:sectPr>
          <w:pgSz w:w="11900" w:h="16838" w:orient="portrait"/>
          <w:cols w:equalWidth="0" w:num="3">
            <w:col w:w="4580" w:space="540"/>
            <w:col w:w="1040" w:space="360"/>
            <w:col w:w="4720"/>
          </w:cols>
          <w:pgMar w:left="320" w:top="1323" w:right="339" w:bottom="1440" w:gutter="0" w:footer="0" w:header="0"/>
          <w:type w:val="continuous"/>
        </w:sectPr>
      </w:pPr>
    </w:p>
    <w:bookmarkStart w:id="28" w:name="page29"/>
    <w:bookmarkEnd w:id="28"/>
    <w:p>
      <w:pPr>
        <w:ind w:right="20"/>
        <w:spacing w:after="0" w:line="249" w:lineRule="auto"/>
        <w:rPr>
          <w:sz w:val="20"/>
          <w:szCs w:val="20"/>
          <w:color w:val="auto"/>
        </w:rPr>
      </w:pPr>
      <w:r>
        <w:rPr>
          <w:rFonts w:ascii="Arial" w:cs="Arial" w:eastAsia="Arial" w:hAnsi="Arial"/>
          <w:sz w:val="16"/>
          <w:szCs w:val="16"/>
          <w:color w:val="auto"/>
        </w:rPr>
        <w:t>ransomware, denial-of-service attacks, misplaced or lost data, programming and human errors or other similar events. Due to the enactment of the HITECH Act, we are not able to predict the extent of the impact such incidents may have on our business. Our failure to comply may result in criminal and civil liability especially because the potential for enforcement action against business associates is now greater. Enforcement actions against us could be costly and could interrupt regular operations or the availability of data, which may adversely affect our business. While we have received inquiries relating to our compliance with various privacy acts, including inquiries originating from allegations of a potential breach, to date none have been found or determined to be actual violations by the Company.</w:t>
      </w:r>
    </w:p>
    <w:p>
      <w:pPr>
        <w:spacing w:after="0" w:line="20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Under the HITECH Act, as a business associate we may also be directly or independently liable for privacy and security breaches and failures of our subcontractors. Even though we provide for appropriate protections through our agreements with our subcontractors and exercise appropriate oversight of such subcontractors, we still have limited control over their actions and practices. A breach of privacy or security of individually identifiable health information by a subcontractor or other entity operating on our behalf may result in an enforcement action, including criminal and civil liability, against us or litigation by a covered entity with whom we have a contractual relationship. In addition, numerous other federal and state laws protect the confidentiality of individually identifiable information as well as employee personal information, including state medical privacy laws, state social security number protection laws, and federal and state consumer protection laws. These various laws in many cases are not preempted by HIPAA and may be subject to varying interpretations by the courts and government agencies, creating complex compliance issues for us and our customers and potentially exposing us to additional expense, adverse publicity and liability, any of which could adversely affect our business, operating results and financial condition.</w:t>
      </w:r>
    </w:p>
    <w:p>
      <w:pPr>
        <w:spacing w:after="0" w:line="20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State and federal laws may apply to our collection, use, handling, processing, destruction, disclosure, and storage as well. For example, the CCPA, which became enforceable by the California Attorney General on July 1, 2020, affords consumers expanded privacy protections and control over the collection, use and sharing of their personal information. The CCPA was recently amended, and it is possible it will be amended again by other pending legislative initiatives or by popular referendum. The Attorney General of California is promulgating implementing CCPA regulations which are undergoing successive rounds of public comment and revision. The potential effects of this legislation, including whether and how the law will be applied to the consumer health-related data we collect through our service, are far-reaching and may require us to modify our data processing practices and policies and to incur substantial costs and expenses in an effort to comply.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does contain an exemption for medical information governed by the California Confidentiality of Medical Information Act (“CMIA”), and for protected health information collected by a covered entity or business associate governed by the privacy, security and breach notification rule established pursuant to HIPAA and HITECH, but the precise application and scope of this exemption as well as how it would apply to our business is not yet clear.</w:t>
      </w:r>
    </w:p>
    <w:p>
      <w:pPr>
        <w:spacing w:after="0" w:line="21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With laws and regulations such as HIPAA and the CCPA imposing relatively burdensome obligations, and with substantial uncertainty over the interpretation and application of these and other laws and regulations to our business, we may face challenges in addressing their requirements and making necessary changes to our policies and practices, and may incur significant costs and expenses in an effort to do so. For example, the increased consumer control over the sharing of their personal information under the CCPA may affect our customers’ ability to share such personal information with us or may require us to delete or remove consumer information from our records or data sets, which may create considerable costs or loss of revenue for our organization.</w:t>
      </w:r>
    </w:p>
    <w:p>
      <w:pPr>
        <w:spacing w:after="0" w:line="20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In addition, any failure or perceived failure by us to maintain posted privacy policies which are accurate, comprehensive and fully implemented, and any violation or perceived violation of our privacy-, data protection- or information security-related obligations to customers,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loss of relationships with key third parties including carriers, social media networks and other data providers, or cause our consumers to lose trust in us, which could have material impacts on our revenue and operations.</w:t>
      </w:r>
    </w:p>
    <w:p>
      <w:pPr>
        <w:spacing w:after="0" w:line="185"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b w:val="1"/>
          <w:bCs w:val="1"/>
          <w:i w:val="1"/>
          <w:iCs w:val="1"/>
          <w:color w:val="auto"/>
        </w:rPr>
        <w:t>We may not be able to maintain compliance with all current and potentially applicable U.S. federal and state or foreign laws and regulations relating to privacy and cybersecurity, and actions by regulatory authorities or changes in legislation and regulation in the jurisdictions in which we operate could have a material adverse effect on our business.</w:t>
      </w:r>
    </w:p>
    <w:p>
      <w:pPr>
        <w:spacing w:after="0" w:line="19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are subject to a variety of laws and regulations that involve user privacy and the collection, processing, storing, sharing, disclosing, using, transfer and protecting of personal information and other data. These laws and regulations constantly evolve and remain subject to significant change. In addition, the application and interpretation of these laws and regulations are often uncertain. Because we store, process and use data, some of which contain personal information, we are subject to complex and evolving federal, state and local laws and regulations regarding privacy, data protection and other matters. Many of these laws and regulations are subject to change and uncertain interpretation. The U.S. federal and state governments and agencies may in the future enact new legislation and promulgate new regulations governing collection, use, disclosure, storage, processing, transmission and destruction of personal information and other data. New privacy laws add additional complexity,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302260</wp:posOffset>
            </wp:positionV>
            <wp:extent cx="8255" cy="1200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302260</wp:posOffset>
            </wp:positionV>
            <wp:extent cx="8890" cy="1200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43" w:right="3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26</w:t>
      </w:r>
    </w:p>
    <w:p>
      <w:pPr>
        <w:sectPr>
          <w:pgSz w:w="11900" w:h="16838" w:orient="portrait"/>
          <w:cols w:equalWidth="0" w:num="3">
            <w:col w:w="4580" w:space="540"/>
            <w:col w:w="1040" w:space="360"/>
            <w:col w:w="4700"/>
          </w:cols>
          <w:pgMar w:left="320" w:top="1343" w:right="359" w:bottom="1440" w:gutter="0" w:footer="0" w:header="0"/>
          <w:type w:val="continuous"/>
        </w:sectPr>
      </w:pPr>
    </w:p>
    <w:bookmarkStart w:id="29" w:name="page30"/>
    <w:bookmarkEnd w:id="29"/>
    <w:p>
      <w:pPr>
        <w:ind w:right="20"/>
        <w:spacing w:after="0" w:line="260" w:lineRule="auto"/>
        <w:rPr>
          <w:sz w:val="20"/>
          <w:szCs w:val="20"/>
          <w:color w:val="auto"/>
        </w:rPr>
      </w:pPr>
      <w:r>
        <w:rPr>
          <w:rFonts w:ascii="Arial" w:cs="Arial" w:eastAsia="Arial" w:hAnsi="Arial"/>
          <w:sz w:val="16"/>
          <w:szCs w:val="16"/>
          <w:color w:val="auto"/>
        </w:rPr>
        <w:t>restrictions and potential legal risk, require additional investment in resources to compliance programs, and could impact trading strategies and availability of previously useful data.</w:t>
      </w:r>
    </w:p>
    <w:p>
      <w:pPr>
        <w:spacing w:after="0" w:line="19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NYDFS Cybersecurity Regulation for financial services companies, including insurance entities under NYDFS jurisdiction, requires entities to establish and maintain a cybersecurity program designed to protect private consumer data, and implement a risk assessment designed to perform core cybersecurity functions. The regulation specifically provides for: (i) controls relating to the governance framework for a cybersecurity program; (ii) risk-based minimum standards for technology systems for data protection; (iii) minimum standards for cyber breach responses, including notice to the NYDFS, of material events; and (iv) identification and documentation of material deficiencies, remediation plans and annual certification of regulatory compliance with the NYDFS. The Cybersecurity Regulation also requires implementation of continuous monitoring of information technology systems or periodic penetration testing and vulnerability assessments. Similarly, the Massachusetts data protection law and the New York Stop Hacks and Improve Data Security Act (“SHIELD Act”) both require companies to implement a written information security program that contains appropriate administrative, technical, and physical safeguards as defined in the respective statute.</w:t>
      </w:r>
    </w:p>
    <w:p>
      <w:pPr>
        <w:spacing w:after="0" w:line="206"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October 2017, the NAIC adopted the Insurance Data Security Model Law (“Cybersecurity Model Law”), which is intended to establish the standards for data security and for the investigation and notification of data breaches applicable to insurance licensees in states adopting such law. To date, the Cybersecurity Model Law has been adopted by Alabama, Connecticut, Delaware, Michigan, Mississippi, New Hampshire, Ohio and South Carolina, with several other states expected to adopt in the near future. The Cybersecurity Model Law could impose significant new regulatory burdens intended to protect the confidentiality, integrity and availability of information systems. The NAIC model law is functionally similar to the NYDFS rule.</w:t>
      </w:r>
    </w:p>
    <w:p>
      <w:pPr>
        <w:spacing w:after="0" w:line="20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In addition, the California legislature enacted the CCPA in September 2018, which entered into effect in January 2020, and has encouraged “copycat” legislative proposals in other states across the country such as Nevada, Virginia, New Hampshire, Illinois and Nebraska. These legislative proposals may add additional complexity, variation in requirements, restrictions and potential legal risk, require additional investment in resources to compliance programs, and could impact strategies and availability of previously useful data.</w:t>
      </w:r>
    </w:p>
    <w:p>
      <w:pPr>
        <w:spacing w:after="0" w:line="20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Compliance with existing and emerging privacy and cybersecurity laws and regulations could result in increased compliance costs and/or lead to changes in business practices and policies, and any failure to protect the confidentiality of client information could adversely affect our reputation, lend to private litigation against us, and require additional investment in resources, impact strategies and availability of previously useful data any of which could materially and adversely affect our business, operating results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from third-party products could adversely affect our businesses.</w:t>
      </w:r>
    </w:p>
    <w:p>
      <w:pPr>
        <w:spacing w:after="0" w:line="24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offer third-party health insurance products. Insurance involves a transfer of risk and our reputation may be harmed and we may become a target for litigation if risk is not transferred in the way expected by customers and carriers. In addition, if these insurance products do not generate competitive risk-adjusted returns that satisfy our carriers, it may be difficult to maintain existing business with, and attract new business from, them. Significant declines in the performance of these third-party products could subject us to reputational damage and litigation risk.</w:t>
      </w:r>
    </w:p>
    <w:p>
      <w:pPr>
        <w:spacing w:after="0" w:line="18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i w:val="1"/>
          <w:iCs w:val="1"/>
          <w:color w:val="auto"/>
        </w:rPr>
        <w:t>Our ability to match consumers to insurance products that suit their needs is dependent upon their provision of accurate information during the insurance shopping process.</w:t>
      </w:r>
    </w:p>
    <w:p>
      <w:pPr>
        <w:spacing w:after="0" w:line="17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Our business depends on consumers’ provision of accurate information during the insurance shopping process. To the extent consumers provide us with inaccurate information, the quality of their insurance shopping experience may suffer and we may be unable to match them with insurance products that suit their needs. Our inability to suggest suitable insurance products to consumers could lead to an increase in the number of policies we submit to carriers that are ultimately rejected or an increase in plans that are cancelled earlier than expected or otherwise terminated, which could materially and adversely affect our business, operating results and financial condition.</w:t>
      </w:r>
    </w:p>
    <w:p>
      <w:pPr>
        <w:spacing w:after="0" w:line="18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i w:val="1"/>
          <w:iCs w:val="1"/>
          <w:color w:val="auto"/>
        </w:rPr>
        <w:t>Our international operations subject us to additional risks which could have an adverse effect on our business, operating results and financial condition.</w:t>
      </w:r>
    </w:p>
    <w:p>
      <w:pPr>
        <w:spacing w:after="0" w:line="17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have attempted to control our operating expenses by utilizing lower cost labor in foreign countries such as Slovakia and Honduras and we may in the future expand our reliance on offshore labor to other countries. As of December 31, 2020, 54 of our employees were based in Slovakia. Our employees in Slovakia help develop, test and maintain our Marketplace technology. Additionally, we outsource certain of our call center operations to a company in Honduras. Countries outside of the United States may be subject to relatively higher degrees of political and social instability and may lack the infrastructure to withstand political unrest or natural disasters. The occurrence of natural disasters, pandemics, such as COVID-19, or political or economic instability in these countries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301625</wp:posOffset>
            </wp:positionV>
            <wp:extent cx="8255" cy="1200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301625</wp:posOffset>
            </wp:positionV>
            <wp:extent cx="8890" cy="1200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43" w:right="35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27</w:t>
      </w:r>
    </w:p>
    <w:p>
      <w:pPr>
        <w:sectPr>
          <w:pgSz w:w="11900" w:h="16838" w:orient="portrait"/>
          <w:cols w:equalWidth="0" w:num="3">
            <w:col w:w="4580" w:space="540"/>
            <w:col w:w="1040" w:space="360"/>
            <w:col w:w="4700"/>
          </w:cols>
          <w:pgMar w:left="320" w:top="1343" w:right="359" w:bottom="1440" w:gutter="0" w:footer="0" w:header="0"/>
          <w:type w:val="continuous"/>
        </w:sectPr>
      </w:pPr>
    </w:p>
    <w:bookmarkStart w:id="30" w:name="page31"/>
    <w:bookmarkEnd w:id="30"/>
    <w:p>
      <w:pPr>
        <w:spacing w:after="0" w:line="250" w:lineRule="auto"/>
        <w:rPr>
          <w:sz w:val="20"/>
          <w:szCs w:val="20"/>
          <w:color w:val="auto"/>
        </w:rPr>
      </w:pPr>
      <w:r>
        <w:rPr>
          <w:rFonts w:ascii="Arial" w:cs="Arial" w:eastAsia="Arial" w:hAnsi="Arial"/>
          <w:sz w:val="16"/>
          <w:szCs w:val="16"/>
          <w:color w:val="auto"/>
        </w:rPr>
        <w:t>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carriers may require us to use labor based in the United States for regulatory or other reasons. To the extent that we are required to use labor based in the United States, we may face increased costs as a result of higher-priced United States-based labor.</w:t>
      </w:r>
    </w:p>
    <w:p>
      <w:pPr>
        <w:spacing w:after="0" w:line="20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Foreign Corrupt Practices Act (“FCPA”), and other applicable anti-corruption laws and regulations prohibit certain types of payments by our employees, vendors and agents. Any violation of the applicable anti-corruption laws or regulations by us, our subsidiaries or our local agents could expose us to significant penalties, fines, settlements, costs and consent orders that may curtail or restrict our business as it is currently conducted and could have an adverse effect on our business, financial condition or results of operations.</w:t>
      </w:r>
    </w:p>
    <w:p>
      <w:pPr>
        <w:spacing w:after="0" w:line="202"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Weakness of the United States dollar in relation to the currencies used in these foreign countries may also reduce the savings achievable through this strategy and could have an adverse effect on our business, financial condition and results of operations.</w:t>
      </w:r>
    </w:p>
    <w:p>
      <w:pPr>
        <w:spacing w:after="0" w:line="17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i w:val="1"/>
          <w:iCs w:val="1"/>
          <w:color w:val="auto"/>
        </w:rPr>
        <w:t>If we are not able to maintain and enhance our brand, our business and operating results will be harmed. Damage to our reputation and negative publicity could have a material adverse effect on our business, financial condition and results of operations.</w:t>
      </w:r>
    </w:p>
    <w:p>
      <w:pPr>
        <w:spacing w:after="0" w:line="176"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We believe that maintaining and enhancing our brand identity is critical to our relationships with our existing carriers and to our ability to attract new customers, marketing partners and carriers. We also intend to grow our brand awareness among consumers, marketing partners and carriers in order to further expand our marketplace and attract new consumers, marketing partners and carriers. The promotion of our brand in these and other ways may require us to make substantial investments and we anticipate that, as our market becomes increasingly competitive, these branding initiatives may become increasingly difficult and expensive. Our brand promotion activities may not be successful or yield increased revenue, and to the extent that these activities yield increased revenue, the increased revenue may not offset the expenses we incur and our operating results could be harmed. If we do not successfully maintain and enhance our brand, our business may not grow and we could lose our relationships with carriers, marketing partners or customers, which would harm our business, operating results and financial condition.</w:t>
      </w:r>
    </w:p>
    <w:p>
      <w:pPr>
        <w:spacing w:after="0" w:line="20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may be adversely affected by negative publicity relating to brand and activities. For instance, if our brand receives negative publicity, the number of customers visiting our platforms or Benefits Center could decrease, and our cost of acquiring customers could increase as a result of a reduction in the number of consumers coming from our direct customer acquisition channel. Additionally, there is at least one other third party business which uses the “GoHealth” name, but is not affiliated with our business. While we agreed with the third party that our “GoHealth” marks can coexist with the third party’s use of “GoHealth” in their business without creating a likelihood of consumer confusion, we entered into a co-existence agreement with the third-party that, among other things, places certain restrictions on both their use of “GoHealth,” as well as ours, in order to further mitigate any risk of confusion. Nevertheless, if despite these measures, our business is mistakenly confused with their business or another business, the value of our brand could be adversely impacted, which could harm our business, operating results and financial condition.</w:t>
      </w:r>
    </w:p>
    <w:p>
      <w:pPr>
        <w:spacing w:after="0" w:line="187"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b w:val="1"/>
          <w:bCs w:val="1"/>
          <w:i w:val="1"/>
          <w:iCs w:val="1"/>
          <w:color w:val="auto"/>
        </w:rPr>
        <w:t>Any legal liability, regulatory penalties, or negative publicity for the information on our website or that we otherwise provide could harm our business, operating results and financial condition.</w:t>
      </w:r>
    </w:p>
    <w:p>
      <w:pPr>
        <w:spacing w:after="0" w:line="176"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We provide information on our website, through our Benefits Center, in our marketing materials and in other ways regarding health insurance in general and the health insurance plans we market and sell, including information relating to insurance premiums, coverage, benefits, provider networks, exclusions, limitations, availability, plan comparisons and insurance company ratings. A significant amount of both automated and manual effort is required to maintain the considerable amount of insurance plan information on our website. If the information we provide on our website, through our Benefits Center, in our marketing materials or otherwise is not accurate or is construed as misleading, or if we do not properly assist individuals and businesses in purchasing health insurance, customers, carriers and others could attempt to hold us liable for damages, our relationships with carriers could be terminated or impaired and regulators could attempt to subject us to penalties, revoke our licenses to transact health insurance business in a particular jurisdiction, and/or compromise the status of our licenses to transact health insurance business in other jurisdictions, which could result in our loss of our commission revenue. In the ordinary course of operating our business, we have received complaints that the information we provided was not accurate or was misleading. Although in the past we have resolved these complaints without significant financial cost or impact to our brand or reputation, we cannot guarantee that we will be able to do so in the future. Our sales of individual and family plans that do not qualify as minimum essential coverage, thereby lacking the same benefits as major medical health insurance plans, may increase the risk that we receive complaints regarding our marketing and business practices due to the potential for customer confusion between such plans and major medical health insurance. In addition, these types of claims could be time-consuming and expensive to defend, could divert our management’s attention and other resources, and could cause a loss of confidence in our services. As a result, whether or not we are able to successfully resolve these claims, they could harm our business, operating results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304165</wp:posOffset>
            </wp:positionV>
            <wp:extent cx="8255" cy="1200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304165</wp:posOffset>
            </wp:positionV>
            <wp:extent cx="8890" cy="1200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43" w:right="3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28</w:t>
      </w:r>
    </w:p>
    <w:p>
      <w:pPr>
        <w:sectPr>
          <w:pgSz w:w="11900" w:h="16838" w:orient="portrait"/>
          <w:cols w:equalWidth="0" w:num="3">
            <w:col w:w="4580" w:space="540"/>
            <w:col w:w="1040" w:space="360"/>
            <w:col w:w="4700"/>
          </w:cols>
          <w:pgMar w:left="320" w:top="1343" w:right="359" w:bottom="1440" w:gutter="0" w:footer="0" w:header="0"/>
          <w:type w:val="continuous"/>
        </w:sectPr>
      </w:pPr>
    </w:p>
    <w:bookmarkStart w:id="31" w:name="page32"/>
    <w:bookmarkEnd w:id="31"/>
    <w:p>
      <w:pPr>
        <w:ind w:right="60"/>
        <w:spacing w:after="0" w:line="248" w:lineRule="auto"/>
        <w:rPr>
          <w:sz w:val="20"/>
          <w:szCs w:val="20"/>
          <w:color w:val="auto"/>
        </w:rPr>
      </w:pPr>
      <w:r>
        <w:rPr>
          <w:rFonts w:ascii="Arial" w:cs="Arial" w:eastAsia="Arial" w:hAnsi="Arial"/>
          <w:sz w:val="16"/>
          <w:szCs w:val="16"/>
          <w:color w:val="auto"/>
        </w:rPr>
        <w:t>In the ordinary course of our business, we have received and may continue to receive inquiries from state regulators relating to various matters. We also have become, and may in the future become, involved in litigation or claims in the ordinary course of our business, including with respect to employment-related claims such as workplace discrimination or harassment. We have and may in the future, face claims of violations of other local, state, and federal labor or employment laws, laws and regulations relating to marketing and laws and regulations relating to the sale of insurance. If we are found to have violated laws or regulations, we could lose our relationship with carriers and be subject to various fines and penalties, including revocation of our licenses to sell insurance which would cause us to lose our commission revenue, and our business, operating results and financial condition would be materially harmed. In addition, if regulators believe our websites or marketing material are not compliant with applicable laws or regulations, we could be forced to stop using our websites, marketing material or certain aspects of them, which would harm our business, operating results and financial condition.</w:t>
      </w:r>
    </w:p>
    <w:p>
      <w:pPr>
        <w:spacing w:after="0" w:line="187"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b w:val="1"/>
          <w:bCs w:val="1"/>
          <w:i w:val="1"/>
          <w:iCs w:val="1"/>
          <w:color w:val="auto"/>
        </w:rPr>
        <w:t>The extent to which the COVID-19 outbreak and measures taken in response thereto impact our business, results of operations and financial condition will depend on future developments, which are highly uncertain and cannot be predicted.</w:t>
      </w:r>
    </w:p>
    <w:p>
      <w:pPr>
        <w:spacing w:after="0" w:line="176"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Global health concerns relating to the outbreak of COVID-19 have been weighing on the macroeconomic environment, and the outbreak has significantly increased economic uncertainty. The outbreak has resulted in authorities implementing numerous measures to try to contain the virus, such as travel bans and restrictions, quarantines, shelter in place orders, and business shutdowns. These measures have not only negatively impacted consumer spending and business spending habits, they have adversely impacted and may further impact our workforce and operations and the operations of carriers, consumers and our business partners. Although certain of these measures have from time to time eased in some geographic regions, they have been reinstated in others, and overall measures to contain the COVID-19 outbreak may remain in place for a significant period of time and may adversely affect our business, results of operations and financial condition.</w:t>
      </w:r>
    </w:p>
    <w:p>
      <w:pPr>
        <w:spacing w:after="0" w:line="20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spread of COVID-19 has caused us to modify our business practices (including employee travel, employee work locations, and cancellation of physical participation in meetings, events and conferences), and we may take further actions as may be required by government authorities or that we determine are in the best interests of our employees, customers and business partners. For example, we have implemented remote working measures, which have required us to provide technical support to our agents to enable them to connect to our technology platform from their homes, including by purchasing laptops for our agents and upgrading their Internet connections. In addition to an investment of financial resources, implementing work from home measures to respond to COVID-19 has diverted management’s time and attention. If our agents are not able to effectively work remotely, or if our agents contract COVID-19 or another contagious disease, we may not be able to sell as many plans, which would negatively impact our business, financial condition and results of operations. There is also no certainty that the measures we have taken to mitigate the impact of COVID-19 on our business will be sufficient or otherwise be satisfactory to government authorities.</w:t>
      </w:r>
    </w:p>
    <w:p>
      <w:pPr>
        <w:spacing w:after="0" w:line="20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Further, because most of our employees are working remotely in connection with the COVID-19 pandemic, we may experience an increased risk of security breaches, loss of data, and other disruptions as a result of accessing sensitive information from remote locations. Correspondingly, it remains unclear how the third-party firms or organizations who have independently audited our information security program against specific standards will assess and evaluate the sufficiency of the security measures we have taken to mitigate remote working related information security risks. Failure to meet these standards could impact our ability to service customers in the healthcare industry, which could have a material adverse impact on our business, financial condition and results of operations.</w:t>
      </w:r>
    </w:p>
    <w:p>
      <w:pPr>
        <w:spacing w:after="0" w:line="205"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Additionally, our carriers and vendors have similarly adjusted their operations in light of the COVID-19 pandemic. If our carriers or vendors experience shutdowns or continued business disruptions, our ability to conduct our business operations as planned could be materially and negatively affected. For example, our carriers may experience delays in the underwriting process, and those delays could affect our ability to timely bind and sell policies. Furthermore, our business, operating results and financial condition could be adversely affected if, as a result of the macro-economic effects of the COVID-19 pandemic, demand for the products we sell on behalf of carriers declines, our carriers seek to renegotiate their commission arrangements with us or the policyholders to whom we have sold policies stop making their premium payments.</w:t>
      </w:r>
    </w:p>
    <w:p>
      <w:pPr>
        <w:spacing w:after="0" w:line="20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full extent to which the outbreak of COVID-19 impacts our business, results of operations and financial condition is still unknown and will depend on future developments, which are highly uncertain and cannot be predicted, including, but not limited to, the duration and spread of the outbreak, its severity, the actions to contain the virus or treat its impact and compliance with such measures, and how quickly and to what extent normal economic and operating conditions can resume. Even after the outbreak of COVID-19 has subsided, we may continue to experience materially adverse impacts to our business as a result of its global economic impact, including any recession that has occurred or may occur in the future.</w:t>
      </w:r>
    </w:p>
    <w:p>
      <w:pPr>
        <w:spacing w:after="0" w:line="20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While governmental and non-governmental organizations are engaging in efforts to combat the spread and severity of the COVID-19 pandemic and related public health issues, these measures may not be effective. We also cannot predict how legal and regulatory responses to concerns about the COVID-19 pandemic and related public health issues will impact our business. Such events or conditions could result in additional regulation or restrictions affecting the conduct of our business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298450</wp:posOffset>
            </wp:positionV>
            <wp:extent cx="8255"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298450</wp:posOffset>
            </wp:positionV>
            <wp:extent cx="8890"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29</w:t>
      </w:r>
    </w:p>
    <w:p>
      <w:pPr>
        <w:sectPr>
          <w:pgSz w:w="11900" w:h="16838" w:orient="portrait"/>
          <w:cols w:equalWidth="0" w:num="3">
            <w:col w:w="4580" w:space="540"/>
            <w:col w:w="1040" w:space="360"/>
            <w:col w:w="4720"/>
          </w:cols>
          <w:pgMar w:left="320" w:top="1343" w:right="339" w:bottom="1440" w:gutter="0" w:footer="0" w:header="0"/>
          <w:type w:val="continuous"/>
        </w:sectPr>
      </w:pPr>
    </w:p>
    <w:bookmarkStart w:id="32" w:name="page33"/>
    <w:bookmarkEnd w:id="32"/>
    <w:p>
      <w:pPr>
        <w:ind w:right="40"/>
        <w:spacing w:after="0" w:line="253" w:lineRule="auto"/>
        <w:rPr>
          <w:sz w:val="20"/>
          <w:szCs w:val="20"/>
          <w:color w:val="auto"/>
        </w:rPr>
      </w:pPr>
      <w:r>
        <w:rPr>
          <w:rFonts w:ascii="Arial" w:cs="Arial" w:eastAsia="Arial" w:hAnsi="Arial"/>
          <w:sz w:val="16"/>
          <w:szCs w:val="16"/>
          <w:color w:val="auto"/>
        </w:rPr>
        <w:t>There are no comparable recent events which may provide guidance as to the effect of the spread of COVID-19 and a global pandemic, and, as a result, the ultimate impact of the COVID-19 outbreak or a similar health epidemic is highly uncertain and subject to change. We do not yet know the full extent of the impacts on our business, our operations or the global economy as a whole. However, the effects could have a material impact on our results of operations.</w:t>
      </w:r>
    </w:p>
    <w:p>
      <w:pPr>
        <w:spacing w:after="0" w:line="201"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To the extent the COVID-19 pandemic adversely affects our business, operating results and financial condition, it may also have the effect of heightening many of the other risks described in this “Risk Factors” section, such as those relating to our level of indebtedness, our need to generate sufficient cash flows to service our indebtedness and our ability to comply with the covenants contained in our Credit Facilities.</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i w:val="1"/>
          <w:iCs w:val="1"/>
          <w:color w:val="auto"/>
        </w:rPr>
        <w:t>We rely upon third parties to operate our Marketplace technology and any disruption of or interference with our use of such third-party providers would adversely affect our business, results of operations and financial condition.</w:t>
      </w:r>
    </w:p>
    <w:p>
      <w:pPr>
        <w:spacing w:after="0" w:line="17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We outsource our hosting infrastructure to Amazon Web Services and Rackspace, or together, our Hosting Providers, which host our Marketplace technology. Consumers and agents must have the ability to access our Marketplace technology at any time, without interruption or degradation of performance. Our Hosting Providers run their own infrastructure upon which our Marketplace technology and products depend, and we are, therefore, vulnerable to service interruptions at each Hosting Provider. Though very rare, we have experienced, and expect that in the future we may experience interruptions, delays and outages in service and availability from time to time due to a variety of factors, including infrastructure changes, human or software errors, application hosting disruptions and capacity constraints. Capacity constraints could be due to a number of potential causes including technical failures, natural disasters, fraud or security attacks. In addition, if our security, or that of one of our Hosting Providers, is compromised, our platform or products are unavailable or our users are unable to use our products within a reasonable amount of time or at all, then our business, results of operations and financial condition could be adversely affected. We note that our ability to conduct security audits on our Hosting Providers is limited, therefore, we rely heavily on third-party security reviews, such as the Statement on Standards for Attestation Engagements No. 16 (“SSAE 16”) assessments. Our contracts do not contain strong indemnification terms in our favor. In some instances, we may not be able to identify and/or remedy the cause or causes of these performance problems within a period of time acceptable to our customers. It may become increasingly difficult to maintain and improve our marketplace platform performance, especially during peak usage times, as our marketplace platform becomes more complex and the usage of the platform increases. To the extent we do not effectively address capacity constraints, either through our Hosting Providers or alternative providers of cloud infrastructure, our business, results of operations and financial condition may be adversely affected. In addition, any changes in service levels from our Hosting Providers may adversely affect our ability to meet our customers’ requirements.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substantial majority of the services we use from our Hosting Providers are for cloud-based server capacity and managed colocation services. We access our Hosting Providers’ infrastructure through standard Internet connectivity. Our Hosting Providers provide us with computing and storage capacity, network capacity, managed colocation space, and leased computing hardware pursuant to agreements that continue until terminated by either party. If any of the data centers become unavailable to us without sufficient advance notice, we would likely experience delays in delivering our platform and products until we could migrate to an alternate data center provider. Our disaster recovery program contemplates transitioning our platform and products to our backup center in the event of a catastrophe, but we have not yet fully tested the procedure, and our platform and products may be unavailable, in whole or in part, during any transition procedure. Although we expect that we could receive similar services from other third parties, if any of our arrangements with our Hosting Providers are terminated, we could experience interruptions on our platform and in our ability to make our products available to customers, as well as delays and additional expenses (including research and development expenses) in arranging alternative cloud infrastructure services.</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Any of the above circumstances or events may cause outages where we are unable to generate revenue, harm our reputation, cause customers to stop using our products, impair our ability to attract new customers and increase revenue from customers, subject us to financial penalties and liabilities under our service level agreements and otherwise harm our revenue, business, results of operations and financial condition.</w:t>
      </w:r>
    </w:p>
    <w:p>
      <w:pPr>
        <w:spacing w:after="0" w:line="181"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b w:val="1"/>
          <w:bCs w:val="1"/>
          <w:i w:val="1"/>
          <w:iCs w:val="1"/>
          <w:color w:val="auto"/>
        </w:rPr>
        <w:t>If individuals or carriers opt for more traditional or alternative channels for the purchase and sale of health insurance, our business could be harmed.</w:t>
      </w:r>
    </w:p>
    <w:p>
      <w:pPr>
        <w:spacing w:after="0" w:line="17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success depends, in part, upon continued growth in the use of the Internet as a source of research on health insurance products and pricing, as well as willingness for individuals to use the Internet to request further information or contact the distributors directly or indirectly that sell the products we offer. Individuals and carriers may choose to depend more on traditional sources, such as individual agents, or alternative sources may develop, including as a result of healthcare reform. Our future growth, if any, will depend in part upon:</w:t>
      </w:r>
    </w:p>
    <w:p>
      <w:pPr>
        <w:spacing w:after="0" w:line="202"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growth of the Internet as a market for individual health insurance plans and services;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individuals’ willingness and ability to conduct their own health insurance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310515</wp:posOffset>
            </wp:positionV>
            <wp:extent cx="8255" cy="120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310515</wp:posOffset>
            </wp:positionV>
            <wp:extent cx="8890"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43" w:right="35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ectPr>
          <w:pgSz w:w="11900" w:h="16838" w:orient="portrait"/>
          <w:cols w:equalWidth="0" w:num="3">
            <w:col w:w="4580" w:space="540"/>
            <w:col w:w="1040" w:space="360"/>
            <w:col w:w="4700"/>
          </w:cols>
          <w:pgMar w:left="320" w:top="1343" w:right="359" w:bottom="1440" w:gutter="0" w:footer="0" w:header="0"/>
          <w:type w:val="continuous"/>
        </w:sectPr>
      </w:pPr>
    </w:p>
    <w:bookmarkStart w:id="33" w:name="page34"/>
    <w:bookmarkEnd w:id="33"/>
    <w:p>
      <w:pPr>
        <w:ind w:left="660" w:right="32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make the process of purchasing health insurance online an attractive alternative to traditional and new means of purchasing health insurance;</w:t>
      </w:r>
    </w:p>
    <w:p>
      <w:pPr>
        <w:spacing w:after="0" w:line="195" w:lineRule="exact"/>
        <w:rPr>
          <w:rFonts w:ascii="Arial" w:cs="Arial" w:eastAsia="Arial" w:hAnsi="Arial"/>
          <w:sz w:val="16"/>
          <w:szCs w:val="16"/>
          <w:color w:val="auto"/>
        </w:rPr>
      </w:pPr>
    </w:p>
    <w:p>
      <w:pPr>
        <w:ind w:left="660" w:right="7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successfully and cost-effectively market our services as superior to traditional or alternative sources for health insurance to a sufficiently large number of individuals; and</w:t>
      </w:r>
    </w:p>
    <w:p>
      <w:pPr>
        <w:spacing w:after="0" w:line="195"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carriers’ willingness to use us and the Internet as a distribution channel for health insurance products and plans.</w:t>
      </w:r>
    </w:p>
    <w:p>
      <w:pPr>
        <w:spacing w:after="0" w:line="221"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If individuals and carriers determine that other sources of health insurance and health insurance applications are superior, our business will not grow, and our business, operating results and financial condition could be harmed.</w:t>
      </w:r>
    </w:p>
    <w:p>
      <w:pPr>
        <w:spacing w:after="0" w:line="17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i w:val="1"/>
          <w:iCs w:val="1"/>
          <w:color w:val="auto"/>
        </w:rPr>
        <w:t>Our balance sheet includes significant amounts of goodwill and intangible assets. The impairment of a significant portion of these assets would negatively affect our financial condition or results of operations.</w:t>
      </w:r>
    </w:p>
    <w:p>
      <w:pPr>
        <w:spacing w:after="0" w:line="17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 significant portion of our total assets consists of goodwill and intangible assets. Goodwill and intangible assets, net, together accounted for approximately 51% of total assets on our balance sheet as of December 31, 2020. We evaluate goodwill and indefinite-lived intangible assets for impairment annually in the fourth quarter and whenever events or circumstances make it more likely than not that impairment may have occurred. Under current accounting rules, any determination that impairment has occurred would require us to record an impairment charge, which would adversely affect our earnings. An impairment of a significant portion of goodwill or intangible assets could adversely affect our operating results and financial condition.</w:t>
      </w:r>
    </w:p>
    <w:p>
      <w:pPr>
        <w:spacing w:after="0" w:line="183"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b w:val="1"/>
          <w:bCs w:val="1"/>
          <w:i w:val="1"/>
          <w:iCs w:val="1"/>
          <w:color w:val="auto"/>
        </w:rPr>
        <w:t>Operating and growing our business may require additional capital, and if capital is not available to us, our business, operating results and financial condition may suffer.</w:t>
      </w:r>
    </w:p>
    <w:p>
      <w:pPr>
        <w:spacing w:after="0" w:line="17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Operating and growing our business is expected to require further investments in our business. We may be presented with opportunities that we want to pursue, and unforeseen challenges may present themselves, any of which could cause us to require additional capital. Our business model does not require us to hold a significant amount of cash and cash equivalents at any given time and if our cash needs exceed our expectations or we experience rapid growth, we could experience strain in our cash flow, which could adversely affect our operations in the event we were unable to obtain other sources of liquidity. If we seek to raise funds through equity or debt financing, those funds may prove to be unavailable, may only be available on terms that are not acceptable to us or may result in significant dilution to you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a high level of service, our business, operating results and financial condition may be harmed.</w:t>
      </w:r>
    </w:p>
    <w:p>
      <w:pPr>
        <w:spacing w:after="0" w:line="24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One of the key attributes of our business is providing high quality service to our carriers and customers. We may be unable to sustain these levels of service, which would harm our reputation and our business. Alternatively, we may only be able to sustain high levels of service by significantly increasing our operating costs, which would materially and adversely affect our operating results. The level of service we are able to provide depends on our personnel to a significant extent. Our personnel must be well-trained in our processes and able to handle customer calls effectively and efficiently. Any inability of our personnel to meet our demand, whether due to absenteeism, training, turnover, disruptions at our facilities, including due to the effects of the COVID-19 pandemic, bad weather, power outages or other reasons, could adversely impact our business. If we are unable to maintain high levels of service performance, our reputation could suffer and our business, operating results and financial condition would be harmed.</w:t>
      </w:r>
    </w:p>
    <w:p>
      <w:pPr>
        <w:spacing w:after="0" w:line="18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b w:val="1"/>
          <w:bCs w:val="1"/>
          <w:i w:val="1"/>
          <w:iCs w:val="1"/>
          <w:color w:val="auto"/>
        </w:rPr>
        <w:t>Economic sanction laws in the United States and other jurisdictions may prohibit us and our affiliates from transacting with certain countries, individuals and companies, which could negatively impact our business, operating results and financial condition.</w:t>
      </w:r>
    </w:p>
    <w:p>
      <w:pPr>
        <w:spacing w:after="0" w:line="176"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FCPA and other anti-corruption laws and regulations, as well as anti-boycott regulations, may apply to and restrict our activities, including our software development operations in Slovakia. If we were to violate any such laws or regulations, we may face significant legal and monetary penalties. The U.S. government has indicated that it is focused on FCPA enforcement, which may increase the risk that we become the subject of such actual or threatened enforcement. As such, a violation of the FCPA or other applicable regulations could have a material adverse effect on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Global economic conditions could materially and adversely affect our revenue and results of operations.</w:t>
      </w:r>
    </w:p>
    <w:p>
      <w:pPr>
        <w:spacing w:after="0" w:line="24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business has been and may continue to be affected by a number of factors that are beyond our control, such as general geopolitical, economic and business conditions, and conditions in the financial markets. A severe or prolonged economic downturn could adversely affect consumers’ financial condition and the demand for insurance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297815</wp:posOffset>
            </wp:positionV>
            <wp:extent cx="8255"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297815</wp:posOffset>
            </wp:positionV>
            <wp:extent cx="8890" cy="1200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31</w:t>
      </w:r>
    </w:p>
    <w:p>
      <w:pPr>
        <w:sectPr>
          <w:pgSz w:w="11900" w:h="16838" w:orient="portrait"/>
          <w:cols w:equalWidth="0" w:num="3">
            <w:col w:w="4580" w:space="540"/>
            <w:col w:w="1040" w:space="360"/>
            <w:col w:w="4720"/>
          </w:cols>
          <w:pgMar w:left="320" w:top="1343" w:right="339" w:bottom="1440" w:gutter="0" w:footer="0" w:header="0"/>
          <w:type w:val="continuous"/>
        </w:sectPr>
      </w:pPr>
    </w:p>
    <w:bookmarkStart w:id="34" w:name="page35"/>
    <w:bookmarkEnd w:id="34"/>
    <w:p>
      <w:pPr>
        <w:spacing w:after="0" w:line="248" w:lineRule="auto"/>
        <w:rPr>
          <w:sz w:val="20"/>
          <w:szCs w:val="20"/>
          <w:color w:val="auto"/>
        </w:rPr>
      </w:pPr>
      <w:r>
        <w:rPr>
          <w:rFonts w:ascii="Arial" w:cs="Arial" w:eastAsia="Arial" w:hAnsi="Arial"/>
          <w:sz w:val="16"/>
          <w:szCs w:val="16"/>
          <w:color w:val="auto"/>
        </w:rPr>
        <w:t>We are also exposed to risks associated with the potential financial instability of our carriers and customers, many of whom may be adversely affected by volatile conditions in the financial markets or an economic slowdown. As a result of uncertainties with respect to financial institutions and the global credit markets and other macroeconomic challenges currently or potentially affecting the economy of the U.S. and other parts of the world, customers may experience serious cash flow problems and other financial difficulties, decreasing demand for the products of our carriers. In addition, events in the U.S. or foreign markets, such as the U.K.’s exit from the European Union, the worldwide effects from the spread of COVID-19 and political and social unrest in various countries around the world, can impact the global economy and capital markets. Our carriers may modify, delay, or cancel plans to offer new products or may make changes in the mix of products purchased that are unfavorable to us. Additionally, if carriers are not successful in generating sufficient revenue or are precluded from securing financing, their businesses will suffer, which may materially and adversely affect our business, operating results and financial condition.</w:t>
      </w:r>
    </w:p>
    <w:p>
      <w:pPr>
        <w:spacing w:after="0" w:line="206"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 addition, we are susceptible to risks associated with the potential financial instability of the vendors on which we rely to provide services or to whom we delegate certain functions. The same conditions that may affect carriers and customers also could adversely affect our vendors, causing them to significantly and quickly increase their prices or reduce their output. Our business depends on our ability to perform, in an efficient and uninterrupted fashion, our necessary business functions, and any interruption in the services provided by third parties could also adversely affect our business, operating results and financial condition. See “—The extent to which the COVID-19 outbreak and measures taken in response thereto impact our business, results of operations and financial condition will depend on future developments, which are highly uncertain and cannot be predicted.”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 of other businesses or technologies could disrupt and harm our business, operating results and financial condition.</w:t>
      </w:r>
    </w:p>
    <w:p>
      <w:pPr>
        <w:spacing w:after="0" w:line="241"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We have in the past acquired businesses and in the future may decide to acquire other businesses, products and technologies. Our ability as an organization to successfully make and integrate acquisitions is unproven. Acquisitions could require significant capital infusions and could involve many risks, including the following:</w:t>
      </w:r>
    </w:p>
    <w:p>
      <w:pPr>
        <w:spacing w:after="0" w:line="201" w:lineRule="exact"/>
        <w:rPr>
          <w:sz w:val="20"/>
          <w:szCs w:val="20"/>
          <w:color w:val="auto"/>
        </w:rPr>
      </w:pPr>
    </w:p>
    <w:p>
      <w:pPr>
        <w:jc w:val="both"/>
        <w:ind w:left="660" w:right="300" w:hanging="328"/>
        <w:spacing w:after="0" w:line="253"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acquisition may negatively impact our results of operations because it will require us to incur transaction expenses, and after the transaction, may require us to incur charges and substantial debt or liabilities, may require the amortization, write down or impairment of amounts related to goodwill and other intangible assets, or may cause adverse tax consequences or substantial depreciation charges;</w:t>
      </w:r>
    </w:p>
    <w:p>
      <w:pPr>
        <w:spacing w:after="0" w:line="201"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acquisition undertaken for strategic business purposes may negatively impact our results of operations;</w:t>
      </w:r>
    </w:p>
    <w:p>
      <w:pPr>
        <w:spacing w:after="0" w:line="221" w:lineRule="exact"/>
        <w:rPr>
          <w:rFonts w:ascii="Arial" w:cs="Arial" w:eastAsia="Arial" w:hAnsi="Arial"/>
          <w:sz w:val="16"/>
          <w:szCs w:val="16"/>
          <w:color w:val="auto"/>
        </w:rPr>
      </w:pPr>
    </w:p>
    <w:p>
      <w:pPr>
        <w:ind w:left="660" w:right="28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encounter difficulties in assimilating and integrating the business, technologies, products, personnel or operations of companies that we acquire, particularly if key personnel of the acquired company decide not to work for us;</w:t>
      </w:r>
    </w:p>
    <w:p>
      <w:pPr>
        <w:spacing w:after="0" w:line="195"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acquisition may disrupt our ongoing business, divert resources, increase our expenses and distract our management;</w:t>
      </w:r>
    </w:p>
    <w:p>
      <w:pPr>
        <w:spacing w:after="0" w:line="221" w:lineRule="exact"/>
        <w:rPr>
          <w:rFonts w:ascii="Arial" w:cs="Arial" w:eastAsia="Arial" w:hAnsi="Arial"/>
          <w:sz w:val="16"/>
          <w:szCs w:val="16"/>
          <w:color w:val="auto"/>
        </w:rPr>
      </w:pPr>
    </w:p>
    <w:p>
      <w:pPr>
        <w:ind w:left="660" w:right="12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be required to implement or improve internal controls, procedures and policies appropriate for a public company at a business that prior to the acquisition lacked these controls, procedures and policies;</w:t>
      </w:r>
    </w:p>
    <w:p>
      <w:pPr>
        <w:spacing w:after="0" w:line="195"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acquired businesses may have unexpected liabilities that we will be forced to assume;</w:t>
      </w:r>
    </w:p>
    <w:p>
      <w:pPr>
        <w:spacing w:after="0" w:line="221"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acquired businesses, products or technologies may not generate sufficient revenue to offset acquisition costs or to maintain our financial results; and</w:t>
      </w:r>
    </w:p>
    <w:p>
      <w:pPr>
        <w:spacing w:after="0" w:line="195" w:lineRule="exact"/>
        <w:rPr>
          <w:rFonts w:ascii="Arial" w:cs="Arial" w:eastAsia="Arial" w:hAnsi="Arial"/>
          <w:sz w:val="16"/>
          <w:szCs w:val="16"/>
          <w:color w:val="auto"/>
        </w:rPr>
      </w:pPr>
    </w:p>
    <w:p>
      <w:pPr>
        <w:ind w:left="660" w:right="3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acquisitions may involve the entry into geographic or business markets in which we have little or no prior experience, such as our acquisition of Creatix which had operations in Slovakia.</w:t>
      </w:r>
    </w:p>
    <w:p>
      <w:pPr>
        <w:spacing w:after="0" w:line="19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cannot provide assurance that we will be able to identify or consummate any future acquisition on favorable terms, or at all. If we do pursue an acquisition, it is possible that we may not realize the anticipated benefits from the acquisition or that the financial markets or investors will negatively view the acquisition. Even if we successfully complete an acquisition, it could harm our business, operating results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not grow if consumers are not informed about the availability and accessibility of affordable health insurance.</w:t>
      </w:r>
    </w:p>
    <w:p>
      <w:pPr>
        <w:spacing w:after="0" w:line="241"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Numerous health insurance products are available to consumers in any given market. Most of these products vary by price, benefits and other policy features. Health insurance terminology and provisions are often confusing and difficult to understand. As a result, researching, selecting and purchasing health insurance can be a complex process. We believe that this complexity has contributed to a perception held by many consumers that individual health insurance is prohibitively expensive and difficult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298450</wp:posOffset>
            </wp:positionV>
            <wp:extent cx="8255" cy="120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298450</wp:posOffset>
            </wp:positionV>
            <wp:extent cx="8890" cy="1200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43" w:right="35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32</w:t>
      </w:r>
    </w:p>
    <w:p>
      <w:pPr>
        <w:sectPr>
          <w:pgSz w:w="11900" w:h="16838" w:orient="portrait"/>
          <w:cols w:equalWidth="0" w:num="3">
            <w:col w:w="4580" w:space="540"/>
            <w:col w:w="1040" w:space="360"/>
            <w:col w:w="4700"/>
          </w:cols>
          <w:pgMar w:left="320" w:top="1343" w:right="359" w:bottom="1440" w:gutter="0" w:footer="0" w:header="0"/>
          <w:type w:val="continuous"/>
        </w:sectPr>
      </w:pPr>
    </w:p>
    <w:bookmarkStart w:id="35" w:name="page36"/>
    <w:bookmarkEnd w:id="35"/>
    <w:p>
      <w:pPr>
        <w:ind w:right="280"/>
        <w:spacing w:after="0" w:line="260" w:lineRule="auto"/>
        <w:rPr>
          <w:sz w:val="20"/>
          <w:szCs w:val="20"/>
          <w:color w:val="auto"/>
        </w:rPr>
      </w:pPr>
      <w:r>
        <w:rPr>
          <w:rFonts w:ascii="Arial" w:cs="Arial" w:eastAsia="Arial" w:hAnsi="Arial"/>
          <w:sz w:val="16"/>
          <w:szCs w:val="16"/>
          <w:color w:val="auto"/>
        </w:rPr>
        <w:t>obtain. If consumers are not informed about the availability and accessibility of affordable health insurance, our business may not grow and our business, operating results and financial condition would be harmed.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Intellectual Property and Technology</w:t>
      </w:r>
    </w:p>
    <w:p>
      <w:pPr>
        <w:spacing w:after="0" w:line="221"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b w:val="1"/>
          <w:bCs w:val="1"/>
          <w:i w:val="1"/>
          <w:iCs w:val="1"/>
          <w:color w:val="auto"/>
        </w:rPr>
        <w:t>We rely on data provided to us by customers, carriers and third-party lead suppliers to improve our technology and service offerings, and if we are unable to maintain or grow such data, we may be unable to provide customers with an insurance shopping experience that is relevant, efficient and effective, which could adversely affect our business.</w:t>
      </w:r>
    </w:p>
    <w:p>
      <w:pPr>
        <w:spacing w:after="0" w:line="19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Our business relies on the data provided to us by customers, carriers and third-party lead suppliers. The large amount of data that we use in operating our marketplace platform, and the accuracy of such data, is critical to our ability to provide a relevant, efficient and effective insurance shopping experience for customers. For example, if the data provided to us by our customers during the insurance shopping process is not accurate, our ability to match our customers with relevant and suitable insurance products would be impaired, which could lead to an increase in rejections of policies that we submit to carriers. Further, if we are unable to maintain or effectively utilize the data provided to us, the value that we provide to customers and carriers may be limited as well. If we do not obtain accurate data from our consumers or if we are unable to maintain or effectively utilize the data provided to us, consumers who use our platform could have a negative shopping experience, which could materially and adversely affect our business, operating results and financial condition.</w:t>
      </w:r>
    </w:p>
    <w:p>
      <w:pPr>
        <w:spacing w:after="0" w:line="39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Although we have made substantial investments into our technology systems, we cannot assure you that we will be able to continually collect and retain sufficient data, or improve our data technologies to satisfy our operating needs. Failure to do so could materially and adversely affect our business, operating results and financial condition.</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i w:val="1"/>
          <w:iCs w:val="1"/>
          <w:color w:val="auto"/>
        </w:rPr>
        <w:t>Our business is subject to security risks and, if we are subject to cyber-attacks, security breaches or otherwise unable to safeguard the security and privacy of confidential data, including personal health information, our business will be harmed.</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services involve the collection and storage of confidential and personal information of consumers and employees, including protected health information subject to HIPAA and other individually identifiable health information, and the transmission of this information to their chosen carriers and to government. For example, in our online lead generation business, we collect and disclose names, contact information, date of birth, and sensitive information regarding the medical history of consumers.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As cyber threats continue to evolve, we may be required to expend additional resources to further enhance our information security measures, develop additional protocols and/or to investigate and remediate any information security vulnerabilities.</w:t>
      </w:r>
    </w:p>
    <w:p>
      <w:pPr>
        <w:spacing w:after="0" w:line="207"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Because our services involve the collection, processing, use, storage and transmission of confidential and personal information of consumers and employees, including protected health information subject to HIPAA and other individually identifiable health information, we are subject to various laws, regulations, industry standards and contractual requirements regarding the collection, maintenance, protection, use, transmission, disclosure and disposal of personal information. We also hold a significant amount of personal information relating to our current and former employees. We cannot guarantee that our facilities and systems, and those of our third-party service providers, will be free of security breaches, cyber-attacks, acts of vandalism, computer viruses, malware, ransomware, denial-of-service attacks, misplaced or lost data, programming and/or human errors or other similar events. Compliance with privacy and security laws, requirements and regulations may result in cost increases due to new constraints on our business, the development of new processes, the effects of potential non-compliance by us or third-party service providers, and enforcement actions. We may be required to expend significant amounts and other resources to protect against security breaches or to alleviate problems caused by security breaches and other threats to our information technology systems. Despite our implementation of security measures, techniques used to obtain unauthorized access or to sabotage systems change frequently. As a result, we may be unable to anticipate these techniques or to implement adequate preventative measures. Additionally, our third-party service providers who process information on our behalf may cause security breaches for which we are responsible.</w:t>
      </w:r>
    </w:p>
    <w:p>
      <w:pPr>
        <w:spacing w:after="0" w:line="21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Any compromise or perceived compromise of the security of our systems or the systems of one or more of our vendors or service providers could damage our reputation, cause the termination of relationships with government-run health insurance exchanges, carriers, and/or our customers, result in disruption or interruption to our business operations, marketing partners and carriers, reduce demand for our services and subject us to significant liability and expense as well as regulatory action and lawsuits, which would harm our business, operating results and financial condition. The CCPA, in particular, includes a private right of action for California consumers whose CCPA-covered personal information is impacted by a data security incident resulting from a company’s failure to maintain reasonable security procedures, and hence may result in civil litigation in the event of a data breach impacting such information. Although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 or any regulatory actions or litigation that may result. In addition, in the event that additional data security laws are implemented, or our carrier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300990</wp:posOffset>
            </wp:positionV>
            <wp:extent cx="8255" cy="1200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300990</wp:posOffset>
            </wp:positionV>
            <wp:extent cx="8890" cy="1200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33</w:t>
      </w:r>
    </w:p>
    <w:p>
      <w:pPr>
        <w:sectPr>
          <w:pgSz w:w="11900" w:h="16838" w:orient="portrait"/>
          <w:cols w:equalWidth="0" w:num="3">
            <w:col w:w="4580" w:space="540"/>
            <w:col w:w="1040" w:space="360"/>
            <w:col w:w="4720"/>
          </w:cols>
          <w:pgMar w:left="320" w:top="1343" w:right="339" w:bottom="1440" w:gutter="0" w:footer="0" w:header="0"/>
          <w:type w:val="continuous"/>
        </w:sectPr>
      </w:pPr>
    </w:p>
    <w:bookmarkStart w:id="36" w:name="page37"/>
    <w:bookmarkEnd w:id="36"/>
    <w:p>
      <w:pPr>
        <w:spacing w:after="0" w:line="247" w:lineRule="auto"/>
        <w:rPr>
          <w:sz w:val="20"/>
          <w:szCs w:val="20"/>
          <w:color w:val="auto"/>
        </w:rPr>
      </w:pPr>
      <w:r>
        <w:rPr>
          <w:rFonts w:ascii="Arial" w:cs="Arial" w:eastAsia="Arial" w:hAnsi="Arial"/>
          <w:sz w:val="16"/>
          <w:szCs w:val="16"/>
          <w:color w:val="auto"/>
        </w:rPr>
        <w:t>other partners determine to impose additional requirements on us relating to data security, we may not be able to timely comply with such requirements or such requirements may not be compatible with our current processes. For example, legislators and regulators in the U.S. have enacted and are proposing new and more robust privacy and cybersecurity laws and regulations in response to increasing broad-based cyberattacks, including the CCPA and the New York SHIELD Act. New data security laws add additional complexity, requirements, restrictions and potential legal risk and compliance programs may require additional investment in resources, and could impact strategies and availability of previously useful data. Changing our processes to comply with new laws or new requirements imposed by our carriers could be time consuming and expensive, and failure to timely implement required changes could result in our inability to sell health insurance plans in a particular jurisdiction or for a particular carrier or subject us to liability for non-compliance, any of which would damage our business, operating results and financial condition. For instance, carriers may require us to be compliant with the Payment Card Industry Data Security Standard, or PCI DSS, security standards in order to accept credit card information from customers or require us to comply with privacy and security standards to do business with us at all. PCI DSS compliance and compliance with other privacy and security standards are regularly assessed, and the possibility exists that we may not always be compliant with the standards. If we are not in compliance, we may not be able to accept credit card information from customers to the extent needed, or conduct health insurance business, and our relationship with carriers could be adversely impacted or terminated, which would harm our business, operating results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adequately protect our intellectual property, which could harm our business and operating results.</w:t>
      </w:r>
    </w:p>
    <w:p>
      <w:pPr>
        <w:spacing w:after="0" w:line="241"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We believe that our intellectual property is an essential asset of our business and that our technology currently gives us a competitive advantage in the distribution of Medicare-related, individual and family health insurance. We rely on a combination of copyright, trademark and trade secret laws as well as confidentiality procedures and contractual provisions to establish and protect our intellectual property rights in the United States. The efforts we have taken to protect our intellectual property may not be sufficient or effective. In addition, monitoring unauthorized uses of our intellectual property and unauthorized disclosures of our trade secrets and other confidential or proprietary information can be difficult, and even if we do detect violations, litigation may be necessary to enforce our intellectual property rights. Any enforcement efforts we undertake, including litigation, could be time-consuming and expensive, could divert our management’s attention and may result in a court determining that our intellectual property or other proprietary rights are unenforceable. If we are not successful in cost-effectively protecting our confidential information, trade secrets and other intellectual property rights, our business, operating results and financial condition could be harmed. Further, if a competitor lawfully obtains or independently develops the technology that we maintain as a trade secret, we would have no right to prevent such competitor from using that technology or proprietary information to compete with us, which could harm our competitive position.</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In addition, we use open source software in connection with our proprietary software and expect to continue to use open source software in the future. Some open-source licenses, commonly referred to as “copyleft” licenses, require licensors to provide source code to licensees upon request, or prohibit licensors from charging a fee to licensees. We try to insulate our proprietary code from the effects of such “copyleft” provisions. While we have policies in place to avoid usage of software from “copyleft” licenses, and while we conduct audits and have other procedures in place in an effort to ensure these policies are followed, we cannot guarantee that these efforts will be successful. Accordingly, we may face claims from others claiming ownership of, or seeking to enforce the license terms applicable to such open source software, including by demanding release of the open 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 source software change, we may be forced to re-engineer our software or incur additional costs. We cannot assure you that we have not incorporated open source software into our proprietary software in a manner that may subject our proprietary software to an open source license that requires disclosure, to customers or the public, of the source code to such proprietary software. Any such disclosure would have a negative effect on our business and the value of our proprietary software.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Indebtedness</w:t>
      </w:r>
    </w:p>
    <w:p>
      <w:pPr>
        <w:spacing w:after="0" w:line="22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i w:val="1"/>
          <w:iCs w:val="1"/>
          <w:color w:val="auto"/>
        </w:rPr>
        <w:t>Our debt obligations contain restrictions that impact our business and expose us to risks that could materially adversely affect our liquidity and financial condition.</w:t>
      </w:r>
    </w:p>
    <w:p>
      <w:pPr>
        <w:spacing w:after="0" w:line="17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total principal amount of debt outstanding under our Credit Facilities, excluding unamortized debt discount and deferred issuance costs, as of December 31, 2020 was $412.4 million, consisting of $296.3 million and $116.1 million outstanding under our Term Loan Facility and Incremental Term Loan Facility, respectively. Our indebtedness could have significant effects on our business, such as:</w:t>
      </w:r>
    </w:p>
    <w:p>
      <w:pPr>
        <w:spacing w:after="0" w:line="201" w:lineRule="exact"/>
        <w:rPr>
          <w:sz w:val="20"/>
          <w:szCs w:val="20"/>
          <w:color w:val="auto"/>
        </w:rPr>
      </w:pPr>
    </w:p>
    <w:p>
      <w:pPr>
        <w:ind w:left="660" w:right="54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limiting our ability to borrow additional amounts to fund capital expenditures, acquisitions, debt service requirements, execution of our growth strategy and other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294005</wp:posOffset>
            </wp:positionV>
            <wp:extent cx="8255" cy="1200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294005</wp:posOffset>
            </wp:positionV>
            <wp:extent cx="8890" cy="1200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34</w:t>
      </w:r>
    </w:p>
    <w:p>
      <w:pPr>
        <w:sectPr>
          <w:pgSz w:w="11900" w:h="16838" w:orient="portrait"/>
          <w:cols w:equalWidth="0" w:num="3">
            <w:col w:w="4580" w:space="540"/>
            <w:col w:w="1040" w:space="360"/>
            <w:col w:w="4720"/>
          </w:cols>
          <w:pgMar w:left="320" w:top="1343" w:right="339" w:bottom="1440" w:gutter="0" w:footer="0" w:header="0"/>
          <w:type w:val="continuous"/>
        </w:sectPr>
      </w:pPr>
    </w:p>
    <w:bookmarkStart w:id="37" w:name="page38"/>
    <w:bookmarkEnd w:id="37"/>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limiting our ability to make investments, including acquisitions, loans and advances, and to sell, transfer or otherwise dispose of assets;</w:t>
      </w:r>
    </w:p>
    <w:p>
      <w:pPr>
        <w:spacing w:after="0" w:line="221" w:lineRule="exact"/>
        <w:rPr>
          <w:rFonts w:ascii="Arial" w:cs="Arial" w:eastAsia="Arial" w:hAnsi="Arial"/>
          <w:sz w:val="16"/>
          <w:szCs w:val="16"/>
          <w:color w:val="auto"/>
        </w:rPr>
      </w:pPr>
    </w:p>
    <w:p>
      <w:pPr>
        <w:ind w:left="660" w:right="100" w:hanging="328"/>
        <w:spacing w:after="0" w:line="253"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201" w:lineRule="exact"/>
        <w:rPr>
          <w:rFonts w:ascii="Arial" w:cs="Arial" w:eastAsia="Arial" w:hAnsi="Arial"/>
          <w:sz w:val="16"/>
          <w:szCs w:val="16"/>
          <w:color w:val="auto"/>
        </w:rPr>
      </w:pPr>
    </w:p>
    <w:p>
      <w:pPr>
        <w:ind w:left="660" w:right="44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making us more vulnerable to adverse changes in general economic, industry and competitive conditions, in government regulation and in our business by limiting our ability to plan for and react to changing conditions;</w:t>
      </w:r>
    </w:p>
    <w:p>
      <w:pPr>
        <w:spacing w:after="0" w:line="19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placing us at a competitive disadvantage compared with our competitors that have less debt; and</w:t>
      </w:r>
    </w:p>
    <w:p>
      <w:pPr>
        <w:spacing w:after="0" w:line="221" w:lineRule="exact"/>
        <w:rPr>
          <w:rFonts w:ascii="Arial" w:cs="Arial" w:eastAsia="Arial" w:hAnsi="Arial"/>
          <w:sz w:val="16"/>
          <w:szCs w:val="16"/>
          <w:color w:val="auto"/>
        </w:rPr>
      </w:pPr>
    </w:p>
    <w:p>
      <w:pPr>
        <w:ind w:left="660" w:right="5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exposing us to risks inherent in interest rate fluctuations because our borrowings are at variable rates of interest, which could result in higher interest expense in the event of increases in interest rates.</w:t>
      </w:r>
    </w:p>
    <w:p>
      <w:pPr>
        <w:spacing w:after="0" w:line="195"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business, financial condition and results of operations.</w:t>
      </w:r>
    </w:p>
    <w:p>
      <w:pPr>
        <w:spacing w:after="0" w:line="18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i w:val="1"/>
          <w:iCs w:val="1"/>
          <w:color w:val="auto"/>
        </w:rPr>
        <w:t>Restrictions imposed by our Credit Facilities may materially limit our ability to operate our business and finance our future operations or capital needs.</w:t>
      </w:r>
    </w:p>
    <w:p>
      <w:pPr>
        <w:spacing w:after="0" w:line="176"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terms of our Credit Facilities restrict us and our restricted subsidiaries from engaging in specified types of transactions. These covenants restrict our ability, and that of our restricted subsidiaries, to, among other things:</w:t>
      </w:r>
    </w:p>
    <w:p>
      <w:pPr>
        <w:spacing w:after="0" w:line="195"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incur indebtedness;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incur certain liens;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consolidate, merge or sell or otherwise dispose of assets;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make investments, loans, advances, guarantees and acquisitions;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pay dividends or make other distributions on equity interests, or redeem, repurchase or retire equity interests;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enter into transactions with affiliates;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alter the business conducted by us and our subsidiaries;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 their fiscal year; and</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amend or modify governing documents.</w:t>
      </w:r>
    </w:p>
    <w:p>
      <w:pPr>
        <w:spacing w:after="0" w:line="22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 breach of any of these covenants, or any other covenant in the documents governing our Credit Facilities, could result in a default or event of default under our Credit Facilities. In the event of any event of default under our Credit Facilities, the applicable lenders or agents could elect to terminate borrowing commitments and declare all borrowings and loans outstanding thereunder, together with accrued and unpaid interest and any fees and other obligations, to be immediately due and payable. In addition, or in the alternative, the applicable lenders or agents could exercise their rights under the security documents entered into in connection with our Credit Facilities. We have pledged substantially all of our assets as collateral securing our Credit Facilities and any such exercise of remedies on any material portion of such collateral would likely materially adversely affect our business, financial condition or results of operations. Subject to certain limited exceptions, substantially all of the Company’s assets are restricted from distribution.</w:t>
      </w:r>
    </w:p>
    <w:p>
      <w:pPr>
        <w:spacing w:after="0" w:line="20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If we were unable to repay or otherwise refinance these borrowings and loans when due, and the applicable lenders proceeded against the collateral granted to them to secure that indebtedness, we may be forced into bankruptcy or liquidation. In the event the applicable lenders accelerate the repayment of our borrowings, we may not have sufficient assets to repay that indebtedness. Any acceleration of amounts due under our Credit Facilities or other outstanding indebtedness would also likely have a material adverse effect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298450</wp:posOffset>
            </wp:positionV>
            <wp:extent cx="8255" cy="1200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298450</wp:posOffset>
            </wp:positionV>
            <wp:extent cx="8890" cy="120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35</w:t>
      </w:r>
    </w:p>
    <w:p>
      <w:pPr>
        <w:sectPr>
          <w:pgSz w:w="11900" w:h="16838" w:orient="portrait"/>
          <w:cols w:equalWidth="0" w:num="3">
            <w:col w:w="4580" w:space="540"/>
            <w:col w:w="1040" w:space="360"/>
            <w:col w:w="4720"/>
          </w:cols>
          <w:pgMar w:left="320" w:top="1343" w:right="339" w:bottom="1440" w:gutter="0" w:footer="0" w:header="0"/>
          <w:type w:val="continuous"/>
        </w:sectPr>
      </w:pPr>
    </w:p>
    <w:bookmarkStart w:id="38" w:name="page39"/>
    <w:bookmarkEnd w:id="38"/>
    <w:p>
      <w:pPr>
        <w:ind w:right="180"/>
        <w:spacing w:after="0" w:line="250" w:lineRule="auto"/>
        <w:rPr>
          <w:sz w:val="20"/>
          <w:szCs w:val="20"/>
          <w:color w:val="auto"/>
        </w:rPr>
      </w:pPr>
      <w:r>
        <w:rPr>
          <w:rFonts w:ascii="Arial" w:cs="Arial" w:eastAsia="Arial" w:hAnsi="Arial"/>
          <w:sz w:val="16"/>
          <w:szCs w:val="16"/>
          <w:color w:val="auto"/>
        </w:rPr>
        <w:t>Pursuant to our Credit Agreement, we are required to maintain, on a consolidated basis, a maximum ratio of consolidated total net debt to consolidated EBITDA (with certain adjustments as set forth in the Credit Agreement), tested as of the last day of the most recently completed four consecutive fiscal quarters. Our ability to borrow under our Credit Agreement depends on our compliance with this financial covenant.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Developments with respect to LIBOR may affect our borrowings under our Credit Facilities.</w:t>
      </w:r>
    </w:p>
    <w:p>
      <w:pPr>
        <w:spacing w:after="0" w:line="24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Regulators and law enforcement agencies in the U.K. and elsewhere are conducting civil and criminal investigations into whether the banks that contribute to the British Bankers’ Association (the “BBA”), in connection with the calculation of daily LIBOR may have been under-reporting or otherwise manipulating or attempting to manipulate LIBOR. A number of BBA member banks have entered into settlements with their regulators and law enforcement agencies with respect to this alleged manipulation of LIBOR. Actions by the BBA, regulators or law enforcement agencies may result in changes to the manner in which LIBOR is determined or the establishment of alternative reference rates. For example, on July 27, 2017, the U.K. Financial Conduct Authority announced that it intends to stop persuading or compelling banks to submit LIBOR quotes after 2021.</w:t>
      </w:r>
    </w:p>
    <w:p>
      <w:pPr>
        <w:spacing w:after="0" w:line="205"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Our Credit Agreement provides that interest may be based on LIBOR and for the use of an alternate rate to LIBOR in the event LIBOR is phased-out; however, uncertainty remains as to any such replacement rate and any such replacement rate may be higher or lower than LIBOR may have been. The establishment of alternative reference rates or implementation of any other potential changes may materially and adversely affect our business, operating results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Organizational Structure</w:t>
      </w:r>
    </w:p>
    <w:p>
      <w:pPr>
        <w:spacing w:after="0" w:line="221"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b w:val="1"/>
          <w:bCs w:val="1"/>
          <w:i w:val="1"/>
          <w:iCs w:val="1"/>
          <w:color w:val="auto"/>
        </w:rPr>
        <w:t>Our principal asset is our interest in GoHealth Holdings, LLC, and, as a result, we depend on distributions from GoHealth Holdings, LLC to pay our taxes and expenses, including payments under the Tax Receivable Agreement. GoHealth Holdings, LLC’s ability to make such distributions may be subject to various limitations and restrictions.</w:t>
      </w:r>
    </w:p>
    <w:p>
      <w:pPr>
        <w:spacing w:after="0" w:line="19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are a holding company and have no material assets other than our ownership of LLC Interests. As such, we have no independent means of generating revenue or cash flow, and our ability to pay our taxes and operating expenses or declare and pay dividends in the future, if any, are dependent upon the financial results and cash flows of GoHealth Holdings, LLC and its subsidiaries and distributions we receive from GoHealth Holdings, LLC. There can be no assurance that GoHealth Holdings, LLC and its subsidiaries will generate sufficient cash flow to distribute funds to us or that applicable state law and contractual restrictions, including negative covenants in our debt instruments, will permit such distributions. Although GoHealth Holdings, LLC is not currently subject to any debt instruments or other agreements that would restrict its ability to make distributions to us, the terms of our Credit Facilities and other outstanding indebtedness restrict the ability of our subsidiaries to pay dividends to GoHealth Holdings, LLC.</w:t>
      </w:r>
    </w:p>
    <w:p>
      <w:pPr>
        <w:spacing w:after="0" w:line="20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GoHealth Holdings, LLC is treated as a partnership for U.S. federal income tax purposes and, as such, generally is not subject to any entity-level U.S. federal income tax. Instead, any taxable income of GoHealth Holdings, LLC will be allocated to holders of LLC Interests, including us. Accordingly, we incur income taxes on our allocable share of any net taxable income of GoHealth Holdings, LLC. Under the terms of the GoHealth Holdings, LLC Agreement, GoHealth Holdings, LLC is obligated, subject to various limitations and restrictions, including with respect to our debt agreements, to make tax distributions to holders of LLC Interests, including us. In addition to tax expenses, we also incur expenses related to our operations, including payments under the Tax Receivable Agreement, which could be significant. We intend, as its managing member, to cause GoHealth Holdings, LLC to make cash distributions to the holders of LLC Interests in an amount sufficient to (1) fund all or part of their tax obligations in respect of taxable income allocated to them and (2) cover our operating expenses, including payments under the Tax Receivable Agreement. However, GoHealth Holdings, LLC’s ability to make such distributions may be subject to various limitations and restrictions, such as restrictions on distributions that would either violate any contract or agreement to which GoHealth Holdings, LLC is then a party, including debt agreements, or any applicable law, or that would have the effect of rendering GoHealth Holdings, LLC insolvent. If we do not have sufficient funds to pay tax or other liabilities, or to fund our operations (including, if applicable, as a result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In addition, if GoHealth Holdings, LLC does not have sufficient funds to make distributions, our ability to declare and pay cash dividends will also be restricted or impaired. See “—Risks Related to the Ownership of our Class A Common Stock.”</w:t>
      </w:r>
    </w:p>
    <w:p>
      <w:pPr>
        <w:spacing w:after="0" w:line="210"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Under the GoHealth Holdings, LLC Agreement, we intend to cause GoHealth Holdings, LLC, from time to time, to make distributions in cash to its equityholders (including us) in amounts sufficient to cover the taxes imposed on their allocable share of taxable income of GoHealth Holdings, LLC. As a result of (1) potential differences in the amount of net taxable income allocable to us and to GoHealth Holdings, LLC’s other equityholders, (2) the lower tax rate applicable to corporations as opposed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298450</wp:posOffset>
            </wp:positionV>
            <wp:extent cx="8255" cy="120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298450</wp:posOffset>
            </wp:positionV>
            <wp:extent cx="8890" cy="1200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36</w:t>
      </w:r>
    </w:p>
    <w:p>
      <w:pPr>
        <w:sectPr>
          <w:pgSz w:w="11900" w:h="16838" w:orient="portrait"/>
          <w:cols w:equalWidth="0" w:num="3">
            <w:col w:w="4580" w:space="540"/>
            <w:col w:w="1040" w:space="360"/>
            <w:col w:w="4720"/>
          </w:cols>
          <w:pgMar w:left="320" w:top="1343"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color w:val="auto"/>
        </w:rPr>
        <w:t>individuals, and (3) certain tax benefits that we anticipate from (a) future purchases or redemptions of LLC Interests from the Continuing Equity Owners,</w:t>
      </w:r>
    </w:p>
    <w:p>
      <w:pPr>
        <w:spacing w:after="0" w:line="5" w:lineRule="exact"/>
        <w:rPr>
          <w:sz w:val="20"/>
          <w:szCs w:val="20"/>
          <w:color w:val="auto"/>
        </w:rPr>
      </w:pPr>
    </w:p>
    <w:p>
      <w:pPr>
        <w:ind w:firstLine="8"/>
        <w:spacing w:after="0" w:line="248" w:lineRule="auto"/>
        <w:tabs>
          <w:tab w:leader="none" w:pos="2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payments under the Tax Receivable Agreement and (c) any acquisition of interests in GoHealth Holdings, LLC from other equityholders in connection with the consummation of the Transactions, these tax distributions may be in amounts that exceed our tax liabilities. Our board of directors will determine the appropriate uses for any excess cash so accumulated, which may include, among other uses, the payment of obligations under the Tax Receivable Agreement and the payment of other expenses. We will have no obligation to distribute such cash (or other available cash) to our stockholders. No adjustments to the exchange ratio for LLC Interests and corresponding shares of Class A common stock will be made as a result of any cash distribution by us or any retention of cash by us. To the extent we do not distribute such excess cash as dividends on our Class A common stock we may take other actions with respect to such excess cash, for example, holding such excess cash, or lending it (or a portion thereof) to GoHealth Holdings, LLC, which may result in shares of our Class A common stock increasing in value relative to the value of LLC Interests. The holders of LLC Interests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w:t>
      </w:r>
    </w:p>
    <w:p>
      <w:pPr>
        <w:spacing w:after="0" w:line="18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i w:val="1"/>
          <w:iCs w:val="1"/>
          <w:color w:val="auto"/>
        </w:rPr>
        <w:t>The Tax Receivable Agreement with the Continuing Equity Owners requires us to make cash payments to them in respect of certain tax benefits to which we may become entitled, and such payments could be substantial.</w:t>
      </w:r>
    </w:p>
    <w:p>
      <w:pPr>
        <w:spacing w:after="0" w:line="176"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Under the Tax Receivable Agreement, we are required to make cash payments to the Continuing Equity Owners and the Blocker Shareholders equal to 85% of the tax benefits, if any, that we actually realize, or in certain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GoHealth Holdings, LLC resulting from (a) the purchase of LLC Interests directly from GoHealth Holdings, LLC and the partial redemption of LLC Interests by GoHealth Holdings, LLC, (b) any future redemptions or exchanges of LLC Interests from the Continuing Equity Owners and (c) certain distributions (or deemed distributions) by GoHealth Holdings, LLC; and</w:t>
      </w:r>
    </w:p>
    <w:p>
      <w:pPr>
        <w:spacing w:after="0" w:line="2" w:lineRule="exact"/>
        <w:rPr>
          <w:sz w:val="20"/>
          <w:szCs w:val="20"/>
          <w:color w:val="auto"/>
        </w:rPr>
      </w:pPr>
    </w:p>
    <w:p>
      <w:pPr>
        <w:ind w:right="20" w:firstLine="8"/>
        <w:spacing w:after="0" w:line="247" w:lineRule="auto"/>
        <w:tabs>
          <w:tab w:leader="none" w:pos="2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certain other tax benefits arising from payments under the Tax Receivable Agreement. The amount of cash payments we are required to make under the Tax Receivable Agreement could be substantial. Any payments made by us to the Continuing Equity Owners and the Blocker Shareholders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Payments under the Tax Receivable Agreement are not conditioned upon one or more of the Continuing Equity Owners maintaining a continued ownership interest in GoHealth Holdings, LLC.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The existing tax basis acquired in connection with the Transactions, the actual increase in tax basis, and the actual utilization of any resulting tax benefits, as well as the amount and timing of any payments under the Tax Receivable Agreement, will vary depending upon a number of factors: including the timing of redemptions by the Continuing Equity Owners; the price of shares of our Class A common stock at the time of the exchange; the extent to which such exchanges are taxable; the amount of gain recognized by such Continuing Equity Owners;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19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b w:val="1"/>
          <w:bCs w:val="1"/>
          <w:i w:val="1"/>
          <w:iCs w:val="1"/>
          <w:color w:val="auto"/>
        </w:rPr>
        <w:t>Our organizational structure, including the Tax Receivable Agreement, confers certain benefits upon the Continuing Equity Owners that do not benefit holders of our Class A common stock to the same extent that it benefits the Continuing Equity Owners.</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organizational structure, including the Tax Receivable Agreement, confers certain benefits upon the Continuing Equity Owners that do not benefit the holders of our Class A common stock to the same extent that it benefits the Continuing Equity Owners. The Tax Receivable Agreement provides for the payment by us to the Continuing Equity Owners and the Blocker Shareholders of 85% of the amount of tax benefits, if any, that we actually realize, or in some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GoHealth Holdings, LLC resulting from (a) the purchase of LLC Interests directly from GoHealth Holdings, LLC and, the partial redemption of LLC Interests by GoHealth Holdings, LLC (b) any future redemptions or exchanges of LLC Interests from the Continuing Equity Owners and (c) certain distributions (or deemed distributions) by GoHealth Holdings, LLC; and (3) certain other tax benefits arising from payments under the Tax Receivable Agreement. Although we will retain 15% of the amount of such tax benefits, this and other aspects of our organizational structure may adversely impact the future trading market for the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300355</wp:posOffset>
            </wp:positionV>
            <wp:extent cx="8255" cy="1200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300355</wp:posOffset>
            </wp:positionV>
            <wp:extent cx="8890" cy="120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00"/>
          </w:cols>
          <w:pgMar w:left="320" w:top="1343" w:right="37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37</w:t>
      </w:r>
    </w:p>
    <w:p>
      <w:pPr>
        <w:sectPr>
          <w:pgSz w:w="11900" w:h="16838" w:orient="portrait"/>
          <w:cols w:equalWidth="0" w:num="3">
            <w:col w:w="4580" w:space="540"/>
            <w:col w:w="1040" w:space="360"/>
            <w:col w:w="4680"/>
          </w:cols>
          <w:pgMar w:left="320" w:top="1343" w:right="379" w:bottom="1440" w:gutter="0" w:footer="0" w:header="0"/>
          <w:type w:val="continuous"/>
        </w:sectPr>
      </w:pPr>
    </w:p>
    <w:bookmarkStart w:id="40" w:name="page41"/>
    <w:bookmarkEnd w:id="40"/>
    <w:p>
      <w:pPr>
        <w:ind w:right="640"/>
        <w:spacing w:after="0" w:line="286" w:lineRule="auto"/>
        <w:rPr>
          <w:sz w:val="20"/>
          <w:szCs w:val="20"/>
          <w:color w:val="auto"/>
        </w:rPr>
      </w:pPr>
      <w:r>
        <w:rPr>
          <w:rFonts w:ascii="Arial" w:cs="Arial" w:eastAsia="Arial" w:hAnsi="Arial"/>
          <w:sz w:val="16"/>
          <w:szCs w:val="16"/>
          <w:b w:val="1"/>
          <w:bCs w:val="1"/>
          <w:i w:val="1"/>
          <w:iCs w:val="1"/>
          <w:color w:val="auto"/>
        </w:rPr>
        <w:t>In certain cases, payments under the Tax Receivable Agreement to the Continuing Equity Owners and the Blocker Shareholders may be accelerated or significantly exceed any actual benefits we realize in respect of the tax attributes subject to the Tax Receivable Agreement.</w:t>
      </w:r>
    </w:p>
    <w:p>
      <w:pPr>
        <w:spacing w:after="0" w:line="176"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The Tax Receivable Agreement provides that if (1) we materially breach any of our material obligations under the Tax Receivable Agreement, (2) certain mergers, asset sales, other forms of business combinations or other changes of control were to occur, or (3) we elect an early termination of the Tax Receivable Agreement, then our obligations, or our successor’s obligations, under the Tax Receivable Agreement to make payments would be based on certain assumptions, including an assumption that we would have sufficient taxable income to fully utilize all potential future tax benefits that are subject to the Tax Receivable Agreement.</w:t>
      </w:r>
    </w:p>
    <w:p>
      <w:pPr>
        <w:spacing w:after="0" w:line="20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We could also be required to make cash payments to the Continuing Equity Owners and the Blocker Shareholders that are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186"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b w:val="1"/>
          <w:bCs w:val="1"/>
          <w:i w:val="1"/>
          <w:iCs w:val="1"/>
          <w:color w:val="auto"/>
        </w:rPr>
        <w:t>We will not be reimbursed for any payments made to the Continuing Equity Owners and the Blocker Shareholders under the Tax Receivable Agreement in the event that any tax benefits are disallowed.</w:t>
      </w:r>
    </w:p>
    <w:p>
      <w:pPr>
        <w:spacing w:after="0" w:line="17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U.S. Internal Revenue Service, or the IRS, or another tax authority, may challenge all or part of the tax basis increases or other tax benefits we claim, as well as other related tax positions we take, and a court could sustain such challenge. If the outcome of any such challenge would reasonably be expected to materially and adversely affect a recipient’s payments under the Tax Receivable Agreement, then we will not be permitted to settle or fail to contest such challenge without the consent (not to be unreasonably withheld or delayed) of Centerbridge and NVX Holdings. The interests of Centerbridge or NVX Holdings in any such challenge may differ from or conflict with our interests and your interests, and Centerbridge or NVX Holdings may exercise their consent rights relating to any such challenge in a manner adverse to our interests and your interests. We will not be reimbursed for any cash payments previously made to the Continuing Equity Owners and the Blocker Shareholders under the Tax Receivable Agreement in the event that any tax benefits initially claimed by us and for which payment has been made to a Continuing Equity Owner or a Blocker Shareholder are subsequently challenged by a taxing authority and are ultimately disallowed. Instead, any excess cash payments made by us to a Continuing Equity Owner and/or a Blocker Shareholder, as applicable, will be netted against any future cash payments we might otherwise be required to make to such Continuing Equity Owner and/or such Blocker Shareholder, under the terms of the Tax Receivable Agreement. However, we might not determine that we have effectively made an excess cash payment to a Continuing Equity Owner and/or a Blocker Shareholder, as applicable,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with respect to a Continuing Equity Owner and/or a Blocker Shareholder that are the subject of the Tax Receivable Agreement.</w:t>
      </w:r>
    </w:p>
    <w:p>
      <w:pPr>
        <w:spacing w:after="0" w:line="378"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b w:val="1"/>
          <w:bCs w:val="1"/>
          <w:i w:val="1"/>
          <w:iCs w:val="1"/>
          <w:color w:val="auto"/>
        </w:rPr>
        <w:t>If we were deemed to be an investment company under the Investment Company Act of 1940, as amended, or the 1940 Act, including as a result of our ownership of GoHealth Holdings, LLC, applicable restrictions could make it impractical for us to continue our business as contemplated and could have a material adverse effect on our business.</w:t>
      </w:r>
    </w:p>
    <w:p>
      <w:pPr>
        <w:spacing w:after="0" w:line="19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203"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and GoHealth Holdings, LLC intend to conduct our operations so that we will not be deemed an investment company. As the sole managing member of GoHealth Holdings, LLC, we control and operate GoHealth Holdings, LLC. On that basis, we believe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294005</wp:posOffset>
            </wp:positionV>
            <wp:extent cx="8255" cy="1200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294005</wp:posOffset>
            </wp:positionV>
            <wp:extent cx="8890" cy="1200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38</w:t>
      </w:r>
    </w:p>
    <w:p>
      <w:pPr>
        <w:sectPr>
          <w:pgSz w:w="11900" w:h="16838" w:orient="portrait"/>
          <w:cols w:equalWidth="0" w:num="3">
            <w:col w:w="4580" w:space="540"/>
            <w:col w:w="1040" w:space="360"/>
            <w:col w:w="4720"/>
          </w:cols>
          <w:pgMar w:left="320" w:top="1323" w:right="339" w:bottom="1440" w:gutter="0" w:footer="0" w:header="0"/>
          <w:type w:val="continuous"/>
        </w:sectPr>
      </w:pPr>
    </w:p>
    <w:bookmarkStart w:id="41" w:name="page42"/>
    <w:bookmarkEnd w:id="41"/>
    <w:p>
      <w:pPr>
        <w:ind w:right="80"/>
        <w:spacing w:after="0" w:line="253" w:lineRule="auto"/>
        <w:rPr>
          <w:sz w:val="20"/>
          <w:szCs w:val="20"/>
          <w:color w:val="auto"/>
        </w:rPr>
      </w:pPr>
      <w:r>
        <w:rPr>
          <w:rFonts w:ascii="Arial" w:cs="Arial" w:eastAsia="Arial" w:hAnsi="Arial"/>
          <w:sz w:val="16"/>
          <w:szCs w:val="16"/>
          <w:color w:val="auto"/>
        </w:rPr>
        <w:t>that our interest in GoHealth Holdings, LLC is not an “investment security” as that term is used in the 1940 Act. However, if we were to cease participation in the management of GoHealth Holdings, LLC, or if GoHealth Holdings, LLC itself becomes an investment company, our interest in GoHealth Holdings, LLC could be deemed an “investment security” for purposes of the 1940 Act.</w:t>
      </w:r>
    </w:p>
    <w:p>
      <w:pPr>
        <w:spacing w:after="0" w:line="20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Ownership of our Class A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Founders and Centerbridge have significant influence over us, including control over decisions that require the approval of stockholders.</w:t>
      </w:r>
    </w:p>
    <w:p>
      <w:pPr>
        <w:spacing w:after="0" w:line="241"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As of December 31, 2020, the Founders and Centerbridge control, in the aggregate, approximately 69.5% of the voting power represented by all our outstanding classes of stock. As a result, the Founders and Centerbridge exercise significant influence over all matters requiring stockholder approval, including the election and removal of directors and the size of our board, any amendment of our amended and restated certificate of incorporation or bylaws and any approval of significant corporate transactions (including a sale of all or substantially all of our assets), and will continue to have significant control over our business, affairs and policies, including the appointment of our management. The directors that the Founders and Centerbridge elect have the authority to vote to authorize the Company to incur additional debt, issue or repurchase stock, declare dividends and make other decisions that could be detrimental to stockholders.</w:t>
      </w:r>
    </w:p>
    <w:p>
      <w:pPr>
        <w:spacing w:after="0" w:line="208"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We expect that members of our board will continue to be appointed by and/or affiliated with the Founders and Centerbridge who will have the ability to appoint the majority of directors. The Founders and Centerbridge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 with the Founders and Centerbridge may have an adverse effect on the price of our Class A common stock. The Founders and Centerbridge may have interests that are different from yours and may vote in a way with which you disagree and that may be adverse to your interests.</w:t>
      </w:r>
    </w:p>
    <w:p>
      <w:pPr>
        <w:spacing w:after="0" w:line="20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Further, our amended and restated certificate of incorporation provides that the doctrine of “corporate opportunity” does not apply with respect to any director or stockholder who is not employed by us or our subsidiaries. See “—Our amended and restated certificate of incorporation provides that the doctrine of “corporate opportunity” does not apply with respect to any director or stockholder who is not employed by us or our subsidiaries.”</w:t>
      </w:r>
    </w:p>
    <w:p>
      <w:pPr>
        <w:spacing w:after="0" w:line="20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Centerbridge and its affiliates engage in a broad spectrum of activities. In the ordinary course of its business activities, Centerbridge and its affiliates may engage in activities where their interests conflict with our interests or those of our other stockholders. Centerbridge or one of its affiliates may also pursue acquisition opportunities that may be complementary to our business, and, as a result, those acquisition opportunities may not be available to us. In addition, Centerbridge may have an interest in us pursuing acquisitions, divestitures and other transactions that, in its judgment, could enhance its investment, even though such transactions might involve risks to you.</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predict the effect our dual class structure may have on the market price of our Class A common stock.</w:t>
      </w:r>
    </w:p>
    <w:p>
      <w:pPr>
        <w:spacing w:after="0" w:line="241"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We cannot predict whether our dual class structure will result in a lower or more volatile market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and in October 2018, MSCI announced its decision to include equity securities “with unequal voting structures” in its indices and to launch a new index that specifically includes voting rights in its eligibility criteria. Under such announced policies, the dual class structure of our stock would make us ineligible for inclusion in certain indices and, as a result, mutual funds, exchange-traded funds and other investment vehicles that attempt to track those indices would not invest in our Class A common stock. These policies are relatively new and it is unclear what effect, if any, they will have on the valuations of publicly-traded companies excluded from such indices, but it is possible they may depress valuations, compared to similar companies that are included. Given the sustained flow of investment funds into passive strategies that seek to track certain indices, exclusion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304800</wp:posOffset>
            </wp:positionV>
            <wp:extent cx="8255" cy="1200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304800</wp:posOffset>
            </wp:positionV>
            <wp:extent cx="8890" cy="1200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39</w:t>
      </w:r>
    </w:p>
    <w:p>
      <w:pPr>
        <w:sectPr>
          <w:pgSz w:w="11900" w:h="16838" w:orient="portrait"/>
          <w:cols w:equalWidth="0" w:num="3">
            <w:col w:w="4580" w:space="540"/>
            <w:col w:w="1040" w:space="360"/>
            <w:col w:w="4720"/>
          </w:cols>
          <w:pgMar w:left="320" w:top="1343"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color w:val="auto"/>
        </w:rPr>
        <w:t>certain stock indices would likely preclude investment by many of these funds and could make our Class A common stock less attractive to other investors.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 a result, the market price of our Class A common stock could be adversely affected.</w:t>
      </w:r>
    </w:p>
    <w:p>
      <w:pPr>
        <w:spacing w:after="0" w:line="201"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b w:val="1"/>
          <w:bCs w:val="1"/>
          <w:i w:val="1"/>
          <w:iCs w:val="1"/>
          <w:color w:val="auto"/>
        </w:rPr>
        <w:t>We are a “controlled company” within the meaning of the Nasdaq rules and, as a result, qualify for, and rely on, exemptions from certain corporate governance requirements. You may not have the same protections afforded to stockholders of companies that are subject to such corporate governance requirements.</w:t>
      </w:r>
    </w:p>
    <w:p>
      <w:pPr>
        <w:spacing w:after="0" w:line="191"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NVX Holdings and Centerbridge have more than 50% of the voting power for the election of directors, and, as a result, we are considered a “controlled company” within the meaning of the Nasdaq rules. As such, we qualify for, and rely on, exemptions from certain corporate governance requirements, including the requirements to have a majority of independent directors on our board of directors, an entirely independent nominating and corporate governance committee, an entirely independent compensation committee or to perform annual performance evaluations of the nominating and corporate governance and compensation committees.</w:t>
      </w:r>
    </w:p>
    <w:p>
      <w:pPr>
        <w:spacing w:after="0" w:line="20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corporate governance requirements and, specifically, the independence standards are intended to ensure directors who are considered independent are free of any conflicting interest that could influence their actions as directors. We utilize certain exemptions afforded to a “controlled company.” As a result, we are not be subject to certain corporate governance requirements, including that a majority of our board of directors consists of “independent directors,” as defined under the Nasdaq rules.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spacing w:after="0" w:line="20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Accordingly, you may not have the same protections afforded to stockholders of companies that are subject to all of the corporate governance requirements of the Nasdaq rules. Our status as a controlled company could make our Class A common stock less attractive to some investors or otherwise harm our stock price.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provisions of Delaware law and antitakeover provisions in our organizational documents could delay or prevent a change of control.</w:t>
      </w:r>
    </w:p>
    <w:p>
      <w:pPr>
        <w:spacing w:after="0" w:line="241"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Certain provisions of Delaware law and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202"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classified board of directors with staggered three-year terms;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ability of our board of directors to issue one or more series of preferred stock;</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advance notice for nominations of directors by stockholders and for stockholders to include matters to be considered at our annual meetings;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certain limitations on convening special stockholder meetings;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cumulative voting in the election of directors;</w:t>
      </w:r>
    </w:p>
    <w:p>
      <w:pPr>
        <w:spacing w:after="0" w:line="221"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subject to the rights of the holders of any preferred stock and the terms of the Stockholders Agreement, the number of directors shall be determined exclusively by the a majority of the whole board or directors;</w:t>
      </w:r>
    </w:p>
    <w:p>
      <w:pPr>
        <w:spacing w:after="0" w:line="195" w:lineRule="exact"/>
        <w:rPr>
          <w:rFonts w:ascii="Arial" w:cs="Arial" w:eastAsia="Arial" w:hAnsi="Arial"/>
          <w:sz w:val="16"/>
          <w:szCs w:val="16"/>
          <w:color w:val="auto"/>
        </w:rPr>
      </w:pPr>
    </w:p>
    <w:p>
      <w:pPr>
        <w:ind w:left="660" w:right="160" w:hanging="328"/>
        <w:spacing w:after="0" w:line="253"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removal of directors only for cause and only upon the affirmative vote of the holders of at least 662/3% of the voting power represented by our then-outstanding common stock (other than directors appointed pursuant to the Stockholders Agreement, who may be removed with or without cause in accordance with the terms of the Stockholders Agreement);</w:t>
      </w:r>
    </w:p>
    <w:p>
      <w:pPr>
        <w:spacing w:after="0" w:line="201" w:lineRule="exact"/>
        <w:rPr>
          <w:rFonts w:ascii="Arial" w:cs="Arial" w:eastAsia="Arial" w:hAnsi="Arial"/>
          <w:sz w:val="16"/>
          <w:szCs w:val="16"/>
          <w:color w:val="auto"/>
        </w:rPr>
      </w:pPr>
    </w:p>
    <w:p>
      <w:pPr>
        <w:ind w:left="660" w:right="20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at any time when Centerbridge beneficially owns, in the aggregate, less than 40% of the voting power entitled to vote generally in the election our directors, that stockholders may not act by written consent; and</w:t>
      </w:r>
    </w:p>
    <w:p>
      <w:pPr>
        <w:spacing w:after="0" w:line="195" w:lineRule="exact"/>
        <w:rPr>
          <w:rFonts w:ascii="Arial" w:cs="Arial" w:eastAsia="Arial" w:hAnsi="Arial"/>
          <w:sz w:val="16"/>
          <w:szCs w:val="16"/>
          <w:color w:val="auto"/>
        </w:rPr>
      </w:pPr>
    </w:p>
    <w:p>
      <w:pPr>
        <w:ind w:left="660" w:right="200" w:hanging="328"/>
        <w:spacing w:after="0" w:line="253"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at any time when Centerbridge beneficially owns, in the aggregate, less than 40% of the voting power entitled to vote generally in the election our directors, that certain provisions of amended and restated certificate of incorporation may be amended only by the affirmative vote of at least 662/3% of the voting power represented by our then-outstanding common stock.</w:t>
      </w:r>
    </w:p>
    <w:p>
      <w:pPr>
        <w:spacing w:after="0" w:line="20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294005</wp:posOffset>
            </wp:positionV>
            <wp:extent cx="8255" cy="1200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294005</wp:posOffset>
            </wp:positionV>
            <wp:extent cx="8890" cy="1200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43"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40</w:t>
      </w:r>
    </w:p>
    <w:p>
      <w:pPr>
        <w:sectPr>
          <w:pgSz w:w="11900" w:h="16838" w:orient="portrait"/>
          <w:cols w:equalWidth="0" w:num="3">
            <w:col w:w="4580" w:space="540"/>
            <w:col w:w="1040" w:space="360"/>
            <w:col w:w="4700"/>
          </w:cols>
          <w:pgMar w:left="320" w:top="1343" w:right="359" w:bottom="1440" w:gutter="0" w:footer="0" w:header="0"/>
          <w:type w:val="continuous"/>
        </w:sectPr>
      </w:pPr>
    </w:p>
    <w:bookmarkStart w:id="43" w:name="page44"/>
    <w:bookmarkEnd w:id="43"/>
    <w:p>
      <w:pPr>
        <w:ind w:right="60"/>
        <w:spacing w:after="0" w:line="249" w:lineRule="auto"/>
        <w:rPr>
          <w:sz w:val="20"/>
          <w:szCs w:val="20"/>
          <w:color w:val="auto"/>
        </w:rPr>
      </w:pPr>
      <w:r>
        <w:rPr>
          <w:rFonts w:ascii="Arial" w:cs="Arial" w:eastAsia="Arial" w:hAnsi="Arial"/>
          <w:sz w:val="16"/>
          <w:szCs w:val="16"/>
          <w:color w:val="auto"/>
        </w:rPr>
        <w:t>In addition, we have opted out of Section 203 of the General Corporation Law of the State of Delaware, which we refer to as the DGCL, but our amended and restated certificate of incorporation provides that engaging in any of a broad range of business combinations with any “interested” stockholder (any stockholder with 15% or more of our voting stock) for a period of three years following the date on which the stockholder became an “interested” stockholder is prohibited, provided, however, that, under our amended and restated certificate of incorporation, Centerbridge and NVX Holdings and any of their respective affiliates are not be deemed to be interested stockholders regardless of the percentage of our outstanding voting stock owned by them, and accordingly will not be subject to such restrictions.</w:t>
      </w:r>
    </w:p>
    <w:p>
      <w:pPr>
        <w:spacing w:after="0" w:line="185"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b w:val="1"/>
          <w:bCs w:val="1"/>
          <w:i w:val="1"/>
          <w:iCs w:val="1"/>
          <w:color w:val="auto"/>
        </w:rPr>
        <w:t>The Jumpstart Our Business Startups Act of 2012 (“JOBS Act”) allows us to postpone the date by which we must comply with certain laws and regulations intended to protect investors and to reduce the amount of information we provide in our reports filed with the SEC. We cannot be certain if this reduced disclosure will make our Class A common stock less attractive to investors.</w:t>
      </w:r>
    </w:p>
    <w:p>
      <w:pPr>
        <w:spacing w:after="0" w:line="19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JOBS Act is intended to reduce the regulatory burden on “emerging growth companies.” As defined in the JOBS Act, a public company whose initial public offering of common equity securities occurs after December 8, 2011, and whose annual net revenues are less than $1.07 billion will, in general, qualify as an “emerging growth company” until the earliest of:</w:t>
      </w:r>
    </w:p>
    <w:p>
      <w:pPr>
        <w:spacing w:after="0" w:line="201"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last day of its fiscal year following the fifth anniversary of the date of its initial public offering of common equity securities;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last day of its fiscal year in which it has annual gross revenue of $1.07 billion or more;</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date on which it has, during the previous three-year period, issued more than $1.0 billion in nonconvertible debt; and</w:t>
      </w:r>
    </w:p>
    <w:p>
      <w:pPr>
        <w:spacing w:after="0" w:line="221" w:lineRule="exact"/>
        <w:rPr>
          <w:rFonts w:ascii="Arial" w:cs="Arial" w:eastAsia="Arial" w:hAnsi="Arial"/>
          <w:sz w:val="16"/>
          <w:szCs w:val="16"/>
          <w:color w:val="auto"/>
        </w:rPr>
      </w:pPr>
    </w:p>
    <w:p>
      <w:pPr>
        <w:ind w:left="660" w:right="240" w:hanging="328"/>
        <w:spacing w:after="0" w:line="251"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date on which it is deemed to be a “large accelerated filer, ” which will occur at such time as the company (1) has an aggregate worldwide market value of common equity securities held by non-affiliates of $700 million or more as of the last business day of its most recently completed second fiscal quarter, (2) has been required to file annual and quarterly reports under the Securities Exchange Act of 1934, as amended, (“the Exchange Act”), for a period of at least 12 months, and (3) has filed at least one annual report pursuant to the Exchange Act.</w:t>
      </w:r>
    </w:p>
    <w:p>
      <w:pPr>
        <w:spacing w:after="0" w:line="202"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Under this definition, we are an “emerging growth company” and could remain an “emerging growth company” until as late as the fifth anniversary of the completion of our IPO. For so long as we are an “emerging growth company,” we will, among other things:</w:t>
      </w:r>
    </w:p>
    <w:p>
      <w:pPr>
        <w:spacing w:after="0" w:line="195"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not be required to comply with the auditor attestation requirements of Section 404(b) of the Sarbanes-Oxley Act of 2002 (“Sarbanes-Oxley Act”);</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not be required to hold a nonbinding advisory stockholder vote on executive compensation pursuant to Section 14A(a) of the Exchange Act;</w:t>
      </w:r>
    </w:p>
    <w:p>
      <w:pPr>
        <w:spacing w:after="0" w:line="221" w:lineRule="exact"/>
        <w:rPr>
          <w:rFonts w:ascii="Arial" w:cs="Arial" w:eastAsia="Arial" w:hAnsi="Arial"/>
          <w:sz w:val="16"/>
          <w:szCs w:val="16"/>
          <w:color w:val="auto"/>
        </w:rPr>
      </w:pPr>
    </w:p>
    <w:p>
      <w:pPr>
        <w:ind w:left="660" w:right="68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not be required to seek stockholder approval of any golden parachute payments not previously approved pursuant to Section 14A(b) of the Exchange Act;</w:t>
      </w:r>
    </w:p>
    <w:p>
      <w:pPr>
        <w:spacing w:after="0" w:line="195" w:lineRule="exact"/>
        <w:rPr>
          <w:rFonts w:ascii="Arial" w:cs="Arial" w:eastAsia="Arial" w:hAnsi="Arial"/>
          <w:sz w:val="16"/>
          <w:szCs w:val="16"/>
          <w:color w:val="auto"/>
        </w:rPr>
      </w:pPr>
    </w:p>
    <w:p>
      <w:pPr>
        <w:ind w:left="660" w:right="46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be exempt from the requirement of the Public Company Accounting Oversight Board (“PCAOB”), regarding the communication of critical audit matters in the auditor’s report on the financial statements; and</w:t>
      </w:r>
    </w:p>
    <w:p>
      <w:pPr>
        <w:spacing w:after="0" w:line="195"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be subject to reduced disclosure obligations regarding executive compensation in our periodic reports and proxy statements.</w:t>
      </w:r>
    </w:p>
    <w:p>
      <w:pPr>
        <w:spacing w:after="0" w:line="22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We have elected to use this extended transition period and, as a result, our Consolidated Financial Statements may not be comparable to the financial statements of issuers who are required to comply with the effective dates for new or revised accounting standards that are applicable to public companies.</w:t>
      </w:r>
    </w:p>
    <w:p>
      <w:pPr>
        <w:spacing w:after="0" w:line="20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cannot predict if investors will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w:t>
      </w:r>
    </w:p>
    <w:p>
      <w:pPr>
        <w:spacing w:after="0" w:line="18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b w:val="1"/>
          <w:bCs w:val="1"/>
          <w:i w:val="1"/>
          <w:iCs w:val="1"/>
          <w:color w:val="auto"/>
        </w:rPr>
        <w:t>Because we have no current plans to pay regular cash dividends on our Class A common stock, you may not receive any return on investment unless you sell your Class A common stock for a price greater than that which you paid for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281940</wp:posOffset>
            </wp:positionV>
            <wp:extent cx="8255" cy="1200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281940</wp:posOffset>
            </wp:positionV>
            <wp:extent cx="8890"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41</w:t>
      </w:r>
    </w:p>
    <w:p>
      <w:pPr>
        <w:sectPr>
          <w:pgSz w:w="11900" w:h="16838" w:orient="portrait"/>
          <w:cols w:equalWidth="0" w:num="3">
            <w:col w:w="4580" w:space="540"/>
            <w:col w:w="1040" w:space="360"/>
            <w:col w:w="4720"/>
          </w:cols>
          <w:pgMar w:left="320" w:top="1343" w:right="339" w:bottom="1440" w:gutter="0" w:footer="0" w:header="0"/>
          <w:type w:val="continuous"/>
        </w:sectPr>
      </w:pPr>
    </w:p>
    <w:bookmarkStart w:id="44" w:name="page45"/>
    <w:bookmarkEnd w:id="44"/>
    <w:p>
      <w:pPr>
        <w:ind w:right="60"/>
        <w:spacing w:after="0" w:line="249" w:lineRule="auto"/>
        <w:rPr>
          <w:sz w:val="20"/>
          <w:szCs w:val="20"/>
          <w:color w:val="auto"/>
        </w:rPr>
      </w:pPr>
      <w:r>
        <w:rPr>
          <w:rFonts w:ascii="Arial" w:cs="Arial" w:eastAsia="Arial" w:hAnsi="Arial"/>
          <w:sz w:val="16"/>
          <w:szCs w:val="16"/>
          <w:color w:val="auto"/>
        </w:rPr>
        <w:t>We do not anticipate paying any regular cash dividends on our Class A common stock.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existing and any future outstanding indebtedness we or our subsidiaries incur, including under our Credit Facilities. Therefore, any return on investment in our Class A common stock is solely dependent upon the appreciation of the price of our Class A common stock on the open market, which may not occur.</w:t>
      </w:r>
    </w:p>
    <w:p>
      <w:pPr>
        <w:spacing w:after="0" w:line="185"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is the sole and exclusive forum for certain stockholder litigation matters and the federal district courts of the United States are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Our amended and restated certificate of incorporation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any interest in shares of our capital stock shall be deemed to have notice of and consented to the forum provisions in our amended and restated certificate of incorporation.</w:t>
      </w:r>
    </w:p>
    <w:p>
      <w:pPr>
        <w:spacing w:after="0" w:line="380"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doctrine of “corporate opportunity” does not apply with respect to any director or stockholder who is not employed by us or our subsidiaries.</w:t>
      </w:r>
    </w:p>
    <w:p>
      <w:pPr>
        <w:spacing w:after="0" w:line="17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does not apply with respect to any director or stockholder who is not employed by us or our subsidiaries. Any director or stockholder who is not employed by us or our subsidiaries, therefore, has no duty to communicate or present corporate opportunities to us, and has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w:t>
      </w:r>
    </w:p>
    <w:p>
      <w:pPr>
        <w:spacing w:after="0" w:line="20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182"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b w:val="1"/>
          <w:bCs w:val="1"/>
          <w:i w:val="1"/>
          <w:iCs w:val="1"/>
          <w:color w:val="auto"/>
        </w:rPr>
        <w:t>We are subject to the Nasdaq rules and the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91"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We are subject to the Nasdaq rules and the rules and regulations established from time to time by the SEC. These rules and regulations require, among other things, that we establish and periodically evaluate procedures with respect to our internal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294005</wp:posOffset>
            </wp:positionV>
            <wp:extent cx="8255" cy="1200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294005</wp:posOffset>
            </wp:positionV>
            <wp:extent cx="8890" cy="1200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42</w:t>
      </w:r>
    </w:p>
    <w:p>
      <w:pPr>
        <w:sectPr>
          <w:pgSz w:w="11900" w:h="16838" w:orient="portrait"/>
          <w:cols w:equalWidth="0" w:num="3">
            <w:col w:w="4580" w:space="540"/>
            <w:col w:w="1040" w:space="360"/>
            <w:col w:w="4720"/>
          </w:cols>
          <w:pgMar w:left="320" w:top="1343" w:right="339" w:bottom="1440" w:gutter="0" w:footer="0" w:header="0"/>
          <w:type w:val="continuous"/>
        </w:sectPr>
      </w:pPr>
    </w:p>
    <w:bookmarkStart w:id="45" w:name="page46"/>
    <w:bookmarkEnd w:id="45"/>
    <w:p>
      <w:pPr>
        <w:ind w:right="640"/>
        <w:spacing w:after="0" w:line="260" w:lineRule="auto"/>
        <w:rPr>
          <w:sz w:val="20"/>
          <w:szCs w:val="20"/>
          <w:color w:val="auto"/>
        </w:rPr>
      </w:pPr>
      <w:r>
        <w:rPr>
          <w:rFonts w:ascii="Arial" w:cs="Arial" w:eastAsia="Arial" w:hAnsi="Arial"/>
          <w:sz w:val="16"/>
          <w:szCs w:val="16"/>
          <w:color w:val="auto"/>
        </w:rPr>
        <w:t>control over financial reporting. Reporting obligations as a public company are likely to place a considerable strain on our financial and management systems, processes and controls, as well as on our personnel.</w:t>
      </w:r>
    </w:p>
    <w:p>
      <w:pPr>
        <w:spacing w:after="0" w:line="195"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by the time our second annual report is filed with the SEC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As described above, we could potentially qualify as an “emerging growth company” until as late as the fifth anniversary of the completion of our IPO.</w:t>
      </w:r>
    </w:p>
    <w:p>
      <w:pPr>
        <w:spacing w:after="0" w:line="20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expect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incur significant costs as a result of operating as a public company.</w:t>
      </w:r>
    </w:p>
    <w:p>
      <w:pPr>
        <w:spacing w:after="0" w:line="24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are subject to the reporting requirements of the Exchange Act, the Sarbanes-Oxley Act, the Dodd–Frank Wall Street Reform and Consumer Protection Act of 2010 (“Dodd-Frank Act”), the listing requirements of the Nasdaq and other applicable securities laws and regulations. The expenses incurred by public companies generally for reporting and corporate governance purposes have been increasing. We expect these rules and regulations to continue to increase our legal and financial compliance costs and to make some activities more difficult, time-consuming and costly, although we are currently unable to estimate these costs with any degree of certainty. Being a public company and being subject to new rules and regulations also makes it more expensive for us to obtain director and officer liability insurance, and we may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spacing w:after="0" w:line="185"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b w:val="1"/>
          <w:bCs w:val="1"/>
          <w:i w:val="1"/>
          <w:iCs w:val="1"/>
          <w:color w:val="auto"/>
        </w:rPr>
        <w:t>Future sales, or the perception of future sales, by us or our existing stockholders in the public market could cause the market price for our Class A common stock to decline.</w:t>
      </w:r>
    </w:p>
    <w:p>
      <w:pPr>
        <w:spacing w:after="0" w:line="176"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20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As of December 31, 2020, we have outstanding a total of 84,196 shares of Class A common stock. Of the outstanding shares, the 43,500 shares sold in the IPO are freely tradable without restriction or further registration under the Securities Act, other than any shares held by our affiliates. In addition, the shares of Class A common stock issued to the Blocker Shareholders in the Transactions are eligible for resale pursuant to Rule 144 without restriction or further registration under the Securities Act, other than affiliate restrictions under Rule 144. Any shares of Class A common stock held by our affiliates are eligible for resale pursuant to Rule 144 under the Securities Act, subject to the volume, manner of sale, holding period and other limitations of Rule 144.</w:t>
      </w:r>
    </w:p>
    <w:p>
      <w:pPr>
        <w:spacing w:after="0" w:line="20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Certain of our employees who hold Performance Units, including certain of our executive officers, entered into lock-up agreements with the underwriters prior to our IPO pursuant to which each of these persons, subject to certain exceptions, may not, without the prior written consent of any two of Goldman Sachs &amp; Co. LLC, BofA Securities, Inc. and Morgan Stanley &amp; Co. LLC, (1) offer, sell, contract to sell, pledge, grant any option to purchase, lend or otherwise dispose of any shares of our Class A common stock, or any options or warrants to purchase any shares of our Class A common stock, or any securities convertible into or exchangeable for or that represent the right to receive shares of our Class A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of shares of our Class A common stock or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300355</wp:posOffset>
            </wp:positionV>
            <wp:extent cx="8255" cy="1200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300355</wp:posOffset>
            </wp:positionV>
            <wp:extent cx="8890" cy="1200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43</w:t>
      </w:r>
    </w:p>
    <w:p>
      <w:pPr>
        <w:sectPr>
          <w:pgSz w:w="11900" w:h="16838" w:orient="portrait"/>
          <w:cols w:equalWidth="0" w:num="3">
            <w:col w:w="4580" w:space="540"/>
            <w:col w:w="1040" w:space="360"/>
            <w:col w:w="4720"/>
          </w:cols>
          <w:pgMar w:left="320" w:top="1343" w:right="339" w:bottom="1440" w:gutter="0" w:footer="0" w:header="0"/>
          <w:type w:val="continuous"/>
        </w:sectPr>
      </w:pPr>
    </w:p>
    <w:bookmarkStart w:id="46" w:name="page47"/>
    <w:bookmarkEnd w:id="46"/>
    <w:p>
      <w:pPr>
        <w:spacing w:after="0" w:line="250" w:lineRule="auto"/>
        <w:rPr>
          <w:sz w:val="20"/>
          <w:szCs w:val="20"/>
          <w:color w:val="auto"/>
        </w:rPr>
      </w:pPr>
      <w:r>
        <w:rPr>
          <w:rFonts w:ascii="Arial" w:cs="Arial" w:eastAsia="Arial" w:hAnsi="Arial"/>
          <w:sz w:val="16"/>
          <w:szCs w:val="16"/>
          <w:color w:val="auto"/>
        </w:rPr>
        <w:t>securities, whether any such transaction described in clause (1) or (2) above is to be settled by delivery of Class A common stock or such other securities, in cash or otherwise; or (3) make any demand for or exercise any right with respect to the registration of any shares of our Class A common stock or any security convertible into or exercisable or exchangeable for our common stock. One-third of such vested Performance Units were subject to such terms that ended 180 days after the date of our final prospectus in connection with the IPO, and the remaining two-thirds of the vested Performance Units are subject to lock-up terms with similar restrictions, but which terms will end eighteen months after the consummation of our IPO.</w:t>
      </w:r>
    </w:p>
    <w:p>
      <w:pPr>
        <w:spacing w:after="0" w:line="20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addition, certain of our employees who hold Performance Units, including certain of our executive officers, entered into lock-up agreements in substantially the same form as the lock-up agreements with the underwriters.</w:t>
      </w:r>
    </w:p>
    <w:p>
      <w:pPr>
        <w:spacing w:after="0" w:line="195"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In addition, any Class A common stock that we issue under the 2020 Incentive Award Plan or other equity incentive plans that we may adopt in the future would dilute the percentage ownership held by the investors who purchase Class A common stock.</w:t>
      </w:r>
    </w:p>
    <w:p>
      <w:pPr>
        <w:spacing w:after="0" w:line="195"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As restrictions on resale end or if these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20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Risks</w:t>
      </w:r>
    </w:p>
    <w:p>
      <w:pPr>
        <w:spacing w:after="0" w:line="221"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b w:val="1"/>
          <w:bCs w:val="1"/>
          <w:i w:val="1"/>
          <w:iCs w:val="1"/>
          <w:color w:val="auto"/>
        </w:rPr>
        <w:t>From time to time we are subject to various legal proceedings which could adversely affect our business, financial condition or results of operations.</w:t>
      </w:r>
    </w:p>
    <w:p>
      <w:pPr>
        <w:spacing w:after="0" w:line="176"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We are involved in various litigation matters from time to time. Such matters can be time-consuming, divert management’s attention and resources and cause us to incur significant expenses. Our insurance and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or fines, enter into consent decrees or change our business practices, any of which could adversely affect our business,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manage future growth effectively, our business, operating results and financial condition would be harmed.</w:t>
      </w:r>
    </w:p>
    <w:p>
      <w:pPr>
        <w:spacing w:after="0" w:line="241"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We have expanded our operations significantly and anticipate that further expansion will be required in order for us to grow our business. Our growth has placed and will continue to place increasing and significant demands on our management, our operational and financial systems and infrastructure and our other resources. If we do not effectively manage our growth, the quality of our services could suffer, which could harm our business, operating results and financial condition. In order to manage future growth, we will need to hire, integrate and retain highly skilled and motivated employees. We may not be able to hire new employees quickly enough to meet our needs. If we fail to effectively manage our hiring needs and successfully integrate our new hires, our efficiency and ability to meet our forecasts and our employee morale, productivity and retention could suffer, and our business, operating results and financial condition could be harmed. We will also be required to continue to improve our existing systems for operational and financial management, including our reporting systems, procedures and controls. These improvements may require significant capital expenditures and will place increasing demands on our management. We may not be successful in managing or expanding our operations or in maintaining adequate financial and operating systems and controls. If we do not successfully implement improvements in these areas, our business, operating results and financial condition will be harmed.</w:t>
      </w:r>
    </w:p>
    <w:p>
      <w:pPr>
        <w:spacing w:after="0" w:line="19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i w:val="1"/>
          <w:iCs w:val="1"/>
          <w:color w:val="auto"/>
        </w:rPr>
        <w:t>Changes in our provision for income taxes or adverse outcomes resulting from examination of our income or other tax returns or changes in tax legislation could adversely affect our business, operating results and financial condition.</w:t>
      </w:r>
    </w:p>
    <w:p>
      <w:pPr>
        <w:spacing w:after="0" w:line="17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provision for income taxes is subject to volatility and could be adversely affected by a number of factors, including earnings differing materially from our projections, changes in the valuation of our deferred tax assets and liabilities, expected timing and amount of the release of any tax valuation allowances, tax effects of share-based compensation, outcomes as a result of tax examinations or by changes in tax laws, regulations, accounting principles, including accounting for uncertain tax positions, or interpretations thereof.</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To the extent that our provision for income taxes is subject to volatility or adverse outcomes as a result of tax examinations, our operating results could be harmed. Significant judgment is required to determine the recognition and measurement attribute prescribed in U.S. GAAP relating to accounting for income taxes. In addition, we are subject to examinations of our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297815</wp:posOffset>
            </wp:positionV>
            <wp:extent cx="8255" cy="1200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297815</wp:posOffset>
            </wp:positionV>
            <wp:extent cx="8890" cy="1200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44</w:t>
      </w:r>
    </w:p>
    <w:p>
      <w:pPr>
        <w:sectPr>
          <w:pgSz w:w="11900" w:h="16838" w:orient="portrait"/>
          <w:cols w:equalWidth="0" w:num="3">
            <w:col w:w="4580" w:space="540"/>
            <w:col w:w="1040" w:space="360"/>
            <w:col w:w="4720"/>
          </w:cols>
          <w:pgMar w:left="320" w:top="1343" w:right="339" w:bottom="1440" w:gutter="0" w:footer="0" w:header="0"/>
          <w:type w:val="continuous"/>
        </w:sectPr>
      </w:pPr>
    </w:p>
    <w:bookmarkStart w:id="47" w:name="page48"/>
    <w:bookmarkEnd w:id="47"/>
    <w:p>
      <w:pPr>
        <w:jc w:val="both"/>
        <w:ind w:right="40"/>
        <w:spacing w:after="0" w:line="253" w:lineRule="auto"/>
        <w:rPr>
          <w:sz w:val="20"/>
          <w:szCs w:val="20"/>
          <w:color w:val="auto"/>
        </w:rPr>
      </w:pPr>
      <w:r>
        <w:rPr>
          <w:rFonts w:ascii="Arial" w:cs="Arial" w:eastAsia="Arial" w:hAnsi="Arial"/>
          <w:sz w:val="16"/>
          <w:szCs w:val="16"/>
          <w:color w:val="auto"/>
        </w:rPr>
        <w:t>returns by the Internal Revenue Service, or IRS, and other tax authorities. We assess the likelihood of adverse outcomes resulting from these examinations to determine the adequacy of our provision for income taxes. There may be exposure that the outcomes from these examinations will have an adverse effect on our business, operating results and financial condition.</w:t>
      </w:r>
    </w:p>
    <w:p>
      <w:pPr>
        <w:spacing w:after="0" w:line="20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On March 27, 2020, in response to the COVID-19 pandemic, the Coronavirus Aid, Relief, and Economic Security Act (“CARES Act”) was signed into law.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We continue to evaluate the applicability of the CARES Act to us; however, the CARES Act currently does not have a material impact on our business, and we will continue to monitor impacts in the future but do not expect them to be material.</w:t>
      </w:r>
    </w:p>
    <w:p>
      <w:pPr>
        <w:spacing w:after="0" w:line="183"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We may become subject to intellectual property disputes, which are costly and may subject us to significant liability and increased costs of doing business.</w:t>
      </w:r>
    </w:p>
    <w:p>
      <w:pPr>
        <w:spacing w:after="0" w:line="17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Third parties may be able to successfully challenge, oppose, invalidate, render unenforceable, dilute, misappropriate or circumvent our trademarks, copyrights and other intellectual property rights.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w:t>
      </w:r>
    </w:p>
    <w:p>
      <w:pPr>
        <w:spacing w:after="0" w:line="20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Actions we may take to enforce our intellectual property rights may be expensive and divert management’s attention away from the ordinary operation of our business, and our inability to secure and protect our intellectual property rights could materially and adversely affect our brand and business, operating results and financial condition. Furthermore, such enforcement actions, even if successful, may not result in an adequate remedy. In addition, many companies have the capability to dedicate greater resources to enforce their intellectual property rights and to defend claims that may be brought against them. If a third-party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w:t>
      </w:r>
    </w:p>
    <w:p>
      <w:pPr>
        <w:spacing w:after="0" w:line="20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Although we carry general liability insurance, our insurance may not cover potential claims of this type and may not be adequate to indemnify us for all liability that may be imposed. We cannot predict the outcome of lawsuits and cannot ensure that the results of any such actions will not have an adverse effect on our business, financial condition or results of operations. Such claims could subject us to significant liability for damages and could result in our having to stop using technology found to be in violation of a third party’s rights. Further, we might be required to seek a license for third-party intellectual property, which may not be available on reasonable royalty or other terms. Alternatively, we could be required to develop alternative non-infringing technology, which could require significant effort and expense. If we cannot license or develop technology for any infringing aspect of our business, we would be forced to limit our services, which could affect our ability to compete effectively. Any of these results would harm our business, operating results and financial condition.</w:t>
      </w:r>
    </w:p>
    <w:p>
      <w:pPr>
        <w:spacing w:after="0" w:line="37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176"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We are subject to taxes by the U.S. federal, state, local and foreign tax authorities. Our future effective tax rates could be subject to volatility or adversely affected by a number of factors, including:</w:t>
      </w:r>
    </w:p>
    <w:p>
      <w:pPr>
        <w:spacing w:after="0" w:line="195"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allocation of expenses to and among different jurisdictions;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the valuation of our deferred tax assets and liabilities;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expected timing and amount of the release of any tax valuation allowances;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tax effects of stock-based compensation;</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costs related to intercompany restructurings;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tax laws, tax treaties, regulations or interpretations thereof; or</w:t>
      </w:r>
    </w:p>
    <w:p>
      <w:pPr>
        <w:spacing w:after="0" w:line="221" w:lineRule="exact"/>
        <w:rPr>
          <w:rFonts w:ascii="Arial" w:cs="Arial" w:eastAsia="Arial" w:hAnsi="Arial"/>
          <w:sz w:val="16"/>
          <w:szCs w:val="16"/>
          <w:color w:val="auto"/>
        </w:rPr>
      </w:pPr>
    </w:p>
    <w:p>
      <w:pPr>
        <w:ind w:left="660" w:right="64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lower than anticipated future earnings in jurisdictions where we have lower statutory tax rates and higher than anticipated future earnings in jurisdictions where we have higher statutory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294005</wp:posOffset>
            </wp:positionV>
            <wp:extent cx="8255" cy="1200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294005</wp:posOffset>
            </wp:positionV>
            <wp:extent cx="8890" cy="1200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45</w:t>
      </w:r>
    </w:p>
    <w:p>
      <w:pPr>
        <w:sectPr>
          <w:pgSz w:w="11900" w:h="16838" w:orient="portrait"/>
          <w:cols w:equalWidth="0" w:num="3">
            <w:col w:w="4580" w:space="540"/>
            <w:col w:w="1040" w:space="360"/>
            <w:col w:w="4720"/>
          </w:cols>
          <w:pgMar w:left="320" w:top="1343" w:right="339" w:bottom="1440" w:gutter="0" w:footer="0" w:header="0"/>
          <w:type w:val="continuous"/>
        </w:sectPr>
      </w:pPr>
    </w:p>
    <w:bookmarkStart w:id="48" w:name="page49"/>
    <w:bookmarkEnd w:id="48"/>
    <w:p>
      <w:pPr>
        <w:ind w:right="80"/>
        <w:spacing w:after="0" w:line="260" w:lineRule="auto"/>
        <w:rPr>
          <w:sz w:val="20"/>
          <w:szCs w:val="20"/>
          <w:color w:val="auto"/>
        </w:rPr>
      </w:pPr>
      <w:r>
        <w:rPr>
          <w:rFonts w:ascii="Arial" w:cs="Arial" w:eastAsia="Arial" w:hAnsi="Arial"/>
          <w:sz w:val="16"/>
          <w:szCs w:val="16"/>
          <w:color w:val="auto"/>
        </w:rPr>
        <w:t>In addition, we may be subject to audits of our income, sales and other taxes by U.S. federal, state, and local and foreign taxing authorities. Outcomes from these audits could have an adverse effect on our operating results and financial condition.</w:t>
      </w:r>
    </w:p>
    <w:p>
      <w:pPr>
        <w:spacing w:after="0" w:line="17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i w:val="1"/>
          <w:iCs w:val="1"/>
          <w:color w:val="auto"/>
        </w:rPr>
        <w:t>An active, liquid trading market for our Class A common stock may not be sustained, which may cause our Class A common stock to trade at a discount from the price you paid and make it difficult for you to sell the Class A common stock you purchase.</w:t>
      </w:r>
    </w:p>
    <w:p>
      <w:pPr>
        <w:spacing w:after="0" w:line="17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cannot predict the extent to which investor interest in us will lead to a trading market being sustained or how active and liquid that market may remain. If an active and liquid trading market does not continue, you may have difficulty selling any of our Class A common stock that you purchase at a price above the price you purchase it or at all. The failure of an active and liquid trading market to continue would likely have a material adverse effect on the value of our Class A common stock. You may not be able to sell your shares of our Class A common stock at or above the price you paid for them, or at all. An inactive market may also impair our ability to raise capital to continue to fund operations by selling shares and may impair our ability to acquire other companies or technologies by using our shares as consideration.</w:t>
      </w:r>
    </w:p>
    <w:p>
      <w:pPr>
        <w:spacing w:after="0" w:line="185"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b w:val="1"/>
          <w:bCs w:val="1"/>
          <w:i w:val="1"/>
          <w:iCs w:val="1"/>
          <w:color w:val="auto"/>
        </w:rPr>
        <w:t>If securities analysts do not publish research or reports about our business or if they downgrade our stock or our sector, or if there is any fluctuation in our credit rating, our stock price and trading volume could decline.</w:t>
      </w:r>
    </w:p>
    <w:p>
      <w:pPr>
        <w:spacing w:after="0" w:line="17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trading market for our Class A common stock relies in part on the research and reports that industry or financial analysts publish about us or our business. We do not control these analysts. If one or more of the analysts who do cover us stops covering us or fails to publish reports on us regularly, we could lose visibility in the market, which, in turn, could cause our stock price or trading volume to decline. Furthermore, if one or more of the analysts who do cover us downgrade our stock or our industry, or the stock of any of our competitors, or publish inaccurate or unfavorable research about our business, the price of our stock could decline.</w:t>
      </w:r>
    </w:p>
    <w:p>
      <w:pPr>
        <w:spacing w:after="0" w:line="203"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Additionally,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i w:val="1"/>
          <w:iCs w:val="1"/>
          <w:color w:val="auto"/>
        </w:rPr>
        <w:t>Our stock price may change significantly, and you may not be able to resell shares of our Class A common stock at or above the price you paid or at all, and you could lose all or part of your investment as a result.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You may not be able to resell your shares at or above the price which you paid for them due to a number of factors included herein, including the following:</w:t>
      </w:r>
    </w:p>
    <w:p>
      <w:pPr>
        <w:spacing w:after="0" w:line="221"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results of operations that vary from the expectations of securities analysts and investors;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results of operations that vary from those of our competitors;</w:t>
      </w:r>
    </w:p>
    <w:p>
      <w:pPr>
        <w:spacing w:after="0" w:line="221" w:lineRule="exact"/>
        <w:rPr>
          <w:rFonts w:ascii="Arial" w:cs="Arial" w:eastAsia="Arial" w:hAnsi="Arial"/>
          <w:sz w:val="16"/>
          <w:szCs w:val="16"/>
          <w:color w:val="auto"/>
        </w:rPr>
      </w:pPr>
    </w:p>
    <w:p>
      <w:pPr>
        <w:ind w:left="660" w:right="560" w:hanging="328"/>
        <w:spacing w:after="0" w:line="260"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expectations as to our future financial performance, including financial estimates and investment recommendations by securities analysts and investors;</w:t>
      </w:r>
    </w:p>
    <w:p>
      <w:pPr>
        <w:spacing w:after="0" w:line="195"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technology changes, changes in consumer behavior or changes in merchant relationships in our industry;</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security breaches related to our systems or those of our merchants, affiliates or strategic partners;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economic conditions for companies in our industry;</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market valuations of, or earnings and other announcements by, companies in our industry;</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declines in the market prices of stocks generally, particularly those of global payment companies;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strategic actions by us or our competitors;</w:t>
      </w:r>
    </w:p>
    <w:p>
      <w:pPr>
        <w:spacing w:after="0" w:line="221" w:lineRule="exact"/>
        <w:rPr>
          <w:rFonts w:ascii="Arial" w:cs="Arial" w:eastAsia="Arial" w:hAnsi="Arial"/>
          <w:sz w:val="16"/>
          <w:szCs w:val="16"/>
          <w:color w:val="auto"/>
        </w:rPr>
      </w:pPr>
    </w:p>
    <w:p>
      <w:pPr>
        <w:ind w:left="660" w:right="220" w:hanging="328"/>
        <w:spacing w:after="0" w:line="260"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announcements by us, our competitors or our strategic partners of significant contracts, new products, acquisitions, joint marketing relationships, joint ventures, other strategic relationships, or capital commitments;</w:t>
      </w:r>
    </w:p>
    <w:p>
      <w:pPr>
        <w:spacing w:after="0" w:line="195" w:lineRule="exact"/>
        <w:rPr>
          <w:rFonts w:ascii="Arial" w:cs="Arial" w:eastAsia="Arial" w:hAnsi="Arial"/>
          <w:sz w:val="16"/>
          <w:szCs w:val="16"/>
          <w:color w:val="auto"/>
        </w:rPr>
      </w:pPr>
    </w:p>
    <w:p>
      <w:pPr>
        <w:ind w:left="660" w:right="40" w:hanging="328"/>
        <w:spacing w:after="0" w:line="260"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general economic or market conditions or trends in our industry or the economy as a whole and, in particular, in the consumer spending environment;</w:t>
      </w:r>
    </w:p>
    <w:p>
      <w:pPr>
        <w:spacing w:after="0" w:line="195"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business or regulatory conditions;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future sales of our Class A common stock or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310515</wp:posOffset>
            </wp:positionV>
            <wp:extent cx="8255" cy="120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310515</wp:posOffset>
            </wp:positionV>
            <wp:extent cx="8890" cy="1200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00"/>
          </w:cols>
          <w:pgMar w:left="320" w:top="1343" w:right="37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46</w:t>
      </w:r>
    </w:p>
    <w:p>
      <w:pPr>
        <w:sectPr>
          <w:pgSz w:w="11900" w:h="16838" w:orient="portrait"/>
          <w:cols w:equalWidth="0" w:num="3">
            <w:col w:w="4580" w:space="540"/>
            <w:col w:w="1040" w:space="360"/>
            <w:col w:w="4680"/>
          </w:cols>
          <w:pgMar w:left="320" w:top="1343" w:right="379" w:bottom="1440" w:gutter="0" w:footer="0" w:header="0"/>
          <w:type w:val="continuous"/>
        </w:sectPr>
      </w:pPr>
    </w:p>
    <w:bookmarkStart w:id="49" w:name="page50"/>
    <w:bookmarkEnd w:id="49"/>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investor perceptions of the investment opportunity associated with our Class A common stock relative to other investment alternatives;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public’s response to press releases or other public announcements by us or third parties, including our filings with the SEC;</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announcements relating to litigation or governmental investigations;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guidance, if any, that we provide to the public, any changes in this guidance, or our failure to meet this guidance;</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development and sustainability of an active trading market for our stock;</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accounting principles; and</w:t>
      </w:r>
    </w:p>
    <w:p>
      <w:pPr>
        <w:spacing w:after="0" w:line="221"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system failures and disruptions, natural disasters, war, acts of terrorism, an outbreak of highly infectious or contagious diseases, such as COVID-19, or responses to these events.</w:t>
      </w:r>
    </w:p>
    <w:p>
      <w:pPr>
        <w:spacing w:after="0" w:line="195"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201"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294005</wp:posOffset>
            </wp:positionV>
            <wp:extent cx="8255" cy="1200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294005</wp:posOffset>
            </wp:positionV>
            <wp:extent cx="8890" cy="1200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180"/>
          </w:cols>
          <w:pgMar w:left="320" w:top="1343" w:right="39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47</w:t>
      </w:r>
    </w:p>
    <w:p>
      <w:pPr>
        <w:sectPr>
          <w:pgSz w:w="11900" w:h="16838" w:orient="portrait"/>
          <w:cols w:equalWidth="0" w:num="3">
            <w:col w:w="4580" w:space="540"/>
            <w:col w:w="1040" w:space="360"/>
            <w:col w:w="4660"/>
          </w:cols>
          <w:pgMar w:left="320" w:top="1343" w:right="39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6"/>
          <w:szCs w:val="16"/>
          <w:b w:val="1"/>
          <w:bCs w:val="1"/>
          <w:color w:val="0A2299"/>
        </w:rPr>
        <w:t>ITEM 1B. UNRESOLVED STAFF COMMENTS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2. PROPERTIES</w:t>
      </w:r>
    </w:p>
    <w:p>
      <w:pPr>
        <w:spacing w:after="0" w:line="241"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The following table presents the location, approximate square footage and primary use of each of the principal physical properties we occupied as of December 31,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100" w:type="dxa"/>
            <w:vAlign w:val="bottom"/>
            <w:vMerge w:val="restart"/>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Approximate Square</w:t>
            </w:r>
          </w:p>
        </w:tc>
        <w:tc>
          <w:tcPr>
            <w:tcW w:w="5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Primary Use</w:t>
            </w:r>
          </w:p>
        </w:tc>
        <w:tc>
          <w:tcPr>
            <w:tcW w:w="0" w:type="dxa"/>
            <w:vAlign w:val="bottom"/>
          </w:tcPr>
          <w:p>
            <w:pPr>
              <w:spacing w:after="0"/>
              <w:rPr>
                <w:sz w:val="1"/>
                <w:szCs w:val="1"/>
                <w:color w:val="auto"/>
              </w:rPr>
            </w:pPr>
          </w:p>
        </w:tc>
      </w:tr>
      <w:tr>
        <w:trPr>
          <w:trHeight w:val="176"/>
        </w:trPr>
        <w:tc>
          <w:tcPr>
            <w:tcW w:w="3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Footage</w:t>
            </w:r>
          </w:p>
        </w:tc>
        <w:tc>
          <w:tcPr>
            <w:tcW w:w="100" w:type="dxa"/>
            <w:vAlign w:val="bottom"/>
            <w:tcBorders>
              <w:bottom w:val="single" w:sz="8" w:color="CCEEFF"/>
            </w:tcBorders>
          </w:tcPr>
          <w:p>
            <w:pPr>
              <w:spacing w:after="0"/>
              <w:rPr>
                <w:sz w:val="15"/>
                <w:szCs w:val="15"/>
                <w:color w:val="auto"/>
              </w:rPr>
            </w:pPr>
          </w:p>
        </w:tc>
        <w:tc>
          <w:tcPr>
            <w:tcW w:w="5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7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Chicago, Illinois</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30,052</w:t>
            </w:r>
          </w:p>
        </w:tc>
        <w:tc>
          <w:tcPr>
            <w:tcW w:w="100" w:type="dxa"/>
            <w:vAlign w:val="bottom"/>
            <w:shd w:val="clear" w:color="auto" w:fill="CCEEFF"/>
          </w:tcPr>
          <w:p>
            <w:pPr>
              <w:spacing w:after="0"/>
              <w:rPr>
                <w:sz w:val="12"/>
                <w:szCs w:val="12"/>
                <w:color w:val="auto"/>
              </w:rPr>
            </w:pPr>
          </w:p>
        </w:tc>
        <w:tc>
          <w:tcPr>
            <w:tcW w:w="55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Corporate headquarters, marketing and advertising, technology and software</w:t>
            </w:r>
          </w:p>
        </w:tc>
        <w:tc>
          <w:tcPr>
            <w:tcW w:w="0" w:type="dxa"/>
            <w:vAlign w:val="bottom"/>
          </w:tcPr>
          <w:p>
            <w:pPr>
              <w:spacing w:after="0"/>
              <w:rPr>
                <w:sz w:val="1"/>
                <w:szCs w:val="1"/>
                <w:color w:val="auto"/>
              </w:rPr>
            </w:pPr>
          </w:p>
        </w:tc>
      </w:tr>
      <w:tr>
        <w:trPr>
          <w:trHeight w:val="171"/>
        </w:trPr>
        <w:tc>
          <w:tcPr>
            <w:tcW w:w="3760" w:type="dxa"/>
            <w:vAlign w:val="bottom"/>
            <w:gridSpan w:val="2"/>
            <w:vMerge w:val="continue"/>
            <w:shd w:val="clear" w:color="auto" w:fill="CCEEFF"/>
          </w:tcPr>
          <w:p>
            <w:pPr>
              <w:spacing w:after="0"/>
              <w:rPr>
                <w:sz w:val="14"/>
                <w:szCs w:val="14"/>
                <w:color w:val="auto"/>
              </w:rPr>
            </w:pPr>
          </w:p>
        </w:tc>
        <w:tc>
          <w:tcPr>
            <w:tcW w:w="1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development, and general and administrative</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Chicago, Illinois</w:t>
            </w:r>
          </w:p>
        </w:tc>
        <w:tc>
          <w:tcPr>
            <w:tcW w:w="1820" w:type="dxa"/>
            <w:vAlign w:val="bottom"/>
          </w:tcPr>
          <w:p>
            <w:pPr>
              <w:jc w:val="center"/>
              <w:spacing w:after="0"/>
              <w:rPr>
                <w:sz w:val="20"/>
                <w:szCs w:val="20"/>
                <w:color w:val="auto"/>
              </w:rPr>
            </w:pPr>
            <w:r>
              <w:rPr>
                <w:rFonts w:ascii="Arial" w:cs="Arial" w:eastAsia="Arial" w:hAnsi="Arial"/>
                <w:sz w:val="14"/>
                <w:szCs w:val="14"/>
                <w:color w:val="auto"/>
              </w:rPr>
              <w:t>42,000</w:t>
            </w:r>
          </w:p>
        </w:tc>
        <w:tc>
          <w:tcPr>
            <w:tcW w:w="100" w:type="dxa"/>
            <w:vAlign w:val="bottom"/>
          </w:tcPr>
          <w:p>
            <w:pPr>
              <w:spacing w:after="0"/>
              <w:rPr>
                <w:sz w:val="16"/>
                <w:szCs w:val="16"/>
                <w:color w:val="auto"/>
              </w:rPr>
            </w:pPr>
          </w:p>
        </w:tc>
        <w:tc>
          <w:tcPr>
            <w:tcW w:w="5560" w:type="dxa"/>
            <w:vAlign w:val="bottom"/>
          </w:tcPr>
          <w:p>
            <w:pPr>
              <w:ind w:left="20"/>
              <w:spacing w:after="0"/>
              <w:rPr>
                <w:sz w:val="20"/>
                <w:szCs w:val="20"/>
                <w:color w:val="auto"/>
              </w:rPr>
            </w:pPr>
            <w:r>
              <w:rPr>
                <w:rFonts w:ascii="Arial" w:cs="Arial" w:eastAsia="Arial" w:hAnsi="Arial"/>
                <w:sz w:val="14"/>
                <w:szCs w:val="14"/>
                <w:color w:val="auto"/>
              </w:rPr>
              <w:t>Customer care and enrollment</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Charlotte, North Carolina</w:t>
            </w: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97,599</w:t>
            </w:r>
          </w:p>
        </w:tc>
        <w:tc>
          <w:tcPr>
            <w:tcW w:w="100" w:type="dxa"/>
            <w:vAlign w:val="bottom"/>
            <w:shd w:val="clear" w:color="auto" w:fill="CCEEFF"/>
          </w:tcPr>
          <w:p>
            <w:pPr>
              <w:spacing w:after="0"/>
              <w:rPr>
                <w:sz w:val="16"/>
                <w:szCs w:val="16"/>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care and enrollment</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Lindon, Utah</w:t>
            </w:r>
          </w:p>
        </w:tc>
        <w:tc>
          <w:tcPr>
            <w:tcW w:w="1820" w:type="dxa"/>
            <w:vAlign w:val="bottom"/>
          </w:tcPr>
          <w:p>
            <w:pPr>
              <w:jc w:val="center"/>
              <w:spacing w:after="0"/>
              <w:rPr>
                <w:sz w:val="20"/>
                <w:szCs w:val="20"/>
                <w:color w:val="auto"/>
              </w:rPr>
            </w:pPr>
            <w:r>
              <w:rPr>
                <w:rFonts w:ascii="Arial" w:cs="Arial" w:eastAsia="Arial" w:hAnsi="Arial"/>
                <w:sz w:val="14"/>
                <w:szCs w:val="14"/>
                <w:color w:val="auto"/>
              </w:rPr>
              <w:t>69,631</w:t>
            </w:r>
          </w:p>
        </w:tc>
        <w:tc>
          <w:tcPr>
            <w:tcW w:w="100" w:type="dxa"/>
            <w:vAlign w:val="bottom"/>
          </w:tcPr>
          <w:p>
            <w:pPr>
              <w:spacing w:after="0"/>
              <w:rPr>
                <w:sz w:val="16"/>
                <w:szCs w:val="16"/>
                <w:color w:val="auto"/>
              </w:rPr>
            </w:pPr>
          </w:p>
        </w:tc>
        <w:tc>
          <w:tcPr>
            <w:tcW w:w="5560" w:type="dxa"/>
            <w:vAlign w:val="bottom"/>
          </w:tcPr>
          <w:p>
            <w:pPr>
              <w:ind w:left="20"/>
              <w:spacing w:after="0"/>
              <w:rPr>
                <w:sz w:val="20"/>
                <w:szCs w:val="20"/>
                <w:color w:val="auto"/>
              </w:rPr>
            </w:pPr>
            <w:r>
              <w:rPr>
                <w:rFonts w:ascii="Arial" w:cs="Arial" w:eastAsia="Arial" w:hAnsi="Arial"/>
                <w:sz w:val="14"/>
                <w:szCs w:val="14"/>
                <w:color w:val="auto"/>
              </w:rPr>
              <w:t>Customer care and enrollment</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Slovakia</w:t>
            </w: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14,598</w:t>
            </w:r>
          </w:p>
        </w:tc>
        <w:tc>
          <w:tcPr>
            <w:tcW w:w="100" w:type="dxa"/>
            <w:vAlign w:val="bottom"/>
            <w:shd w:val="clear" w:color="auto" w:fill="CCEEFF"/>
          </w:tcPr>
          <w:p>
            <w:pPr>
              <w:spacing w:after="0"/>
              <w:rPr>
                <w:sz w:val="16"/>
                <w:szCs w:val="16"/>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Technology and software development</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We believe our existing properties, which are used by all reportable segments, are in good operating condition and are suitable for the conduct of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3. LEGAL PROCEEDINGS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12, “Commitments and Contingencies,” of the Notes to Consolidated Financial Statements for information about legal proceedings.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4. MINE SAFETY DISCLOSURES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INFORMATION ABOUT OUR EXECUTIVE OFFICERS AND DIRECTORS</w:t>
      </w:r>
    </w:p>
    <w:p>
      <w:pPr>
        <w:spacing w:after="0" w:line="24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following table provides information regarding our executive officers and members of our board of directors as of the date of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100" w:type="dxa"/>
            <w:vAlign w:val="bottom"/>
            <w:tcBorders>
              <w:bottom w:val="single" w:sz="8" w:color="CCEEFF"/>
            </w:tcBorders>
          </w:tcPr>
          <w:p>
            <w:pPr>
              <w:spacing w:after="0"/>
              <w:rPr>
                <w:sz w:val="16"/>
                <w:szCs w:val="16"/>
                <w:color w:val="auto"/>
              </w:rPr>
            </w:pPr>
          </w:p>
        </w:tc>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183"/>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Clinton P. Jones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5"/>
                <w:szCs w:val="15"/>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Co-Founder, Chief Executive Officer and Co-Chair of the Board of Directors</w:t>
            </w:r>
          </w:p>
        </w:tc>
        <w:tc>
          <w:tcPr>
            <w:tcW w:w="0" w:type="dxa"/>
            <w:vAlign w:val="bottom"/>
          </w:tcPr>
          <w:p>
            <w:pPr>
              <w:spacing w:after="0"/>
              <w:rPr>
                <w:sz w:val="1"/>
                <w:szCs w:val="1"/>
                <w:color w:val="auto"/>
              </w:rPr>
            </w:pPr>
          </w:p>
        </w:tc>
      </w:tr>
      <w:tr>
        <w:trPr>
          <w:trHeight w:val="153"/>
        </w:trPr>
        <w:tc>
          <w:tcPr>
            <w:tcW w:w="2780" w:type="dxa"/>
            <w:vAlign w:val="bottom"/>
            <w:gridSpan w:val="2"/>
            <w:vMerge w:val="restart"/>
          </w:tcPr>
          <w:p>
            <w:pPr>
              <w:ind w:left="20"/>
              <w:spacing w:after="0"/>
              <w:rPr>
                <w:sz w:val="20"/>
                <w:szCs w:val="20"/>
                <w:color w:val="auto"/>
              </w:rPr>
            </w:pPr>
            <w:r>
              <w:rPr>
                <w:rFonts w:ascii="Arial" w:cs="Arial" w:eastAsia="Arial" w:hAnsi="Arial"/>
                <w:sz w:val="14"/>
                <w:szCs w:val="14"/>
                <w:color w:val="auto"/>
              </w:rPr>
              <w:t>Brandon M. Cruz</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3"/>
                <w:szCs w:val="13"/>
                <w:color w:val="auto"/>
              </w:rPr>
            </w:pPr>
          </w:p>
        </w:tc>
        <w:tc>
          <w:tcPr>
            <w:tcW w:w="7240" w:type="dxa"/>
            <w:vAlign w:val="bottom"/>
          </w:tcPr>
          <w:p>
            <w:pPr>
              <w:ind w:left="20"/>
              <w:spacing w:after="0" w:line="153" w:lineRule="exact"/>
              <w:rPr>
                <w:sz w:val="20"/>
                <w:szCs w:val="20"/>
                <w:color w:val="auto"/>
              </w:rPr>
            </w:pPr>
            <w:r>
              <w:rPr>
                <w:rFonts w:ascii="Arial" w:cs="Arial" w:eastAsia="Arial" w:hAnsi="Arial"/>
                <w:sz w:val="14"/>
                <w:szCs w:val="14"/>
                <w:color w:val="auto"/>
              </w:rPr>
              <w:t>Co-Founder, Chief Strategy Officer, Special Advisor to the Executive Team and Co-Chair of the Board of</w:t>
            </w:r>
          </w:p>
        </w:tc>
        <w:tc>
          <w:tcPr>
            <w:tcW w:w="0" w:type="dxa"/>
            <w:vAlign w:val="bottom"/>
          </w:tcPr>
          <w:p>
            <w:pPr>
              <w:spacing w:after="0"/>
              <w:rPr>
                <w:sz w:val="1"/>
                <w:szCs w:val="1"/>
                <w:color w:val="auto"/>
              </w:rPr>
            </w:pPr>
          </w:p>
        </w:tc>
      </w:tr>
      <w:tr>
        <w:trPr>
          <w:trHeight w:val="171"/>
        </w:trPr>
        <w:tc>
          <w:tcPr>
            <w:tcW w:w="278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40" w:type="dxa"/>
            <w:vAlign w:val="bottom"/>
          </w:tcPr>
          <w:p>
            <w:pPr>
              <w:ind w:left="20"/>
              <w:spacing w:after="0"/>
              <w:rPr>
                <w:sz w:val="20"/>
                <w:szCs w:val="20"/>
                <w:color w:val="auto"/>
              </w:rPr>
            </w:pPr>
            <w:r>
              <w:rPr>
                <w:rFonts w:ascii="Arial" w:cs="Arial" w:eastAsia="Arial" w:hAnsi="Arial"/>
                <w:sz w:val="14"/>
                <w:szCs w:val="14"/>
                <w:color w:val="auto"/>
              </w:rPr>
              <w:t>Directors</w:t>
            </w: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Shane E. Cruz</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Chief Operating Officer</w:t>
            </w:r>
          </w:p>
        </w:tc>
        <w:tc>
          <w:tcPr>
            <w:tcW w:w="0" w:type="dxa"/>
            <w:vAlign w:val="bottom"/>
          </w:tcPr>
          <w:p>
            <w:pPr>
              <w:spacing w:after="0"/>
              <w:rPr>
                <w:sz w:val="1"/>
                <w:szCs w:val="1"/>
                <w:color w:val="auto"/>
              </w:rPr>
            </w:pPr>
          </w:p>
        </w:tc>
      </w:tr>
      <w:tr>
        <w:trPr>
          <w:trHeight w:val="189"/>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Brian Farley</w:t>
            </w:r>
          </w:p>
        </w:tc>
        <w:tc>
          <w:tcPr>
            <w:tcW w:w="1120" w:type="dxa"/>
            <w:vAlign w:val="bottom"/>
          </w:tcPr>
          <w:p>
            <w:pPr>
              <w:jc w:val="center"/>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7240" w:type="dxa"/>
            <w:vAlign w:val="bottom"/>
          </w:tcPr>
          <w:p>
            <w:pPr>
              <w:ind w:left="20"/>
              <w:spacing w:after="0"/>
              <w:rPr>
                <w:sz w:val="20"/>
                <w:szCs w:val="20"/>
                <w:color w:val="auto"/>
              </w:rPr>
            </w:pPr>
            <w:r>
              <w:rPr>
                <w:rFonts w:ascii="Arial" w:cs="Arial" w:eastAsia="Arial" w:hAnsi="Arial"/>
                <w:sz w:val="14"/>
                <w:szCs w:val="14"/>
                <w:color w:val="auto"/>
              </w:rPr>
              <w:t>Chief Legal Officer and Corporate Secretary</w:t>
            </w: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Travis J. Matthiesen</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Chief Financial Officer</w:t>
            </w:r>
          </w:p>
        </w:tc>
        <w:tc>
          <w:tcPr>
            <w:tcW w:w="0" w:type="dxa"/>
            <w:vAlign w:val="bottom"/>
          </w:tcPr>
          <w:p>
            <w:pPr>
              <w:spacing w:after="0"/>
              <w:rPr>
                <w:sz w:val="1"/>
                <w:szCs w:val="1"/>
                <w:color w:val="auto"/>
              </w:rPr>
            </w:pPr>
          </w:p>
        </w:tc>
      </w:tr>
      <w:tr>
        <w:trPr>
          <w:trHeight w:val="189"/>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James A. Sharman</w:t>
            </w:r>
          </w:p>
        </w:tc>
        <w:tc>
          <w:tcPr>
            <w:tcW w:w="1120" w:type="dxa"/>
            <w:vAlign w:val="bottom"/>
          </w:tcPr>
          <w:p>
            <w:pPr>
              <w:jc w:val="center"/>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7240" w:type="dxa"/>
            <w:vAlign w:val="bottom"/>
          </w:tcPr>
          <w:p>
            <w:pPr>
              <w:ind w:left="20"/>
              <w:spacing w:after="0"/>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Rahm Emanuel</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89"/>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Joseph G. Flanagan</w:t>
            </w:r>
          </w:p>
        </w:tc>
        <w:tc>
          <w:tcPr>
            <w:tcW w:w="1120" w:type="dxa"/>
            <w:vAlign w:val="bottom"/>
          </w:tcPr>
          <w:p>
            <w:pPr>
              <w:jc w:val="center"/>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7240" w:type="dxa"/>
            <w:vAlign w:val="bottom"/>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Helene D. Gayle</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6"/>
                <w:szCs w:val="16"/>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89"/>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Jeremy W. Gelber</w:t>
            </w:r>
          </w:p>
        </w:tc>
        <w:tc>
          <w:tcPr>
            <w:tcW w:w="1120" w:type="dxa"/>
            <w:vAlign w:val="bottom"/>
          </w:tcPr>
          <w:p>
            <w:pPr>
              <w:jc w:val="center"/>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7240" w:type="dxa"/>
            <w:vAlign w:val="bottom"/>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Anita V. Pramoda</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89"/>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Miriam A. Tawil</w:t>
            </w:r>
          </w:p>
        </w:tc>
        <w:tc>
          <w:tcPr>
            <w:tcW w:w="1120" w:type="dxa"/>
            <w:vAlign w:val="bottom"/>
          </w:tcPr>
          <w:p>
            <w:pPr>
              <w:jc w:val="center"/>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7240" w:type="dxa"/>
            <w:vAlign w:val="bottom"/>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Alexander E. Timm</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w:t>
      </w:r>
    </w:p>
    <w:p>
      <w:pPr>
        <w:spacing w:after="0" w:line="22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i w:val="1"/>
          <w:iCs w:val="1"/>
          <w:color w:val="auto"/>
        </w:rPr>
        <w:t xml:space="preserve">Clinton P. Jones </w:t>
      </w:r>
      <w:r>
        <w:rPr>
          <w:rFonts w:ascii="Arial" w:cs="Arial" w:eastAsia="Arial" w:hAnsi="Arial"/>
          <w:sz w:val="16"/>
          <w:szCs w:val="16"/>
          <w:color w:val="auto"/>
        </w:rPr>
        <w:t>is the co-founder of GoHealth and has served as GoHealth’s Chief Executive Officer since GoHealth’s founding in 2001. He has also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member of GoHealth, Inc.’s board of directors since 2020 and a member of GoHealth Holdings, LLC’s board of managers since 2019, as well as serving on the board of managers of GoHealth’s predecessor since its founding in 2001. Mr. Jones holds Bachelor of Science degrees in both Marketing and Management Information Systems from Miami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304165</wp:posOffset>
            </wp:positionV>
            <wp:extent cx="8255" cy="1200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304165</wp:posOffset>
            </wp:positionV>
            <wp:extent cx="8890" cy="1200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126365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48</w:t>
      </w:r>
    </w:p>
    <w:p>
      <w:pPr>
        <w:sectPr>
          <w:pgSz w:w="11900" w:h="16838" w:orient="portrait"/>
          <w:cols w:equalWidth="0" w:num="3">
            <w:col w:w="4580" w:space="540"/>
            <w:col w:w="1040" w:space="360"/>
            <w:col w:w="4720"/>
          </w:cols>
          <w:pgMar w:left="320" w:top="1323" w:right="339" w:bottom="1440" w:gutter="0" w:footer="0" w:header="0"/>
          <w:type w:val="continuous"/>
        </w:sectPr>
      </w:pPr>
    </w:p>
    <w:bookmarkStart w:id="51" w:name="page52"/>
    <w:bookmarkEnd w:id="51"/>
    <w:p>
      <w:pPr>
        <w:spacing w:after="0" w:line="260" w:lineRule="auto"/>
        <w:rPr>
          <w:sz w:val="20"/>
          <w:szCs w:val="20"/>
          <w:color w:val="auto"/>
        </w:rPr>
      </w:pPr>
      <w:r>
        <w:rPr>
          <w:rFonts w:ascii="Arial" w:cs="Arial" w:eastAsia="Arial" w:hAnsi="Arial"/>
          <w:sz w:val="16"/>
          <w:szCs w:val="16"/>
          <w:color w:val="auto"/>
        </w:rPr>
        <w:t>We believe Mr. Jones is qualified to serve on GoHealth, Inc.’s board of directors due to his extensive experience in the insurance industry and his knowledge of our business in particular, gained through his services as our co-founder and Chief Executive Officer.</w:t>
      </w:r>
    </w:p>
    <w:p>
      <w:pPr>
        <w:spacing w:after="0" w:line="175"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b w:val="1"/>
          <w:bCs w:val="1"/>
          <w:i w:val="1"/>
          <w:iCs w:val="1"/>
          <w:color w:val="auto"/>
        </w:rPr>
        <w:t xml:space="preserve">Brandon M. Cruz </w:t>
      </w:r>
      <w:r>
        <w:rPr>
          <w:rFonts w:ascii="Arial" w:cs="Arial" w:eastAsia="Arial" w:hAnsi="Arial"/>
          <w:sz w:val="16"/>
          <w:szCs w:val="16"/>
          <w:color w:val="auto"/>
        </w:rPr>
        <w:t>is the co-founder of GoHealth and has served as GoHealth’s Chief Strategy Officer and Special Advisor to the Executive Team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Prior to this role, he served as President of GoHealth since its founding in 2001. He has also been a member of GoHealth, Inc.’s board of directors since 2020 and a member of GoHealth Holdings, LLC’s board of managers since 2019, as well as serving on the board of managers of GoHealth’s predecessor since its founding. He serves on the board of Homecare Holdings. Mr. Cruz holds a Bachelor of Science degree in Management Information Systems from Miami University, and is a member of the Miami University Business Advisory Council.</w:t>
      </w:r>
    </w:p>
    <w:p>
      <w:pPr>
        <w:spacing w:after="0" w:line="20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believe Mr. Cruz is qualified to serve on GoHealth, Inc.’s board of directors due to his extensive experience in the insurance industry and his knowledge of our business in particular, gained through his services as our co-founder and Chief Strategy Officer and Special Advisor to the Executive Team.</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Shane E. Cruz </w:t>
      </w:r>
      <w:r>
        <w:rPr>
          <w:rFonts w:ascii="Arial" w:cs="Arial" w:eastAsia="Arial" w:hAnsi="Arial"/>
          <w:sz w:val="16"/>
          <w:szCs w:val="16"/>
          <w:color w:val="auto"/>
        </w:rPr>
        <w:t>has served as GoHealth’s Chief Operating Officer since 2020 and prior to that, was the Chief Technology Officer of GoHealth since 2014.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Cruz holds Bachelor of Science degrees in Computer Science and Engineering and a Master of Engineering in Electrical Engineering and Computer Science from the Massachusetts Institute of Technology.</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b w:val="1"/>
          <w:bCs w:val="1"/>
          <w:i w:val="1"/>
          <w:iCs w:val="1"/>
          <w:color w:val="auto"/>
        </w:rPr>
        <w:t xml:space="preserve">Brian Farley </w:t>
      </w:r>
      <w:r>
        <w:rPr>
          <w:rFonts w:ascii="Arial" w:cs="Arial" w:eastAsia="Arial" w:hAnsi="Arial"/>
          <w:sz w:val="16"/>
          <w:szCs w:val="16"/>
          <w:color w:val="auto"/>
        </w:rPr>
        <w:t>has served as GoHealth’s Chief Legal Officer and Corporate Secretary since 2020. Previously, Mr. Farley served in various roles at Allscripts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Healthcare Solutions, Inc., including most recently as Executive Vice President, General Counsel and Chief Administrative Officer from 2013 to 2020. Mr. Farley holds a Bachelor of Arts in Political Economics from Colorado College, a Juris Doctor from The George Washington University National Law Center and an Executive Master’s in Business Administration from the University of Colorado.</w:t>
      </w:r>
    </w:p>
    <w:p>
      <w:pPr>
        <w:spacing w:after="0" w:line="178"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b w:val="1"/>
          <w:bCs w:val="1"/>
          <w:i w:val="1"/>
          <w:iCs w:val="1"/>
          <w:color w:val="auto"/>
        </w:rPr>
        <w:t xml:space="preserve">Travis J. Matthiesen </w:t>
      </w:r>
      <w:r>
        <w:rPr>
          <w:rFonts w:ascii="Arial" w:cs="Arial" w:eastAsia="Arial" w:hAnsi="Arial"/>
          <w:sz w:val="16"/>
          <w:szCs w:val="16"/>
          <w:color w:val="auto"/>
        </w:rPr>
        <w:t>has served as GoHealth’s Chief Financial Officer since 2018. Previously, he served as GoHealth’s Vice President of Finance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Marketplace Operations from 2017 to 2018 and as GoHealth’s Corporate Controller from 2010 to 2017. Mr. Matthiesen holds a Master of Business Administration from the University of Notre Dame and a Bachelor of Science degree in Accounting from Cedarville University.</w:t>
      </w:r>
    </w:p>
    <w:p>
      <w:pPr>
        <w:spacing w:after="0" w:line="17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b w:val="1"/>
          <w:bCs w:val="1"/>
          <w:i w:val="1"/>
          <w:iCs w:val="1"/>
          <w:color w:val="auto"/>
        </w:rPr>
        <w:t xml:space="preserve">James A. Sharman </w:t>
      </w:r>
      <w:r>
        <w:rPr>
          <w:rFonts w:ascii="Arial" w:cs="Arial" w:eastAsia="Arial" w:hAnsi="Arial"/>
          <w:sz w:val="16"/>
          <w:szCs w:val="16"/>
          <w:color w:val="auto"/>
        </w:rPr>
        <w:t>has served as GoHealth’s President since 2020 and prior to that, was the Chief Operating Officer of GoHealth since 2018. Mr. Sharman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also appointed as a director of The Shyft Group (formerly known as Spartan Motors, Inc.), which specializes in vehicle manufacturing and assembly for the commercial and retail vehicle industries, in February 2016 and has served as its Chairman since 2018. From 2015 through 2018, Mr. Sharman served as Chief Operating Officer of Coyote Logistics, a freight broker and logistics services provider and a wholly-owned subsidiary of United Parcel Service, Inc. Mr.</w:t>
      </w:r>
    </w:p>
    <w:p>
      <w:pPr>
        <w:ind w:right="300"/>
        <w:spacing w:after="0" w:line="260" w:lineRule="auto"/>
        <w:rPr>
          <w:sz w:val="20"/>
          <w:szCs w:val="20"/>
          <w:color w:val="auto"/>
        </w:rPr>
      </w:pPr>
      <w:r>
        <w:rPr>
          <w:rFonts w:ascii="Arial" w:cs="Arial" w:eastAsia="Arial" w:hAnsi="Arial"/>
          <w:sz w:val="16"/>
          <w:szCs w:val="16"/>
          <w:color w:val="auto"/>
        </w:rPr>
        <w:t>Sharman holds a Master of Business Administration from Duke University and Bachelor of Science degree in Engineering from the United States Military Academy at West Point.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w:t>
      </w:r>
    </w:p>
    <w:p>
      <w:pPr>
        <w:spacing w:after="0" w:line="221"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b w:val="1"/>
          <w:bCs w:val="1"/>
          <w:i w:val="1"/>
          <w:iCs w:val="1"/>
          <w:color w:val="auto"/>
        </w:rPr>
        <w:t xml:space="preserve">Rahm Emanuel </w:t>
      </w:r>
      <w:r>
        <w:rPr>
          <w:rFonts w:ascii="Arial" w:cs="Arial" w:eastAsia="Arial" w:hAnsi="Arial"/>
          <w:sz w:val="16"/>
          <w:szCs w:val="16"/>
          <w:color w:val="auto"/>
        </w:rPr>
        <w:t>has served as a member of GoHealth, Inc.’s board of directors since 2020 and as a member of GoHealth Holdings, LLC’s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managers since 2020. Mr. Emanuel has been Senior Counselor at Centerview Partners since 2019, served as Mayor of Chicago from 2011 to 2019, and as White House Chief of Staff from 2009 to 2010, among other leadership positions. Mr. Emanuel worked at the investment bank Wasserstein Parella &amp; Co. from 1998 to 2000 and served as a member of the board of directors of Freddie Mac from 2000 to 2001 and a member of the board of directors of the Chicago Mercantile Exchange from 1999 to 2001. Mr. Emanuel holds a Bachelor of Arts degree from Sarah Lawrence College and a Master of Arts degree from Northwestern University.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believe Mr. Emanuel is qualified to serve on GoHealth, Inc.’s board of directors due to his financial expertise and many years of leadership experience.</w:t>
      </w:r>
    </w:p>
    <w:p>
      <w:pPr>
        <w:spacing w:after="0" w:line="20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i w:val="1"/>
          <w:iCs w:val="1"/>
          <w:color w:val="auto"/>
        </w:rPr>
        <w:t xml:space="preserve">Joseph G. Flanagan </w:t>
      </w:r>
      <w:r>
        <w:rPr>
          <w:rFonts w:ascii="Arial" w:cs="Arial" w:eastAsia="Arial" w:hAnsi="Arial"/>
          <w:sz w:val="16"/>
          <w:szCs w:val="16"/>
          <w:color w:val="auto"/>
        </w:rPr>
        <w:t>has served as a member of GoHealth, Inc.’s board of directors since 2020 and as a member of GoHealth Holdings, LLC’s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managers since 2020. Mr. Flanagan has also served as the President and Chief Executive Officer and as a member of the board of directors of R1 RCM Inc. (“R1”), a healthcare revenue cycle management company, since May 2016, after having served as R1’s Chief Operating Officer since April 2013 and President and Chief Operating Officer since April 2016. Mr. Flanagan holds a Bachelor of Science degree in Engineering from the United States Merchant Marine Academy.</w:t>
      </w:r>
    </w:p>
    <w:p>
      <w:pPr>
        <w:spacing w:after="0" w:line="200"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We believe Mr. Flanagan is qualified to serve on GoHealth, Inc.’s board of directors due to his knowledge of the healthcare industry and extensive board experience.</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i w:val="1"/>
          <w:iCs w:val="1"/>
          <w:color w:val="auto"/>
        </w:rPr>
        <w:t xml:space="preserve">Helene D. Gayle </w:t>
      </w:r>
      <w:r>
        <w:rPr>
          <w:rFonts w:ascii="Arial" w:cs="Arial" w:eastAsia="Arial" w:hAnsi="Arial"/>
          <w:sz w:val="16"/>
          <w:szCs w:val="16"/>
          <w:color w:val="auto"/>
        </w:rPr>
        <w:t>has served as a member of GoHealth, Inc.’s board of directors since 2020. Dr. Gayle has been the Chief Executive Officer of The Chicago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Community Trust since 2017 and previously served as the Chief Executive Officer at the McKinsey Social Initiative, a nonprofit organization launched by McKinsey &amp; Company that implements programs that bring together varied stakeholders to address complex global social challenges from 2015 to 2017. From 2006 to 2015, Dr. Gayle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295910</wp:posOffset>
            </wp:positionV>
            <wp:extent cx="8255" cy="1200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295910</wp:posOffset>
            </wp:positionV>
            <wp:extent cx="8890" cy="120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43" w:right="3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49</w:t>
      </w:r>
    </w:p>
    <w:p>
      <w:pPr>
        <w:sectPr>
          <w:pgSz w:w="11900" w:h="16838" w:orient="portrait"/>
          <w:cols w:equalWidth="0" w:num="3">
            <w:col w:w="4580" w:space="540"/>
            <w:col w:w="1040" w:space="360"/>
            <w:col w:w="4700"/>
          </w:cols>
          <w:pgMar w:left="320" w:top="1343" w:right="359" w:bottom="1440" w:gutter="0" w:footer="0" w:header="0"/>
          <w:type w:val="continuous"/>
        </w:sectPr>
      </w:pPr>
    </w:p>
    <w:bookmarkStart w:id="52" w:name="page53"/>
    <w:bookmarkEnd w:id="52"/>
    <w:p>
      <w:pPr>
        <w:ind w:right="120"/>
        <w:spacing w:after="0" w:line="250" w:lineRule="auto"/>
        <w:rPr>
          <w:sz w:val="20"/>
          <w:szCs w:val="20"/>
          <w:color w:val="auto"/>
        </w:rPr>
      </w:pPr>
      <w:r>
        <w:rPr>
          <w:rFonts w:ascii="Arial" w:cs="Arial" w:eastAsia="Arial" w:hAnsi="Arial"/>
          <w:sz w:val="16"/>
          <w:szCs w:val="16"/>
          <w:color w:val="auto"/>
        </w:rPr>
        <w:t>served as President and Chief Executive Officer of CARE USA, a leading international humanitarian organization. For twenty years, from 1984 to 2004, Dr. Gayle worked for the Centers for Disease Control, retiring as a Rear Admiral in the Public Health Service and an Assistant Surgeon General. Dr. Gayle serves as a member of the board of directors of The Coca-Cola Company and Colgate-Palmolive Company. Dr. Gayle holds a Bachelor of Arts in Psychology from Barnard College of Columbia University, a Doctor of Medicine degree from the University of Pennsylvania and a Master of Public Health degree from Johns Hopkins University.</w:t>
      </w:r>
    </w:p>
    <w:p>
      <w:pPr>
        <w:spacing w:after="0" w:line="203"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believe Dr. Gayle is qualified to serve on GoHealth, Inc.’s board of directors due to her extensive knowledge of the healthcare industry, extensive board experience and many years of leadership experience.</w:t>
      </w:r>
    </w:p>
    <w:p>
      <w:pPr>
        <w:spacing w:after="0" w:line="175"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b w:val="1"/>
          <w:bCs w:val="1"/>
          <w:i w:val="1"/>
          <w:iCs w:val="1"/>
          <w:color w:val="auto"/>
        </w:rPr>
        <w:t xml:space="preserve">Jeremy W. Gelber </w:t>
      </w:r>
      <w:r>
        <w:rPr>
          <w:rFonts w:ascii="Arial" w:cs="Arial" w:eastAsia="Arial" w:hAnsi="Arial"/>
          <w:sz w:val="16"/>
          <w:szCs w:val="16"/>
          <w:color w:val="auto"/>
        </w:rPr>
        <w:t>has served as a member of GoHealth, Inc.’s board of directors since 2020 and as a member of GoHealth Holdings, LLC’s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managers since 2019. Mr. Gelber has been a Senior Managing Director of Centerbridge since 2018, where he focuses on investments in the healthcare sector, and has also served as a member of the board of directors of Civitas Solutions, Inc. since 2019. Prior to joining Centerbridge, Mr. Gelber was a Partner at Pamplona Capital, a private equity firm, and also served as Executive Director in the Healthcare Investment Banking Division at Morgan Stanley. Mr. Gelber holds a Bachelor of Science degree from Dartmouth College and a Doctor of Medicine degree from Jefferson Medical College.</w:t>
      </w:r>
    </w:p>
    <w:p>
      <w:pPr>
        <w:spacing w:after="0" w:line="200"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believe Mr. Gelber is qualified to serve on GoHealth, Inc.’s board of directors due to his knowledge of the healthcare industry, broad financial expertise and many years of leadership experience.</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6"/>
          <w:szCs w:val="16"/>
          <w:b w:val="1"/>
          <w:bCs w:val="1"/>
          <w:i w:val="1"/>
          <w:iCs w:val="1"/>
          <w:color w:val="auto"/>
        </w:rPr>
        <w:t xml:space="preserve">Anita V. Pramoda </w:t>
      </w:r>
      <w:r>
        <w:rPr>
          <w:rFonts w:ascii="Arial" w:cs="Arial" w:eastAsia="Arial" w:hAnsi="Arial"/>
          <w:sz w:val="16"/>
          <w:szCs w:val="16"/>
          <w:color w:val="auto"/>
        </w:rPr>
        <w:t>has served as a member of GoHealth, Inc.’s board of directors since 2020. Ms. Pramoda also serves as a member of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the Federal Reserve Bank of San Francisco (Los Angeles) and Health Catalyst, Inc., a provider of data and analytics technology and services to healthcare organizations. Ms. Pramoda is a Venture Partner and Executive Advisor at the Technology Crossover Ventures. Previously, Ms. Pramoda served as a member of the board of directors of Dignity Health Foundation, from 2013 to 2017, Allscripts Healthcare, LLC, from 2013 to 2016 and as Chief Financial Officer at Epic Systems Corporation, from 2009 to 2012. Ms. Pramoda holds a Master in Business Administration degree from the Wharton School at the University of Pennsylvania.</w:t>
      </w:r>
    </w:p>
    <w:p>
      <w:pPr>
        <w:spacing w:after="0" w:line="202"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We believe Ms. Pramoda is qualified to serve on GoHealth, Inc.’s board of directors due to her extensive knowledge of the healthcare industry, extensive board experience and many years of leadership experience.</w:t>
      </w:r>
    </w:p>
    <w:p>
      <w:pPr>
        <w:spacing w:after="0" w:line="175"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b w:val="1"/>
          <w:bCs w:val="1"/>
          <w:i w:val="1"/>
          <w:iCs w:val="1"/>
          <w:color w:val="auto"/>
        </w:rPr>
        <w:t xml:space="preserve">Miriam A. Tawil </w:t>
      </w:r>
      <w:r>
        <w:rPr>
          <w:rFonts w:ascii="Arial" w:cs="Arial" w:eastAsia="Arial" w:hAnsi="Arial"/>
          <w:sz w:val="16"/>
          <w:szCs w:val="16"/>
          <w:color w:val="auto"/>
        </w:rPr>
        <w:t>has served as a member of GoHealth, Inc.’s board of directors since 2020. Ms. Tawil has been a Managing Director of Centerbridge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2012, where she focuses on investments in the healthcare and financial services sectors. Ms. Tawil also serves as a member of the board of directors of Civitas Solutions, Inc. Prior to joining Centerbridge, Ms. Tawil was an associate at TPG Capital from 2008 to 2010 and an analyst in the Mergers and Acquisitions Group of The Blackstone Group L.P. from 2006 to 2008. Ms. Tawil holds a Bachelor of Arts from Harvard College and a Master in Business Administration degree from Harvard Business School.</w:t>
      </w:r>
    </w:p>
    <w:p>
      <w:pPr>
        <w:spacing w:after="0" w:line="200"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We believe Ms. Tawil is qualified to serve on GoHealth, Inc.’s board of directors due to her extensive knowledge of the healthcare industry, broad financial expertise and years of leadership experience.</w:t>
      </w:r>
    </w:p>
    <w:p>
      <w:pPr>
        <w:spacing w:after="0" w:line="175" w:lineRule="exact"/>
        <w:rPr>
          <w:sz w:val="20"/>
          <w:szCs w:val="20"/>
          <w:color w:val="auto"/>
        </w:rPr>
      </w:pPr>
    </w:p>
    <w:p>
      <w:pPr>
        <w:jc w:val="both"/>
        <w:ind w:right="300"/>
        <w:spacing w:after="0" w:line="259" w:lineRule="auto"/>
        <w:rPr>
          <w:sz w:val="20"/>
          <w:szCs w:val="20"/>
          <w:color w:val="auto"/>
        </w:rPr>
      </w:pPr>
      <w:r>
        <w:rPr>
          <w:rFonts w:ascii="Arial" w:cs="Arial" w:eastAsia="Arial" w:hAnsi="Arial"/>
          <w:sz w:val="16"/>
          <w:szCs w:val="16"/>
          <w:b w:val="1"/>
          <w:bCs w:val="1"/>
          <w:i w:val="1"/>
          <w:iCs w:val="1"/>
          <w:color w:val="auto"/>
        </w:rPr>
        <w:t xml:space="preserve">Alexander E. Timm </w:t>
      </w:r>
      <w:r>
        <w:rPr>
          <w:rFonts w:ascii="Arial" w:cs="Arial" w:eastAsia="Arial" w:hAnsi="Arial"/>
          <w:sz w:val="16"/>
          <w:szCs w:val="16"/>
          <w:color w:val="auto"/>
        </w:rPr>
        <w:t>has served as a member of GoHealth, Inc.’s board of directors since 2020 and as a member of GoHealth Holdings, LLC’s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managers since 2020. Mr. Timm is also the Chief Executive Officer of Root Insurance Company, which he co-founded in 2015. Additionally, from 2011 to 2015, Mr. Timm worked at Nationwide Insurance as a senior consultant in corporate strategy. Mr. Timm holds a Bachelor of Science degree in Business Administration and a Bachelor of Arts degree in Actuarial Studies, Accounting and Mathematics from Drake University.</w:t>
      </w:r>
    </w:p>
    <w:p>
      <w:pPr>
        <w:spacing w:after="0" w:line="19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believe Mr. Timm is qualified to serve on GoHealth, Inc.’s board of directors due to his extensive insurance industry experience, as well as his success in the entrepreneurial, technology, and data science industries.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Family Relationships</w:t>
      </w:r>
    </w:p>
    <w:p>
      <w:pPr>
        <w:spacing w:after="0" w:line="24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Brandon M. Cruz, our Co-Founder, Chief Strategy Officer and Special Advisor to the Executive Team and Director is the brother of Shane E. Cruz, our Chief Operating Officer. Otherwise, there are no family relationships among any of our executive officers 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294005</wp:posOffset>
            </wp:positionV>
            <wp:extent cx="8255" cy="1200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294005</wp:posOffset>
            </wp:positionV>
            <wp:extent cx="8890" cy="1200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00"/>
          </w:cols>
          <w:pgMar w:left="320" w:top="1343" w:right="37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50</w:t>
      </w:r>
    </w:p>
    <w:p>
      <w:pPr>
        <w:sectPr>
          <w:pgSz w:w="11900" w:h="16838" w:orient="portrait"/>
          <w:cols w:equalWidth="0" w:num="3">
            <w:col w:w="4580" w:space="540"/>
            <w:col w:w="1040" w:space="360"/>
            <w:col w:w="4680"/>
          </w:cols>
          <w:pgMar w:left="320" w:top="1343" w:right="37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869315</wp:posOffset>
            </wp:positionV>
            <wp:extent cx="7132320" cy="1200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t>Part II</w:t>
      </w:r>
    </w:p>
    <w:p>
      <w:pPr>
        <w:sectPr>
          <w:pgSz w:w="11900" w:h="16838" w:orient="portrait"/>
          <w:cols w:equalWidth="0" w:num="1">
            <w:col w:w="11240"/>
          </w:cols>
          <w:pgMar w:left="320" w:top="1368" w:right="339" w:bottom="1440" w:gutter="0" w:footer="0" w:header="0"/>
        </w:sectPr>
      </w:pPr>
    </w:p>
    <w:p>
      <w:pPr>
        <w:spacing w:after="0" w:line="320" w:lineRule="exact"/>
        <w:rPr>
          <w:sz w:val="20"/>
          <w:szCs w:val="20"/>
          <w:color w:val="auto"/>
        </w:rPr>
      </w:pPr>
    </w:p>
    <w:p>
      <w:pPr>
        <w:ind w:right="880"/>
        <w:spacing w:after="0" w:line="286" w:lineRule="auto"/>
        <w:rPr>
          <w:sz w:val="20"/>
          <w:szCs w:val="20"/>
          <w:color w:val="auto"/>
        </w:rPr>
      </w:pPr>
      <w:r>
        <w:rPr>
          <w:rFonts w:ascii="Arial" w:cs="Arial" w:eastAsia="Arial" w:hAnsi="Arial"/>
          <w:sz w:val="16"/>
          <w:szCs w:val="16"/>
          <w:b w:val="1"/>
          <w:bCs w:val="1"/>
          <w:color w:val="0A2299"/>
        </w:rPr>
        <w:t>ITEM 5. MARKET FOR REGISTRANT’S COMMON EQUITY, RELATED STOCKHOLDER MATTERS AND ISSUER PURCHASES OF EQUITY SECURITIES</w:t>
      </w:r>
    </w:p>
    <w:p>
      <w:pPr>
        <w:spacing w:after="0" w:line="176"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Our Class A common stock trades under the symbol “GOCO” on The Nasdaq Global Market and has been publicly traded since July 15, 2020. Prior to this time, there was no public market for our Class A common stock.</w:t>
      </w:r>
    </w:p>
    <w:p>
      <w:pPr>
        <w:spacing w:after="0" w:line="19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As of March 9, 2021, there were 28 and 11 Class A and Class B common stockholders of record, respectively. The number of record holders is based upon the actual number of holders registered on our books at such date and does not include holders of shares in “street names” or persons, partnerships, associations, corporations or other entities identified in security position listings maintained by depository trust companies.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Sales of Unregistered Securities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Divided Policy</w:t>
      </w:r>
    </w:p>
    <w:p>
      <w:pPr>
        <w:spacing w:after="0" w:line="24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currently intend to retain all available funds and any future earnings to fund the development and growth of our business and to repay indebtedness, and therefore we do not anticipate declaring or paying any cash dividends on our Class A common stock in the foreseeable future. Holders of our Class B common stock are not entitled to participate in any dividends declared by our board of directors.</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Any future determination to declare and pay cash dividends on our Class A common stock, if any, will be made at the discretion of our Board of Directors and will depend on a variety of factors, including applicable laws, our financial condition, results of operations, contractual restrictions, capital requirements, business prospects, general business or financial market conditions, and other factors our Board of Directors may deem relevant.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of Equity Securities by the Issuer and Affiliated Purchaser</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310515</wp:posOffset>
            </wp:positionV>
            <wp:extent cx="8255" cy="1200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310515</wp:posOffset>
            </wp:positionV>
            <wp:extent cx="8890" cy="1200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51</w:t>
      </w:r>
    </w:p>
    <w:p>
      <w:pPr>
        <w:sectPr>
          <w:pgSz w:w="11900" w:h="16838" w:orient="portrait"/>
          <w:cols w:equalWidth="0" w:num="3">
            <w:col w:w="4580" w:space="540"/>
            <w:col w:w="1040" w:space="360"/>
            <w:col w:w="4720"/>
          </w:cols>
          <w:pgMar w:left="320" w:top="1368"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Stock Performance Graph</w:t>
      </w:r>
    </w:p>
    <w:p>
      <w:pPr>
        <w:spacing w:after="0" w:line="24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following information relating to the price performance of our common stock shall not be deemed “filed” with the Securities and Exchange Commission or “soliciting material” under the Securities Exchange Act of 1934, as amended, or subject to Regulation 14A or 14C, or to liabilities under Section 18 of the Exchange Act, except to the extent that we specifically request that such information be treated as soliciting material or to the extent that we specifically incorporate this information by reference.</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graph below compares the cumulative total return of our Class A common stock to the cumulative total return on the Nasdaq Composite Index and the S&amp;P 1500 Insurance Brokers Index for the period beginning on July 15, 2020 (the date our Class A common stock commenced trading on The Nasdaq Global Market) through December 31, 2020. The graph assumes that $100 was invested in our Class A common stock at the closing sales price on July 15, 2020, and in the Nasdaq Composite Index and the S&amp;P 1500 Insurance Brokers Index on July 15, 2020, and assumes reinvestment of any dividends. The stock price performance shown in the following graph is not intended to forecast or be indicative of possible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127635</wp:posOffset>
            </wp:positionV>
            <wp:extent cx="5915025" cy="38576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1502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July 15, 2020</w:t>
            </w:r>
          </w:p>
        </w:tc>
        <w:tc>
          <w:tcPr>
            <w:tcW w:w="80" w:type="dxa"/>
            <w:vAlign w:val="bottom"/>
          </w:tcPr>
          <w:p>
            <w:pPr>
              <w:spacing w:after="0"/>
              <w:rPr>
                <w:sz w:val="14"/>
                <w:szCs w:val="14"/>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July 31, 2020</w:t>
            </w:r>
          </w:p>
        </w:tc>
        <w:tc>
          <w:tcPr>
            <w:tcW w:w="1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31,</w:t>
            </w: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31,</w:t>
            </w: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November 30,</w:t>
            </w:r>
          </w:p>
        </w:tc>
        <w:tc>
          <w:tcPr>
            <w:tcW w:w="11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GoHealth, Inc.</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91.21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53.24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70.20</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Nasdaq Composite Index</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106.85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117.22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111.24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108.73</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121.67</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128.62</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S&amp;P 1500 Insurance Brokers Index</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107.72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97.55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111.66</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6.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623570</wp:posOffset>
            </wp:positionV>
            <wp:extent cx="8255" cy="1200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623570</wp:posOffset>
            </wp:positionV>
            <wp:extent cx="8890" cy="1200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140"/>
          </w:cols>
          <w:pgMar w:left="320" w:top="132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126365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52</w:t>
      </w:r>
    </w:p>
    <w:p>
      <w:pPr>
        <w:sectPr>
          <w:pgSz w:w="11900" w:h="16838" w:orient="portrait"/>
          <w:cols w:equalWidth="0" w:num="3">
            <w:col w:w="4580" w:space="540"/>
            <w:col w:w="1040" w:space="360"/>
            <w:col w:w="4620"/>
          </w:cols>
          <w:pgMar w:left="320" w:top="1323" w:right="4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6"/>
          <w:szCs w:val="16"/>
          <w:b w:val="1"/>
          <w:bCs w:val="1"/>
          <w:color w:val="0A2299"/>
        </w:rPr>
        <w:t>ITEM 7. MANAGEMENT’S DISCUSSION AND ANALYSIS OF FINANCIAL CONDITIONS AND RESULTS OF OPERATIONS</w:t>
      </w:r>
    </w:p>
    <w:p>
      <w:pPr>
        <w:spacing w:after="0" w:line="2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i w:val="1"/>
          <w:iCs w:val="1"/>
          <w:color w:val="auto"/>
        </w:rPr>
        <w:t>This section presents management’s perspective on our financial condition and results of operations. The following discussion and analysis is intended to highlight and supplement data and information presented elsewhere in this Annual Report on Form 10-K, including the Consolidated Financial Statements and related Notes, and should be read in conjunction with the accompanying tables.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“Summary Risk Factors” and “Risk Factors” in this Annual Report on Form 10-K. We assume no obligation to update any of these forward-looking statements.</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In certain cases, numbers and percentages in the tables below may not foot due to rounding.</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4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are a leading health insurance marketplace and Medicare-focused digital health company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agents has enabled us to enroll millions of people in Medicare and individual and family plans since our inception. With a current commissionable market of nearly $30 billion, and nearly 11,000 Americans turning 65 years old every day and our track record of significant growth in net revenues in the Medicare space in the past five years, we believe we will continue to be one of the top choices for unbiased insurance advice to help navigate one of the most important purchasing decisions individuals make.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Segments</w:t>
      </w:r>
    </w:p>
    <w:p>
      <w:pPr>
        <w:spacing w:after="0" w:line="24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have four reportable segments: (i) Medicare—Internal, (ii) Medicare—External, (iii) Individual and Family Plans, or IFP and Other—Internal and (iv) IFP and Other—External. We organize the segments by product type, Medicare and IFP and Other, as well as by distribution channel, internal and external, as further described below. In addition, we separately report other expenses (classified as “Corporate expenses” in our financial statements), the primary components of which are corporate overhead expenses and shared service expenses that have not been allocated to the operating segments. The segment results provided herein may not be comparable to other companies. We refer to the Medicare—Internal and Medicare—External segments collectively as the “Medicare segments” and the IFP and Other—Internal and IFP and Other—External segments as the “IFP and Other segments.”</w:t>
      </w:r>
    </w:p>
    <w:p>
      <w:pPr>
        <w:spacing w:after="0" w:line="185" w:lineRule="exact"/>
        <w:rPr>
          <w:sz w:val="20"/>
          <w:szCs w:val="20"/>
          <w:color w:val="auto"/>
        </w:rPr>
      </w:pPr>
    </w:p>
    <w:p>
      <w:pPr>
        <w:ind w:left="660" w:right="20" w:hanging="328"/>
        <w:spacing w:after="0" w:line="253"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Medicare—Internal: </w:t>
      </w:r>
      <w:r>
        <w:rPr>
          <w:rFonts w:ascii="Arial" w:cs="Arial" w:eastAsia="Arial" w:hAnsi="Arial"/>
          <w:sz w:val="16"/>
          <w:szCs w:val="16"/>
          <w:color w:val="auto"/>
        </w:rPr>
        <w:t>The Medicare—Internal segment relates to sales of products and plans by GoHealth-employed agents offering qualified</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prospects plans from multiple carriers, GoHealth-employed agents offering qualified prospects plans on a carrier-specific basis, or sales of products and plans through our online platform without the assistance of our agents, which we refer to as DIY. In this segment, we sell Medicare Advantage, Medicare Supplement, Medicare prescription drug plans, and Medicare Special Needs Plans, or SNPs. We earn revenue in this segment through commissions paid by carriers based on sales we generated, as well as enrollment fees, hourly fees and other fees for services performed for specific carriers and other partners. The Medicare—Internal segment is our largest and fastest growing segment, and represented 96% of segment profits in 2020.</w:t>
      </w:r>
    </w:p>
    <w:p>
      <w:pPr>
        <w:spacing w:after="0" w:line="181" w:lineRule="exact"/>
        <w:rPr>
          <w:rFonts w:ascii="Arial" w:cs="Arial" w:eastAsia="Arial" w:hAnsi="Arial"/>
          <w:sz w:val="16"/>
          <w:szCs w:val="16"/>
          <w:color w:val="auto"/>
        </w:rPr>
      </w:pPr>
    </w:p>
    <w:p>
      <w:pPr>
        <w:ind w:left="660" w:right="80" w:hanging="328"/>
        <w:spacing w:after="0" w:line="256"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Medicare—External: </w:t>
      </w:r>
      <w:r>
        <w:rPr>
          <w:rFonts w:ascii="Arial" w:cs="Arial" w:eastAsia="Arial" w:hAnsi="Arial"/>
          <w:sz w:val="16"/>
          <w:szCs w:val="16"/>
          <w:color w:val="auto"/>
        </w:rPr>
        <w:t>The Medicare—External segment relates to sales of products and plans under GoHealth’s carrier contracts using an</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national network of agents or external agencies, which are not employed by GoHealth. These agents utilize our technology and platform to enroll consumers in health insurance plans and provide us with a means to earn a return on leads that otherwise may have not been addressed. In this segment, we sell Medicare Advantage, Medicare Supplement, Medicare prescription drug plans, and SNPs. We earn revenue in this segment through commissions paid by carriers as a result of policy sales, as well as sales of consumer leads to external agencies.</w:t>
      </w:r>
    </w:p>
    <w:p>
      <w:pPr>
        <w:spacing w:after="0" w:line="179" w:lineRule="exact"/>
        <w:rPr>
          <w:rFonts w:ascii="Arial" w:cs="Arial" w:eastAsia="Arial" w:hAnsi="Arial"/>
          <w:sz w:val="16"/>
          <w:szCs w:val="16"/>
          <w:color w:val="auto"/>
        </w:rPr>
      </w:pPr>
    </w:p>
    <w:p>
      <w:pPr>
        <w:ind w:left="660" w:right="120" w:hanging="328"/>
        <w:spacing w:after="0" w:line="256"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IFP and Other—Internal: </w:t>
      </w:r>
      <w:r>
        <w:rPr>
          <w:rFonts w:ascii="Arial" w:cs="Arial" w:eastAsia="Arial" w:hAnsi="Arial"/>
          <w:sz w:val="16"/>
          <w:szCs w:val="16"/>
          <w:color w:val="auto"/>
        </w:rPr>
        <w:t>The IFP and Other—Internal segment relates to sales of products and plans by GoHealth-employed agents offering</w:t>
      </w:r>
      <w:r>
        <w:rPr>
          <w:rFonts w:ascii="Arial" w:cs="Arial" w:eastAsia="Arial" w:hAnsi="Arial"/>
          <w:sz w:val="16"/>
          <w:szCs w:val="16"/>
          <w:b w:val="1"/>
          <w:bCs w:val="1"/>
          <w:color w:val="auto"/>
        </w:rPr>
        <w:t xml:space="preserve"> </w:t>
      </w:r>
      <w:r>
        <w:rPr>
          <w:rFonts w:ascii="Arial" w:cs="Arial" w:eastAsia="Arial" w:hAnsi="Arial"/>
          <w:sz w:val="16"/>
          <w:szCs w:val="16"/>
          <w:color w:val="auto"/>
        </w:rPr>
        <w:t>qualified prospects plans from multiple carriers, GoHealth-employed agents offering qualified prospects plans on a carrier-specific basis, or DIY. In this segment, we sell individual and family plans, dental plans, vision plans and other ancillary plans to individuals who are not Medicare-eligible. We earn revenue in this segment through commissions paid by carriers based on sales we generate, as well as enrollment fees, and hourly fees and other fees for services performed for specific carriers and other partners.</w:t>
      </w:r>
    </w:p>
    <w:p>
      <w:pPr>
        <w:spacing w:after="0" w:line="179" w:lineRule="exact"/>
        <w:rPr>
          <w:rFonts w:ascii="Arial" w:cs="Arial" w:eastAsia="Arial" w:hAnsi="Arial"/>
          <w:sz w:val="16"/>
          <w:szCs w:val="16"/>
          <w:color w:val="auto"/>
        </w:rPr>
      </w:pPr>
    </w:p>
    <w:p>
      <w:pPr>
        <w:ind w:left="660" w:right="180" w:hanging="328"/>
        <w:spacing w:after="0" w:line="266"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IFP and Other—External: </w:t>
      </w:r>
      <w:r>
        <w:rPr>
          <w:rFonts w:ascii="Arial" w:cs="Arial" w:eastAsia="Arial" w:hAnsi="Arial"/>
          <w:sz w:val="16"/>
          <w:szCs w:val="16"/>
          <w:color w:val="auto"/>
        </w:rPr>
        <w:t>The IFP and Other—External segment relates to sales of products and plans under GoHealth’s carrier contracts using</w:t>
      </w:r>
      <w:r>
        <w:rPr>
          <w:rFonts w:ascii="Arial" w:cs="Arial" w:eastAsia="Arial" w:hAnsi="Arial"/>
          <w:sz w:val="16"/>
          <w:szCs w:val="16"/>
          <w:b w:val="1"/>
          <w:bCs w:val="1"/>
          <w:color w:val="auto"/>
        </w:rPr>
        <w:t xml:space="preserve"> </w:t>
      </w:r>
      <w:r>
        <w:rPr>
          <w:rFonts w:ascii="Arial" w:cs="Arial" w:eastAsia="Arial" w:hAnsi="Arial"/>
          <w:sz w:val="16"/>
          <w:szCs w:val="16"/>
          <w:color w:val="auto"/>
        </w:rPr>
        <w:t>external agencies, who use agents that are not employed by GoHealth. These agents utilize our technology and platform to enroll consumers in health insurance plans. We also sell consumer leads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291465</wp:posOffset>
            </wp:positionV>
            <wp:extent cx="8255" cy="1200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291465</wp:posOffset>
            </wp:positionV>
            <wp:extent cx="8890" cy="1200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53</w:t>
      </w:r>
    </w:p>
    <w:p>
      <w:pPr>
        <w:sectPr>
          <w:pgSz w:w="11900" w:h="16838" w:orient="portrait"/>
          <w:cols w:equalWidth="0" w:num="3">
            <w:col w:w="4580" w:space="540"/>
            <w:col w:w="1040" w:space="360"/>
            <w:col w:w="4700"/>
          </w:cols>
          <w:pgMar w:left="320" w:top="1323" w:right="359" w:bottom="1440" w:gutter="0" w:footer="0" w:header="0"/>
          <w:type w:val="continuous"/>
        </w:sectPr>
      </w:pPr>
    </w:p>
    <w:bookmarkStart w:id="56" w:name="page57"/>
    <w:bookmarkEnd w:id="56"/>
    <w:p>
      <w:pPr>
        <w:ind w:left="660" w:right="40"/>
        <w:spacing w:after="0" w:line="253" w:lineRule="auto"/>
        <w:rPr>
          <w:sz w:val="20"/>
          <w:szCs w:val="20"/>
          <w:color w:val="auto"/>
        </w:rPr>
      </w:pPr>
      <w:r>
        <w:rPr>
          <w:rFonts w:ascii="Arial" w:cs="Arial" w:eastAsia="Arial" w:hAnsi="Arial"/>
          <w:sz w:val="16"/>
          <w:szCs w:val="16"/>
          <w:color w:val="auto"/>
        </w:rPr>
        <w:t>generated by us to external agencies. In this segment, we sell individual and family plans, dental plans, vision plans and other ancillary plans to individuals who are not Medicare-eligible. We earn revenue in this segment through commissions paid by carriers as a result of policy sales, as well as sales of consumer leads to external agencies.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percentages of revenues and profit (loss) generated by each of our operating segments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1576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15760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660" w:type="dxa"/>
            <w:vAlign w:val="bottom"/>
            <w:tcBorders>
              <w:bottom w:val="single" w:sz="8" w:color="auto"/>
            </w:tcBorders>
            <w:gridSpan w:val="3"/>
          </w:tcPr>
          <w:p>
            <w:pPr>
              <w:jc w:val="right"/>
              <w:ind w:right="888"/>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3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rPr>
              <w:t>Twelve months</w:t>
            </w:r>
          </w:p>
        </w:tc>
        <w:tc>
          <w:tcPr>
            <w:tcW w:w="12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Period from Sep.</w:t>
            </w:r>
          </w:p>
        </w:tc>
        <w:tc>
          <w:tcPr>
            <w:tcW w:w="0" w:type="dxa"/>
            <w:vAlign w:val="bottom"/>
          </w:tcPr>
          <w:p>
            <w:pPr>
              <w:spacing w:after="0"/>
              <w:rPr>
                <w:sz w:val="1"/>
                <w:szCs w:val="1"/>
                <w:color w:val="auto"/>
              </w:rPr>
            </w:pPr>
          </w:p>
        </w:tc>
      </w:tr>
      <w:tr>
        <w:trPr>
          <w:trHeight w:val="135"/>
        </w:trPr>
        <w:tc>
          <w:tcPr>
            <w:tcW w:w="5800" w:type="dxa"/>
            <w:vAlign w:val="bottom"/>
          </w:tcPr>
          <w:p>
            <w:pPr>
              <w:spacing w:after="0"/>
              <w:rPr>
                <w:sz w:val="11"/>
                <w:szCs w:val="11"/>
                <w:color w:val="auto"/>
              </w:rPr>
            </w:pPr>
          </w:p>
        </w:tc>
        <w:tc>
          <w:tcPr>
            <w:tcW w:w="13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ended Dec. 31,</w:t>
            </w: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13, 2019 through</w:t>
            </w:r>
          </w:p>
        </w:tc>
        <w:tc>
          <w:tcPr>
            <w:tcW w:w="0" w:type="dxa"/>
            <w:vAlign w:val="bottom"/>
          </w:tcPr>
          <w:p>
            <w:pPr>
              <w:spacing w:after="0"/>
              <w:rPr>
                <w:sz w:val="1"/>
                <w:szCs w:val="1"/>
                <w:color w:val="auto"/>
              </w:rPr>
            </w:pPr>
          </w:p>
        </w:tc>
      </w:tr>
      <w:tr>
        <w:trPr>
          <w:trHeight w:val="176"/>
        </w:trPr>
        <w:tc>
          <w:tcPr>
            <w:tcW w:w="58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 31, 2019</w:t>
            </w:r>
          </w:p>
        </w:tc>
        <w:tc>
          <w:tcPr>
            <w:tcW w:w="0" w:type="dxa"/>
            <w:vAlign w:val="bottom"/>
          </w:tcPr>
          <w:p>
            <w:pPr>
              <w:spacing w:after="0"/>
              <w:rPr>
                <w:sz w:val="1"/>
                <w:szCs w:val="1"/>
                <w:color w:val="auto"/>
              </w:rPr>
            </w:pPr>
          </w:p>
        </w:tc>
      </w:tr>
      <w:tr>
        <w:trPr>
          <w:trHeight w:val="170"/>
        </w:trPr>
        <w:tc>
          <w:tcPr>
            <w:tcW w:w="5800" w:type="dxa"/>
            <w:vAlign w:val="bottom"/>
          </w:tcPr>
          <w:p>
            <w:pPr>
              <w:spacing w:after="0"/>
              <w:rPr>
                <w:sz w:val="20"/>
                <w:szCs w:val="20"/>
                <w:color w:val="auto"/>
              </w:rPr>
            </w:pPr>
            <w:r>
              <w:rPr>
                <w:rFonts w:ascii="Arial" w:cs="Arial" w:eastAsia="Arial" w:hAnsi="Arial"/>
                <w:sz w:val="14"/>
                <w:szCs w:val="14"/>
                <w:i w:val="1"/>
                <w:iCs w:val="1"/>
                <w:color w:val="auto"/>
              </w:rPr>
              <w:t>Percent of net revenues: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00" w:type="dxa"/>
            <w:vAlign w:val="bottom"/>
          </w:tcPr>
          <w:p>
            <w:pPr>
              <w:ind w:left="220"/>
              <w:spacing w:after="0"/>
              <w:rPr>
                <w:sz w:val="20"/>
                <w:szCs w:val="20"/>
                <w:color w:val="auto"/>
              </w:rPr>
            </w:pPr>
            <w:r>
              <w:rPr>
                <w:rFonts w:ascii="Arial" w:cs="Arial" w:eastAsia="Arial" w:hAnsi="Arial"/>
                <w:sz w:val="14"/>
                <w:szCs w:val="14"/>
                <w:color w:val="auto"/>
              </w:rPr>
              <w:t>Medicare—Internal</w:t>
            </w:r>
          </w:p>
        </w:tc>
        <w:tc>
          <w:tcPr>
            <w:tcW w:w="1280" w:type="dxa"/>
            <w:vAlign w:val="bottom"/>
          </w:tcPr>
          <w:p>
            <w:pPr>
              <w:jc w:val="right"/>
              <w:spacing w:after="0"/>
              <w:rPr>
                <w:sz w:val="20"/>
                <w:szCs w:val="20"/>
                <w:color w:val="auto"/>
              </w:rPr>
            </w:pPr>
            <w:r>
              <w:rPr>
                <w:rFonts w:ascii="Arial" w:cs="Arial" w:eastAsia="Arial" w:hAnsi="Arial"/>
                <w:sz w:val="14"/>
                <w:szCs w:val="14"/>
                <w:color w:val="auto"/>
              </w:rPr>
              <w:t>76.1 %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69.8 %</w:t>
            </w:r>
          </w:p>
        </w:tc>
        <w:tc>
          <w:tcPr>
            <w:tcW w:w="0" w:type="dxa"/>
            <w:vAlign w:val="bottom"/>
          </w:tcPr>
          <w:p>
            <w:pPr>
              <w:spacing w:after="0"/>
              <w:rPr>
                <w:sz w:val="1"/>
                <w:szCs w:val="1"/>
                <w:color w:val="auto"/>
              </w:rPr>
            </w:pPr>
          </w:p>
        </w:tc>
      </w:tr>
      <w:tr>
        <w:trPr>
          <w:trHeight w:val="189"/>
        </w:trPr>
        <w:tc>
          <w:tcPr>
            <w:tcW w:w="5800" w:type="dxa"/>
            <w:vAlign w:val="bottom"/>
          </w:tcPr>
          <w:p>
            <w:pPr>
              <w:ind w:left="220"/>
              <w:spacing w:after="0"/>
              <w:rPr>
                <w:sz w:val="20"/>
                <w:szCs w:val="20"/>
                <w:color w:val="auto"/>
              </w:rPr>
            </w:pPr>
            <w:r>
              <w:rPr>
                <w:rFonts w:ascii="Arial" w:cs="Arial" w:eastAsia="Arial" w:hAnsi="Arial"/>
                <w:sz w:val="14"/>
                <w:szCs w:val="14"/>
                <w:color w:val="auto"/>
              </w:rPr>
              <w:t>Medicare—External</w:t>
            </w:r>
          </w:p>
        </w:tc>
        <w:tc>
          <w:tcPr>
            <w:tcW w:w="1280" w:type="dxa"/>
            <w:vAlign w:val="bottom"/>
          </w:tcPr>
          <w:p>
            <w:pPr>
              <w:jc w:val="right"/>
              <w:spacing w:after="0"/>
              <w:rPr>
                <w:sz w:val="20"/>
                <w:szCs w:val="20"/>
                <w:color w:val="auto"/>
              </w:rPr>
            </w:pPr>
            <w:r>
              <w:rPr>
                <w:rFonts w:ascii="Arial" w:cs="Arial" w:eastAsia="Arial" w:hAnsi="Arial"/>
                <w:sz w:val="14"/>
                <w:szCs w:val="14"/>
                <w:color w:val="auto"/>
              </w:rPr>
              <w:t>17.7 %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19.2 %</w:t>
            </w:r>
          </w:p>
        </w:tc>
        <w:tc>
          <w:tcPr>
            <w:tcW w:w="0" w:type="dxa"/>
            <w:vAlign w:val="bottom"/>
          </w:tcPr>
          <w:p>
            <w:pPr>
              <w:spacing w:after="0"/>
              <w:rPr>
                <w:sz w:val="1"/>
                <w:szCs w:val="1"/>
                <w:color w:val="auto"/>
              </w:rPr>
            </w:pPr>
          </w:p>
        </w:tc>
      </w:tr>
      <w:tr>
        <w:trPr>
          <w:trHeight w:val="189"/>
        </w:trPr>
        <w:tc>
          <w:tcPr>
            <w:tcW w:w="5800" w:type="dxa"/>
            <w:vAlign w:val="bottom"/>
          </w:tcPr>
          <w:p>
            <w:pPr>
              <w:ind w:left="220"/>
              <w:spacing w:after="0"/>
              <w:rPr>
                <w:sz w:val="20"/>
                <w:szCs w:val="20"/>
                <w:color w:val="auto"/>
              </w:rPr>
            </w:pPr>
            <w:r>
              <w:rPr>
                <w:rFonts w:ascii="Arial" w:cs="Arial" w:eastAsia="Arial" w:hAnsi="Arial"/>
                <w:sz w:val="14"/>
                <w:szCs w:val="14"/>
                <w:color w:val="auto"/>
              </w:rPr>
              <w:t>IFP and Other—Internal</w:t>
            </w:r>
          </w:p>
        </w:tc>
        <w:tc>
          <w:tcPr>
            <w:tcW w:w="1280" w:type="dxa"/>
            <w:vAlign w:val="bottom"/>
          </w:tcPr>
          <w:p>
            <w:pPr>
              <w:jc w:val="right"/>
              <w:spacing w:after="0"/>
              <w:rPr>
                <w:sz w:val="20"/>
                <w:szCs w:val="20"/>
                <w:color w:val="auto"/>
              </w:rPr>
            </w:pPr>
            <w:r>
              <w:rPr>
                <w:rFonts w:ascii="Arial" w:cs="Arial" w:eastAsia="Arial" w:hAnsi="Arial"/>
                <w:sz w:val="14"/>
                <w:szCs w:val="14"/>
                <w:color w:val="auto"/>
              </w:rPr>
              <w:t>3.7 %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188"/>
        </w:trPr>
        <w:tc>
          <w:tcPr>
            <w:tcW w:w="5800" w:type="dxa"/>
            <w:vAlign w:val="bottom"/>
          </w:tcPr>
          <w:p>
            <w:pPr>
              <w:ind w:left="220"/>
              <w:spacing w:after="0"/>
              <w:rPr>
                <w:sz w:val="20"/>
                <w:szCs w:val="20"/>
                <w:color w:val="auto"/>
              </w:rPr>
            </w:pPr>
            <w:r>
              <w:rPr>
                <w:rFonts w:ascii="Arial" w:cs="Arial" w:eastAsia="Arial" w:hAnsi="Arial"/>
                <w:sz w:val="14"/>
                <w:szCs w:val="14"/>
                <w:color w:val="auto"/>
              </w:rPr>
              <w:t>IFP and Other—External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183"/>
        </w:trPr>
        <w:tc>
          <w:tcPr>
            <w:tcW w:w="5800" w:type="dxa"/>
            <w:vAlign w:val="bottom"/>
          </w:tcPr>
          <w:p>
            <w:pPr>
              <w:spacing w:after="0"/>
              <w:rPr>
                <w:sz w:val="20"/>
                <w:szCs w:val="20"/>
                <w:color w:val="auto"/>
              </w:rPr>
            </w:pPr>
            <w:r>
              <w:rPr>
                <w:rFonts w:ascii="Arial" w:cs="Arial" w:eastAsia="Arial" w:hAnsi="Arial"/>
                <w:sz w:val="14"/>
                <w:szCs w:val="14"/>
                <w:b w:val="1"/>
                <w:bCs w:val="1"/>
                <w:color w:val="auto"/>
              </w:rPr>
              <w:t>Total net revenues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0" w:type="dxa"/>
            <w:vAlign w:val="bottom"/>
          </w:tcPr>
          <w:p>
            <w:pPr>
              <w:spacing w:after="0"/>
              <w:rPr>
                <w:sz w:val="1"/>
                <w:szCs w:val="1"/>
                <w:color w:val="auto"/>
              </w:rPr>
            </w:pPr>
          </w:p>
        </w:tc>
      </w:tr>
      <w:tr>
        <w:trPr>
          <w:trHeight w:val="21"/>
        </w:trPr>
        <w:tc>
          <w:tcPr>
            <w:tcW w:w="5800" w:type="dxa"/>
            <w:vAlign w:val="bottom"/>
            <w:vMerge w:val="restart"/>
          </w:tcPr>
          <w:p>
            <w:pPr>
              <w:spacing w:after="0"/>
              <w:rPr>
                <w:sz w:val="20"/>
                <w:szCs w:val="20"/>
                <w:color w:val="auto"/>
              </w:rPr>
            </w:pPr>
            <w:r>
              <w:rPr>
                <w:rFonts w:ascii="Arial" w:cs="Arial" w:eastAsia="Arial" w:hAnsi="Arial"/>
                <w:sz w:val="14"/>
                <w:szCs w:val="14"/>
                <w:i w:val="1"/>
                <w:iCs w:val="1"/>
                <w:color w:val="auto"/>
              </w:rPr>
              <w:t>Percent of segment profit:</w:t>
            </w: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8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0" w:type="dxa"/>
            <w:vAlign w:val="bottom"/>
          </w:tcPr>
          <w:p>
            <w:pPr>
              <w:ind w:left="220"/>
              <w:spacing w:after="0"/>
              <w:rPr>
                <w:sz w:val="20"/>
                <w:szCs w:val="20"/>
                <w:color w:val="auto"/>
              </w:rPr>
            </w:pPr>
            <w:r>
              <w:rPr>
                <w:rFonts w:ascii="Arial" w:cs="Arial" w:eastAsia="Arial" w:hAnsi="Arial"/>
                <w:sz w:val="14"/>
                <w:szCs w:val="14"/>
                <w:color w:val="auto"/>
              </w:rPr>
              <w:t>Medicare—Internal</w:t>
            </w:r>
          </w:p>
        </w:tc>
        <w:tc>
          <w:tcPr>
            <w:tcW w:w="1280" w:type="dxa"/>
            <w:vAlign w:val="bottom"/>
          </w:tcPr>
          <w:p>
            <w:pPr>
              <w:jc w:val="right"/>
              <w:spacing w:after="0"/>
              <w:rPr>
                <w:sz w:val="20"/>
                <w:szCs w:val="20"/>
                <w:color w:val="auto"/>
              </w:rPr>
            </w:pPr>
            <w:r>
              <w:rPr>
                <w:rFonts w:ascii="Arial" w:cs="Arial" w:eastAsia="Arial" w:hAnsi="Arial"/>
                <w:sz w:val="14"/>
                <w:szCs w:val="14"/>
                <w:color w:val="auto"/>
              </w:rPr>
              <w:t>96.1 %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90.8 %</w:t>
            </w:r>
          </w:p>
        </w:tc>
        <w:tc>
          <w:tcPr>
            <w:tcW w:w="0" w:type="dxa"/>
            <w:vAlign w:val="bottom"/>
          </w:tcPr>
          <w:p>
            <w:pPr>
              <w:spacing w:after="0"/>
              <w:rPr>
                <w:sz w:val="1"/>
                <w:szCs w:val="1"/>
                <w:color w:val="auto"/>
              </w:rPr>
            </w:pPr>
          </w:p>
        </w:tc>
      </w:tr>
      <w:tr>
        <w:trPr>
          <w:trHeight w:val="189"/>
        </w:trPr>
        <w:tc>
          <w:tcPr>
            <w:tcW w:w="5800" w:type="dxa"/>
            <w:vAlign w:val="bottom"/>
          </w:tcPr>
          <w:p>
            <w:pPr>
              <w:ind w:left="220"/>
              <w:spacing w:after="0"/>
              <w:rPr>
                <w:sz w:val="20"/>
                <w:szCs w:val="20"/>
                <w:color w:val="auto"/>
              </w:rPr>
            </w:pPr>
            <w:r>
              <w:rPr>
                <w:rFonts w:ascii="Arial" w:cs="Arial" w:eastAsia="Arial" w:hAnsi="Arial"/>
                <w:sz w:val="14"/>
                <w:szCs w:val="14"/>
                <w:color w:val="auto"/>
              </w:rPr>
              <w:t>Medicare—External</w:t>
            </w:r>
          </w:p>
        </w:tc>
        <w:tc>
          <w:tcPr>
            <w:tcW w:w="128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7.6 %</w:t>
            </w:r>
          </w:p>
        </w:tc>
        <w:tc>
          <w:tcPr>
            <w:tcW w:w="0" w:type="dxa"/>
            <w:vAlign w:val="bottom"/>
          </w:tcPr>
          <w:p>
            <w:pPr>
              <w:spacing w:after="0"/>
              <w:rPr>
                <w:sz w:val="1"/>
                <w:szCs w:val="1"/>
                <w:color w:val="auto"/>
              </w:rPr>
            </w:pPr>
          </w:p>
        </w:tc>
      </w:tr>
      <w:tr>
        <w:trPr>
          <w:trHeight w:val="189"/>
        </w:trPr>
        <w:tc>
          <w:tcPr>
            <w:tcW w:w="5800" w:type="dxa"/>
            <w:vAlign w:val="bottom"/>
          </w:tcPr>
          <w:p>
            <w:pPr>
              <w:ind w:left="220"/>
              <w:spacing w:after="0"/>
              <w:rPr>
                <w:sz w:val="20"/>
                <w:szCs w:val="20"/>
                <w:color w:val="auto"/>
              </w:rPr>
            </w:pPr>
            <w:r>
              <w:rPr>
                <w:rFonts w:ascii="Arial" w:cs="Arial" w:eastAsia="Arial" w:hAnsi="Arial"/>
                <w:sz w:val="14"/>
                <w:szCs w:val="14"/>
                <w:color w:val="auto"/>
              </w:rPr>
              <w:t>IFP and Other—Internal</w:t>
            </w:r>
          </w:p>
        </w:tc>
        <w:tc>
          <w:tcPr>
            <w:tcW w:w="128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88"/>
        </w:trPr>
        <w:tc>
          <w:tcPr>
            <w:tcW w:w="5800" w:type="dxa"/>
            <w:vAlign w:val="bottom"/>
          </w:tcPr>
          <w:p>
            <w:pPr>
              <w:ind w:left="220"/>
              <w:spacing w:after="0"/>
              <w:rPr>
                <w:sz w:val="20"/>
                <w:szCs w:val="20"/>
                <w:color w:val="auto"/>
              </w:rPr>
            </w:pPr>
            <w:r>
              <w:rPr>
                <w:rFonts w:ascii="Arial" w:cs="Arial" w:eastAsia="Arial" w:hAnsi="Arial"/>
                <w:sz w:val="14"/>
                <w:szCs w:val="14"/>
                <w:color w:val="auto"/>
              </w:rPr>
              <w:t>IFP and Other—External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0.4 %</w:t>
            </w:r>
          </w:p>
        </w:tc>
        <w:tc>
          <w:tcPr>
            <w:tcW w:w="0" w:type="dxa"/>
            <w:vAlign w:val="bottom"/>
          </w:tcPr>
          <w:p>
            <w:pPr>
              <w:spacing w:after="0"/>
              <w:rPr>
                <w:sz w:val="1"/>
                <w:szCs w:val="1"/>
                <w:color w:val="auto"/>
              </w:rPr>
            </w:pPr>
          </w:p>
        </w:tc>
      </w:tr>
      <w:tr>
        <w:trPr>
          <w:trHeight w:val="183"/>
        </w:trPr>
        <w:tc>
          <w:tcPr>
            <w:tcW w:w="5800" w:type="dxa"/>
            <w:vAlign w:val="bottom"/>
          </w:tcPr>
          <w:p>
            <w:pPr>
              <w:spacing w:after="0"/>
              <w:rPr>
                <w:sz w:val="20"/>
                <w:szCs w:val="20"/>
                <w:color w:val="auto"/>
              </w:rPr>
            </w:pPr>
            <w:r>
              <w:rPr>
                <w:rFonts w:ascii="Arial" w:cs="Arial" w:eastAsia="Arial" w:hAnsi="Arial"/>
                <w:sz w:val="14"/>
                <w:szCs w:val="14"/>
                <w:b w:val="1"/>
                <w:bCs w:val="1"/>
                <w:color w:val="auto"/>
              </w:rPr>
              <w:t>Total segment profit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0" w:type="dxa"/>
            <w:vAlign w:val="bottom"/>
          </w:tcPr>
          <w:p>
            <w:pPr>
              <w:spacing w:after="0"/>
              <w:rPr>
                <w:sz w:val="1"/>
                <w:szCs w:val="1"/>
                <w:color w:val="auto"/>
              </w:rPr>
            </w:pPr>
          </w:p>
        </w:tc>
      </w:tr>
      <w:tr>
        <w:trPr>
          <w:trHeight w:val="21"/>
        </w:trPr>
        <w:tc>
          <w:tcPr>
            <w:tcW w:w="58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1200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1200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200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Predecessor</w: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Period from Jan.</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Twelve months</w:t>
            </w:r>
          </w:p>
        </w:tc>
      </w:tr>
      <w:tr>
        <w:trPr>
          <w:trHeight w:val="135"/>
        </w:trPr>
        <w:tc>
          <w:tcPr>
            <w:tcW w:w="13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1, 2019 through</w:t>
            </w: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ended Dec. 31,</w:t>
            </w:r>
          </w:p>
        </w:tc>
      </w:tr>
      <w:tr>
        <w:trPr>
          <w:trHeight w:val="176"/>
        </w:trPr>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Sep. 12, 2019</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r>
      <w:tr>
        <w:trPr>
          <w:trHeight w:val="359"/>
        </w:trPr>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44.2 %</w:t>
            </w:r>
          </w:p>
        </w:tc>
        <w:tc>
          <w:tcPr>
            <w:tcW w:w="100" w:type="dxa"/>
            <w:vAlign w:val="bottom"/>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23.6 %</w:t>
            </w:r>
          </w:p>
        </w:tc>
      </w:tr>
      <w:tr>
        <w:trPr>
          <w:trHeight w:val="189"/>
        </w:trPr>
        <w:tc>
          <w:tcPr>
            <w:tcW w:w="1280" w:type="dxa"/>
            <w:vAlign w:val="bottom"/>
          </w:tcPr>
          <w:p>
            <w:pPr>
              <w:jc w:val="right"/>
              <w:spacing w:after="0"/>
              <w:rPr>
                <w:sz w:val="20"/>
                <w:szCs w:val="20"/>
                <w:color w:val="auto"/>
              </w:rPr>
            </w:pPr>
            <w:r>
              <w:rPr>
                <w:rFonts w:ascii="Arial" w:cs="Arial" w:eastAsia="Arial" w:hAnsi="Arial"/>
                <w:sz w:val="14"/>
                <w:szCs w:val="14"/>
                <w:color w:val="auto"/>
              </w:rPr>
              <w:t>24.2 %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26.0 %</w:t>
            </w:r>
          </w:p>
        </w:tc>
      </w:tr>
      <w:tr>
        <w:trPr>
          <w:trHeight w:val="189"/>
        </w:trPr>
        <w:tc>
          <w:tcPr>
            <w:tcW w:w="1280" w:type="dxa"/>
            <w:vAlign w:val="bottom"/>
          </w:tcPr>
          <w:p>
            <w:pPr>
              <w:jc w:val="right"/>
              <w:spacing w:after="0"/>
              <w:rPr>
                <w:sz w:val="20"/>
                <w:szCs w:val="20"/>
                <w:color w:val="auto"/>
              </w:rPr>
            </w:pPr>
            <w:r>
              <w:rPr>
                <w:rFonts w:ascii="Arial" w:cs="Arial" w:eastAsia="Arial" w:hAnsi="Arial"/>
                <w:sz w:val="14"/>
                <w:szCs w:val="14"/>
                <w:color w:val="auto"/>
              </w:rPr>
              <w:t>16.4 %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27.9 %</w:t>
            </w:r>
          </w:p>
        </w:tc>
      </w:tr>
      <w:tr>
        <w:trPr>
          <w:trHeight w:val="188"/>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15.1 %</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22.5 %</w:t>
            </w:r>
          </w:p>
        </w:tc>
      </w:tr>
      <w:tr>
        <w:trPr>
          <w:trHeight w:val="183"/>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r>
      <w:tr>
        <w:trPr>
          <w:trHeight w:val="21"/>
        </w:trPr>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46"/>
        </w:trPr>
        <w:tc>
          <w:tcPr>
            <w:tcW w:w="1280" w:type="dxa"/>
            <w:vAlign w:val="bottom"/>
            <w:tcBorders>
              <w:left w:val="single" w:sz="8" w:color="auto"/>
            </w:tcBorders>
          </w:tcPr>
          <w:p>
            <w:pPr>
              <w:jc w:val="right"/>
              <w:spacing w:after="0"/>
              <w:rPr>
                <w:sz w:val="20"/>
                <w:szCs w:val="20"/>
                <w:color w:val="auto"/>
              </w:rPr>
            </w:pPr>
            <w:r>
              <w:rPr>
                <w:rFonts w:ascii="Arial" w:cs="Arial" w:eastAsia="Arial" w:hAnsi="Arial"/>
                <w:sz w:val="14"/>
                <w:szCs w:val="14"/>
                <w:color w:val="auto"/>
              </w:rPr>
              <w:t>81.9 %</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52.8 %</w:t>
            </w:r>
          </w:p>
        </w:tc>
      </w:tr>
      <w:tr>
        <w:trPr>
          <w:trHeight w:val="189"/>
        </w:trPr>
        <w:tc>
          <w:tcPr>
            <w:tcW w:w="1280" w:type="dxa"/>
            <w:vAlign w:val="bottom"/>
            <w:tcBorders>
              <w:lef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19.7 %</w:t>
            </w:r>
          </w:p>
        </w:tc>
      </w:tr>
      <w:tr>
        <w:trPr>
          <w:trHeight w:val="189"/>
        </w:trPr>
        <w:tc>
          <w:tcPr>
            <w:tcW w:w="1280" w:type="dxa"/>
            <w:vAlign w:val="bottom"/>
            <w:tcBorders>
              <w:left w:val="single" w:sz="8" w:color="auto"/>
            </w:tcBorders>
          </w:tcPr>
          <w:p>
            <w:pPr>
              <w:jc w:val="right"/>
              <w:spacing w:after="0"/>
              <w:rPr>
                <w:sz w:val="20"/>
                <w:szCs w:val="20"/>
                <w:color w:val="auto"/>
              </w:rPr>
            </w:pPr>
            <w:r>
              <w:rPr>
                <w:rFonts w:ascii="Arial" w:cs="Arial" w:eastAsia="Arial" w:hAnsi="Arial"/>
                <w:sz w:val="14"/>
                <w:szCs w:val="14"/>
                <w:color w:val="auto"/>
              </w:rPr>
              <w:t>4.5 %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21.2 %</w:t>
            </w:r>
          </w:p>
        </w:tc>
      </w:tr>
      <w:tr>
        <w:trPr>
          <w:trHeight w:val="188"/>
        </w:trPr>
        <w:tc>
          <w:tcPr>
            <w:tcW w:w="12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6.2 %</w:t>
            </w:r>
          </w:p>
        </w:tc>
      </w:tr>
      <w:tr>
        <w:trPr>
          <w:trHeight w:val="183"/>
        </w:trPr>
        <w:tc>
          <w:tcPr>
            <w:tcW w:w="12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r>
      <w:tr>
        <w:trPr>
          <w:trHeight w:val="21"/>
        </w:trPr>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80" w:space="100"/>
            <w:col w:w="2660"/>
          </w:cols>
          <w:pgMar w:left="320" w:top="1343" w:right="33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Transactions</w:t>
      </w:r>
    </w:p>
    <w:p>
      <w:pPr>
        <w:spacing w:after="0" w:line="241"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Our historical results of operations prior to the completion of the Transactions, including the IPO, do not reflect certain items that we expect will affect our results of operations and financial condition after giving effect to the Transactions and the use of proceeds from the IPO.</w:t>
      </w:r>
    </w:p>
    <w:p>
      <w:pPr>
        <w:spacing w:after="0" w:line="195"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Following the completion of the Transactions, GoHealth, Inc. became the sole managing member of GoHealth Holdings, LLC. Although we have a minority economic interest in GoHealth Holdings, LLC, we have the sole voting interest in, and control of the business and affairs of, GoHealth Holdings, LLC and its direct and indirect subsidiaries. As a result, GoHealth, Inc. consolidates GoHealth Holdings, LLC and records significant non-controlling interest in a consolidated entity in GoHealth, Inc.’s Consolidated Financial Statements for the economic interest in GoHealth Holdings, LLC held directly or indirectly by the Continuing Equity Owners. As of December 31, 2020, public investors collectively own 51.7% of our outstanding Class A common stock, consisting of 43,513 shares of Class A common stock. As of December 31, 2020, GoHealth, Inc. owns 84,195 LLC Interests, representing 26.7% of the economic interest in GoHealth Holdings, LLC, the Founders collectively own 97,301 LLC Interests, representing 30.9% of the economic interest in GoHealth Holdings, LLC, Centerbridge owns 80,793 LLC Interests, representing 25.7% of the economic interest in GoHealth Holdings, LLC, and the Continuing Equity Owners collectively own 52,639 LLC Interests, representing 16.7% of the economic interest in GoHealth Holdings, LLC. Accordingly, as of December 31, 2020, the economic interest in GoHealth Holdings, LLC held by non-controlling interest was 73.3%. GoHealth, Inc. is a holding company that conducts no operations and its principal asset is the LLC Interests we purchased from GoHealth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304800</wp:posOffset>
            </wp:positionV>
            <wp:extent cx="8255" cy="1200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304800</wp:posOffset>
            </wp:positionV>
            <wp:extent cx="8890" cy="1200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54</w:t>
      </w:r>
    </w:p>
    <w:p>
      <w:pPr>
        <w:sectPr>
          <w:pgSz w:w="11900" w:h="16838" w:orient="portrait"/>
          <w:cols w:equalWidth="0" w:num="3">
            <w:col w:w="4580" w:space="540"/>
            <w:col w:w="1040" w:space="360"/>
            <w:col w:w="4720"/>
          </w:cols>
          <w:pgMar w:left="320" w:top="1343"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6"/>
          <w:szCs w:val="16"/>
          <w:color w:val="auto"/>
        </w:rPr>
        <w:t>The percentage ownership of total shares of Class A and Class B common stock issued and outstanding as of December 31, 2020,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139065</wp:posOffset>
            </wp:positionV>
            <wp:extent cx="5143500" cy="21431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GoHealth, Inc. is subject to U.S. federal, state and local income taxes with respect to our allocable share of any taxable income of GoHealth Holdings, LLC and is taxed at the prevailing corporate tax rates. In addition to tax expenses, we also incur expenses related to our status as a public company, plus payment obligations under the Tax Receivable Agreement, which could be significant. We intend to cause GoHealth Holdings, LLC to make distributions to us in an amount sufficient to allow us to pay these expenses and fund any payments due under the Tax Receivable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Response to COVID-19</w:t>
      </w:r>
    </w:p>
    <w:p>
      <w:pPr>
        <w:spacing w:after="0" w:line="24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With social distancing measures having been implemented to curtail the spread of COVID-19, we successfully transitioned our agents and other employees to a work from home working environment. We believe the investments we have made in our technology infrastructure have allowed for a seamless transition to a remote working environment without any material impacts to our business, highlighting its resilience. We believe that our business is well-suited to navigate the current environment in which consumers are particularly focused on healthcare issues and mortality. While social distancing requirements have pushed consumers to conduct business remotely, the underlying demand dynamics for our core products remain unchanged. Additionally, because of our remote agent platform, we believe agents will continue to be attracted to our bonus-based agent compensation model and the stable and attractive source of income it can provide, thereby allowing us to continue to recruit and retain agents. Further, as consumers become more comfortable with conducting business remotely, we believe consumer adoption of distribution models such as ours may continue to accelerate long after the COVID-19 pandemic ends.</w:t>
      </w:r>
    </w:p>
    <w:p>
      <w:pPr>
        <w:spacing w:after="0" w:line="39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As a result of the COVID-19 pandemic, we have fully transitioned our existing agents in Chicago, Salt Lake City and Charlotte to work from home, and have since opened four new virtual sites in Tampa, Columbus, Phoenix and Dallas. These locations were selected because of the depth of available licensed sales talent and our ability to work closely with state regulators and their vendors to expedite the licensing process for new agents and resolve delays related to the COVID-19 pandemic.</w:t>
      </w:r>
    </w:p>
    <w:p>
      <w:pPr>
        <w:spacing w:after="0" w:line="202"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There are no comparable recent events which may provide guidance as to the effect of the spread of COVID-19 and a global pandemic, and, as a result, the ultimate impact of the COVID-19 outbreak or a similar health epidemic is highly uncertain and subject to change. We do not yet know the full extent of the impacts on our business, our operations or the global economy as a whole. However, the effects could have a material impact on our results of operations. See “Risk Factors—Risks Related to Our Business—The extent to which the COVID-19 outbreak and measures taken in response thereto impact our business, results of operations and financial condition will depend on future developments, which are highly uncertain and cannot be predicted” in this Annual Report on Form 10-K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300355</wp:posOffset>
            </wp:positionV>
            <wp:extent cx="8255" cy="1200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300355</wp:posOffset>
            </wp:positionV>
            <wp:extent cx="8890" cy="1200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55</w:t>
      </w:r>
    </w:p>
    <w:p>
      <w:pPr>
        <w:sectPr>
          <w:pgSz w:w="11900" w:h="16838" w:orient="portrait"/>
          <w:cols w:equalWidth="0" w:num="3">
            <w:col w:w="4580" w:space="540"/>
            <w:col w:w="1040" w:space="360"/>
            <w:col w:w="4720"/>
          </w:cols>
          <w:pgMar w:left="320" w:top="1343"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Results of Operations</w:t>
      </w: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i w:val="1"/>
          <w:iCs w:val="1"/>
          <w:color w:val="auto"/>
        </w:rPr>
        <w:t>The following is a discussion and analysis of changes in the financial condition and results of operations for fiscal year 2020 compared to fiscal year 2019. A discussion and analysis regarding our results of operations for fiscal year 2019 compared to fiscal year 2018 that are not included in this Annual Report on Form 10-K can be found in our final prospectus for our IPO filed with the SEC on July 16, 2020 pursuant to Rule 424(b) under the Securities Act (the “Prospectus”).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our results of operations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Successor</w:t>
            </w:r>
          </w:p>
        </w:tc>
        <w:tc>
          <w:tcPr>
            <w:tcW w:w="920" w:type="dxa"/>
            <w:vAlign w:val="bottom"/>
            <w:tcBorders>
              <w:bottom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Predecessor</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Twelve months ended Dec.</w:t>
            </w:r>
          </w:p>
        </w:tc>
        <w:tc>
          <w:tcPr>
            <w:tcW w:w="120" w:type="dxa"/>
            <w:vAlign w:val="bottom"/>
          </w:tcPr>
          <w:p>
            <w:pPr>
              <w:spacing w:after="0"/>
              <w:rPr>
                <w:sz w:val="12"/>
                <w:szCs w:val="12"/>
                <w:color w:val="auto"/>
              </w:rPr>
            </w:pPr>
          </w:p>
        </w:tc>
        <w:tc>
          <w:tcPr>
            <w:tcW w:w="2280" w:type="dxa"/>
            <w:vAlign w:val="bottom"/>
            <w:tcBorders>
              <w:right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rPr>
              <w:t>Period from Sep. 13, 2019</w:t>
            </w:r>
          </w:p>
        </w:tc>
        <w:tc>
          <w:tcPr>
            <w:tcW w:w="120" w:type="dxa"/>
            <w:vAlign w:val="bottom"/>
          </w:tcPr>
          <w:p>
            <w:pPr>
              <w:spacing w:after="0"/>
              <w:rPr>
                <w:sz w:val="12"/>
                <w:szCs w:val="12"/>
                <w:color w:val="auto"/>
              </w:rPr>
            </w:pPr>
          </w:p>
        </w:tc>
        <w:tc>
          <w:tcPr>
            <w:tcW w:w="226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Period from Jan. 1, 2019</w:t>
            </w:r>
          </w:p>
        </w:tc>
        <w:tc>
          <w:tcPr>
            <w:tcW w:w="120" w:type="dxa"/>
            <w:vAlign w:val="bottom"/>
          </w:tcPr>
          <w:p>
            <w:pPr>
              <w:spacing w:after="0"/>
              <w:rPr>
                <w:sz w:val="12"/>
                <w:szCs w:val="12"/>
                <w:color w:val="auto"/>
              </w:rPr>
            </w:pPr>
          </w:p>
        </w:tc>
        <w:tc>
          <w:tcPr>
            <w:tcW w:w="1940" w:type="dxa"/>
            <w:vAlign w:val="bottom"/>
            <w:gridSpan w:val="3"/>
          </w:tcPr>
          <w:p>
            <w:pPr>
              <w:jc w:val="right"/>
              <w:ind w:right="28"/>
              <w:spacing w:after="0" w:line="142" w:lineRule="exact"/>
              <w:rPr>
                <w:sz w:val="20"/>
                <w:szCs w:val="20"/>
                <w:color w:val="auto"/>
              </w:rPr>
            </w:pPr>
            <w:r>
              <w:rPr>
                <w:rFonts w:ascii="Arial" w:cs="Arial" w:eastAsia="Arial" w:hAnsi="Arial"/>
                <w:sz w:val="14"/>
                <w:szCs w:val="14"/>
                <w:b w:val="1"/>
                <w:bCs w:val="1"/>
                <w:color w:val="auto"/>
              </w:rPr>
              <w:t>Twelve months ended Dec.</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31, 2020</w:t>
            </w: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through Dec. 31, 2019</w:t>
            </w:r>
          </w:p>
        </w:tc>
        <w:tc>
          <w:tcPr>
            <w:tcW w:w="360" w:type="dxa"/>
            <w:vAlign w:val="bottom"/>
            <w:tcBorders>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through Sep. 12, 2019</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31, 2018</w:t>
            </w:r>
          </w:p>
        </w:tc>
        <w:tc>
          <w:tcPr>
            <w:tcW w:w="0" w:type="dxa"/>
            <w:vAlign w:val="bottom"/>
          </w:tcPr>
          <w:p>
            <w:pPr>
              <w:spacing w:after="0"/>
              <w:rPr>
                <w:sz w:val="1"/>
                <w:szCs w:val="1"/>
                <w:color w:val="auto"/>
              </w:rPr>
            </w:pPr>
          </w:p>
        </w:tc>
      </w:tr>
      <w:tr>
        <w:trPr>
          <w:trHeight w:val="142"/>
        </w:trPr>
        <w:tc>
          <w:tcPr>
            <w:tcW w:w="20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Dollars</w:t>
            </w:r>
          </w:p>
        </w:tc>
        <w:tc>
          <w:tcPr>
            <w:tcW w:w="12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 of Net</w:t>
            </w: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w:t>
            </w:r>
          </w:p>
        </w:tc>
        <w:tc>
          <w:tcPr>
            <w:tcW w:w="1280" w:type="dxa"/>
            <w:vAlign w:val="bottom"/>
            <w:tcBorders>
              <w:right w:val="single" w:sz="8" w:color="auto"/>
            </w:tcBorders>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9"/>
              </w:rPr>
              <w:t>% of Net</w:t>
            </w: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w:t>
            </w:r>
          </w:p>
        </w:tc>
        <w:tc>
          <w:tcPr>
            <w:tcW w:w="12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 of Net</w:t>
            </w: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Dollars</w:t>
            </w:r>
          </w:p>
        </w:tc>
        <w:tc>
          <w:tcPr>
            <w:tcW w:w="9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6"/>
        </w:trPr>
        <w:tc>
          <w:tcPr>
            <w:tcW w:w="2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8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69"/>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Net revenues:</w:t>
            </w: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right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40"/>
              <w:spacing w:after="0"/>
              <w:rPr>
                <w:sz w:val="20"/>
                <w:szCs w:val="20"/>
                <w:color w:val="auto"/>
              </w:rPr>
            </w:pPr>
            <w:r>
              <w:rPr>
                <w:rFonts w:ascii="Arial" w:cs="Arial" w:eastAsia="Arial" w:hAnsi="Arial"/>
                <w:sz w:val="14"/>
                <w:szCs w:val="14"/>
                <w:color w:val="auto"/>
              </w:rPr>
              <w:t>Commission</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671,140</w:t>
            </w: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76.5 %</w:t>
            </w:r>
          </w:p>
        </w:tc>
        <w:tc>
          <w:tcPr>
            <w:tcW w:w="3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243,347</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78.9 %</w:t>
            </w:r>
          </w:p>
        </w:tc>
        <w:tc>
          <w:tcPr>
            <w:tcW w:w="360" w:type="dxa"/>
            <w:vAlign w:val="bottom"/>
            <w:tcBorders>
              <w:right w:val="single" w:sz="8" w:color="auto"/>
            </w:tcBorders>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175,834</w:t>
            </w: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76.1 %</w:t>
            </w:r>
          </w:p>
        </w:tc>
        <w:tc>
          <w:tcPr>
            <w:tcW w:w="3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144,378</w:t>
            </w: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63.8 %</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Enterprise</w:t>
            </w: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206,210</w:t>
            </w:r>
          </w:p>
        </w:tc>
        <w:tc>
          <w:tcPr>
            <w:tcW w:w="34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23.5 %</w:t>
            </w:r>
          </w:p>
        </w:tc>
        <w:tc>
          <w:tcPr>
            <w:tcW w:w="3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65,144</w:t>
            </w:r>
          </w:p>
        </w:tc>
        <w:tc>
          <w:tcPr>
            <w:tcW w:w="34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21.1 %</w:t>
            </w:r>
          </w:p>
        </w:tc>
        <w:tc>
          <w:tcPr>
            <w:tcW w:w="360" w:type="dxa"/>
            <w:vAlign w:val="bottom"/>
            <w:tcBorders>
              <w:right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55,176</w:t>
            </w:r>
          </w:p>
        </w:tc>
        <w:tc>
          <w:tcPr>
            <w:tcW w:w="34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23.9 %</w:t>
            </w:r>
          </w:p>
        </w:tc>
        <w:tc>
          <w:tcPr>
            <w:tcW w:w="3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81,827</w:t>
            </w:r>
          </w:p>
        </w:tc>
        <w:tc>
          <w:tcPr>
            <w:tcW w:w="3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36.2 %</w:t>
            </w:r>
          </w:p>
        </w:tc>
        <w:tc>
          <w:tcPr>
            <w:tcW w:w="0" w:type="dxa"/>
            <w:vAlign w:val="bottom"/>
          </w:tcPr>
          <w:p>
            <w:pPr>
              <w:spacing w:after="0"/>
              <w:rPr>
                <w:sz w:val="1"/>
                <w:szCs w:val="1"/>
                <w:color w:val="auto"/>
              </w:rPr>
            </w:pPr>
          </w:p>
        </w:tc>
      </w:tr>
      <w:tr>
        <w:trPr>
          <w:trHeight w:val="182"/>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revenues</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877,350</w:t>
            </w:r>
          </w:p>
        </w:tc>
        <w:tc>
          <w:tcPr>
            <w:tcW w:w="3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308,491</w:t>
            </w:r>
          </w:p>
        </w:tc>
        <w:tc>
          <w:tcPr>
            <w:tcW w:w="3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360" w:type="dxa"/>
            <w:vAlign w:val="bottom"/>
            <w:tcBorders>
              <w:bottom w:val="single" w:sz="8" w:color="CCEEFF"/>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231,010</w:t>
            </w:r>
          </w:p>
        </w:tc>
        <w:tc>
          <w:tcPr>
            <w:tcW w:w="3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226,205</w:t>
            </w:r>
          </w:p>
        </w:tc>
        <w:tc>
          <w:tcPr>
            <w:tcW w:w="3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6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40"/>
              <w:spacing w:after="0"/>
              <w:rPr>
                <w:sz w:val="20"/>
                <w:szCs w:val="20"/>
                <w:color w:val="auto"/>
              </w:rPr>
            </w:pPr>
            <w:r>
              <w:rPr>
                <w:rFonts w:ascii="Arial" w:cs="Arial" w:eastAsia="Arial" w:hAnsi="Arial"/>
                <w:sz w:val="14"/>
                <w:szCs w:val="14"/>
                <w:color w:val="auto"/>
              </w:rPr>
              <w:t>Cost of revenue</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199,202</w:t>
            </w: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22.7 %</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90,384</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29.3 %</w:t>
            </w:r>
          </w:p>
        </w:tc>
        <w:tc>
          <w:tcPr>
            <w:tcW w:w="3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79,169</w:t>
            </w: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34.3 %</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79,582</w:t>
            </w: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35.2 %</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Marketing and advertising</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206,864</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23.6 %</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24,811</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36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37,769</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16.3 %</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28,129</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153"/>
        </w:trPr>
        <w:tc>
          <w:tcPr>
            <w:tcW w:w="2000" w:type="dxa"/>
            <w:vAlign w:val="bottom"/>
          </w:tcPr>
          <w:p>
            <w:pPr>
              <w:ind w:left="240"/>
              <w:spacing w:after="0" w:line="153" w:lineRule="exact"/>
              <w:rPr>
                <w:sz w:val="20"/>
                <w:szCs w:val="20"/>
                <w:color w:val="auto"/>
              </w:rPr>
            </w:pPr>
            <w:r>
              <w:rPr>
                <w:rFonts w:ascii="Arial" w:cs="Arial" w:eastAsia="Arial" w:hAnsi="Arial"/>
                <w:sz w:val="14"/>
                <w:szCs w:val="14"/>
                <w:color w:val="auto"/>
              </w:rPr>
              <w:t>Customer care and</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165,497</w:t>
            </w:r>
          </w:p>
        </w:tc>
        <w:tc>
          <w:tcPr>
            <w:tcW w:w="3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18.9 %</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44,356</w:t>
            </w:r>
          </w:p>
        </w:tc>
        <w:tc>
          <w:tcPr>
            <w:tcW w:w="3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14.4 %</w:t>
            </w:r>
          </w:p>
        </w:tc>
        <w:tc>
          <w:tcPr>
            <w:tcW w:w="3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49,149</w:t>
            </w:r>
          </w:p>
        </w:tc>
        <w:tc>
          <w:tcPr>
            <w:tcW w:w="3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21.3 %</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46,076</w:t>
            </w:r>
          </w:p>
        </w:tc>
        <w:tc>
          <w:tcPr>
            <w:tcW w:w="3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20.4 %</w:t>
            </w:r>
          </w:p>
        </w:tc>
        <w:tc>
          <w:tcPr>
            <w:tcW w:w="0" w:type="dxa"/>
            <w:vAlign w:val="bottom"/>
          </w:tcPr>
          <w:p>
            <w:pPr>
              <w:spacing w:after="0"/>
              <w:rPr>
                <w:sz w:val="1"/>
                <w:szCs w:val="1"/>
                <w:color w:val="auto"/>
              </w:rPr>
            </w:pPr>
          </w:p>
        </w:tc>
      </w:tr>
      <w:tr>
        <w:trPr>
          <w:trHeight w:val="171"/>
        </w:trPr>
        <w:tc>
          <w:tcPr>
            <w:tcW w:w="2000" w:type="dxa"/>
            <w:vAlign w:val="bottom"/>
          </w:tcPr>
          <w:p>
            <w:pPr>
              <w:ind w:left="240"/>
              <w:spacing w:after="0"/>
              <w:rPr>
                <w:sz w:val="20"/>
                <w:szCs w:val="20"/>
                <w:color w:val="auto"/>
              </w:rPr>
            </w:pPr>
            <w:r>
              <w:rPr>
                <w:rFonts w:ascii="Arial" w:cs="Arial" w:eastAsia="Arial" w:hAnsi="Arial"/>
                <w:sz w:val="14"/>
                <w:szCs w:val="14"/>
                <w:color w:val="auto"/>
              </w:rPr>
              <w:t>enrollment</w:t>
            </w: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59,348</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6,006</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36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40,312</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16,197</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0" w:type="dxa"/>
            <w:vAlign w:val="bottom"/>
          </w:tcPr>
          <w:p>
            <w:pPr>
              <w:spacing w:after="0"/>
              <w:rPr>
                <w:sz w:val="1"/>
                <w:szCs w:val="1"/>
                <w:color w:val="auto"/>
              </w:rPr>
            </w:pPr>
          </w:p>
        </w:tc>
      </w:tr>
      <w:tr>
        <w:trPr>
          <w:trHeight w:val="153"/>
        </w:trPr>
        <w:tc>
          <w:tcPr>
            <w:tcW w:w="2000" w:type="dxa"/>
            <w:vAlign w:val="bottom"/>
          </w:tcPr>
          <w:p>
            <w:pPr>
              <w:ind w:left="240"/>
              <w:spacing w:after="0" w:line="153" w:lineRule="exact"/>
              <w:rPr>
                <w:sz w:val="20"/>
                <w:szCs w:val="20"/>
                <w:color w:val="auto"/>
              </w:rPr>
            </w:pPr>
            <w:r>
              <w:rPr>
                <w:rFonts w:ascii="Arial" w:cs="Arial" w:eastAsia="Arial" w:hAnsi="Arial"/>
                <w:sz w:val="14"/>
                <w:szCs w:val="14"/>
                <w:color w:val="auto"/>
              </w:rPr>
              <w:t>General and</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197,229</w:t>
            </w:r>
          </w:p>
        </w:tc>
        <w:tc>
          <w:tcPr>
            <w:tcW w:w="3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22.5 %</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13,674</w:t>
            </w:r>
          </w:p>
        </w:tc>
        <w:tc>
          <w:tcPr>
            <w:tcW w:w="3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4.4 %</w:t>
            </w:r>
          </w:p>
        </w:tc>
        <w:tc>
          <w:tcPr>
            <w:tcW w:w="3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79,219</w:t>
            </w:r>
          </w:p>
        </w:tc>
        <w:tc>
          <w:tcPr>
            <w:tcW w:w="3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34.3 %</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27,458</w:t>
            </w:r>
          </w:p>
        </w:tc>
        <w:tc>
          <w:tcPr>
            <w:tcW w:w="3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12.1 %</w:t>
            </w:r>
          </w:p>
        </w:tc>
        <w:tc>
          <w:tcPr>
            <w:tcW w:w="0" w:type="dxa"/>
            <w:vAlign w:val="bottom"/>
          </w:tcPr>
          <w:p>
            <w:pPr>
              <w:spacing w:after="0"/>
              <w:rPr>
                <w:sz w:val="1"/>
                <w:szCs w:val="1"/>
                <w:color w:val="auto"/>
              </w:rPr>
            </w:pPr>
          </w:p>
        </w:tc>
      </w:tr>
      <w:tr>
        <w:trPr>
          <w:trHeight w:val="171"/>
        </w:trPr>
        <w:tc>
          <w:tcPr>
            <w:tcW w:w="2000" w:type="dxa"/>
            <w:vAlign w:val="bottom"/>
          </w:tcPr>
          <w:p>
            <w:pPr>
              <w:ind w:left="240"/>
              <w:spacing w:after="0"/>
              <w:rPr>
                <w:sz w:val="20"/>
                <w:szCs w:val="20"/>
                <w:color w:val="auto"/>
              </w:rPr>
            </w:pPr>
            <w:r>
              <w:rPr>
                <w:rFonts w:ascii="Arial" w:cs="Arial" w:eastAsia="Arial" w:hAnsi="Arial"/>
                <w:sz w:val="14"/>
                <w:szCs w:val="14"/>
                <w:color w:val="auto"/>
              </w:rPr>
              <w:t>administrative</w:t>
            </w: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0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Change in fair value of</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6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contingent consideration</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19,700</w:t>
            </w:r>
          </w:p>
        </w:tc>
        <w:tc>
          <w:tcPr>
            <w:tcW w:w="3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70,700</w:t>
            </w:r>
          </w:p>
        </w:tc>
        <w:tc>
          <w:tcPr>
            <w:tcW w:w="3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22.9 %</w:t>
            </w:r>
          </w:p>
        </w:tc>
        <w:tc>
          <w:tcPr>
            <w:tcW w:w="36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liability</w:t>
            </w: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36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00" w:type="dxa"/>
            <w:vAlign w:val="bottom"/>
          </w:tcPr>
          <w:p>
            <w:pPr>
              <w:ind w:left="240"/>
              <w:spacing w:after="0" w:line="153" w:lineRule="exact"/>
              <w:rPr>
                <w:sz w:val="20"/>
                <w:szCs w:val="20"/>
                <w:color w:val="auto"/>
              </w:rPr>
            </w:pPr>
            <w:r>
              <w:rPr>
                <w:rFonts w:ascii="Arial" w:cs="Arial" w:eastAsia="Arial" w:hAnsi="Arial"/>
                <w:sz w:val="14"/>
                <w:szCs w:val="14"/>
                <w:color w:val="auto"/>
              </w:rPr>
              <w:t>Amortization of intangible</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94,056</w:t>
            </w:r>
          </w:p>
        </w:tc>
        <w:tc>
          <w:tcPr>
            <w:tcW w:w="3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10.7 %</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28,217</w:t>
            </w:r>
          </w:p>
        </w:tc>
        <w:tc>
          <w:tcPr>
            <w:tcW w:w="3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9.1 %</w:t>
            </w:r>
          </w:p>
        </w:tc>
        <w:tc>
          <w:tcPr>
            <w:tcW w:w="3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1"/>
        </w:trPr>
        <w:tc>
          <w:tcPr>
            <w:tcW w:w="2000" w:type="dxa"/>
            <w:vAlign w:val="bottom"/>
          </w:tcPr>
          <w:p>
            <w:pPr>
              <w:ind w:left="24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0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Acquisition related</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6,245</w:t>
            </w:r>
          </w:p>
        </w:tc>
        <w:tc>
          <w:tcPr>
            <w:tcW w:w="3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36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2,267</w:t>
            </w:r>
          </w:p>
        </w:tc>
        <w:tc>
          <w:tcPr>
            <w:tcW w:w="3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transaction costs</w:t>
            </w: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36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941,896</w:t>
            </w:r>
          </w:p>
        </w:tc>
        <w:tc>
          <w:tcPr>
            <w:tcW w:w="34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107.4 %</w:t>
            </w:r>
          </w:p>
        </w:tc>
        <w:tc>
          <w:tcPr>
            <w:tcW w:w="3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284,393</w:t>
            </w:r>
          </w:p>
        </w:tc>
        <w:tc>
          <w:tcPr>
            <w:tcW w:w="34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92.2 %</w:t>
            </w:r>
          </w:p>
        </w:tc>
        <w:tc>
          <w:tcPr>
            <w:tcW w:w="360" w:type="dxa"/>
            <w:vAlign w:val="bottom"/>
            <w:tcBorders>
              <w:bottom w:val="single" w:sz="8" w:color="CCEEFF"/>
              <w:right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287,885</w:t>
            </w:r>
          </w:p>
        </w:tc>
        <w:tc>
          <w:tcPr>
            <w:tcW w:w="34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124.6 %</w:t>
            </w:r>
          </w:p>
        </w:tc>
        <w:tc>
          <w:tcPr>
            <w:tcW w:w="3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197,442</w:t>
            </w:r>
          </w:p>
        </w:tc>
        <w:tc>
          <w:tcPr>
            <w:tcW w:w="32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87.3 %</w:t>
            </w:r>
          </w:p>
        </w:tc>
        <w:tc>
          <w:tcPr>
            <w:tcW w:w="0" w:type="dxa"/>
            <w:vAlign w:val="bottom"/>
          </w:tcPr>
          <w:p>
            <w:pPr>
              <w:spacing w:after="0"/>
              <w:rPr>
                <w:sz w:val="1"/>
                <w:szCs w:val="1"/>
                <w:color w:val="auto"/>
              </w:rPr>
            </w:pPr>
          </w:p>
        </w:tc>
      </w:tr>
      <w:tr>
        <w:trPr>
          <w:trHeight w:val="133"/>
        </w:trPr>
        <w:tc>
          <w:tcPr>
            <w:tcW w:w="20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Income (loss) from</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(64,546)</w:t>
            </w:r>
          </w:p>
        </w:tc>
        <w:tc>
          <w:tcPr>
            <w:tcW w:w="3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24,098</w:t>
            </w:r>
          </w:p>
        </w:tc>
        <w:tc>
          <w:tcPr>
            <w:tcW w:w="3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7.8 %</w:t>
            </w:r>
          </w:p>
        </w:tc>
        <w:tc>
          <w:tcPr>
            <w:tcW w:w="36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(56,875)</w:t>
            </w:r>
          </w:p>
        </w:tc>
        <w:tc>
          <w:tcPr>
            <w:tcW w:w="3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28,763</w:t>
            </w:r>
          </w:p>
        </w:tc>
        <w:tc>
          <w:tcPr>
            <w:tcW w:w="3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12.7 %</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operations</w:t>
            </w: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36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32,969</w:t>
            </w: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3.8 %</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8,076</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2.6 %</w:t>
            </w:r>
          </w:p>
        </w:tc>
        <w:tc>
          <w:tcPr>
            <w:tcW w:w="3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140</w:t>
            </w: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0.1 %</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224</w:t>
            </w: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34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379</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133"/>
        </w:trPr>
        <w:tc>
          <w:tcPr>
            <w:tcW w:w="2000" w:type="dxa"/>
            <w:vAlign w:val="bottom"/>
          </w:tcPr>
          <w:p>
            <w:pPr>
              <w:ind w:left="20"/>
              <w:spacing w:after="0" w:line="133" w:lineRule="exact"/>
              <w:rPr>
                <w:sz w:val="20"/>
                <w:szCs w:val="20"/>
                <w:color w:val="auto"/>
              </w:rPr>
            </w:pPr>
            <w:r>
              <w:rPr>
                <w:rFonts w:ascii="Arial" w:cs="Arial" w:eastAsia="Arial" w:hAnsi="Arial"/>
                <w:sz w:val="14"/>
                <w:szCs w:val="14"/>
                <w:color w:val="auto"/>
              </w:rPr>
              <w:t>Income (loss) before income</w:t>
            </w: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(97,157)</w:t>
            </w:r>
          </w:p>
        </w:tc>
        <w:tc>
          <w:tcPr>
            <w:tcW w:w="340" w:type="dxa"/>
            <w:vAlign w:val="bottom"/>
          </w:tcPr>
          <w:p>
            <w:pPr>
              <w:spacing w:after="0"/>
              <w:rPr>
                <w:sz w:val="11"/>
                <w:szCs w:val="1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(11.1)%</w:t>
            </w: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16,039</w:t>
            </w:r>
          </w:p>
        </w:tc>
        <w:tc>
          <w:tcPr>
            <w:tcW w:w="340" w:type="dxa"/>
            <w:vAlign w:val="bottom"/>
          </w:tcPr>
          <w:p>
            <w:pPr>
              <w:spacing w:after="0"/>
              <w:rPr>
                <w:sz w:val="11"/>
                <w:szCs w:val="11"/>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5.2 %</w:t>
            </w:r>
          </w:p>
        </w:tc>
        <w:tc>
          <w:tcPr>
            <w:tcW w:w="360" w:type="dxa"/>
            <w:vAlign w:val="bottom"/>
            <w:tcBorders>
              <w:right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(57,129)</w:t>
            </w:r>
          </w:p>
        </w:tc>
        <w:tc>
          <w:tcPr>
            <w:tcW w:w="340" w:type="dxa"/>
            <w:vAlign w:val="bottom"/>
          </w:tcPr>
          <w:p>
            <w:pPr>
              <w:spacing w:after="0"/>
              <w:rPr>
                <w:sz w:val="11"/>
                <w:szCs w:val="1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(24.7)%</w:t>
            </w:r>
          </w:p>
        </w:tc>
        <w:tc>
          <w:tcPr>
            <w:tcW w:w="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28,160</w:t>
            </w:r>
          </w:p>
        </w:tc>
        <w:tc>
          <w:tcPr>
            <w:tcW w:w="320" w:type="dxa"/>
            <w:vAlign w:val="bottom"/>
          </w:tcPr>
          <w:p>
            <w:pPr>
              <w:spacing w:after="0"/>
              <w:rPr>
                <w:sz w:val="11"/>
                <w:szCs w:val="1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taxes</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340" w:type="dxa"/>
            <w:vAlign w:val="bottom"/>
            <w:shd w:val="clear" w:color="auto" w:fill="CCEEFF"/>
          </w:tcPr>
          <w:p>
            <w:pPr>
              <w:spacing w:after="0"/>
              <w:rPr>
                <w:sz w:val="15"/>
                <w:szCs w:val="15"/>
                <w:color w:val="auto"/>
              </w:rPr>
            </w:pPr>
          </w:p>
        </w:tc>
        <w:tc>
          <w:tcPr>
            <w:tcW w:w="12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(97,200)</w:t>
            </w:r>
          </w:p>
        </w:tc>
        <w:tc>
          <w:tcPr>
            <w:tcW w:w="34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3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15,995</w:t>
            </w:r>
          </w:p>
        </w:tc>
        <w:tc>
          <w:tcPr>
            <w:tcW w:w="34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5.2 %</w:t>
            </w:r>
          </w:p>
        </w:tc>
        <w:tc>
          <w:tcPr>
            <w:tcW w:w="360" w:type="dxa"/>
            <w:vAlign w:val="bottom"/>
            <w:tcBorders>
              <w:bottom w:val="single" w:sz="8" w:color="CCEEFF"/>
              <w:right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(57,063)</w:t>
            </w:r>
          </w:p>
        </w:tc>
        <w:tc>
          <w:tcPr>
            <w:tcW w:w="34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3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28,114</w:t>
            </w:r>
          </w:p>
        </w:tc>
        <w:tc>
          <w:tcPr>
            <w:tcW w:w="32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133"/>
        </w:trPr>
        <w:tc>
          <w:tcPr>
            <w:tcW w:w="20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attributable to non-controlling</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(52,933)</w:t>
            </w:r>
          </w:p>
        </w:tc>
        <w:tc>
          <w:tcPr>
            <w:tcW w:w="3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gridSpan w:val="2"/>
            <w:vMerge w:val="restart"/>
            <w:shd w:val="clear" w:color="auto" w:fill="CCEEFF"/>
          </w:tcPr>
          <w:p>
            <w:pPr>
              <w:jc w:val="right"/>
              <w:ind w:right="38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80" w:type="dxa"/>
            <w:vAlign w:val="bottom"/>
            <w:tcBorders>
              <w:right w:val="single" w:sz="8" w:color="auto"/>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(loss)</w:t>
            </w: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attributable to GoHealth,</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(44,267)</w:t>
            </w:r>
          </w:p>
        </w:tc>
        <w:tc>
          <w:tcPr>
            <w:tcW w:w="3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(5.0)%</w:t>
            </w:r>
          </w:p>
        </w:tc>
        <w:tc>
          <w:tcPr>
            <w:tcW w:w="34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15,995</w:t>
            </w:r>
          </w:p>
        </w:tc>
        <w:tc>
          <w:tcPr>
            <w:tcW w:w="3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5.2 %</w:t>
            </w:r>
          </w:p>
        </w:tc>
        <w:tc>
          <w:tcPr>
            <w:tcW w:w="360" w:type="dxa"/>
            <w:vAlign w:val="bottom"/>
            <w:tcBorders>
              <w:right w:val="single" w:sz="8" w:color="auto"/>
            </w:tcBorders>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(57,063)</w:t>
            </w:r>
          </w:p>
        </w:tc>
        <w:tc>
          <w:tcPr>
            <w:tcW w:w="3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(24.7)%</w:t>
            </w:r>
          </w:p>
        </w:tc>
        <w:tc>
          <w:tcPr>
            <w:tcW w:w="3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28,117</w:t>
            </w:r>
          </w:p>
        </w:tc>
        <w:tc>
          <w:tcPr>
            <w:tcW w:w="3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12.4 %</w:t>
            </w:r>
          </w:p>
        </w:tc>
        <w:tc>
          <w:tcPr>
            <w:tcW w:w="0" w:type="dxa"/>
            <w:vAlign w:val="bottom"/>
          </w:tcPr>
          <w:p>
            <w:pPr>
              <w:spacing w:after="0"/>
              <w:rPr>
                <w:sz w:val="1"/>
                <w:szCs w:val="1"/>
                <w:color w:val="auto"/>
              </w:rPr>
            </w:pPr>
          </w:p>
        </w:tc>
      </w:tr>
      <w:tr>
        <w:trPr>
          <w:trHeight w:val="154"/>
        </w:trPr>
        <w:tc>
          <w:tcPr>
            <w:tcW w:w="20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Inc.</w:t>
            </w:r>
          </w:p>
        </w:tc>
        <w:tc>
          <w:tcPr>
            <w:tcW w:w="10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2057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Non-GAAP financial</w:t>
      </w:r>
    </w:p>
    <w:p>
      <w:pPr>
        <w:ind w:left="20"/>
        <w:spacing w:after="0"/>
        <w:rPr>
          <w:sz w:val="20"/>
          <w:szCs w:val="20"/>
          <w:color w:val="auto"/>
        </w:rPr>
      </w:pPr>
      <w:r>
        <w:rPr>
          <w:rFonts w:ascii="Arial" w:cs="Arial" w:eastAsia="Arial" w:hAnsi="Arial"/>
          <w:sz w:val="14"/>
          <w:szCs w:val="14"/>
          <w:i w:val="1"/>
          <w:iCs w:val="1"/>
          <w:color w:val="auto"/>
        </w:rPr>
        <w:t>measures: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EBITDA</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08"/>
              <w:spacing w:after="0"/>
              <w:rPr>
                <w:sz w:val="20"/>
                <w:szCs w:val="20"/>
                <w:color w:val="auto"/>
              </w:rPr>
            </w:pPr>
            <w:r>
              <w:rPr>
                <w:rFonts w:ascii="Arial" w:cs="Arial" w:eastAsia="Arial" w:hAnsi="Arial"/>
                <w:sz w:val="14"/>
                <w:szCs w:val="14"/>
                <w:color w:val="auto"/>
              </w:rPr>
              <w:t>34,364</w:t>
            </w: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988"/>
              <w:spacing w:after="0"/>
              <w:rPr>
                <w:sz w:val="20"/>
                <w:szCs w:val="20"/>
                <w:color w:val="auto"/>
              </w:rPr>
            </w:pPr>
            <w:r>
              <w:rPr>
                <w:rFonts w:ascii="Arial" w:cs="Arial" w:eastAsia="Arial" w:hAnsi="Arial"/>
                <w:sz w:val="14"/>
                <w:szCs w:val="14"/>
                <w:color w:val="auto"/>
              </w:rPr>
              <w:t>52,853</w:t>
            </w:r>
          </w:p>
        </w:tc>
      </w:tr>
      <w:tr>
        <w:trPr>
          <w:trHeight w:val="189"/>
        </w:trPr>
        <w:tc>
          <w:tcPr>
            <w:tcW w:w="1800" w:type="dxa"/>
            <w:vAlign w:val="bottom"/>
          </w:tcPr>
          <w:p>
            <w:pPr>
              <w:spacing w:after="0"/>
              <w:rPr>
                <w:sz w:val="20"/>
                <w:szCs w:val="20"/>
                <w:color w:val="auto"/>
              </w:rPr>
            </w:pPr>
            <w:r>
              <w:rPr>
                <w:rFonts w:ascii="Arial" w:cs="Arial" w:eastAsia="Arial" w:hAnsi="Arial"/>
                <w:sz w:val="14"/>
                <w:szCs w:val="14"/>
                <w:color w:val="auto"/>
              </w:rPr>
              <w:t>Adjusted EBITDA</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08"/>
              <w:spacing w:after="0"/>
              <w:rPr>
                <w:sz w:val="20"/>
                <w:szCs w:val="20"/>
                <w:color w:val="auto"/>
              </w:rPr>
            </w:pPr>
            <w:r>
              <w:rPr>
                <w:rFonts w:ascii="Arial" w:cs="Arial" w:eastAsia="Arial" w:hAnsi="Arial"/>
                <w:sz w:val="14"/>
                <w:szCs w:val="14"/>
                <w:color w:val="auto"/>
              </w:rPr>
              <w:t>271,029</w:t>
            </w: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988"/>
              <w:spacing w:after="0"/>
              <w:rPr>
                <w:sz w:val="20"/>
                <w:szCs w:val="20"/>
                <w:color w:val="auto"/>
              </w:rPr>
            </w:pPr>
            <w:r>
              <w:rPr>
                <w:rFonts w:ascii="Arial" w:cs="Arial" w:eastAsia="Arial" w:hAnsi="Arial"/>
                <w:sz w:val="14"/>
                <w:szCs w:val="14"/>
                <w:color w:val="auto"/>
              </w:rPr>
              <w:t>130,465</w:t>
            </w:r>
          </w:p>
        </w:tc>
      </w:tr>
      <w:tr>
        <w:trPr>
          <w:trHeight w:val="310"/>
        </w:trPr>
        <w:tc>
          <w:tcPr>
            <w:tcW w:w="1800" w:type="dxa"/>
            <w:vAlign w:val="bottom"/>
          </w:tcPr>
          <w:p>
            <w:pPr>
              <w:spacing w:after="0"/>
              <w:rPr>
                <w:sz w:val="20"/>
                <w:szCs w:val="20"/>
                <w:color w:val="auto"/>
              </w:rPr>
            </w:pPr>
            <w:r>
              <w:rPr>
                <w:rFonts w:ascii="Arial" w:cs="Arial" w:eastAsia="Arial" w:hAnsi="Arial"/>
                <w:sz w:val="14"/>
                <w:szCs w:val="14"/>
                <w:color w:val="auto"/>
              </w:rPr>
              <w:t>Adjusted EBITDA margin</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jc w:val="right"/>
              <w:ind w:right="328"/>
              <w:spacing w:after="0"/>
              <w:rPr>
                <w:sz w:val="20"/>
                <w:szCs w:val="20"/>
                <w:color w:val="auto"/>
              </w:rPr>
            </w:pPr>
            <w:r>
              <w:rPr>
                <w:rFonts w:ascii="Arial" w:cs="Arial" w:eastAsia="Arial" w:hAnsi="Arial"/>
                <w:sz w:val="14"/>
                <w:szCs w:val="14"/>
                <w:color w:val="auto"/>
              </w:rPr>
              <w:t>30.9 %</w:t>
            </w:r>
          </w:p>
        </w:tc>
        <w:tc>
          <w:tcPr>
            <w:tcW w:w="1640" w:type="dxa"/>
            <w:vAlign w:val="bottom"/>
          </w:tcPr>
          <w:p>
            <w:pPr>
              <w:jc w:val="right"/>
              <w:spacing w:after="0"/>
              <w:rPr>
                <w:sz w:val="20"/>
                <w:szCs w:val="20"/>
                <w:color w:val="auto"/>
              </w:rPr>
            </w:pPr>
            <w:r>
              <w:rPr>
                <w:rFonts w:ascii="Arial" w:cs="Arial" w:eastAsia="Arial" w:hAnsi="Arial"/>
                <w:sz w:val="14"/>
                <w:szCs w:val="14"/>
                <w:color w:val="auto"/>
              </w:rPr>
              <w:t>42.3 %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200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501"/>
        </w:trPr>
        <w:tc>
          <w:tcPr>
            <w:tcW w:w="1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(52,742)</w:t>
            </w:r>
          </w:p>
        </w:tc>
        <w:tc>
          <w:tcPr>
            <w:tcW w:w="3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34,544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tcBorders>
              <w:lef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39,973</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34,863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1900" w:type="dxa"/>
            <w:vAlign w:val="bottom"/>
            <w:gridSpan w:val="4"/>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15.4 %</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4"/>
                <w:szCs w:val="14"/>
                <w:color w:val="auto"/>
              </w:rPr>
              <w:t>17.3 %</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ectPr>
          <w:pgSz w:w="11900" w:h="16838" w:orient="portrait"/>
          <w:cols w:equalWidth="0" w:num="2">
            <w:col w:w="6180" w:space="600"/>
            <w:col w:w="4460"/>
          </w:cols>
          <w:pgMar w:left="320" w:top="1323" w:right="3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EBITDA, Adjusted EBITDA and Adjusted EBITDA Margin</w:t>
      </w:r>
    </w:p>
    <w:p>
      <w:pPr>
        <w:spacing w:after="0" w:line="23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 tax expense (benefit) and depreciation and amortization expense, or EBITDA; Adjusted EBITDA and Adjusted EBITDA margin. Adjusted EBITDA is the primary financial performance measure used by management to evaluate its business and monitor its results of operations.</w:t>
      </w:r>
    </w:p>
    <w:p>
      <w:pPr>
        <w:spacing w:after="0" w:line="202"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Adjusted EBITDA represents EBITDA as further adjusted for share-based compensation, expense related to the accelerated vesting of certain equity awards, change in fair value of contingent consideration liability, Centerbridge Acquisition costs, severance costs and one time indirect costs in connection with the IPO. Adjusted EBITDA margin represents Adjusted EBITDA divided by net revenues.</w:t>
      </w:r>
    </w:p>
    <w:p>
      <w:pPr>
        <w:spacing w:after="0" w:line="201"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307340</wp:posOffset>
            </wp:positionV>
            <wp:extent cx="8255" cy="1200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307340</wp:posOffset>
            </wp:positionV>
            <wp:extent cx="8890" cy="1200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126365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56</w:t>
      </w:r>
    </w:p>
    <w:p>
      <w:pPr>
        <w:sectPr>
          <w:pgSz w:w="11900" w:h="16838" w:orient="portrait"/>
          <w:cols w:equalWidth="0" w:num="3">
            <w:col w:w="4580" w:space="540"/>
            <w:col w:w="1040" w:space="360"/>
            <w:col w:w="4720"/>
          </w:cols>
          <w:pgMar w:left="320" w:top="1323" w:right="339" w:bottom="1440" w:gutter="0" w:footer="0" w:header="0"/>
          <w:type w:val="continuous"/>
        </w:sectPr>
      </w:pPr>
    </w:p>
    <w:bookmarkStart w:id="59" w:name="page60"/>
    <w:bookmarkEnd w:id="59"/>
    <w:p>
      <w:pPr>
        <w:ind w:right="60"/>
        <w:spacing w:after="0" w:line="250" w:lineRule="auto"/>
        <w:rPr>
          <w:sz w:val="20"/>
          <w:szCs w:val="20"/>
          <w:color w:val="auto"/>
        </w:rPr>
      </w:pPr>
      <w:r>
        <w:rPr>
          <w:rFonts w:ascii="Arial" w:cs="Arial" w:eastAsia="Arial" w:hAnsi="Arial"/>
          <w:sz w:val="16"/>
          <w:szCs w:val="16"/>
          <w:color w:val="auto"/>
        </w:rPr>
        <w:t>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Annual Report on Form 10-K.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0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Annual Report on Form 10-K.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reconciliations of GAAP net income (loss) to EBITDA and Adjusted EBITDA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13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Twelve months</w:t>
            </w:r>
          </w:p>
        </w:tc>
        <w:tc>
          <w:tcPr>
            <w:tcW w:w="1300" w:type="dxa"/>
            <w:vAlign w:val="bottom"/>
            <w:tcBorders>
              <w:right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Period from Sep.</w:t>
            </w:r>
          </w:p>
        </w:tc>
        <w:tc>
          <w:tcPr>
            <w:tcW w:w="13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Period from Jan.</w:t>
            </w:r>
          </w:p>
        </w:tc>
        <w:tc>
          <w:tcPr>
            <w:tcW w:w="12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Twelve months</w:t>
            </w:r>
          </w:p>
        </w:tc>
        <w:tc>
          <w:tcPr>
            <w:tcW w:w="0" w:type="dxa"/>
            <w:vAlign w:val="bottom"/>
          </w:tcPr>
          <w:p>
            <w:pPr>
              <w:spacing w:after="0"/>
              <w:rPr>
                <w:sz w:val="1"/>
                <w:szCs w:val="1"/>
                <w:color w:val="auto"/>
              </w:rPr>
            </w:pPr>
          </w:p>
        </w:tc>
      </w:tr>
      <w:tr>
        <w:trPr>
          <w:trHeight w:val="135"/>
        </w:trPr>
        <w:tc>
          <w:tcPr>
            <w:tcW w:w="61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ended Dec. 31,</w:t>
            </w:r>
          </w:p>
        </w:tc>
        <w:tc>
          <w:tcPr>
            <w:tcW w:w="1300" w:type="dxa"/>
            <w:vAlign w:val="bottom"/>
            <w:tcBorders>
              <w:right w:val="single" w:sz="8" w:color="auto"/>
            </w:tcBorders>
            <w:gridSpan w:val="3"/>
          </w:tcPr>
          <w:p>
            <w:pPr>
              <w:ind w:left="20"/>
              <w:spacing w:after="0" w:line="135" w:lineRule="exact"/>
              <w:rPr>
                <w:sz w:val="20"/>
                <w:szCs w:val="20"/>
                <w:color w:val="auto"/>
              </w:rPr>
            </w:pPr>
            <w:r>
              <w:rPr>
                <w:rFonts w:ascii="Arial" w:cs="Arial" w:eastAsia="Arial" w:hAnsi="Arial"/>
                <w:sz w:val="14"/>
                <w:szCs w:val="14"/>
                <w:b w:val="1"/>
                <w:bCs w:val="1"/>
                <w:color w:val="auto"/>
              </w:rPr>
              <w:t>13, 2019 through</w:t>
            </w:r>
          </w:p>
        </w:tc>
        <w:tc>
          <w:tcPr>
            <w:tcW w:w="13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1, 2019 through</w:t>
            </w:r>
          </w:p>
        </w:tc>
        <w:tc>
          <w:tcPr>
            <w:tcW w:w="100" w:type="dxa"/>
            <w:vAlign w:val="bottom"/>
          </w:tcPr>
          <w:p>
            <w:pPr>
              <w:spacing w:after="0"/>
              <w:rPr>
                <w:sz w:val="11"/>
                <w:szCs w:val="11"/>
                <w:color w:val="auto"/>
              </w:rPr>
            </w:pPr>
          </w:p>
        </w:tc>
        <w:tc>
          <w:tcPr>
            <w:tcW w:w="11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ended Dec. 31,</w:t>
            </w:r>
          </w:p>
        </w:tc>
        <w:tc>
          <w:tcPr>
            <w:tcW w:w="0" w:type="dxa"/>
            <w:vAlign w:val="bottom"/>
          </w:tcPr>
          <w:p>
            <w:pPr>
              <w:spacing w:after="0"/>
              <w:rPr>
                <w:sz w:val="1"/>
                <w:szCs w:val="1"/>
                <w:color w:val="auto"/>
              </w:rPr>
            </w:pPr>
          </w:p>
        </w:tc>
      </w:tr>
      <w:tr>
        <w:trPr>
          <w:trHeight w:val="176"/>
        </w:trPr>
        <w:tc>
          <w:tcPr>
            <w:tcW w:w="6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 31, 2019</w:t>
            </w:r>
          </w:p>
        </w:tc>
        <w:tc>
          <w:tcPr>
            <w:tcW w:w="12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Sep. 12, 2019</w:t>
            </w:r>
          </w:p>
        </w:tc>
        <w:tc>
          <w:tcPr>
            <w:tcW w:w="100" w:type="dxa"/>
            <w:vAlign w:val="bottom"/>
          </w:tcPr>
          <w:p>
            <w:pPr>
              <w:spacing w:after="0"/>
              <w:rPr>
                <w:sz w:val="15"/>
                <w:szCs w:val="15"/>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2"/>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877,350</w:t>
            </w: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308,491</w:t>
            </w:r>
          </w:p>
        </w:tc>
        <w:tc>
          <w:tcPr>
            <w:tcW w:w="1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231,010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226,205</w:t>
            </w:r>
          </w:p>
        </w:tc>
        <w:tc>
          <w:tcPr>
            <w:tcW w:w="0" w:type="dxa"/>
            <w:vAlign w:val="bottom"/>
          </w:tcPr>
          <w:p>
            <w:pPr>
              <w:spacing w:after="0"/>
              <w:rPr>
                <w:sz w:val="1"/>
                <w:szCs w:val="1"/>
                <w:color w:val="auto"/>
              </w:rPr>
            </w:pPr>
          </w:p>
        </w:tc>
      </w:tr>
      <w:tr>
        <w:trPr>
          <w:trHeight w:val="183"/>
        </w:trPr>
        <w:tc>
          <w:tcPr>
            <w:tcW w:w="61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(97,200)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15,995</w:t>
            </w:r>
          </w:p>
        </w:tc>
        <w:tc>
          <w:tcPr>
            <w:tcW w:w="1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(57,063)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28,114</w:t>
            </w:r>
          </w:p>
        </w:tc>
        <w:tc>
          <w:tcPr>
            <w:tcW w:w="0" w:type="dxa"/>
            <w:vAlign w:val="bottom"/>
          </w:tcPr>
          <w:p>
            <w:pPr>
              <w:spacing w:after="0"/>
              <w:rPr>
                <w:sz w:val="1"/>
                <w:szCs w:val="1"/>
                <w:color w:val="auto"/>
              </w:rPr>
            </w:pPr>
          </w:p>
        </w:tc>
      </w:tr>
      <w:tr>
        <w:trPr>
          <w:trHeight w:val="189"/>
        </w:trPr>
        <w:tc>
          <w:tcPr>
            <w:tcW w:w="61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32,969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8,076</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89"/>
        </w:trPr>
        <w:tc>
          <w:tcPr>
            <w:tcW w:w="6140" w:type="dxa"/>
            <w:vAlign w:val="bottom"/>
          </w:tcPr>
          <w:p>
            <w:pPr>
              <w:ind w:left="240"/>
              <w:spacing w:after="0"/>
              <w:rPr>
                <w:sz w:val="20"/>
                <w:szCs w:val="20"/>
                <w:color w:val="auto"/>
              </w:rPr>
            </w:pPr>
            <w:r>
              <w:rPr>
                <w:rFonts w:ascii="Arial" w:cs="Arial" w:eastAsia="Arial" w:hAnsi="Arial"/>
                <w:sz w:val="14"/>
                <w:szCs w:val="14"/>
                <w:color w:val="auto"/>
              </w:rPr>
              <w:t>Income tax expense (benefit)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61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Depreciation and amortization expense</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98,552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28,738</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6,160</w:t>
            </w:r>
          </w:p>
        </w:tc>
        <w:tc>
          <w:tcPr>
            <w:tcW w:w="0" w:type="dxa"/>
            <w:vAlign w:val="bottom"/>
          </w:tcPr>
          <w:p>
            <w:pPr>
              <w:spacing w:after="0"/>
              <w:rPr>
                <w:sz w:val="1"/>
                <w:szCs w:val="1"/>
                <w:color w:val="auto"/>
              </w:rPr>
            </w:pPr>
          </w:p>
        </w:tc>
      </w:tr>
      <w:tr>
        <w:trPr>
          <w:trHeight w:val="183"/>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EBITDA</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34,364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52,853</w:t>
            </w:r>
          </w:p>
        </w:tc>
        <w:tc>
          <w:tcPr>
            <w:tcW w:w="100" w:type="dxa"/>
            <w:vAlign w:val="bottom"/>
            <w:tcBorders>
              <w:bottom w:val="single" w:sz="8" w:color="CCEEFF"/>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(52,742)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34,544</w:t>
            </w:r>
          </w:p>
        </w:tc>
        <w:tc>
          <w:tcPr>
            <w:tcW w:w="0" w:type="dxa"/>
            <w:vAlign w:val="bottom"/>
          </w:tcPr>
          <w:p>
            <w:pPr>
              <w:spacing w:after="0"/>
              <w:rPr>
                <w:sz w:val="1"/>
                <w:szCs w:val="1"/>
                <w:color w:val="auto"/>
              </w:rPr>
            </w:pPr>
          </w:p>
        </w:tc>
      </w:tr>
      <w:tr>
        <w:trPr>
          <w:trHeight w:val="183"/>
        </w:trPr>
        <w:tc>
          <w:tcPr>
            <w:tcW w:w="61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Share-based compensation expense (1)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448</w:t>
            </w: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140" w:type="dxa"/>
            <w:vAlign w:val="bottom"/>
          </w:tcPr>
          <w:p>
            <w:pPr>
              <w:ind w:left="240"/>
              <w:spacing w:after="0"/>
              <w:rPr>
                <w:sz w:val="20"/>
                <w:szCs w:val="20"/>
                <w:color w:val="auto"/>
              </w:rPr>
            </w:pPr>
            <w:r>
              <w:rPr>
                <w:rFonts w:ascii="Arial" w:cs="Arial" w:eastAsia="Arial" w:hAnsi="Arial"/>
                <w:sz w:val="14"/>
                <w:szCs w:val="14"/>
                <w:color w:val="auto"/>
              </w:rPr>
              <w:t>Accelerated vesting of certain equity awards (2)</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209,300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87,060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1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Change in fair value of contingent consideration liability (3)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70,700</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140" w:type="dxa"/>
            <w:vAlign w:val="bottom"/>
          </w:tcPr>
          <w:p>
            <w:pPr>
              <w:ind w:left="240"/>
              <w:spacing w:after="0"/>
              <w:rPr>
                <w:sz w:val="20"/>
                <w:szCs w:val="20"/>
                <w:color w:val="auto"/>
              </w:rPr>
            </w:pPr>
            <w:r>
              <w:rPr>
                <w:rFonts w:ascii="Arial" w:cs="Arial" w:eastAsia="Arial" w:hAnsi="Arial"/>
                <w:sz w:val="14"/>
                <w:szCs w:val="14"/>
                <w:color w:val="auto"/>
              </w:rPr>
              <w:t>Centerbridge Acquisition costs (4)</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6,245</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1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IPO transactions costs (5)</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14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Severance costs (6)</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219</w:t>
            </w:r>
          </w:p>
        </w:tc>
        <w:tc>
          <w:tcPr>
            <w:tcW w:w="100" w:type="dxa"/>
            <w:vAlign w:val="bottom"/>
            <w:tcBorders>
              <w:bottom w:val="single" w:sz="8" w:color="CCEEFF"/>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07"/>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271,029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130,465</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39,973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34,863</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77470</wp:posOffset>
            </wp:positionV>
            <wp:extent cx="8255" cy="1200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120" w:type="dxa"/>
            <w:vAlign w:val="bottom"/>
          </w:tcPr>
          <w:p>
            <w:pPr>
              <w:spacing w:after="0"/>
              <w:rPr>
                <w:sz w:val="20"/>
                <w:szCs w:val="20"/>
                <w:color w:val="auto"/>
              </w:rPr>
            </w:pPr>
            <w:r>
              <w:rPr>
                <w:rFonts w:ascii="Arial" w:cs="Arial" w:eastAsia="Arial" w:hAnsi="Arial"/>
                <w:sz w:val="14"/>
                <w:szCs w:val="14"/>
                <w:color w:val="auto"/>
              </w:rPr>
              <w:t>Adjusted EBITDA margin</w:t>
            </w:r>
          </w:p>
        </w:tc>
        <w:tc>
          <w:tcPr>
            <w:tcW w:w="3420" w:type="dxa"/>
            <w:vAlign w:val="bottom"/>
          </w:tcPr>
          <w:p>
            <w:pPr>
              <w:jc w:val="right"/>
              <w:ind w:right="388"/>
              <w:spacing w:after="0"/>
              <w:rPr>
                <w:sz w:val="20"/>
                <w:szCs w:val="20"/>
                <w:color w:val="auto"/>
              </w:rPr>
            </w:pPr>
            <w:r>
              <w:rPr>
                <w:rFonts w:ascii="Arial" w:cs="Arial" w:eastAsia="Arial" w:hAnsi="Arial"/>
                <w:sz w:val="14"/>
                <w:szCs w:val="14"/>
                <w:color w:val="auto"/>
              </w:rPr>
              <w:t>30.9 %</w:t>
            </w:r>
          </w:p>
        </w:tc>
        <w:tc>
          <w:tcPr>
            <w:tcW w:w="900" w:type="dxa"/>
            <w:vAlign w:val="bottom"/>
          </w:tcPr>
          <w:p>
            <w:pPr>
              <w:jc w:val="right"/>
              <w:spacing w:after="0"/>
              <w:rPr>
                <w:sz w:val="20"/>
                <w:szCs w:val="20"/>
                <w:color w:val="auto"/>
              </w:rPr>
            </w:pPr>
            <w:r>
              <w:rPr>
                <w:rFonts w:ascii="Arial" w:cs="Arial" w:eastAsia="Arial" w:hAnsi="Arial"/>
                <w:sz w:val="14"/>
                <w:szCs w:val="14"/>
                <w:color w:val="auto"/>
              </w:rPr>
              <w:t>42.3 %</w:t>
            </w:r>
          </w:p>
        </w:tc>
      </w:tr>
    </w:tbl>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color w:val="auto"/>
        </w:rPr>
        <w:t>17.3 %</w:t>
      </w:r>
      <w:r>
        <w:rPr>
          <w:sz w:val="20"/>
          <w:szCs w:val="20"/>
          <w:color w:val="auto"/>
        </w:rPr>
        <w:tab/>
      </w:r>
      <w:r>
        <w:rPr>
          <w:rFonts w:ascii="Arial" w:cs="Arial" w:eastAsia="Arial" w:hAnsi="Arial"/>
          <w:sz w:val="14"/>
          <w:szCs w:val="14"/>
          <w:color w:val="auto"/>
        </w:rPr>
        <w:t>15.4 %</w:t>
      </w:r>
    </w:p>
    <w:p>
      <w:pPr>
        <w:spacing w:after="0" w:line="211" w:lineRule="exact"/>
        <w:rPr>
          <w:sz w:val="20"/>
          <w:szCs w:val="20"/>
          <w:color w:val="auto"/>
        </w:rPr>
      </w:pPr>
    </w:p>
    <w:p>
      <w:pPr>
        <w:sectPr>
          <w:pgSz w:w="11900" w:h="16838" w:orient="portrait"/>
          <w:cols w:equalWidth="0" w:num="2">
            <w:col w:w="8680" w:space="720"/>
            <w:col w:w="1840"/>
          </w:cols>
          <w:pgMar w:left="320" w:top="1343" w:right="339" w:bottom="1440" w:gutter="0" w:footer="0" w:header="0"/>
          <w:type w:val="continuous"/>
        </w:sectPr>
      </w:pPr>
    </w:p>
    <w:p>
      <w:pPr>
        <w:spacing w:after="0" w:line="86"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non-cash share-based compensation expense relating to stock options, restricted stock units and time-vesting units.</w:t>
      </w:r>
    </w:p>
    <w:p>
      <w:pPr>
        <w:spacing w:after="0" w:line="15" w:lineRule="exact"/>
        <w:rPr>
          <w:rFonts w:ascii="Arial" w:cs="Arial" w:eastAsia="Arial" w:hAnsi="Arial"/>
          <w:sz w:val="14"/>
          <w:szCs w:val="14"/>
          <w:i w:val="1"/>
          <w:iCs w:val="1"/>
          <w:color w:val="auto"/>
        </w:rPr>
      </w:pPr>
    </w:p>
    <w:p>
      <w:pPr>
        <w:ind w:left="340" w:right="20" w:hanging="332"/>
        <w:spacing w:after="0" w:line="241" w:lineRule="auto"/>
        <w:tabs>
          <w:tab w:leader="none" w:pos="327"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non-cash share-based compensation expense relating to the accelerated vesting of performance-vesting units in connection with the IPO for the twelve months ended December 31, 2020 and the accelerated vesting of profit interests and incentive share units in connection with the Centerbridge Acquisition for the period from January 1, 2019 through September 12, 2019.</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change in fair value of the contingent consideration liability due to the predecessor owners of the Company arising from the Centerbridge Acquisition.</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legal, accounting, consulting, and other costs related to the Centerbridge Acquisition.</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legal, accounting, consulting, and other indirect costs associated with the Company’s IPO.</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costs associated with the termination of employment.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Revenues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Commission Revenues</w:t>
      </w:r>
    </w:p>
    <w:p>
      <w:pPr>
        <w:spacing w:after="0" w:line="237"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Commission revenues were $671.1 million for the twelve months ended December 31, 2020 compared to $243.3 million for the Successor 2019 Period and $175.8 million for the Predecessor 2019 Period. The $252.0 million, or 60.1%, increase was primarily attributable to increases in commission revenue from</w:t>
      </w:r>
    </w:p>
    <w:p>
      <w:pPr>
        <w:spacing w:after="0" w:line="1" w:lineRule="exact"/>
        <w:rPr>
          <w:sz w:val="20"/>
          <w:szCs w:val="20"/>
          <w:color w:val="auto"/>
        </w:rPr>
      </w:pPr>
    </w:p>
    <w:p>
      <w:pPr>
        <w:ind w:right="120" w:firstLine="8"/>
        <w:spacing w:after="0" w:line="251" w:lineRule="auto"/>
        <w:tabs>
          <w:tab w:leader="none" w:pos="18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Medicare—Internal segment driven by a 87% increase in Medicare commissionable Approved Submissions due to the hiring of additional agents, the increased utilization and efficiency of our agents and the implementation of new marketing strategies to generate a greater number of qualified prospects and (ii) the Medicare—External segment driven by a 38% increase in commissionable Approved Submissions due to our ability to recruit and onboard additional external agents to enroll consumers in Medicare plans using our technology and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307340</wp:posOffset>
            </wp:positionV>
            <wp:extent cx="8255" cy="1200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307340</wp:posOffset>
            </wp:positionV>
            <wp:extent cx="8890" cy="1200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126365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57</w:t>
      </w:r>
    </w:p>
    <w:p>
      <w:pPr>
        <w:sectPr>
          <w:pgSz w:w="11900" w:h="16838" w:orient="portrait"/>
          <w:cols w:equalWidth="0" w:num="3">
            <w:col w:w="4580" w:space="540"/>
            <w:col w:w="1040" w:space="360"/>
            <w:col w:w="4720"/>
          </w:cols>
          <w:pgMar w:left="320" w:top="1343"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6"/>
          <w:szCs w:val="16"/>
          <w:i w:val="1"/>
          <w:iCs w:val="1"/>
          <w:u w:val="single" w:color="auto"/>
          <w:color w:val="auto"/>
        </w:rPr>
        <w:t>Enterprise Revenues</w:t>
      </w:r>
    </w:p>
    <w:p>
      <w:pPr>
        <w:spacing w:after="0" w:line="237"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Enterprise revenues were $206.2 million for the twelve months ended December 31, 2020 compared to $65.1 million for the Successor 2019 Period and $55.2 million for the Predecessor 2019 Period. The $85.9 million, or 71.4%, increase was primarily attributable to an increase of $108.3 million related to partner marketing and enrollment services, partially offset by a $4.0 million decrease in direct partner campaigns in our Medicare—Internal segment and a $18.4 million decrease in consumer lead sales to external third parties in our external segments, as we strategically shifted to generating consumer leads in the internal channels.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Expense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Cost of Revenue</w:t>
      </w:r>
    </w:p>
    <w:p>
      <w:pPr>
        <w:spacing w:after="0" w:line="23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Cost of revenue was $199.2 million for the twelve months ended December 31, 2020 compared to $90.4 million for the Successor 2019 Period and $79.2 million for the Predecessor 2019 Period. The $29.6 million, or 17.5%, increase was primarily attributable to a 38% increase in commissionable Approved Submissions in the Medicare—External segment, which increased the amount of expense we recognized pursuant to our revenue-sharing agreements with external agents and other partners.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Marketing and Advertising</w:t>
      </w:r>
    </w:p>
    <w:p>
      <w:pPr>
        <w:spacing w:after="0" w:line="237"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Marketing and advertising expense was $206.9 million for the twelve months ended December 31, 2020 compared to $24.8 million for the Successor 2019 Period and $37.8 million for the Predecessor 2019 Period. The $144.3 million, or 230.6%, increase was primarily attributable to an increase in our advertising costs for the Medicare—Internal segment to generate more qualified prospects, which contributed to a 87% increase in Medicare—Internal commissionable Approved Submissions. Additionally, marketing and advertising expense for the twelve months ended December 31, 2020 included $24.6 million of share-based compensation expense relating to the accelerated vesting of performance-vesting units in connection with the IPO.</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Customer Care and Enrollment</w:t>
      </w:r>
    </w:p>
    <w:p>
      <w:pPr>
        <w:spacing w:after="0" w:line="237"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Customer care and enrollment expense was $165.5 million for the twelve months ended December 31, 2020 compared to $44.4 million for the Successor 2019 Period and $49.1 million for the Predecessor 2019 Period. The $72.0 million, or 77.0%, increase was primarily attributable to the hiring of additional agents in the Medicare—Internal segment in order to drive the conversion of a greater number of qualified prospects into commissionable Approved Submissions. Additionally, customer care and enrollment expense for the twelve months ended December 31, 2020 included $11.5 million of share-based compensation expense relating to the accelerated vesting of performance-vesting units in connection with the IPO.</w:t>
      </w:r>
    </w:p>
    <w:p>
      <w:pPr>
        <w:spacing w:after="0" w:line="203"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Our agent base increased approximately 60% during the twelve months ended December 31, 2020 compared to the twelve months ended December 31, 2019.</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Technology</w:t>
      </w:r>
    </w:p>
    <w:p>
      <w:pPr>
        <w:spacing w:after="0" w:line="237"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Technology expense was $59.3 million for the twelve months ended December 31, 2020 compared to $6.0 million for the Successor 2019 Period and $40.3 million for the Predecessor 2019 Period. The $13.0 million, or 28.1%, increase was primarily attributable to the hiring of additional employees in our technology and data science teams, and the expansion of our business intelligence and analytics staffing in order to support the growth of the Medicare— Internal segment. Technology expense for the twelve months ended December 31, 2020 included $32.6 million of share-based compensation expense relating to the accelerated vesting of performance-vesting units in connection with the IPO. The Predecessor 2019 Period included share-based compensation expense of $27.1 million in connection with the accelerated vesting of certain legacy profit interests and legacy incentive share units granted prior to the Centerbridge Acquisition.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General and Administrative</w:t>
      </w:r>
    </w:p>
    <w:p>
      <w:pPr>
        <w:spacing w:after="0" w:line="23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General and administrative expense was $197.2 million for the twelve months ended December 31, 2020 compared to $13.7 million for the Successor 2019 Period and $79.2 million for the Predecessor 2019 Period. The $104.3 million, or 112.3%, increase was primarily attributable to investments in corporate infrastructure, such as legal, human resources, and finance, to support general growth and implement the corporate resources needed to support a post-IPO business. General and administrative expense for the twelve months ended December 31, 2020 included $140.6 million of share-based compensation expense relating to the accelerated vesting of performance-vesting units in connection with the IPO. General and administrative expense for the Predecessor 2019 Period included share-based compensation expense of $58.3 million in connection with the accelerated vesting of certain legacy profit interests and legacy incentive share units granted prior to the Centerbridge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302260</wp:posOffset>
            </wp:positionV>
            <wp:extent cx="8255" cy="1200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302260</wp:posOffset>
            </wp:positionV>
            <wp:extent cx="8890" cy="1200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27" w:right="3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58</w:t>
      </w:r>
    </w:p>
    <w:p>
      <w:pPr>
        <w:sectPr>
          <w:pgSz w:w="11900" w:h="16838" w:orient="portrait"/>
          <w:cols w:equalWidth="0" w:num="3">
            <w:col w:w="4580" w:space="540"/>
            <w:col w:w="1040" w:space="360"/>
            <w:col w:w="4700"/>
          </w:cols>
          <w:pgMar w:left="320" w:top="1327" w:right="35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6"/>
          <w:szCs w:val="16"/>
          <w:i w:val="1"/>
          <w:iCs w:val="1"/>
          <w:u w:val="single" w:color="auto"/>
          <w:color w:val="auto"/>
        </w:rPr>
        <w:t>Change in Fair Value of Contingent Consideration Liability</w:t>
      </w:r>
    </w:p>
    <w:p>
      <w:pPr>
        <w:spacing w:after="0" w:line="23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Change in fair value of contingent consideration liability was $19.7 million and $70.7 million for the twelve months ended December 31, 2020 and Successor 2019 Period, respectively, and relates to the earnout liability incurred in connection with the Centerbridge Acquisition, in which we agreed to pay additional consideration if certain financial targets are achieved. We had no earnout liability for the Predecessor 2019 Period.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Amortization of Intangible Assets</w:t>
      </w:r>
    </w:p>
    <w:p>
      <w:pPr>
        <w:spacing w:after="0" w:line="23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Amortization of intangible assets expense was $94.1 million for the twelve months ended December 31, 2020 compared to $28.2 million for the Successor 2019 Period and no amortization of intangible assets expense for the Predecessor 2019 Period, and relates to the amortization of developed technology and customer relationships that were recognized as part of the purchase price allocation at the date of the Centerbridge Acquisition.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Interest Expense</w:t>
      </w:r>
    </w:p>
    <w:p>
      <w:pPr>
        <w:spacing w:after="0" w:line="237"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Interest expense was $33.0 million for the twelve months ended December 31, 2020 compared to $8.1 million for the Successor 2019 Period and $0.1 million for the Predecessor 2019 Period. The $24.8 million increase was due to additional debt outstanding on our Credit Facilities.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Adjusted EBITDA</w:t>
      </w:r>
    </w:p>
    <w:p>
      <w:pPr>
        <w:spacing w:after="0" w:line="23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Adjusted EBITDA was $271.0 million for the twelve months ended December 31, 2020 compared to $130.5 million for the Successor 2019 Period and $40.0 million for the Predecessor 2019 Period. The $100.6 million, or 59.0%, increase was primarily attributable to an increase in commission revenues in the Medicare segments as described above.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 xml:space="preserve">Our operating segments have been determined in accordance with Accounting Standards Codification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We have four operating segments: Medicare—Internal, Medicare—External, IFP and Other—Internal, and IFP and Other—External. In addition, we separately report other expenses (classified as “Corporate expense” in the following table), the primary components of which are corporate overhead expenses and shared service expenses that have not been allocated to the operating segments, as they are not the responsibility of segment operating management. The segment measurements provided to and evaluated by the chief operating decision maker are described in the Notes to Consolidated Financial Statements included elsewhere in this Annual Report on Form 10-K. These results should be considered in addition to, not as a substitute for, results reported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299085</wp:posOffset>
            </wp:positionV>
            <wp:extent cx="8255" cy="1200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299085</wp:posOffset>
            </wp:positionV>
            <wp:extent cx="8890" cy="1200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00"/>
          </w:cols>
          <w:pgMar w:left="320" w:top="1327" w:right="37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59</w:t>
      </w:r>
    </w:p>
    <w:p>
      <w:pPr>
        <w:sectPr>
          <w:pgSz w:w="11900" w:h="16838" w:orient="portrait"/>
          <w:cols w:equalWidth="0" w:num="3">
            <w:col w:w="4580" w:space="540"/>
            <w:col w:w="1040" w:space="360"/>
            <w:col w:w="4680"/>
          </w:cols>
          <w:pgMar w:left="320" w:top="1327" w:right="37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Successor</w:t>
            </w:r>
          </w:p>
        </w:tc>
        <w:tc>
          <w:tcPr>
            <w:tcW w:w="102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Predecessor</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2120" w:type="dxa"/>
            <w:vAlign w:val="bottom"/>
            <w:gridSpan w:val="5"/>
          </w:tcPr>
          <w:p>
            <w:pPr>
              <w:ind w:left="100"/>
              <w:spacing w:after="0" w:line="142" w:lineRule="exact"/>
              <w:rPr>
                <w:sz w:val="20"/>
                <w:szCs w:val="20"/>
                <w:color w:val="auto"/>
              </w:rPr>
            </w:pPr>
            <w:r>
              <w:rPr>
                <w:rFonts w:ascii="Arial" w:cs="Arial" w:eastAsia="Arial" w:hAnsi="Arial"/>
                <w:sz w:val="14"/>
                <w:szCs w:val="14"/>
                <w:b w:val="1"/>
                <w:bCs w:val="1"/>
                <w:color w:val="auto"/>
              </w:rPr>
              <w:t>Twelve months ended Dec.</w:t>
            </w:r>
          </w:p>
        </w:tc>
        <w:tc>
          <w:tcPr>
            <w:tcW w:w="100" w:type="dxa"/>
            <w:vAlign w:val="bottom"/>
          </w:tcPr>
          <w:p>
            <w:pPr>
              <w:spacing w:after="0"/>
              <w:rPr>
                <w:sz w:val="12"/>
                <w:szCs w:val="12"/>
                <w:color w:val="auto"/>
              </w:rPr>
            </w:pPr>
          </w:p>
        </w:tc>
        <w:tc>
          <w:tcPr>
            <w:tcW w:w="2000" w:type="dxa"/>
            <w:vAlign w:val="bottom"/>
            <w:tcBorders>
              <w:right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rPr>
              <w:t>Period from Sep. 13, 2019</w:t>
            </w:r>
          </w:p>
        </w:tc>
        <w:tc>
          <w:tcPr>
            <w:tcW w:w="120" w:type="dxa"/>
            <w:vAlign w:val="bottom"/>
          </w:tcPr>
          <w:p>
            <w:pPr>
              <w:spacing w:after="0"/>
              <w:rPr>
                <w:sz w:val="12"/>
                <w:szCs w:val="12"/>
                <w:color w:val="auto"/>
              </w:rPr>
            </w:pPr>
          </w:p>
        </w:tc>
        <w:tc>
          <w:tcPr>
            <w:tcW w:w="198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Period from Jan. 1, 2019</w:t>
            </w:r>
          </w:p>
        </w:tc>
        <w:tc>
          <w:tcPr>
            <w:tcW w:w="1980" w:type="dxa"/>
            <w:vAlign w:val="bottom"/>
            <w:gridSpan w:val="4"/>
          </w:tcPr>
          <w:p>
            <w:pPr>
              <w:jc w:val="right"/>
              <w:ind w:right="8"/>
              <w:spacing w:after="0" w:line="142" w:lineRule="exact"/>
              <w:rPr>
                <w:sz w:val="20"/>
                <w:szCs w:val="20"/>
                <w:color w:val="auto"/>
              </w:rPr>
            </w:pPr>
            <w:r>
              <w:rPr>
                <w:rFonts w:ascii="Arial" w:cs="Arial" w:eastAsia="Arial" w:hAnsi="Arial"/>
                <w:sz w:val="14"/>
                <w:szCs w:val="14"/>
                <w:b w:val="1"/>
                <w:bCs w:val="1"/>
                <w:color w:val="auto"/>
              </w:rPr>
              <w:t>Twelve months ended Dec.</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31, 2020</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through Dec. 31, 2019</w:t>
            </w:r>
          </w:p>
        </w:tc>
        <w:tc>
          <w:tcPr>
            <w:tcW w:w="120" w:type="dxa"/>
            <w:vAlign w:val="bottom"/>
            <w:tcBorders>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through Sep. 12, 2019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31, 2018</w:t>
            </w:r>
          </w:p>
        </w:tc>
        <w:tc>
          <w:tcPr>
            <w:tcW w:w="0" w:type="dxa"/>
            <w:vAlign w:val="bottom"/>
          </w:tcPr>
          <w:p>
            <w:pPr>
              <w:spacing w:after="0"/>
              <w:rPr>
                <w:sz w:val="1"/>
                <w:szCs w:val="1"/>
                <w:color w:val="auto"/>
              </w:rPr>
            </w:pPr>
          </w:p>
        </w:tc>
      </w:tr>
      <w:tr>
        <w:trPr>
          <w:trHeight w:val="142"/>
        </w:trPr>
        <w:tc>
          <w:tcPr>
            <w:tcW w:w="26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Dollars</w:t>
            </w:r>
          </w:p>
        </w:tc>
        <w:tc>
          <w:tcPr>
            <w:tcW w:w="11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Dollars</w:t>
            </w:r>
          </w:p>
        </w:tc>
        <w:tc>
          <w:tcPr>
            <w:tcW w:w="1140" w:type="dxa"/>
            <w:vAlign w:val="bottom"/>
            <w:tcBorders>
              <w:right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 of Net</w:t>
            </w:r>
          </w:p>
        </w:tc>
        <w:tc>
          <w:tcPr>
            <w:tcW w:w="12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Dollars</w:t>
            </w:r>
          </w:p>
        </w:tc>
        <w:tc>
          <w:tcPr>
            <w:tcW w:w="11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 of Net</w:t>
            </w:r>
          </w:p>
        </w:tc>
        <w:tc>
          <w:tcPr>
            <w:tcW w:w="14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Dollars</w:t>
            </w:r>
          </w:p>
        </w:tc>
        <w:tc>
          <w:tcPr>
            <w:tcW w:w="102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6"/>
        </w:trPr>
        <w:tc>
          <w:tcPr>
            <w:tcW w:w="2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14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69"/>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Net revenues:</w:t>
            </w: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tcPr>
          <w:p>
            <w:pPr>
              <w:ind w:left="240"/>
              <w:spacing w:after="0"/>
              <w:rPr>
                <w:sz w:val="20"/>
                <w:szCs w:val="20"/>
                <w:color w:val="auto"/>
              </w:rPr>
            </w:pPr>
            <w:r>
              <w:rPr>
                <w:rFonts w:ascii="Arial" w:cs="Arial" w:eastAsia="Arial" w:hAnsi="Arial"/>
                <w:sz w:val="14"/>
                <w:szCs w:val="14"/>
                <w:color w:val="auto"/>
              </w:rPr>
              <w:t>Medicare—Internal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667,293</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76.1 %</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215,322</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69.8 %</w:t>
            </w:r>
          </w:p>
        </w:tc>
        <w:tc>
          <w:tcPr>
            <w:tcW w:w="120" w:type="dxa"/>
            <w:vAlign w:val="bottom"/>
            <w:tcBorders>
              <w:right w:val="single" w:sz="8" w:color="auto"/>
            </w:tcBorders>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102,196</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44.2 %</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53,365</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23.6 %</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Medicare—External</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155,660</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59,152</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19.2 %</w:t>
            </w: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55,981</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58,834</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26.0 %</w:t>
            </w:r>
          </w:p>
        </w:tc>
        <w:tc>
          <w:tcPr>
            <w:tcW w:w="0" w:type="dxa"/>
            <w:vAlign w:val="bottom"/>
          </w:tcPr>
          <w:p>
            <w:pPr>
              <w:spacing w:after="0"/>
              <w:rPr>
                <w:sz w:val="1"/>
                <w:szCs w:val="1"/>
                <w:color w:val="auto"/>
              </w:rPr>
            </w:pPr>
          </w:p>
        </w:tc>
      </w:tr>
      <w:tr>
        <w:trPr>
          <w:trHeight w:val="189"/>
        </w:trPr>
        <w:tc>
          <w:tcPr>
            <w:tcW w:w="2660" w:type="dxa"/>
            <w:vAlign w:val="bottom"/>
          </w:tcPr>
          <w:p>
            <w:pPr>
              <w:ind w:left="240"/>
              <w:spacing w:after="0"/>
              <w:rPr>
                <w:sz w:val="20"/>
                <w:szCs w:val="20"/>
                <w:color w:val="auto"/>
              </w:rPr>
            </w:pPr>
            <w:r>
              <w:rPr>
                <w:rFonts w:ascii="Arial" w:cs="Arial" w:eastAsia="Arial" w:hAnsi="Arial"/>
                <w:sz w:val="14"/>
                <w:szCs w:val="14"/>
                <w:color w:val="auto"/>
              </w:rPr>
              <w:t>IFP and Other—Internal</w:t>
            </w:r>
          </w:p>
        </w:tc>
        <w:tc>
          <w:tcPr>
            <w:tcW w:w="16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32,271</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20,850</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6.8 %</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37,909</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16.4 %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63,009</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27.9 %</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IFP and Other—External</w:t>
            </w: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22,126</w:t>
            </w:r>
          </w:p>
        </w:tc>
        <w:tc>
          <w:tcPr>
            <w:tcW w:w="8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13,167</w:t>
            </w:r>
          </w:p>
        </w:tc>
        <w:tc>
          <w:tcPr>
            <w:tcW w:w="8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34,924</w:t>
            </w:r>
          </w:p>
        </w:tc>
        <w:tc>
          <w:tcPr>
            <w:tcW w:w="8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15.1 %</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50,997</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22.5 %</w:t>
            </w:r>
          </w:p>
        </w:tc>
        <w:tc>
          <w:tcPr>
            <w:tcW w:w="0" w:type="dxa"/>
            <w:vAlign w:val="bottom"/>
          </w:tcPr>
          <w:p>
            <w:pPr>
              <w:spacing w:after="0"/>
              <w:rPr>
                <w:sz w:val="1"/>
                <w:szCs w:val="1"/>
                <w:color w:val="auto"/>
              </w:rPr>
            </w:pPr>
          </w:p>
        </w:tc>
      </w:tr>
      <w:tr>
        <w:trPr>
          <w:trHeight w:val="183"/>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revenues</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877,350</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308,491</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Borders>
              <w:bottom w:val="single" w:sz="8" w:color="CCEEFF"/>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231,010</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226,205</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profit: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tcPr>
          <w:p>
            <w:pPr>
              <w:ind w:left="240"/>
              <w:spacing w:after="0"/>
              <w:rPr>
                <w:sz w:val="20"/>
                <w:szCs w:val="20"/>
                <w:color w:val="auto"/>
              </w:rPr>
            </w:pPr>
            <w:r>
              <w:rPr>
                <w:rFonts w:ascii="Arial" w:cs="Arial" w:eastAsia="Arial" w:hAnsi="Arial"/>
                <w:sz w:val="14"/>
                <w:szCs w:val="14"/>
                <w:color w:val="auto"/>
              </w:rPr>
              <w:t>Medicare—Internal</w:t>
            </w:r>
          </w:p>
        </w:tc>
        <w:tc>
          <w:tcPr>
            <w:tcW w:w="16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296,865</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33.8 %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126,210</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40.9 %</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40,024</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17.3 %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24,183</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10.7 %</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Medicare—External</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5,944</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10,584</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4,893</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9,034</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189"/>
        </w:trPr>
        <w:tc>
          <w:tcPr>
            <w:tcW w:w="2660" w:type="dxa"/>
            <w:vAlign w:val="bottom"/>
          </w:tcPr>
          <w:p>
            <w:pPr>
              <w:ind w:left="240"/>
              <w:spacing w:after="0"/>
              <w:rPr>
                <w:sz w:val="20"/>
                <w:szCs w:val="20"/>
                <w:color w:val="auto"/>
              </w:rPr>
            </w:pPr>
            <w:r>
              <w:rPr>
                <w:rFonts w:ascii="Arial" w:cs="Arial" w:eastAsia="Arial" w:hAnsi="Arial"/>
                <w:sz w:val="14"/>
                <w:szCs w:val="14"/>
                <w:color w:val="auto"/>
              </w:rPr>
              <w:t>IFP and Other—Internal</w:t>
            </w:r>
          </w:p>
        </w:tc>
        <w:tc>
          <w:tcPr>
            <w:tcW w:w="16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4,269</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0.5 %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1,650</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0.5 %</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2,195</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9,707</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IFP and Other—External</w:t>
            </w: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1,910</w:t>
            </w:r>
          </w:p>
        </w:tc>
        <w:tc>
          <w:tcPr>
            <w:tcW w:w="8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584</w:t>
            </w:r>
          </w:p>
        </w:tc>
        <w:tc>
          <w:tcPr>
            <w:tcW w:w="8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1,748</w:t>
            </w:r>
          </w:p>
        </w:tc>
        <w:tc>
          <w:tcPr>
            <w:tcW w:w="8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2,848</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83"/>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Segment profit</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308,988</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35.2 %</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139,027</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45.1 %</w:t>
            </w:r>
          </w:p>
        </w:tc>
        <w:tc>
          <w:tcPr>
            <w:tcW w:w="120" w:type="dxa"/>
            <w:vAlign w:val="bottom"/>
            <w:tcBorders>
              <w:bottom w:val="single" w:sz="8" w:color="CCEEFF"/>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48,860</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21.2 %</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45,772</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20.2 %</w:t>
            </w:r>
          </w:p>
        </w:tc>
        <w:tc>
          <w:tcPr>
            <w:tcW w:w="0" w:type="dxa"/>
            <w:vAlign w:val="bottom"/>
          </w:tcPr>
          <w:p>
            <w:pPr>
              <w:spacing w:after="0"/>
              <w:rPr>
                <w:sz w:val="1"/>
                <w:szCs w:val="1"/>
                <w:color w:val="auto"/>
              </w:rPr>
            </w:pPr>
          </w:p>
        </w:tc>
      </w:tr>
      <w:tr>
        <w:trPr>
          <w:trHeight w:val="182"/>
        </w:trPr>
        <w:tc>
          <w:tcPr>
            <w:tcW w:w="2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Corporate expense (1)</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259,778</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9,767</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1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103,469</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17,009</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0" w:type="dxa"/>
            <w:vAlign w:val="bottom"/>
          </w:tcPr>
          <w:p>
            <w:pPr>
              <w:spacing w:after="0"/>
              <w:rPr>
                <w:sz w:val="1"/>
                <w:szCs w:val="1"/>
                <w:color w:val="auto"/>
              </w:rPr>
            </w:pPr>
          </w:p>
        </w:tc>
      </w:tr>
      <w:tr>
        <w:trPr>
          <w:trHeight w:val="153"/>
        </w:trPr>
        <w:tc>
          <w:tcPr>
            <w:tcW w:w="2660" w:type="dxa"/>
            <w:vAlign w:val="bottom"/>
          </w:tcPr>
          <w:p>
            <w:pPr>
              <w:ind w:left="240"/>
              <w:spacing w:after="0" w:line="153" w:lineRule="exact"/>
              <w:rPr>
                <w:sz w:val="20"/>
                <w:szCs w:val="20"/>
                <w:color w:val="auto"/>
              </w:rPr>
            </w:pPr>
            <w:r>
              <w:rPr>
                <w:rFonts w:ascii="Arial" w:cs="Arial" w:eastAsia="Arial" w:hAnsi="Arial"/>
                <w:sz w:val="14"/>
                <w:szCs w:val="14"/>
                <w:color w:val="auto"/>
              </w:rPr>
              <w:t>Change in fair value of contingent</w:t>
            </w:r>
          </w:p>
        </w:tc>
        <w:tc>
          <w:tcPr>
            <w:tcW w:w="160" w:type="dxa"/>
            <w:vAlign w:val="bottom"/>
          </w:tcPr>
          <w:p>
            <w:pPr>
              <w:spacing w:after="0"/>
              <w:rPr>
                <w:sz w:val="13"/>
                <w:szCs w:val="13"/>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19,700</w:t>
            </w:r>
          </w:p>
        </w:tc>
        <w:tc>
          <w:tcPr>
            <w:tcW w:w="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70,700</w:t>
            </w:r>
          </w:p>
        </w:tc>
        <w:tc>
          <w:tcPr>
            <w:tcW w:w="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22.9 %</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3"/>
                <w:szCs w:val="13"/>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1"/>
        </w:trPr>
        <w:tc>
          <w:tcPr>
            <w:tcW w:w="2660" w:type="dxa"/>
            <w:vAlign w:val="bottom"/>
          </w:tcPr>
          <w:p>
            <w:pPr>
              <w:ind w:left="240"/>
              <w:spacing w:after="0"/>
              <w:rPr>
                <w:sz w:val="20"/>
                <w:szCs w:val="20"/>
                <w:color w:val="auto"/>
              </w:rPr>
            </w:pPr>
            <w:r>
              <w:rPr>
                <w:rFonts w:ascii="Arial" w:cs="Arial" w:eastAsia="Arial" w:hAnsi="Arial"/>
                <w:sz w:val="14"/>
                <w:szCs w:val="14"/>
                <w:color w:val="auto"/>
              </w:rPr>
              <w:t>consideration liability</w:t>
            </w: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 of intangible assets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94,056</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28,217</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9.1 %</w:t>
            </w: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2660" w:type="dxa"/>
            <w:vAlign w:val="bottom"/>
          </w:tcPr>
          <w:p>
            <w:pPr>
              <w:ind w:left="240"/>
              <w:spacing w:after="0"/>
              <w:rPr>
                <w:sz w:val="20"/>
                <w:szCs w:val="20"/>
                <w:color w:val="auto"/>
              </w:rPr>
            </w:pPr>
            <w:r>
              <w:rPr>
                <w:rFonts w:ascii="Arial" w:cs="Arial" w:eastAsia="Arial" w:hAnsi="Arial"/>
                <w:sz w:val="14"/>
                <w:szCs w:val="14"/>
                <w:color w:val="auto"/>
              </w:rPr>
              <w:t>Acquisition related transaction costs</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6,245</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2.0 %</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2,267</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32,969</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8,076</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89"/>
        </w:trPr>
        <w:tc>
          <w:tcPr>
            <w:tcW w:w="2660" w:type="dxa"/>
            <w:vAlign w:val="bottom"/>
          </w:tcPr>
          <w:p>
            <w:pPr>
              <w:ind w:left="240"/>
              <w:spacing w:after="0"/>
              <w:rPr>
                <w:sz w:val="20"/>
                <w:szCs w:val="20"/>
                <w:color w:val="auto"/>
              </w:rPr>
            </w:pPr>
            <w:r>
              <w:rPr>
                <w:rFonts w:ascii="Arial" w:cs="Arial" w:eastAsia="Arial" w:hAnsi="Arial"/>
                <w:sz w:val="14"/>
                <w:szCs w:val="14"/>
                <w:color w:val="auto"/>
              </w:rPr>
              <w:t>Other (income) expense</w:t>
            </w:r>
          </w:p>
        </w:tc>
        <w:tc>
          <w:tcPr>
            <w:tcW w:w="16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(358)</w:t>
            </w:r>
          </w:p>
        </w:tc>
        <w:tc>
          <w:tcPr>
            <w:tcW w:w="8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20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(97,157)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16,039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5.2 %</w:t>
            </w:r>
          </w:p>
        </w:tc>
        <w:tc>
          <w:tcPr>
            <w:tcW w:w="1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(57,129)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28,160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12.4 %</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340" w:hanging="332"/>
        <w:spacing w:after="0" w:line="254" w:lineRule="auto"/>
        <w:tabs>
          <w:tab w:leader="none" w:pos="327"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The twelve months ended December 31, 2020 includes $6.9 million of share-based compensation expense related to Time-Vesting Units, stock options and restricted stock units, and $209.3 million of share-based compensation expense associated with the accelerated vesting of the Performance-Vesting Units in connection with the IPO. The period from January 1, 2019 through September 12, 2019 includes the Class C share-based compensation and incentive share plan expense recorded in connection with the Acquisition, and which totaled $87.1 million.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Revenues</w:t>
      </w:r>
    </w:p>
    <w:p>
      <w:pPr>
        <w:spacing w:after="0" w:line="237" w:lineRule="exact"/>
        <w:rPr>
          <w:sz w:val="20"/>
          <w:szCs w:val="20"/>
          <w:color w:val="auto"/>
        </w:rPr>
      </w:pPr>
    </w:p>
    <w:p>
      <w:pPr>
        <w:jc w:val="both"/>
        <w:ind w:right="40"/>
        <w:spacing w:after="0" w:line="250" w:lineRule="auto"/>
        <w:rPr>
          <w:sz w:val="20"/>
          <w:szCs w:val="20"/>
          <w:color w:val="auto"/>
        </w:rPr>
      </w:pPr>
      <w:r>
        <w:rPr>
          <w:rFonts w:ascii="Arial" w:cs="Arial" w:eastAsia="Arial" w:hAnsi="Arial"/>
          <w:sz w:val="16"/>
          <w:szCs w:val="16"/>
          <w:color w:val="auto"/>
        </w:rPr>
        <w:t>Net revenues for the Medicare—Internal segment were $667.3 million for the twelve months ended December 31, 2020 compared to $215.3 million for the Successor 2019 Period and $102.2 million for the Predecessor 2019 Period. The $349.8 million, or 110.2%, increase was primarily attributable to the hiring of additional agents, the increased utilization and efficiency of our agents and the implementation of new marketing strategies to generate a greater number of qualified prospects, which contributed to a 87% increase in commissionable Approved Submissions. Our agent base increased approximately 60% during the twelve months ended December 31, 2020 compared to the twelve months ended December 31, 2019.</w:t>
      </w:r>
    </w:p>
    <w:p>
      <w:pPr>
        <w:spacing w:after="0" w:line="20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Net revenues for the Medicare—External segment were $155.7 million for the twelve months ended December 31, 2020 compared to $59.2 million for the Successor 2019 Period and $56.0 million for the Predecessor 2019 Period. The $40.5 million, or 35.2%, increase was primarily attributable to a 38% increase in commissionable Approved Submissions in the Medicare—External segment due to our ability to recruit and onboard additional external agents to enroll consumers in Medicare plans using our technology and platform.</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Net revenues for the IFP and Other—Internal segment were $32.3 million for the twelve months ended December 31, 2020 compared to $20.9 million for the Successor 2019 Period and $37.9 million for the Predecessor 2019 Period. Net revenues for the IFP and Other—External segment were $22.1 million for the twelve months ended December 31, 2020 compared to $13.2 million for the Successor 2019 Period and $34.9 million for the Predecessor 2019 Period. For each of the IFP and Other segments, the decreases were primarily driven by a change in product mix sold, as well as a strategic shift towards Medicare products.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Segment Profit</w:t>
      </w:r>
    </w:p>
    <w:p>
      <w:pPr>
        <w:spacing w:after="0" w:line="237"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Segment profit for the Medicare—Internal segment was $296.9 million for the twelve months ended December 31, 2020 compared to $126.2 million for the Successor 2019 Period and $40.0 million for the Predecessor 2019 Period. The $130.6 million, or 78.6%, increase was primarily attributable to the 87% increase of Medicare commissionable Approved Submissions, which was primarily attributable to (i) improvements in our LeadScore and call-routing technologies allowing our agents to successfully convert more qualified prospects into Submitted Policies and (ii) improved marketing efficiencies driven by our rapid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299085</wp:posOffset>
            </wp:positionV>
            <wp:extent cx="8255" cy="1200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299085</wp:posOffset>
            </wp:positionV>
            <wp:extent cx="8890" cy="1200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68" w:right="35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60</w:t>
      </w:r>
    </w:p>
    <w:p>
      <w:pPr>
        <w:sectPr>
          <w:pgSz w:w="11900" w:h="16838" w:orient="portrait"/>
          <w:cols w:equalWidth="0" w:num="3">
            <w:col w:w="4580" w:space="540"/>
            <w:col w:w="1040" w:space="360"/>
            <w:col w:w="4700"/>
          </w:cols>
          <w:pgMar w:left="320" w:top="1368" w:right="359" w:bottom="1440" w:gutter="0" w:footer="0" w:header="0"/>
          <w:type w:val="continuous"/>
        </w:sectPr>
      </w:pPr>
    </w:p>
    <w:bookmarkStart w:id="63" w:name="page64"/>
    <w:bookmarkEnd w:id="63"/>
    <w:p>
      <w:pPr>
        <w:ind w:right="260"/>
        <w:spacing w:after="0" w:line="260" w:lineRule="auto"/>
        <w:rPr>
          <w:sz w:val="20"/>
          <w:szCs w:val="20"/>
          <w:color w:val="auto"/>
        </w:rPr>
      </w:pPr>
      <w:r>
        <w:rPr>
          <w:rFonts w:ascii="Arial" w:cs="Arial" w:eastAsia="Arial" w:hAnsi="Arial"/>
          <w:sz w:val="16"/>
          <w:szCs w:val="16"/>
          <w:color w:val="auto"/>
        </w:rPr>
        <w:t>test-and-learn approach across our marketing channels, as well as an expansion of the diversity and breadth of our omnichannel marketing efforts, which together enabled the acquisition of higher quality prospects.</w:t>
      </w:r>
    </w:p>
    <w:p>
      <w:pPr>
        <w:spacing w:after="0" w:line="19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Segment profit for the Medicare—External segment was $5.9 million for the twelve months ended December 31, 2020 compared to $10.6 million for the Successor 2019 Period and $4.9 million for the Predecessor 2019 Period. The $9.5 million, or 61.6%, decrease was primarily attributable to agreements with external agents and other partners that had a higher revenue-sharing percentage as compared to prior agreements, which ultimately increased the amount of expense we recognized pursuant to these revenue-sharing agreements.</w:t>
      </w:r>
    </w:p>
    <w:p>
      <w:pPr>
        <w:spacing w:after="0" w:line="202"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Segment profit for the IFP and Other—Internal segment was $4.3 million for the twelve months ended December 31, 2020 compared to $1.7 million for the Successor 2019 Period and $2.2 million for the Predecessor 2019 Period. The $0.4 million, or 11.0%, increase was primarily attributable to a change in product mix sold by agents for IFP and Other plans, as well as an overall strategic shift towards Medicare products.</w:t>
      </w:r>
    </w:p>
    <w:p>
      <w:pPr>
        <w:spacing w:after="0" w:line="20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Segment profit for the IFP and Other—External segment was $1.9 million for the twelve months ended December 31, 2020 compared to $0.6 million for the Successor 2019 Period and $1.7 million for the Predecessor 2019 Period. The $0.4 million, or 18.1%, decrease was primarily attributable to a change in product mix sold by external agencies, as well as an overall strategic shift towards Medicare products.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and Operating Metrics by Segment</w:t>
      </w:r>
    </w:p>
    <w:p>
      <w:pPr>
        <w:spacing w:after="0" w:line="241" w:lineRule="exact"/>
        <w:rPr>
          <w:sz w:val="20"/>
          <w:szCs w:val="20"/>
          <w:color w:val="auto"/>
        </w:rPr>
      </w:pPr>
    </w:p>
    <w:p>
      <w:pPr>
        <w:ind w:right="520"/>
        <w:spacing w:after="0" w:line="253"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Below are the most relevant business and operating metrics for each segment, except for EBITDA and Adjusted EBITDA, which are not presented on a segment basis.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Medicare Segments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Lifetime Value of Commissions per Consumer Acquisition Cost</w:t>
      </w:r>
    </w:p>
    <w:p>
      <w:pPr>
        <w:spacing w:after="0" w:line="237" w:lineRule="exact"/>
        <w:rPr>
          <w:sz w:val="20"/>
          <w:szCs w:val="20"/>
          <w:color w:val="auto"/>
        </w:rPr>
      </w:pPr>
    </w:p>
    <w:p>
      <w:pPr>
        <w:ind w:right="180"/>
        <w:spacing w:after="0" w:line="247" w:lineRule="auto"/>
        <w:rPr>
          <w:sz w:val="20"/>
          <w:szCs w:val="20"/>
          <w:color w:val="auto"/>
        </w:rPr>
      </w:pPr>
      <w:r>
        <w:rPr>
          <w:rFonts w:ascii="Arial" w:cs="Arial" w:eastAsia="Arial" w:hAnsi="Arial"/>
          <w:sz w:val="16"/>
          <w:szCs w:val="16"/>
          <w:color w:val="auto"/>
        </w:rPr>
        <w:t>Lifetime value of commissions per consumer acquisition cost, or LTV/CAC,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qualified prospect into a Submitted Policy (comprised of cost of revenue, marketing and advertising expenses and customer care and enrollment expenses) less other non-commission carrier revenue for such period, or CAC. CAC is comprised of cost of revenue, marketing and advertising expenses and customer care and enrollment expenses less enterprise revenue and is presented on a per commissionable Approved Submission basis. The estimate of the future renewal commissions is determined by using the contracted renewal commission rates constrained by a persistency-adjusted renewal period. The persistency-adjusted renewal period is determined based on our historical experience and available industry and insurance carrier historical data. Persistency-adjustments allow us to estimate renewal revenue only to the extent probable that a material reversal in revenue would not be expected to occur. These factors may result in varying values from period to period. See “Risk Factors—Risks Related to Our Business—Our operating results may be adversely impacted by factors that impact our estimate of LTV” in this Annual Report on Form 10-K.</w:t>
      </w:r>
    </w:p>
    <w:p>
      <w:pPr>
        <w:spacing w:after="0" w:line="212"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LTV/CAC for the Medicare—Internal segment was 3.0x (with a CAC of $162.2 million) for the twelve months ended December 31, 2020, 5.1x (with a CAC of $32.5 million) for the Successor 2019 Period and 2.7x (with a CAC of $30.7 million) for the Predecessor 2019 Period. The decrease in LTV/CAC is attributable to the hiring and training of additional agents and the implementation of new marketing strategies to drive the conversion of a greater number of qualified prospects into commissionable Approved Submissions, which increased 87% year over year in the Medicare—Internal segment.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Submitted Policies</w:t>
      </w:r>
    </w:p>
    <w:p>
      <w:pPr>
        <w:spacing w:after="0" w:line="23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Submitted Policies represent completed applications that, with respect to each such application, the consumer has authorized us to submit to the carrier. The applicant may need to take additional actions, including providing subsequent information before the application is reviewed by the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294005</wp:posOffset>
            </wp:positionV>
            <wp:extent cx="8255" cy="1200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294005</wp:posOffset>
            </wp:positionV>
            <wp:extent cx="8890" cy="1200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43"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61</w:t>
      </w:r>
    </w:p>
    <w:p>
      <w:pPr>
        <w:sectPr>
          <w:pgSz w:w="11900" w:h="16838" w:orient="portrait"/>
          <w:cols w:equalWidth="0" w:num="3">
            <w:col w:w="4580" w:space="540"/>
            <w:col w:w="1040" w:space="360"/>
            <w:col w:w="4700"/>
          </w:cols>
          <w:pgMar w:left="320" w:top="1343" w:right="359" w:bottom="1440" w:gutter="0" w:footer="0" w:header="0"/>
          <w:type w:val="continuous"/>
        </w:sectPr>
      </w:pPr>
    </w:p>
    <w:bookmarkStart w:id="64" w:name="page65"/>
    <w:bookmarkEnd w:id="64"/>
    <w:p>
      <w:pPr>
        <w:ind w:right="20"/>
        <w:spacing w:after="0" w:line="253" w:lineRule="auto"/>
        <w:rPr>
          <w:sz w:val="20"/>
          <w:szCs w:val="20"/>
          <w:color w:val="auto"/>
        </w:rPr>
      </w:pPr>
      <w:r>
        <w:rPr>
          <w:rFonts w:ascii="Arial" w:cs="Arial" w:eastAsia="Arial" w:hAnsi="Arial"/>
          <w:sz w:val="16"/>
          <w:szCs w:val="16"/>
          <w:color w:val="auto"/>
        </w:rPr>
        <w:t>The following table presents the number of Submitted Policies by product for the Medicare segments for the periods presented, split between those submissions that are commissionable (compensated through commissions received from carriers) and those that are non-commissionable (compensated via hourly fees and enrollment fees):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60" w:type="dxa"/>
            <w:vAlign w:val="bottom"/>
          </w:tcPr>
          <w:p>
            <w:pPr>
              <w:spacing w:after="0"/>
              <w:rPr>
                <w:sz w:val="16"/>
                <w:szCs w:val="16"/>
                <w:color w:val="auto"/>
              </w:rPr>
            </w:pPr>
          </w:p>
        </w:tc>
        <w:tc>
          <w:tcPr>
            <w:tcW w:w="248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12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Twelve months</w:t>
            </w:r>
          </w:p>
        </w:tc>
        <w:tc>
          <w:tcPr>
            <w:tcW w:w="1320" w:type="dxa"/>
            <w:vAlign w:val="bottom"/>
            <w:tcBorders>
              <w:right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Period from Sep.</w:t>
            </w:r>
          </w:p>
        </w:tc>
        <w:tc>
          <w:tcPr>
            <w:tcW w:w="12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Period from Jan.</w:t>
            </w:r>
          </w:p>
        </w:tc>
        <w:tc>
          <w:tcPr>
            <w:tcW w:w="12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Twelve months</w:t>
            </w:r>
          </w:p>
        </w:tc>
        <w:tc>
          <w:tcPr>
            <w:tcW w:w="0" w:type="dxa"/>
            <w:vAlign w:val="bottom"/>
          </w:tcPr>
          <w:p>
            <w:pPr>
              <w:spacing w:after="0"/>
              <w:rPr>
                <w:sz w:val="1"/>
                <w:szCs w:val="1"/>
                <w:color w:val="auto"/>
              </w:rPr>
            </w:pPr>
          </w:p>
        </w:tc>
      </w:tr>
      <w:tr>
        <w:trPr>
          <w:trHeight w:val="135"/>
        </w:trPr>
        <w:tc>
          <w:tcPr>
            <w:tcW w:w="6160" w:type="dxa"/>
            <w:vAlign w:val="bottom"/>
            <w:vMerge w:val="restart"/>
          </w:tcPr>
          <w:p>
            <w:pPr>
              <w:ind w:left="20"/>
              <w:spacing w:after="0"/>
              <w:rPr>
                <w:sz w:val="20"/>
                <w:szCs w:val="20"/>
                <w:color w:val="auto"/>
              </w:rPr>
            </w:pPr>
            <w:r>
              <w:rPr>
                <w:rFonts w:ascii="Arial" w:cs="Arial" w:eastAsia="Arial" w:hAnsi="Arial"/>
                <w:sz w:val="14"/>
                <w:szCs w:val="14"/>
                <w:color w:val="auto"/>
              </w:rPr>
              <w:t>(in actuals)</w:t>
            </w: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ended Dec. 31,</w:t>
            </w:r>
          </w:p>
        </w:tc>
        <w:tc>
          <w:tcPr>
            <w:tcW w:w="1320" w:type="dxa"/>
            <w:vAlign w:val="bottom"/>
            <w:tcBorders>
              <w:right w:val="single" w:sz="8" w:color="auto"/>
            </w:tcBorders>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13, 2019 through</w:t>
            </w: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1, 2019 through</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ended Dec. 31,</w:t>
            </w:r>
          </w:p>
        </w:tc>
        <w:tc>
          <w:tcPr>
            <w:tcW w:w="0" w:type="dxa"/>
            <w:vAlign w:val="bottom"/>
          </w:tcPr>
          <w:p>
            <w:pPr>
              <w:spacing w:after="0"/>
              <w:rPr>
                <w:sz w:val="1"/>
                <w:szCs w:val="1"/>
                <w:color w:val="auto"/>
              </w:rPr>
            </w:pPr>
          </w:p>
        </w:tc>
      </w:tr>
      <w:tr>
        <w:trPr>
          <w:trHeight w:val="175"/>
        </w:trPr>
        <w:tc>
          <w:tcPr>
            <w:tcW w:w="6160" w:type="dxa"/>
            <w:vAlign w:val="bottom"/>
            <w:vMerge w:val="continue"/>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132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Dec. 31, 2019</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 12, 2019</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Medicare Advantage</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644,669</w:t>
            </w: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222,599</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134,173</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91,314</w:t>
            </w:r>
          </w:p>
        </w:tc>
        <w:tc>
          <w:tcPr>
            <w:tcW w:w="0" w:type="dxa"/>
            <w:vAlign w:val="bottom"/>
          </w:tcPr>
          <w:p>
            <w:pPr>
              <w:spacing w:after="0"/>
              <w:rPr>
                <w:sz w:val="1"/>
                <w:szCs w:val="1"/>
                <w:color w:val="auto"/>
              </w:rPr>
            </w:pPr>
          </w:p>
        </w:tc>
      </w:tr>
      <w:tr>
        <w:trPr>
          <w:trHeight w:val="189"/>
        </w:trPr>
        <w:tc>
          <w:tcPr>
            <w:tcW w:w="6160" w:type="dxa"/>
            <w:vAlign w:val="bottom"/>
          </w:tcPr>
          <w:p>
            <w:pPr>
              <w:ind w:left="20"/>
              <w:spacing w:after="0"/>
              <w:rPr>
                <w:sz w:val="20"/>
                <w:szCs w:val="20"/>
                <w:color w:val="auto"/>
              </w:rPr>
            </w:pPr>
            <w:r>
              <w:rPr>
                <w:rFonts w:ascii="Arial" w:cs="Arial" w:eastAsia="Arial" w:hAnsi="Arial"/>
                <w:sz w:val="14"/>
                <w:szCs w:val="14"/>
                <w:color w:val="auto"/>
              </w:rPr>
              <w:t>Medicare Supplement</w:t>
            </w:r>
          </w:p>
        </w:tc>
        <w:tc>
          <w:tcPr>
            <w:tcW w:w="1200" w:type="dxa"/>
            <w:vAlign w:val="bottom"/>
          </w:tcPr>
          <w:p>
            <w:pPr>
              <w:jc w:val="right"/>
              <w:spacing w:after="0"/>
              <w:rPr>
                <w:sz w:val="20"/>
                <w:szCs w:val="20"/>
                <w:color w:val="auto"/>
              </w:rPr>
            </w:pPr>
            <w:r>
              <w:rPr>
                <w:rFonts w:ascii="Arial" w:cs="Arial" w:eastAsia="Arial" w:hAnsi="Arial"/>
                <w:sz w:val="14"/>
                <w:szCs w:val="14"/>
                <w:color w:val="auto"/>
              </w:rPr>
              <w:t>9,119</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7,444</w:t>
            </w:r>
          </w:p>
        </w:tc>
        <w:tc>
          <w:tcPr>
            <w:tcW w:w="120" w:type="dxa"/>
            <w:vAlign w:val="bottom"/>
            <w:tcBorders>
              <w:right w:val="single" w:sz="8" w:color="auto"/>
            </w:tcBorders>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11,205</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11,606</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Prescription Drug Plans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16,762</w:t>
            </w:r>
          </w:p>
        </w:tc>
        <w:tc>
          <w:tcPr>
            <w:tcW w:w="8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13,838</w:t>
            </w:r>
          </w:p>
        </w:tc>
        <w:tc>
          <w:tcPr>
            <w:tcW w:w="120" w:type="dxa"/>
            <w:vAlign w:val="bottom"/>
            <w:tcBorders>
              <w:right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7,675</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12,617</w:t>
            </w:r>
          </w:p>
        </w:tc>
        <w:tc>
          <w:tcPr>
            <w:tcW w:w="0" w:type="dxa"/>
            <w:vAlign w:val="bottom"/>
          </w:tcPr>
          <w:p>
            <w:pPr>
              <w:spacing w:after="0"/>
              <w:rPr>
                <w:sz w:val="1"/>
                <w:szCs w:val="1"/>
                <w:color w:val="auto"/>
              </w:rPr>
            </w:pPr>
          </w:p>
        </w:tc>
      </w:tr>
      <w:tr>
        <w:trPr>
          <w:trHeight w:val="18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Medicare—Commissionable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670,550</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243,881</w:t>
            </w:r>
          </w:p>
        </w:tc>
        <w:tc>
          <w:tcPr>
            <w:tcW w:w="120" w:type="dxa"/>
            <w:vAlign w:val="bottom"/>
            <w:tcBorders>
              <w:bottom w:val="single" w:sz="8" w:color="CCEEFF"/>
              <w:right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153,053</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115,537</w:t>
            </w: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Medicare Advantage</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44,799</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17,775</w:t>
            </w:r>
          </w:p>
        </w:tc>
        <w:tc>
          <w:tcPr>
            <w:tcW w:w="120" w:type="dxa"/>
            <w:vAlign w:val="bottom"/>
            <w:tcBorders>
              <w:right w:val="single" w:sz="8" w:color="auto"/>
            </w:tcBorders>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4,240</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w:t>
            </w:r>
          </w:p>
        </w:tc>
        <w:tc>
          <w:tcPr>
            <w:tcW w:w="0" w:type="dxa"/>
            <w:vAlign w:val="bottom"/>
          </w:tcPr>
          <w:p>
            <w:pPr>
              <w:spacing w:after="0"/>
              <w:rPr>
                <w:sz w:val="1"/>
                <w:szCs w:val="1"/>
                <w:color w:val="auto"/>
              </w:rPr>
            </w:pPr>
          </w:p>
        </w:tc>
      </w:tr>
      <w:tr>
        <w:trPr>
          <w:trHeight w:val="189"/>
        </w:trPr>
        <w:tc>
          <w:tcPr>
            <w:tcW w:w="6160" w:type="dxa"/>
            <w:vAlign w:val="bottom"/>
          </w:tcPr>
          <w:p>
            <w:pPr>
              <w:ind w:left="20"/>
              <w:spacing w:after="0"/>
              <w:rPr>
                <w:sz w:val="20"/>
                <w:szCs w:val="20"/>
                <w:color w:val="auto"/>
              </w:rPr>
            </w:pPr>
            <w:r>
              <w:rPr>
                <w:rFonts w:ascii="Arial" w:cs="Arial" w:eastAsia="Arial" w:hAnsi="Arial"/>
                <w:sz w:val="14"/>
                <w:szCs w:val="14"/>
                <w:color w:val="auto"/>
              </w:rPr>
              <w:t>Medicare Supplement</w:t>
            </w:r>
          </w:p>
        </w:tc>
        <w:tc>
          <w:tcPr>
            <w:tcW w:w="1200" w:type="dxa"/>
            <w:vAlign w:val="bottom"/>
          </w:tcPr>
          <w:p>
            <w:pPr>
              <w:jc w:val="right"/>
              <w:spacing w:after="0"/>
              <w:rPr>
                <w:sz w:val="20"/>
                <w:szCs w:val="20"/>
                <w:color w:val="auto"/>
              </w:rPr>
            </w:pPr>
            <w:r>
              <w:rPr>
                <w:rFonts w:ascii="Arial" w:cs="Arial" w:eastAsia="Arial" w:hAnsi="Arial"/>
                <w:sz w:val="14"/>
                <w:szCs w:val="14"/>
                <w:color w:val="auto"/>
              </w:rPr>
              <w:t>8,782</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4,185</w:t>
            </w:r>
          </w:p>
        </w:tc>
        <w:tc>
          <w:tcPr>
            <w:tcW w:w="120" w:type="dxa"/>
            <w:vAlign w:val="bottom"/>
            <w:tcBorders>
              <w:right w:val="single" w:sz="8" w:color="auto"/>
            </w:tcBorders>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1,051</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1,340</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Prescription Drug Plans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5,781</w:t>
            </w:r>
          </w:p>
        </w:tc>
        <w:tc>
          <w:tcPr>
            <w:tcW w:w="8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3,041</w:t>
            </w:r>
          </w:p>
        </w:tc>
        <w:tc>
          <w:tcPr>
            <w:tcW w:w="120" w:type="dxa"/>
            <w:vAlign w:val="bottom"/>
            <w:tcBorders>
              <w:right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8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Medicare—Non-commissionable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59,362</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25,001</w:t>
            </w:r>
          </w:p>
        </w:tc>
        <w:tc>
          <w:tcPr>
            <w:tcW w:w="120" w:type="dxa"/>
            <w:vAlign w:val="bottom"/>
            <w:tcBorders>
              <w:bottom w:val="single" w:sz="8" w:color="CCEEFF"/>
              <w:right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5,762</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2,839</w:t>
            </w:r>
          </w:p>
        </w:tc>
        <w:tc>
          <w:tcPr>
            <w:tcW w:w="0" w:type="dxa"/>
            <w:vAlign w:val="bottom"/>
          </w:tcPr>
          <w:p>
            <w:pPr>
              <w:spacing w:after="0"/>
              <w:rPr>
                <w:sz w:val="1"/>
                <w:szCs w:val="1"/>
                <w:color w:val="auto"/>
              </w:rPr>
            </w:pPr>
          </w:p>
        </w:tc>
      </w:tr>
      <w:tr>
        <w:trPr>
          <w:trHeight w:val="20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Medicare Submitted Policies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729,912</w:t>
            </w: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268,882</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158,815</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118,376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Total Medicare Submitted Policies were 729,912 for the twelve months ended December 31, 2020, 268,882 for the Successor 2019 Period and 158,815 for the Predecessor 2019 Period. The increase is attributable to improved multichannel marketing strategies that allowed us to generate a greater number of high quality prospects, along with increased efficiency of our agents. Agent efficiency increased due to the implementation of more efficient marketing strategies and improvements in our LeadScore and call-routing technologies, which allowed our agents to increase the number of qualified prospects they are able to talk to and improve the rate at which a qualified prospect converts to a Submitted Policy. Additionally, the successful hiring, onboarding, and training of additional agents contributed to the increase in Submitted Policies. We were also able to drive an increase in total Submitted Policies in the Medicare—External segment due to our ability to recruit and onboard additional external agents to enroll consumers in Medicare plans using our technology and platform.</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Approved Submissions</w:t>
      </w:r>
    </w:p>
    <w:p>
      <w:pPr>
        <w:spacing w:after="0" w:line="237" w:lineRule="exact"/>
        <w:rPr>
          <w:sz w:val="20"/>
          <w:szCs w:val="20"/>
          <w:color w:val="auto"/>
        </w:rPr>
      </w:pPr>
    </w:p>
    <w:p>
      <w:pPr>
        <w:ind w:right="420"/>
        <w:spacing w:after="0" w:line="251" w:lineRule="auto"/>
        <w:rPr>
          <w:sz w:val="20"/>
          <w:szCs w:val="20"/>
          <w:color w:val="auto"/>
        </w:rPr>
      </w:pPr>
      <w:r>
        <w:rPr>
          <w:rFonts w:ascii="Arial" w:cs="Arial" w:eastAsia="Arial" w:hAnsi="Arial"/>
          <w:sz w:val="16"/>
          <w:szCs w:val="16"/>
          <w:color w:val="auto"/>
        </w:rPr>
        <w:t>Approved Submissions represent Submitted Policies approved by carriers for the identified product during the indicated period. Not all Approved Submissions will go in force, as some individuals we enroll may not ultimately pay their insurance premiums or may switch out of a policy within the disenrollment period during the first 90 days of the policy. In general, the relationship between Submitted Policies and Approved Submissions has been steady over time. Therefore, factors impacting the number of Submitted Policies also impact the number of Approved Submissions.</w:t>
      </w:r>
    </w:p>
    <w:p>
      <w:pPr>
        <w:spacing w:after="0" w:line="20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following tables present the number of Approved Submissions by product relating to commissionable policies for each of the Medicare segments for the periods presented. Only commissionable policies are used to calculate our LTV.</w:t>
      </w:r>
    </w:p>
    <w:p>
      <w:pPr>
        <w:sectPr>
          <w:pgSz w:w="11900" w:h="16838" w:orient="portrait"/>
          <w:cols w:equalWidth="0" w:num="1">
            <w:col w:w="11240"/>
          </w:cols>
          <w:pgMar w:left="320" w:top="1343" w:right="339" w:bottom="1440" w:gutter="0" w:footer="0" w:header="0"/>
        </w:sectPr>
      </w:pP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Medicare—Internal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925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140" w:type="dxa"/>
            <w:vAlign w:val="bottom"/>
          </w:tcPr>
          <w:p>
            <w:pPr>
              <w:spacing w:after="0"/>
              <w:rPr>
                <w:sz w:val="16"/>
                <w:szCs w:val="16"/>
                <w:color w:val="auto"/>
              </w:rPr>
            </w:pPr>
          </w:p>
        </w:tc>
        <w:tc>
          <w:tcPr>
            <w:tcW w:w="248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12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Twelve months</w:t>
            </w:r>
          </w:p>
        </w:tc>
        <w:tc>
          <w:tcPr>
            <w:tcW w:w="12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Period from Sep.</w:t>
            </w:r>
          </w:p>
        </w:tc>
        <w:tc>
          <w:tcPr>
            <w:tcW w:w="0" w:type="dxa"/>
            <w:vAlign w:val="bottom"/>
          </w:tcPr>
          <w:p>
            <w:pPr>
              <w:spacing w:after="0"/>
              <w:rPr>
                <w:sz w:val="1"/>
                <w:szCs w:val="1"/>
                <w:color w:val="auto"/>
              </w:rPr>
            </w:pPr>
          </w:p>
        </w:tc>
      </w:tr>
      <w:tr>
        <w:trPr>
          <w:trHeight w:val="135"/>
        </w:trPr>
        <w:tc>
          <w:tcPr>
            <w:tcW w:w="6140" w:type="dxa"/>
            <w:vAlign w:val="bottom"/>
            <w:vMerge w:val="restart"/>
          </w:tcPr>
          <w:p>
            <w:pPr>
              <w:spacing w:after="0"/>
              <w:rPr>
                <w:sz w:val="20"/>
                <w:szCs w:val="20"/>
                <w:color w:val="auto"/>
              </w:rPr>
            </w:pPr>
            <w:r>
              <w:rPr>
                <w:rFonts w:ascii="Arial" w:cs="Arial" w:eastAsia="Arial" w:hAnsi="Arial"/>
                <w:sz w:val="14"/>
                <w:szCs w:val="14"/>
                <w:color w:val="auto"/>
              </w:rPr>
              <w:t>(in actuals)</w:t>
            </w: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ended Dec. 31,</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13, 2019 through</w:t>
            </w:r>
          </w:p>
        </w:tc>
        <w:tc>
          <w:tcPr>
            <w:tcW w:w="0" w:type="dxa"/>
            <w:vAlign w:val="bottom"/>
          </w:tcPr>
          <w:p>
            <w:pPr>
              <w:spacing w:after="0"/>
              <w:rPr>
                <w:sz w:val="1"/>
                <w:szCs w:val="1"/>
                <w:color w:val="auto"/>
              </w:rPr>
            </w:pPr>
          </w:p>
        </w:tc>
      </w:tr>
      <w:tr>
        <w:trPr>
          <w:trHeight w:val="176"/>
        </w:trPr>
        <w:tc>
          <w:tcPr>
            <w:tcW w:w="6140" w:type="dxa"/>
            <w:vAlign w:val="bottom"/>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 31, 2019</w:t>
            </w:r>
          </w:p>
        </w:tc>
        <w:tc>
          <w:tcPr>
            <w:tcW w:w="0" w:type="dxa"/>
            <w:vAlign w:val="bottom"/>
          </w:tcPr>
          <w:p>
            <w:pPr>
              <w:spacing w:after="0"/>
              <w:rPr>
                <w:sz w:val="1"/>
                <w:szCs w:val="1"/>
                <w:color w:val="auto"/>
              </w:rPr>
            </w:pPr>
          </w:p>
        </w:tc>
      </w:tr>
      <w:tr>
        <w:trPr>
          <w:trHeight w:val="184"/>
        </w:trPr>
        <w:tc>
          <w:tcPr>
            <w:tcW w:w="6140" w:type="dxa"/>
            <w:vAlign w:val="bottom"/>
          </w:tcPr>
          <w:p>
            <w:pPr>
              <w:spacing w:after="0"/>
              <w:rPr>
                <w:sz w:val="20"/>
                <w:szCs w:val="20"/>
                <w:color w:val="auto"/>
              </w:rPr>
            </w:pPr>
            <w:r>
              <w:rPr>
                <w:rFonts w:ascii="Arial" w:cs="Arial" w:eastAsia="Arial" w:hAnsi="Arial"/>
                <w:sz w:val="14"/>
                <w:szCs w:val="14"/>
                <w:color w:val="auto"/>
              </w:rPr>
              <w:t>Medicare Advantage</w:t>
            </w:r>
          </w:p>
        </w:tc>
        <w:tc>
          <w:tcPr>
            <w:tcW w:w="1200" w:type="dxa"/>
            <w:vAlign w:val="bottom"/>
          </w:tcPr>
          <w:p>
            <w:pPr>
              <w:jc w:val="right"/>
              <w:spacing w:after="0"/>
              <w:rPr>
                <w:sz w:val="20"/>
                <w:szCs w:val="20"/>
                <w:color w:val="auto"/>
              </w:rPr>
            </w:pPr>
            <w:r>
              <w:rPr>
                <w:rFonts w:ascii="Arial" w:cs="Arial" w:eastAsia="Arial" w:hAnsi="Arial"/>
                <w:sz w:val="14"/>
                <w:szCs w:val="14"/>
                <w:color w:val="auto"/>
              </w:rPr>
              <w:t>478,863</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159,969</w:t>
            </w:r>
          </w:p>
        </w:tc>
        <w:tc>
          <w:tcPr>
            <w:tcW w:w="0" w:type="dxa"/>
            <w:vAlign w:val="bottom"/>
          </w:tcPr>
          <w:p>
            <w:pPr>
              <w:spacing w:after="0"/>
              <w:rPr>
                <w:sz w:val="1"/>
                <w:szCs w:val="1"/>
                <w:color w:val="auto"/>
              </w:rPr>
            </w:pPr>
          </w:p>
        </w:tc>
      </w:tr>
      <w:tr>
        <w:trPr>
          <w:trHeight w:val="189"/>
        </w:trPr>
        <w:tc>
          <w:tcPr>
            <w:tcW w:w="6140" w:type="dxa"/>
            <w:vAlign w:val="bottom"/>
          </w:tcPr>
          <w:p>
            <w:pPr>
              <w:spacing w:after="0"/>
              <w:rPr>
                <w:sz w:val="20"/>
                <w:szCs w:val="20"/>
                <w:color w:val="auto"/>
              </w:rPr>
            </w:pPr>
            <w:r>
              <w:rPr>
                <w:rFonts w:ascii="Arial" w:cs="Arial" w:eastAsia="Arial" w:hAnsi="Arial"/>
                <w:sz w:val="14"/>
                <w:szCs w:val="14"/>
                <w:color w:val="auto"/>
              </w:rPr>
              <w:t>Medicare Supplement</w:t>
            </w:r>
          </w:p>
        </w:tc>
        <w:tc>
          <w:tcPr>
            <w:tcW w:w="1200" w:type="dxa"/>
            <w:vAlign w:val="bottom"/>
          </w:tcPr>
          <w:p>
            <w:pPr>
              <w:jc w:val="right"/>
              <w:spacing w:after="0"/>
              <w:rPr>
                <w:sz w:val="20"/>
                <w:szCs w:val="20"/>
                <w:color w:val="auto"/>
              </w:rPr>
            </w:pPr>
            <w:r>
              <w:rPr>
                <w:rFonts w:ascii="Arial" w:cs="Arial" w:eastAsia="Arial" w:hAnsi="Arial"/>
                <w:sz w:val="14"/>
                <w:szCs w:val="14"/>
                <w:color w:val="auto"/>
              </w:rPr>
              <w:t>3,116</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1,852</w:t>
            </w:r>
          </w:p>
        </w:tc>
        <w:tc>
          <w:tcPr>
            <w:tcW w:w="0" w:type="dxa"/>
            <w:vAlign w:val="bottom"/>
          </w:tcPr>
          <w:p>
            <w:pPr>
              <w:spacing w:after="0"/>
              <w:rPr>
                <w:sz w:val="1"/>
                <w:szCs w:val="1"/>
                <w:color w:val="auto"/>
              </w:rPr>
            </w:pPr>
          </w:p>
        </w:tc>
      </w:tr>
      <w:tr>
        <w:trPr>
          <w:trHeight w:val="188"/>
        </w:trPr>
        <w:tc>
          <w:tcPr>
            <w:tcW w:w="6140" w:type="dxa"/>
            <w:vAlign w:val="bottom"/>
          </w:tcPr>
          <w:p>
            <w:pPr>
              <w:spacing w:after="0"/>
              <w:rPr>
                <w:sz w:val="20"/>
                <w:szCs w:val="20"/>
                <w:color w:val="auto"/>
              </w:rPr>
            </w:pPr>
            <w:r>
              <w:rPr>
                <w:rFonts w:ascii="Arial" w:cs="Arial" w:eastAsia="Arial" w:hAnsi="Arial"/>
                <w:sz w:val="14"/>
                <w:szCs w:val="14"/>
                <w:color w:val="auto"/>
              </w:rPr>
              <w:t>Prescription Drug Plans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13,582</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8,943</w:t>
            </w:r>
          </w:p>
        </w:tc>
        <w:tc>
          <w:tcPr>
            <w:tcW w:w="0" w:type="dxa"/>
            <w:vAlign w:val="bottom"/>
          </w:tcPr>
          <w:p>
            <w:pPr>
              <w:spacing w:after="0"/>
              <w:rPr>
                <w:sz w:val="1"/>
                <w:szCs w:val="1"/>
                <w:color w:val="auto"/>
              </w:rPr>
            </w:pPr>
          </w:p>
        </w:tc>
      </w:tr>
      <w:tr>
        <w:trPr>
          <w:trHeight w:val="183"/>
        </w:trPr>
        <w:tc>
          <w:tcPr>
            <w:tcW w:w="6140" w:type="dxa"/>
            <w:vAlign w:val="bottom"/>
          </w:tcPr>
          <w:p>
            <w:pPr>
              <w:spacing w:after="0"/>
              <w:rPr>
                <w:sz w:val="20"/>
                <w:szCs w:val="20"/>
                <w:color w:val="auto"/>
              </w:rPr>
            </w:pPr>
            <w:r>
              <w:rPr>
                <w:rFonts w:ascii="Arial" w:cs="Arial" w:eastAsia="Arial" w:hAnsi="Arial"/>
                <w:sz w:val="14"/>
                <w:szCs w:val="14"/>
                <w:color w:val="auto"/>
              </w:rPr>
              <w:t>Total Medicare—Internal Commissionable Approved Submissions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495,561</w:t>
            </w:r>
          </w:p>
        </w:tc>
        <w:tc>
          <w:tcPr>
            <w:tcW w:w="8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170,764</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Predecessor</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Period from Jan.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Twelve months</w:t>
            </w:r>
          </w:p>
        </w:tc>
      </w:tr>
      <w:tr>
        <w:trPr>
          <w:trHeight w:val="135"/>
        </w:trPr>
        <w:tc>
          <w:tcPr>
            <w:tcW w:w="13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1, 2019 through</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ended Dec. 31,</w:t>
            </w:r>
          </w:p>
        </w:tc>
      </w:tr>
      <w:tr>
        <w:trPr>
          <w:trHeight w:val="176"/>
        </w:trPr>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Sep. 12, 2019</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r>
      <w:tr>
        <w:trPr>
          <w:trHeight w:val="184"/>
        </w:trPr>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86,544</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45,876</w:t>
            </w:r>
          </w:p>
        </w:tc>
      </w:tr>
      <w:tr>
        <w:trPr>
          <w:trHeight w:val="189"/>
        </w:trPr>
        <w:tc>
          <w:tcPr>
            <w:tcW w:w="1200" w:type="dxa"/>
            <w:vAlign w:val="bottom"/>
          </w:tcPr>
          <w:p>
            <w:pPr>
              <w:jc w:val="right"/>
              <w:spacing w:after="0"/>
              <w:rPr>
                <w:sz w:val="20"/>
                <w:szCs w:val="20"/>
                <w:color w:val="auto"/>
              </w:rPr>
            </w:pPr>
            <w:r>
              <w:rPr>
                <w:rFonts w:ascii="Arial" w:cs="Arial" w:eastAsia="Arial" w:hAnsi="Arial"/>
                <w:sz w:val="14"/>
                <w:szCs w:val="14"/>
                <w:color w:val="auto"/>
              </w:rPr>
              <w:t>3,198</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3,753</w:t>
            </w:r>
          </w:p>
        </w:tc>
      </w:tr>
      <w:tr>
        <w:trPr>
          <w:trHeight w:val="188"/>
        </w:trPr>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5,078</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8,115</w:t>
            </w:r>
          </w:p>
        </w:tc>
      </w:tr>
      <w:tr>
        <w:trPr>
          <w:trHeight w:val="183"/>
        </w:trPr>
        <w:tc>
          <w:tcPr>
            <w:tcW w:w="1200" w:type="dxa"/>
            <w:vAlign w:val="bottom"/>
          </w:tcPr>
          <w:p>
            <w:pPr>
              <w:jc w:val="right"/>
              <w:spacing w:after="0"/>
              <w:rPr>
                <w:sz w:val="20"/>
                <w:szCs w:val="20"/>
                <w:color w:val="auto"/>
              </w:rPr>
            </w:pPr>
            <w:r>
              <w:rPr>
                <w:rFonts w:ascii="Arial" w:cs="Arial" w:eastAsia="Arial" w:hAnsi="Arial"/>
                <w:sz w:val="14"/>
                <w:szCs w:val="14"/>
                <w:color w:val="auto"/>
              </w:rPr>
              <w:t>94,820</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57,744</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640" w:space="100"/>
            <w:col w:w="2500"/>
          </w:cols>
          <w:pgMar w:left="320" w:top="1343" w:right="339" w:bottom="1440" w:gutter="0" w:footer="0" w:header="0"/>
          <w:type w:val="continuous"/>
        </w:sectPr>
      </w:pPr>
    </w:p>
    <w:p>
      <w:pPr>
        <w:spacing w:after="0" w:line="99"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Medicare—Internal commissionable Approved Submissions were 495,561 for the twelve months ended December 31, 2020, 170,764 for the Successor 2019 Period and 94,820 for the Predecessor 2019 Period. The increase was attributable to the hiring of additional agents, the increased efficiency of our agents due to technology improvements and improved multichannel marketing strategies that allowed us to generate a greater number of high quality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307340</wp:posOffset>
            </wp:positionV>
            <wp:extent cx="8255" cy="1200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307340</wp:posOffset>
            </wp:positionV>
            <wp:extent cx="8890" cy="1200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126365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62</w:t>
      </w:r>
    </w:p>
    <w:p>
      <w:pPr>
        <w:sectPr>
          <w:pgSz w:w="11900" w:h="16838" w:orient="portrait"/>
          <w:cols w:equalWidth="0" w:num="3">
            <w:col w:w="4580" w:space="540"/>
            <w:col w:w="1040" w:space="360"/>
            <w:col w:w="4720"/>
          </w:cols>
          <w:pgMar w:left="320" w:top="1343" w:right="339" w:bottom="1440" w:gutter="0" w:footer="0" w:header="0"/>
          <w:type w:val="continuous"/>
        </w:sectPr>
      </w:pPr>
    </w:p>
    <w:bookmarkStart w:id="65" w:name="page66"/>
    <w:bookmarkEnd w:id="65"/>
    <w:p>
      <w:pPr>
        <w:ind w:left="660"/>
        <w:spacing w:after="0"/>
        <w:rPr>
          <w:sz w:val="20"/>
          <w:szCs w:val="20"/>
          <w:color w:val="auto"/>
        </w:rPr>
      </w:pPr>
      <w:r>
        <w:rPr>
          <w:rFonts w:ascii="Arial" w:cs="Arial" w:eastAsia="Arial" w:hAnsi="Arial"/>
          <w:sz w:val="16"/>
          <w:szCs w:val="16"/>
          <w:i w:val="1"/>
          <w:iCs w:val="1"/>
          <w:color w:val="auto"/>
        </w:rPr>
        <w:t>Medicare—External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925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140" w:type="dxa"/>
            <w:vAlign w:val="bottom"/>
          </w:tcPr>
          <w:p>
            <w:pPr>
              <w:spacing w:after="0"/>
              <w:rPr>
                <w:sz w:val="16"/>
                <w:szCs w:val="16"/>
                <w:color w:val="auto"/>
              </w:rPr>
            </w:pPr>
          </w:p>
        </w:tc>
        <w:tc>
          <w:tcPr>
            <w:tcW w:w="248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12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Twelve months</w:t>
            </w:r>
          </w:p>
        </w:tc>
        <w:tc>
          <w:tcPr>
            <w:tcW w:w="12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Period from Sep.</w:t>
            </w:r>
          </w:p>
        </w:tc>
        <w:tc>
          <w:tcPr>
            <w:tcW w:w="0" w:type="dxa"/>
            <w:vAlign w:val="bottom"/>
          </w:tcPr>
          <w:p>
            <w:pPr>
              <w:spacing w:after="0"/>
              <w:rPr>
                <w:sz w:val="1"/>
                <w:szCs w:val="1"/>
                <w:color w:val="auto"/>
              </w:rPr>
            </w:pPr>
          </w:p>
        </w:tc>
      </w:tr>
      <w:tr>
        <w:trPr>
          <w:trHeight w:val="135"/>
        </w:trPr>
        <w:tc>
          <w:tcPr>
            <w:tcW w:w="6140" w:type="dxa"/>
            <w:vAlign w:val="bottom"/>
            <w:vMerge w:val="restart"/>
          </w:tcPr>
          <w:p>
            <w:pPr>
              <w:spacing w:after="0"/>
              <w:rPr>
                <w:sz w:val="20"/>
                <w:szCs w:val="20"/>
                <w:color w:val="auto"/>
              </w:rPr>
            </w:pPr>
            <w:r>
              <w:rPr>
                <w:rFonts w:ascii="Arial" w:cs="Arial" w:eastAsia="Arial" w:hAnsi="Arial"/>
                <w:sz w:val="14"/>
                <w:szCs w:val="14"/>
                <w:color w:val="auto"/>
              </w:rPr>
              <w:t>(in actuals)</w:t>
            </w: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ended Dec. 31,</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13, 2019 through</w:t>
            </w:r>
          </w:p>
        </w:tc>
        <w:tc>
          <w:tcPr>
            <w:tcW w:w="0" w:type="dxa"/>
            <w:vAlign w:val="bottom"/>
          </w:tcPr>
          <w:p>
            <w:pPr>
              <w:spacing w:after="0"/>
              <w:rPr>
                <w:sz w:val="1"/>
                <w:szCs w:val="1"/>
                <w:color w:val="auto"/>
              </w:rPr>
            </w:pPr>
          </w:p>
        </w:tc>
      </w:tr>
      <w:tr>
        <w:trPr>
          <w:trHeight w:val="176"/>
        </w:trPr>
        <w:tc>
          <w:tcPr>
            <w:tcW w:w="6140" w:type="dxa"/>
            <w:vAlign w:val="bottom"/>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 31, 2019</w:t>
            </w:r>
          </w:p>
        </w:tc>
        <w:tc>
          <w:tcPr>
            <w:tcW w:w="0" w:type="dxa"/>
            <w:vAlign w:val="bottom"/>
          </w:tcPr>
          <w:p>
            <w:pPr>
              <w:spacing w:after="0"/>
              <w:rPr>
                <w:sz w:val="1"/>
                <w:szCs w:val="1"/>
                <w:color w:val="auto"/>
              </w:rPr>
            </w:pPr>
          </w:p>
        </w:tc>
      </w:tr>
      <w:tr>
        <w:trPr>
          <w:trHeight w:val="184"/>
        </w:trPr>
        <w:tc>
          <w:tcPr>
            <w:tcW w:w="6140" w:type="dxa"/>
            <w:vAlign w:val="bottom"/>
          </w:tcPr>
          <w:p>
            <w:pPr>
              <w:spacing w:after="0"/>
              <w:rPr>
                <w:sz w:val="20"/>
                <w:szCs w:val="20"/>
                <w:color w:val="auto"/>
              </w:rPr>
            </w:pPr>
            <w:r>
              <w:rPr>
                <w:rFonts w:ascii="Arial" w:cs="Arial" w:eastAsia="Arial" w:hAnsi="Arial"/>
                <w:sz w:val="14"/>
                <w:szCs w:val="14"/>
                <w:color w:val="auto"/>
              </w:rPr>
              <w:t>Medicare Advantage</w:t>
            </w:r>
          </w:p>
        </w:tc>
        <w:tc>
          <w:tcPr>
            <w:tcW w:w="1200" w:type="dxa"/>
            <w:vAlign w:val="bottom"/>
          </w:tcPr>
          <w:p>
            <w:pPr>
              <w:jc w:val="right"/>
              <w:spacing w:after="0"/>
              <w:rPr>
                <w:sz w:val="20"/>
                <w:szCs w:val="20"/>
                <w:color w:val="auto"/>
              </w:rPr>
            </w:pPr>
            <w:r>
              <w:rPr>
                <w:rFonts w:ascii="Arial" w:cs="Arial" w:eastAsia="Arial" w:hAnsi="Arial"/>
                <w:sz w:val="14"/>
                <w:szCs w:val="14"/>
                <w:color w:val="auto"/>
              </w:rPr>
              <w:t>158,325</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53,852</w:t>
            </w:r>
          </w:p>
        </w:tc>
        <w:tc>
          <w:tcPr>
            <w:tcW w:w="0" w:type="dxa"/>
            <w:vAlign w:val="bottom"/>
          </w:tcPr>
          <w:p>
            <w:pPr>
              <w:spacing w:after="0"/>
              <w:rPr>
                <w:sz w:val="1"/>
                <w:szCs w:val="1"/>
                <w:color w:val="auto"/>
              </w:rPr>
            </w:pPr>
          </w:p>
        </w:tc>
      </w:tr>
      <w:tr>
        <w:trPr>
          <w:trHeight w:val="189"/>
        </w:trPr>
        <w:tc>
          <w:tcPr>
            <w:tcW w:w="6140" w:type="dxa"/>
            <w:vAlign w:val="bottom"/>
          </w:tcPr>
          <w:p>
            <w:pPr>
              <w:spacing w:after="0"/>
              <w:rPr>
                <w:sz w:val="20"/>
                <w:szCs w:val="20"/>
                <w:color w:val="auto"/>
              </w:rPr>
            </w:pPr>
            <w:r>
              <w:rPr>
                <w:rFonts w:ascii="Arial" w:cs="Arial" w:eastAsia="Arial" w:hAnsi="Arial"/>
                <w:sz w:val="14"/>
                <w:szCs w:val="14"/>
                <w:color w:val="auto"/>
              </w:rPr>
              <w:t>Medicare Supplement</w:t>
            </w:r>
          </w:p>
        </w:tc>
        <w:tc>
          <w:tcPr>
            <w:tcW w:w="1200" w:type="dxa"/>
            <w:vAlign w:val="bottom"/>
          </w:tcPr>
          <w:p>
            <w:pPr>
              <w:jc w:val="right"/>
              <w:spacing w:after="0"/>
              <w:rPr>
                <w:sz w:val="20"/>
                <w:szCs w:val="20"/>
                <w:color w:val="auto"/>
              </w:rPr>
            </w:pPr>
            <w:r>
              <w:rPr>
                <w:rFonts w:ascii="Arial" w:cs="Arial" w:eastAsia="Arial" w:hAnsi="Arial"/>
                <w:sz w:val="14"/>
                <w:szCs w:val="14"/>
                <w:color w:val="auto"/>
              </w:rPr>
              <w:t>5,254</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3,926</w:t>
            </w:r>
          </w:p>
        </w:tc>
        <w:tc>
          <w:tcPr>
            <w:tcW w:w="0" w:type="dxa"/>
            <w:vAlign w:val="bottom"/>
          </w:tcPr>
          <w:p>
            <w:pPr>
              <w:spacing w:after="0"/>
              <w:rPr>
                <w:sz w:val="1"/>
                <w:szCs w:val="1"/>
                <w:color w:val="auto"/>
              </w:rPr>
            </w:pPr>
          </w:p>
        </w:tc>
      </w:tr>
      <w:tr>
        <w:trPr>
          <w:trHeight w:val="188"/>
        </w:trPr>
        <w:tc>
          <w:tcPr>
            <w:tcW w:w="6140" w:type="dxa"/>
            <w:vAlign w:val="bottom"/>
          </w:tcPr>
          <w:p>
            <w:pPr>
              <w:spacing w:after="0"/>
              <w:rPr>
                <w:sz w:val="20"/>
                <w:szCs w:val="20"/>
                <w:color w:val="auto"/>
              </w:rPr>
            </w:pPr>
            <w:r>
              <w:rPr>
                <w:rFonts w:ascii="Arial" w:cs="Arial" w:eastAsia="Arial" w:hAnsi="Arial"/>
                <w:sz w:val="14"/>
                <w:szCs w:val="14"/>
                <w:color w:val="auto"/>
              </w:rPr>
              <w:t>Prescription Drug Plans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3,036</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4,895</w:t>
            </w:r>
          </w:p>
        </w:tc>
        <w:tc>
          <w:tcPr>
            <w:tcW w:w="0" w:type="dxa"/>
            <w:vAlign w:val="bottom"/>
          </w:tcPr>
          <w:p>
            <w:pPr>
              <w:spacing w:after="0"/>
              <w:rPr>
                <w:sz w:val="1"/>
                <w:szCs w:val="1"/>
                <w:color w:val="auto"/>
              </w:rPr>
            </w:pPr>
          </w:p>
        </w:tc>
      </w:tr>
      <w:tr>
        <w:trPr>
          <w:trHeight w:val="183"/>
        </w:trPr>
        <w:tc>
          <w:tcPr>
            <w:tcW w:w="6140" w:type="dxa"/>
            <w:vAlign w:val="bottom"/>
          </w:tcPr>
          <w:p>
            <w:pPr>
              <w:spacing w:after="0"/>
              <w:rPr>
                <w:sz w:val="20"/>
                <w:szCs w:val="20"/>
                <w:color w:val="auto"/>
              </w:rPr>
            </w:pPr>
            <w:r>
              <w:rPr>
                <w:rFonts w:ascii="Arial" w:cs="Arial" w:eastAsia="Arial" w:hAnsi="Arial"/>
                <w:sz w:val="14"/>
                <w:szCs w:val="14"/>
                <w:color w:val="auto"/>
              </w:rPr>
              <w:t>Total Medicare—External Commissionable Approved Submissions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166,615</w:t>
            </w:r>
          </w:p>
        </w:tc>
        <w:tc>
          <w:tcPr>
            <w:tcW w:w="8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62,673</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Predecessor</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Period from Jan.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Twelve months</w:t>
            </w:r>
          </w:p>
        </w:tc>
      </w:tr>
      <w:tr>
        <w:trPr>
          <w:trHeight w:val="135"/>
        </w:trPr>
        <w:tc>
          <w:tcPr>
            <w:tcW w:w="13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1, 2019 through</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ended Dec. 31,</w:t>
            </w:r>
          </w:p>
        </w:tc>
      </w:tr>
      <w:tr>
        <w:trPr>
          <w:trHeight w:val="176"/>
        </w:trPr>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Sep. 12, 2019</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r>
      <w:tr>
        <w:trPr>
          <w:trHeight w:val="184"/>
        </w:trPr>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48,341</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45,397</w:t>
            </w:r>
          </w:p>
        </w:tc>
      </w:tr>
      <w:tr>
        <w:trPr>
          <w:trHeight w:val="189"/>
        </w:trPr>
        <w:tc>
          <w:tcPr>
            <w:tcW w:w="1200" w:type="dxa"/>
            <w:vAlign w:val="bottom"/>
          </w:tcPr>
          <w:p>
            <w:pPr>
              <w:jc w:val="right"/>
              <w:spacing w:after="0"/>
              <w:rPr>
                <w:sz w:val="20"/>
                <w:szCs w:val="20"/>
                <w:color w:val="auto"/>
              </w:rPr>
            </w:pPr>
            <w:r>
              <w:rPr>
                <w:rFonts w:ascii="Arial" w:cs="Arial" w:eastAsia="Arial" w:hAnsi="Arial"/>
                <w:sz w:val="14"/>
                <w:szCs w:val="14"/>
                <w:color w:val="auto"/>
              </w:rPr>
              <w:t>7,065</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8,048</w:t>
            </w:r>
          </w:p>
        </w:tc>
      </w:tr>
      <w:tr>
        <w:trPr>
          <w:trHeight w:val="188"/>
        </w:trPr>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2,597</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4,502</w:t>
            </w:r>
          </w:p>
        </w:tc>
      </w:tr>
      <w:tr>
        <w:trPr>
          <w:trHeight w:val="183"/>
        </w:trPr>
        <w:tc>
          <w:tcPr>
            <w:tcW w:w="1200" w:type="dxa"/>
            <w:vAlign w:val="bottom"/>
          </w:tcPr>
          <w:p>
            <w:pPr>
              <w:jc w:val="right"/>
              <w:spacing w:after="0"/>
              <w:rPr>
                <w:sz w:val="20"/>
                <w:szCs w:val="20"/>
                <w:color w:val="auto"/>
              </w:rPr>
            </w:pPr>
            <w:r>
              <w:rPr>
                <w:rFonts w:ascii="Arial" w:cs="Arial" w:eastAsia="Arial" w:hAnsi="Arial"/>
                <w:sz w:val="14"/>
                <w:szCs w:val="14"/>
                <w:color w:val="auto"/>
              </w:rPr>
              <w:t>58,003</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57,947</w:t>
            </w:r>
          </w:p>
        </w:tc>
      </w:tr>
      <w:tr>
        <w:trPr>
          <w:trHeight w:val="21"/>
        </w:trPr>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640" w:space="100"/>
            <w:col w:w="2500"/>
          </w:cols>
          <w:pgMar w:left="320" w:top="1327" w:right="339" w:bottom="1440" w:gutter="0" w:footer="0" w:header="0"/>
        </w:sectPr>
      </w:pPr>
    </w:p>
    <w:p>
      <w:pPr>
        <w:spacing w:after="0" w:line="11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Medicare—External commissionable Approved Submissions were 166,615 for the twelve months ended December 31, 2020, 62,673 for the Successor 2019 Period and 58,003 for the Predecessor 2019 Period. The increase in Medicare—External commissionable Approved Submissions was attributable to our ability to recruit and onboard additional external agents to enroll consumers in Medicare plans.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Lifetime Value of Commissions Per Approved Submission</w:t>
      </w:r>
    </w:p>
    <w:p>
      <w:pPr>
        <w:spacing w:after="0" w:line="23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Lifetime value of commissions per commissionable Approved Submission, or LTV per Approved Submission,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divided by (ii) the number of commissionable Approved Submissions for such period. LTV per Approved Submission is equal to the sum of the commission revenue due upon the initial sale of a policy, and when applicable, an estimate of future renewal commissions per commissionable Approved Submissions. The estimate of the future renewal commissions is determined by using the contracted renewal commission rates constrained by a persistency-adjusted renewal period. The persistency-adjusted renewal period is determined based on our historical experience and available industry and carrier historical data. Persistency-adjustments allow us to estimate renewal revenue only to the extent probable that a material reversal in revenue would not be expected to occur. These factors may result in varying values from period to period. LTV per Approved Submission represents commissions only from policies sold during the period, but excludes policies originally submitted in prior periods.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LTV per Approved Submission by product for the Medicare segments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128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Twelve months</w:t>
            </w:r>
          </w:p>
        </w:tc>
        <w:tc>
          <w:tcPr>
            <w:tcW w:w="1300" w:type="dxa"/>
            <w:vAlign w:val="bottom"/>
            <w:tcBorders>
              <w:right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Period from Sep.</w:t>
            </w:r>
          </w:p>
        </w:tc>
        <w:tc>
          <w:tcPr>
            <w:tcW w:w="13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Period from Jan.</w:t>
            </w:r>
          </w:p>
        </w:tc>
        <w:tc>
          <w:tcPr>
            <w:tcW w:w="12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Twelve months</w:t>
            </w:r>
          </w:p>
        </w:tc>
        <w:tc>
          <w:tcPr>
            <w:tcW w:w="0" w:type="dxa"/>
            <w:vAlign w:val="bottom"/>
          </w:tcPr>
          <w:p>
            <w:pPr>
              <w:spacing w:after="0"/>
              <w:rPr>
                <w:sz w:val="1"/>
                <w:szCs w:val="1"/>
                <w:color w:val="auto"/>
              </w:rPr>
            </w:pPr>
          </w:p>
        </w:tc>
      </w:tr>
      <w:tr>
        <w:trPr>
          <w:trHeight w:val="135"/>
        </w:trPr>
        <w:tc>
          <w:tcPr>
            <w:tcW w:w="6160" w:type="dxa"/>
            <w:vAlign w:val="bottom"/>
            <w:vMerge w:val="restart"/>
          </w:tcPr>
          <w:p>
            <w:pPr>
              <w:ind w:left="20"/>
              <w:spacing w:after="0"/>
              <w:rPr>
                <w:sz w:val="20"/>
                <w:szCs w:val="20"/>
                <w:color w:val="auto"/>
              </w:rPr>
            </w:pPr>
            <w:r>
              <w:rPr>
                <w:rFonts w:ascii="Arial" w:cs="Arial" w:eastAsia="Arial" w:hAnsi="Arial"/>
                <w:sz w:val="14"/>
                <w:szCs w:val="14"/>
                <w:color w:val="auto"/>
              </w:rPr>
              <w:t>(in actuals)</w:t>
            </w:r>
          </w:p>
        </w:tc>
        <w:tc>
          <w:tcPr>
            <w:tcW w:w="12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ended Dec. 31,</w:t>
            </w:r>
          </w:p>
        </w:tc>
        <w:tc>
          <w:tcPr>
            <w:tcW w:w="1300" w:type="dxa"/>
            <w:vAlign w:val="bottom"/>
            <w:tcBorders>
              <w:right w:val="single" w:sz="8" w:color="auto"/>
            </w:tcBorders>
            <w:gridSpan w:val="3"/>
          </w:tcPr>
          <w:p>
            <w:pPr>
              <w:ind w:left="20"/>
              <w:spacing w:after="0" w:line="135" w:lineRule="exact"/>
              <w:rPr>
                <w:sz w:val="20"/>
                <w:szCs w:val="20"/>
                <w:color w:val="auto"/>
              </w:rPr>
            </w:pPr>
            <w:r>
              <w:rPr>
                <w:rFonts w:ascii="Arial" w:cs="Arial" w:eastAsia="Arial" w:hAnsi="Arial"/>
                <w:sz w:val="14"/>
                <w:szCs w:val="14"/>
                <w:b w:val="1"/>
                <w:bCs w:val="1"/>
                <w:color w:val="auto"/>
              </w:rPr>
              <w:t>13, 2019 through</w:t>
            </w:r>
          </w:p>
        </w:tc>
        <w:tc>
          <w:tcPr>
            <w:tcW w:w="1300" w:type="dxa"/>
            <w:vAlign w:val="bottom"/>
            <w:gridSpan w:val="3"/>
          </w:tcPr>
          <w:p>
            <w:pPr>
              <w:jc w:val="right"/>
              <w:ind w:right="160"/>
              <w:spacing w:after="0" w:line="135" w:lineRule="exact"/>
              <w:rPr>
                <w:sz w:val="20"/>
                <w:szCs w:val="20"/>
                <w:color w:val="auto"/>
              </w:rPr>
            </w:pPr>
            <w:r>
              <w:rPr>
                <w:rFonts w:ascii="Arial" w:cs="Arial" w:eastAsia="Arial" w:hAnsi="Arial"/>
                <w:sz w:val="14"/>
                <w:szCs w:val="14"/>
                <w:b w:val="1"/>
                <w:bCs w:val="1"/>
                <w:color w:val="auto"/>
              </w:rPr>
              <w:t>1, 2019 through</w:t>
            </w:r>
          </w:p>
        </w:tc>
        <w:tc>
          <w:tcPr>
            <w:tcW w:w="100" w:type="dxa"/>
            <w:vAlign w:val="bottom"/>
          </w:tcPr>
          <w:p>
            <w:pPr>
              <w:spacing w:after="0"/>
              <w:rPr>
                <w:sz w:val="11"/>
                <w:szCs w:val="11"/>
                <w:color w:val="auto"/>
              </w:rPr>
            </w:pPr>
          </w:p>
        </w:tc>
        <w:tc>
          <w:tcPr>
            <w:tcW w:w="11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ended Dec. 31,</w:t>
            </w:r>
          </w:p>
        </w:tc>
        <w:tc>
          <w:tcPr>
            <w:tcW w:w="0" w:type="dxa"/>
            <w:vAlign w:val="bottom"/>
          </w:tcPr>
          <w:p>
            <w:pPr>
              <w:spacing w:after="0"/>
              <w:rPr>
                <w:sz w:val="1"/>
                <w:szCs w:val="1"/>
                <w:color w:val="auto"/>
              </w:rPr>
            </w:pPr>
          </w:p>
        </w:tc>
      </w:tr>
      <w:tr>
        <w:trPr>
          <w:trHeight w:val="176"/>
        </w:trPr>
        <w:tc>
          <w:tcPr>
            <w:tcW w:w="6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center"/>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 31, 2019</w:t>
            </w:r>
          </w:p>
        </w:tc>
        <w:tc>
          <w:tcPr>
            <w:tcW w:w="12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 12, 2019</w:t>
            </w:r>
          </w:p>
        </w:tc>
        <w:tc>
          <w:tcPr>
            <w:tcW w:w="100" w:type="dxa"/>
            <w:vAlign w:val="bottom"/>
          </w:tcPr>
          <w:p>
            <w:pPr>
              <w:spacing w:after="0"/>
              <w:rPr>
                <w:sz w:val="15"/>
                <w:szCs w:val="15"/>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Medicare Advantage</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995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1,018</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189"/>
        </w:trPr>
        <w:tc>
          <w:tcPr>
            <w:tcW w:w="6160" w:type="dxa"/>
            <w:vAlign w:val="bottom"/>
          </w:tcPr>
          <w:p>
            <w:pPr>
              <w:ind w:left="20"/>
              <w:spacing w:after="0"/>
              <w:rPr>
                <w:sz w:val="20"/>
                <w:szCs w:val="20"/>
                <w:color w:val="auto"/>
              </w:rPr>
            </w:pPr>
            <w:r>
              <w:rPr>
                <w:rFonts w:ascii="Arial" w:cs="Arial" w:eastAsia="Arial" w:hAnsi="Arial"/>
                <w:sz w:val="14"/>
                <w:szCs w:val="14"/>
                <w:color w:val="auto"/>
              </w:rPr>
              <w:t>Medicare Supplement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ind w:left="620"/>
              <w:spacing w:after="0"/>
              <w:rPr>
                <w:sz w:val="20"/>
                <w:szCs w:val="20"/>
                <w:color w:val="auto"/>
              </w:rPr>
            </w:pPr>
            <w:r>
              <w:rPr>
                <w:rFonts w:ascii="Arial" w:cs="Arial" w:eastAsia="Arial" w:hAnsi="Arial"/>
                <w:sz w:val="14"/>
                <w:szCs w:val="14"/>
                <w:color w:val="auto"/>
              </w:rPr>
              <w:t>849</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936</w:t>
            </w:r>
          </w:p>
        </w:tc>
        <w:tc>
          <w:tcPr>
            <w:tcW w:w="100" w:type="dxa"/>
            <w:vAlign w:val="bottom"/>
            <w:tcBorders>
              <w:right w:val="single" w:sz="8" w:color="auto"/>
            </w:tcBorders>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911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Prescription Drug Plans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LTV per Approved Submission for Medicare Advantage was $995 for the twelve months ended December 31, 2020, $1,018 for the Successor 2019 Period and $888 for the Predecessor 2019 Period. The increase is due to an increase in CMS-approved commission rates and a more diverse carrier base, allowing us to offer more products and plans that contributed to more long-term customer satisfaction.</w:t>
      </w:r>
    </w:p>
    <w:p>
      <w:pPr>
        <w:spacing w:after="0" w:line="201"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LTV per Approved Submission for Medicare Supplement was $849 for the twelve months ended December 31, 2020, $936 for the Successor 2019 Period and $911 for the Predecessor 2019 Period. The decrease is primarily due to changes in carrier mix.</w:t>
      </w:r>
    </w:p>
    <w:p>
      <w:pPr>
        <w:spacing w:after="0" w:line="19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LTV per Approved Submission for prescription drug plans was $215 for the twelve months ended December 31, 2020, $213 for the Successor 2019 Period and $194 for the Predecessor 2019 Period. The increase is primarily due to an increase in CMS-approved commission rates.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IFP and Other Segments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Submitted Policies</w:t>
      </w:r>
    </w:p>
    <w:p>
      <w:pPr>
        <w:spacing w:after="0" w:line="23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Submitted Policies represent the number of completed applications that, with respect to each such application, the consumer has authorized us to submit to the carrier. The applicant may need to take additional actions, including providing subsequent information before the application is reviewed by the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302895</wp:posOffset>
            </wp:positionV>
            <wp:extent cx="8255" cy="1200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302895</wp:posOffset>
            </wp:positionV>
            <wp:extent cx="8890" cy="1200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126365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63</w:t>
      </w:r>
    </w:p>
    <w:p>
      <w:pPr>
        <w:sectPr>
          <w:pgSz w:w="11900" w:h="16838" w:orient="portrait"/>
          <w:cols w:equalWidth="0" w:num="3">
            <w:col w:w="4580" w:space="540"/>
            <w:col w:w="1040" w:space="360"/>
            <w:col w:w="4720"/>
          </w:cols>
          <w:pgMar w:left="320" w:top="1327" w:right="339" w:bottom="1440" w:gutter="0" w:footer="0" w:header="0"/>
          <w:type w:val="continuous"/>
        </w:sectPr>
      </w:pPr>
    </w:p>
    <w:bookmarkStart w:id="66" w:name="page67"/>
    <w:bookmarkEnd w:id="66"/>
    <w:p>
      <w:pPr>
        <w:ind w:right="240"/>
        <w:spacing w:after="0" w:line="253" w:lineRule="auto"/>
        <w:rPr>
          <w:sz w:val="20"/>
          <w:szCs w:val="20"/>
          <w:color w:val="auto"/>
        </w:rPr>
      </w:pPr>
      <w:r>
        <w:rPr>
          <w:rFonts w:ascii="Arial" w:cs="Arial" w:eastAsia="Arial" w:hAnsi="Arial"/>
          <w:sz w:val="16"/>
          <w:szCs w:val="16"/>
          <w:color w:val="auto"/>
        </w:rPr>
        <w:t>Total Submitted Policies for the IFP and Other segments were 120,674 for the twelve months ended December 31, 2020, 146,228 for the Successor 2019 Period, 150,544 for the Predecessor 2019 Period and 207,695 for the twelve months ended December 31, 2018. The decrease is due to a change in strategy to prioritize agents and marketing and advertising spend in the Medicare segments instead of the IFP and Other segments.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w:t>
      </w:r>
    </w:p>
    <w:p>
      <w:pPr>
        <w:spacing w:after="0" w:line="23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liquidity needs primarily include working capital and debt service requirements. At December 31, 2020, cash and cash equivalents totaled $144.2 million. On July 17, 2020, we completed our IPO, which resulted in the issuance and sale of 43,500 shares of common stock at the IPO price of $21.00, and generating net proceeds of $852.4 million after deducting underwriting discounts and other offering costs. We believe that our current sources of liquidity, which include cash and cash equivalents and funds available under the Credit Facilities, as described further below, will be sufficient to meet our projected operating and debt service requirements for at least the next 12 months. Short-term liquidity needs will primarily be funded through the Aggregate Revolving Credit Facility, as described further below, if necessary. As of December 31, 2020, we had no amounts outstanding under the Aggregate Revolving Credit Facility and had a remaining capacity of $58.0 million. To the extent that our current liquidity is insufficient to fund future activities, we may need to raise additional funds, which may include the sale of equity securities or through debt financing arrangements. The incurrence of additional debt financing would result in debt service obligations, and any future instruments governing such debt could provide for operating and financing covenants that could restrict our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cash flows for the twelve months ended December 31, 2020, the Successor 2019 Period, the Predecessor 2019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Period and the twelve months ended December 31, 2018:</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248"/>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16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7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Twelve months ended</w:t>
            </w:r>
          </w:p>
        </w:tc>
        <w:tc>
          <w:tcPr>
            <w:tcW w:w="100" w:type="dxa"/>
            <w:vAlign w:val="bottom"/>
          </w:tcPr>
          <w:p>
            <w:pPr>
              <w:spacing w:after="0"/>
              <w:rPr>
                <w:sz w:val="12"/>
                <w:szCs w:val="12"/>
                <w:color w:val="auto"/>
              </w:rPr>
            </w:pPr>
          </w:p>
        </w:tc>
        <w:tc>
          <w:tcPr>
            <w:tcW w:w="1640" w:type="dxa"/>
            <w:vAlign w:val="bottom"/>
            <w:tcBorders>
              <w:right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Period from Sep. 13,</w:t>
            </w:r>
          </w:p>
        </w:tc>
        <w:tc>
          <w:tcPr>
            <w:tcW w:w="140" w:type="dxa"/>
            <w:vAlign w:val="bottom"/>
          </w:tcPr>
          <w:p>
            <w:pPr>
              <w:spacing w:after="0"/>
              <w:rPr>
                <w:sz w:val="12"/>
                <w:szCs w:val="12"/>
                <w:color w:val="auto"/>
              </w:rPr>
            </w:pPr>
          </w:p>
        </w:tc>
        <w:tc>
          <w:tcPr>
            <w:tcW w:w="15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Period from Jan. 1,</w:t>
            </w:r>
          </w:p>
        </w:tc>
        <w:tc>
          <w:tcPr>
            <w:tcW w:w="16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35"/>
        </w:trPr>
        <w:tc>
          <w:tcPr>
            <w:tcW w:w="44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740" w:type="dxa"/>
            <w:vAlign w:val="bottom"/>
            <w:gridSpan w:val="3"/>
            <w:vMerge w:val="continue"/>
          </w:tcPr>
          <w:p>
            <w:pPr>
              <w:spacing w:after="0"/>
              <w:rPr>
                <w:sz w:val="11"/>
                <w:szCs w:val="11"/>
                <w:color w:val="auto"/>
              </w:rPr>
            </w:pPr>
          </w:p>
        </w:tc>
        <w:tc>
          <w:tcPr>
            <w:tcW w:w="1740" w:type="dxa"/>
            <w:vAlign w:val="bottom"/>
            <w:tcBorders>
              <w:right w:val="single" w:sz="8" w:color="auto"/>
            </w:tcBorders>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2019 through Dec. 31,</w:t>
            </w:r>
          </w:p>
        </w:tc>
        <w:tc>
          <w:tcPr>
            <w:tcW w:w="17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2019 through Sep. 12,</w:t>
            </w:r>
          </w:p>
        </w:tc>
        <w:tc>
          <w:tcPr>
            <w:tcW w:w="1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 31, 2020</w:t>
            </w:r>
          </w:p>
        </w:tc>
        <w:tc>
          <w:tcPr>
            <w:tcW w:w="100" w:type="dxa"/>
            <w:vAlign w:val="bottom"/>
          </w:tcPr>
          <w:p>
            <w:pPr>
              <w:spacing w:after="0"/>
              <w:rPr>
                <w:sz w:val="15"/>
                <w:szCs w:val="15"/>
                <w:color w:val="auto"/>
              </w:rPr>
            </w:pPr>
          </w:p>
        </w:tc>
        <w:tc>
          <w:tcPr>
            <w:tcW w:w="1540" w:type="dxa"/>
            <w:vAlign w:val="bottom"/>
          </w:tcPr>
          <w:p>
            <w:pPr>
              <w:jc w:val="center"/>
              <w:ind w:right="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center"/>
              <w:ind w:right="6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288"/>
              <w:spacing w:after="0"/>
              <w:rPr>
                <w:sz w:val="20"/>
                <w:szCs w:val="20"/>
                <w:color w:val="auto"/>
              </w:rPr>
            </w:pPr>
            <w:r>
              <w:rPr>
                <w:rFonts w:ascii="Arial" w:cs="Arial" w:eastAsia="Arial" w:hAnsi="Arial"/>
                <w:sz w:val="14"/>
                <w:szCs w:val="14"/>
                <w:b w:val="1"/>
                <w:bCs w:val="1"/>
                <w:color w:val="auto"/>
              </w:rPr>
              <w:t>Dec. 31, 2018</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(114,217)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(9,284)</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center"/>
              <w:ind w:left="908"/>
              <w:spacing w:after="0"/>
              <w:rPr>
                <w:sz w:val="20"/>
                <w:szCs w:val="20"/>
                <w:color w:val="auto"/>
              </w:rPr>
            </w:pPr>
            <w:r>
              <w:rPr>
                <w:rFonts w:ascii="Arial" w:cs="Arial" w:eastAsia="Arial" w:hAnsi="Arial"/>
                <w:sz w:val="14"/>
                <w:szCs w:val="14"/>
                <w:color w:val="auto"/>
              </w:rPr>
              <w:t>9,281</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5,443</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(14,523)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(810,010)</w:t>
            </w:r>
          </w:p>
        </w:tc>
        <w:tc>
          <w:tcPr>
            <w:tcW w:w="100" w:type="dxa"/>
            <w:vAlign w:val="bottom"/>
            <w:tcBorders>
              <w:right w:val="single" w:sz="8" w:color="auto"/>
            </w:tcBorders>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center"/>
              <w:ind w:left="888"/>
              <w:spacing w:after="0"/>
              <w:rPr>
                <w:sz w:val="20"/>
                <w:szCs w:val="20"/>
                <w:color w:val="auto"/>
              </w:rPr>
            </w:pPr>
            <w:r>
              <w:rPr>
                <w:rFonts w:ascii="Arial" w:cs="Arial" w:eastAsia="Arial" w:hAnsi="Arial"/>
                <w:sz w:val="14"/>
                <w:szCs w:val="14"/>
                <w:color w:val="auto"/>
              </w:rPr>
              <w:t>(5,597)</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(6,170)</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260,663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830,879</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center"/>
              <w:ind w:left="888"/>
              <w:spacing w:after="0"/>
              <w:rPr>
                <w:sz w:val="20"/>
                <w:szCs w:val="20"/>
                <w:color w:val="auto"/>
              </w:rPr>
            </w:pPr>
            <w:r>
              <w:rPr>
                <w:rFonts w:ascii="Arial" w:cs="Arial" w:eastAsia="Arial" w:hAnsi="Arial"/>
                <w:sz w:val="14"/>
                <w:szCs w:val="14"/>
                <w:color w:val="auto"/>
              </w:rPr>
              <w:t>(3,449)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37"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Cash provided by operating activities primarily consists of net loss adjusted for certain non-cash items including share-based compensation; depreciation and amortization; amortization of intangible assets; change in the fair value of contingent consideration; and amortization of debt discount and issuance costs and the effect of changes in working capital and other activities.</w:t>
      </w:r>
    </w:p>
    <w:p>
      <w:pPr>
        <w:spacing w:after="0" w:line="20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Collection of commissions receivable depends upon the timing of the receipt of commission payments. If there were to be a delay in receiving a commission payment from a carrier within a quarter, the operating cash flows for that quarter could be adversely impacted.</w:t>
      </w:r>
    </w:p>
    <w:p>
      <w:pPr>
        <w:spacing w:after="0" w:line="19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 significant portion of marketing and advertising expense is driven by the number of qualified prospects required to generate the insurance applications submitted to carriers. Marketing and advertising costs are expensed and generally paid as incurred and since commission revenue is recognized upon approval of a submission but commission payments are paid to us over time, there are working capital requirements to fund the upfront cost of acquiring new policies.</w:t>
      </w:r>
    </w:p>
    <w:p>
      <w:pPr>
        <w:spacing w:after="0" w:line="202"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Net cash used in operating activities was $114.2 million for the twelve months ended December 31, 2020, which consisted of a $97.2 million net loss and positive adjustments for non-cash items of $335.2 million, offset by the effect of changes in operating assets and liabilities representing a $352.2 million use of cash. The change in operating assets and liabilities was primarily driven by an increase in commissions receivable of $427.5 million, an increase in prepaid expenses and other assets of $24.0 million and a decrease in deferred revenue of $14.5 million, partially offset by an increase in commissions payable of $107.6 million. The increases in commissions receivable and commissions payable were each driven by increases in Medicare commissionable Approved Submissions.</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Net cash used in operating activities was $9.3 million for the Successor 2019 Period, which consisted of $16.0 million in net income and adjustments for non-cash items of $100.8 million, offset by the effect of changes in operating assets and liabilities representing a $126.1 million use of cash. The change in operating assets and liabilities was primarily driven by an increase in commissions receivable of $204.0 million partially offset by an increase in commissions payables of $80.8 million, which were each driven by an increase in Medicare commissionable Approved Submissions.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298450</wp:posOffset>
            </wp:positionV>
            <wp:extent cx="8255" cy="1200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298450</wp:posOffset>
            </wp:positionV>
            <wp:extent cx="8890" cy="1200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64</w:t>
      </w:r>
    </w:p>
    <w:p>
      <w:pPr>
        <w:sectPr>
          <w:pgSz w:w="11900" w:h="16838" w:orient="portrait"/>
          <w:cols w:equalWidth="0" w:num="3">
            <w:col w:w="4580" w:space="540"/>
            <w:col w:w="1040" w:space="360"/>
            <w:col w:w="4720"/>
          </w:cols>
          <w:pgMar w:left="320" w:top="1343" w:right="339" w:bottom="1440" w:gutter="0" w:footer="0" w:header="0"/>
          <w:type w:val="continuous"/>
        </w:sectPr>
      </w:pPr>
    </w:p>
    <w:bookmarkStart w:id="67" w:name="page68"/>
    <w:bookmarkEnd w:id="67"/>
    <w:p>
      <w:pPr>
        <w:ind w:right="100"/>
        <w:spacing w:after="0" w:line="251" w:lineRule="auto"/>
        <w:rPr>
          <w:sz w:val="20"/>
          <w:szCs w:val="20"/>
          <w:color w:val="auto"/>
        </w:rPr>
      </w:pPr>
      <w:r>
        <w:rPr>
          <w:rFonts w:ascii="Arial" w:cs="Arial" w:eastAsia="Arial" w:hAnsi="Arial"/>
          <w:sz w:val="16"/>
          <w:szCs w:val="16"/>
          <w:color w:val="auto"/>
        </w:rPr>
        <w:t>Net cash provided by operating activities was $9.3 million for the Predecessor 2019 Period and primarily consisted of $57.1 million in net loss and adjustments for non-cash items of $91.5 million, offset by the effect of changes in operating assets and liabilities representing a $25.1 million use of cash. The change in operating assets and liabilities was primarily driven by commissions receivable of $63.4 million, offset by increases in commissions payables of $19.2 million, which were each driven by increases in Medicare commissionable Approved Submissions.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37"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Net cash used in investing activities was $14.5 million for the twelve months ended December 31, 2020 and consisted of capitalized internal-use software related to new technology, software, and systems and purchases of property and equipment.</w:t>
      </w:r>
    </w:p>
    <w:p>
      <w:pPr>
        <w:spacing w:after="0" w:line="195"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Net cash used in investing activities of $810.0 million for the Successor 2019 Period was primarily attributable to the Centerbridge Acquisition, which comprised $807.6 million of net cash used in investing activities.</w:t>
      </w:r>
    </w:p>
    <w:p>
      <w:pPr>
        <w:spacing w:after="0" w:line="195"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Net cash used in investing activities of $5.6 million for the Predecessor 2019 Period was primarily attributable to capitalized internal-use software related to new technology, software, and systems.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3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Net cash provided by financing activities was $260.7 million for the twelve months ended December 31, 2020 and was primarily due to proceeds from the issuance of Class A common stock sold in the IPO, net of offering costs, of $852.4 million. Of the $852.4 million of IPO proceeds, $508.3 million was used to purchase LLC Interests, $100.0 million was used to settle the Senior Preferred Earnout Units, and $96.2 million was used as partial consideration for the Blocker Merger. Additionally, the Company made borrowings of $117.0 million under the Incremental Term Loan Facility during the twelve months ended December 31, 2020.</w:t>
      </w:r>
    </w:p>
    <w:p>
      <w:pPr>
        <w:spacing w:after="0" w:line="203"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Net cash provided by financing activities of $830.9 million for the Successor 2019 Period was primarily attributable to the issuance of preferred units in connection with the Centerbridge Acquisition, which comprised $541.3 million of net cash provided by financing activities and borrowings under the Term Loan Facility, which compromised $300.0 million of net cash provided by financing activities, and was partially offset by payments of existing debt, capital lease obligations and debt issuance costs.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Net cash used in financing activities of $3.4 million for the Predecessor 2019 Period was due to borrowings under our predecessor revolving credit facility of $56.5 million, which was offset by the repayment of such borrowings (and related expenses in relation thereto) in the amount of $59.9 million, as well as payments of our capital lease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Facilities</w:t>
      </w:r>
    </w:p>
    <w:p>
      <w:pPr>
        <w:spacing w:after="0" w:line="237"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On September 13, 2019, in connection with the Centerbridge Acquisition, Norvax entered into a first lien credit agreement (the “Credit Agreement”) which provides for a (i) $300.0 million aggregate principal amount senior secured term loan facility (the “Term Loan Facility”) and (ii) $30.0 million aggregate principal amount senior secured revolving credit facility (the “Revolving Credit Facility”).</w:t>
      </w:r>
    </w:p>
    <w:p>
      <w:pPr>
        <w:spacing w:after="0" w:line="201"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On March 20, 2020, the Company entered into an amendment to the Credit Agreement, which provided $117.0 million of incremental term loans (the “Incremental Term Loan Facility”).</w:t>
      </w:r>
    </w:p>
    <w:p>
      <w:pPr>
        <w:spacing w:after="0" w:line="19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On May 7, 2020, the Company entered into a second amendment to the Credit Agreement, which provided $20.0 million of incremental revolving credit, (the “Incremental Revolving Credit Facility”).</w:t>
      </w:r>
    </w:p>
    <w:p>
      <w:pPr>
        <w:spacing w:after="0" w:line="195"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On June 11, 2020, the Company entered into a third amendment to the Credit Agreement, which provided $8.0 million of incremental revolving credit, (the “Incremental No. 3 Revolving Credit Facility”).</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collectively refer to the Term Loan Facility, the Revolving Credit Facility, the Incremental Term Loan Facility, the Incremental Revolving Credit Facility, and the Incremental No. 3 Revolving Credit Facility as the “Credit Facilities”.</w:t>
      </w:r>
    </w:p>
    <w:p>
      <w:pPr>
        <w:spacing w:after="0" w:line="14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As of December 31, 2020, we had principal amounts totaling $412.4 million, consisting of $296.3 million outstanding under the Term Loan Facility and $116.1 million outstanding under the Incremental Term Loan Facility (collectively the “Aggregate Term Loan Facility”). We had no amounts outstanding under the Revolving Credit Facility, the Incremental Revolving Credit Facility, or the Incremental No. 3 Revolving Credit Facility (collectively the “Aggregate Revolving Credit Facility”). The Aggregate Revolving Credit Facility had a remaining capacity of $58.0 million as of December 31, 2020.</w:t>
      </w:r>
    </w:p>
    <w:p>
      <w:pPr>
        <w:spacing w:after="0" w:line="202"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Our material contractual obligations generally include operating leases and capital leases, and long-term debt. Refer to Note 12, “Commitments and Contingencies,” of the Notes to Consolidated Financial Statements for information about our leasing obligations. Refer to Note 6, “Long-Term Debt,” of the Notes to Consolidated Financial Statements for information about our long-term debt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297815</wp:posOffset>
            </wp:positionV>
            <wp:extent cx="8255" cy="1200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297815</wp:posOffset>
            </wp:positionV>
            <wp:extent cx="8890" cy="1200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43" w:right="3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65</w:t>
      </w:r>
    </w:p>
    <w:p>
      <w:pPr>
        <w:sectPr>
          <w:pgSz w:w="11900" w:h="16838" w:orient="portrait"/>
          <w:cols w:equalWidth="0" w:num="3">
            <w:col w:w="4580" w:space="540"/>
            <w:col w:w="1040" w:space="360"/>
            <w:col w:w="4700"/>
          </w:cols>
          <w:pgMar w:left="320" w:top="1343" w:right="35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4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For a discussion of new accounting pronouncements recently adopted and not yet adopted, see Note 1, “Description of Business and Significant Accounting Policies,” to the Consolidated Financial Statements included elsewhere in this Annual Report on Form 10-K.</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3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Medicare annual enrollment period occurs from October 15th to December 7th.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1st to March 31st, commission revenue is typically second-highest in our first quarter. The second and third quarters are known as special election periods, and are our seasonally smallest quarters.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expenses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41" w:lineRule="exact"/>
        <w:rPr>
          <w:sz w:val="20"/>
          <w:szCs w:val="20"/>
          <w:color w:val="auto"/>
        </w:rPr>
      </w:pPr>
    </w:p>
    <w:p>
      <w:pPr>
        <w:jc w:val="both"/>
        <w:ind w:right="220"/>
        <w:spacing w:after="0" w:line="25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impact of changes in estimates is recorded in the period in which they become known.</w:t>
      </w:r>
    </w:p>
    <w:p>
      <w:pPr>
        <w:spacing w:after="0" w:line="202"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w:t>
      </w:r>
    </w:p>
    <w:p>
      <w:pPr>
        <w:spacing w:after="0" w:line="202"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Revenue recognition and commissions receivable;</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Share-based compensation;</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Goodwill and intangible assets;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Income taxes; and</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Liabilities pursuant to tax receivable agreements (“TRAs”).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 and Commissions Receivable</w:t>
      </w:r>
    </w:p>
    <w:p>
      <w:pPr>
        <w:spacing w:after="0" w:line="221" w:lineRule="exact"/>
        <w:rPr>
          <w:sz w:val="20"/>
          <w:szCs w:val="20"/>
          <w:color w:val="auto"/>
        </w:rPr>
      </w:pPr>
    </w:p>
    <w:p>
      <w:pPr>
        <w:ind w:right="540"/>
        <w:spacing w:after="0" w:line="281" w:lineRule="auto"/>
        <w:rPr>
          <w:sz w:val="20"/>
          <w:szCs w:val="20"/>
          <w:color w:val="auto"/>
        </w:rPr>
      </w:pPr>
      <w:r>
        <w:rPr>
          <w:rFonts w:ascii="Arial" w:cs="Arial" w:eastAsia="Arial" w:hAnsi="Arial"/>
          <w:sz w:val="16"/>
          <w:szCs w:val="16"/>
          <w:color w:val="auto"/>
        </w:rPr>
        <w:t xml:space="preserve">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revenue is recognized when a customer obtains control of promised goods or services and is recognized in an amount that reflects the consideration that an entity expects to receive in exchange for those goods or services.</w:t>
      </w:r>
    </w:p>
    <w:p>
      <w:pPr>
        <w:spacing w:after="0" w:line="17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Significant management judgments and estimates must be made in connection with determination of the revenue to be recognized in any accounting period. If we made different judgments or utilized different estimates for any period, material differences in the amount and timing of revenue recognized could result. The accounting estimates and judgments related to the recognition of revenue require us to make assumptions about numerous factors, such as the determination of performance obligations and determination of the transaction price. The estimate of renewal commissions are considered variable consideration in the transaction price and requires significant judgment including determining the number of periods in which a renewal will occur and the value of those renewal commissions to be received if renewed. We utilize the expected value approach to do this, incorporating a combination of historical lapse and premium increase data, available industry and carrier experience data, historical payment data by segment and carrier, as well as current forecast data to estimate forecasted renewal considerations and then to constrain revenue recognized to the extent that it is probable that a significant reversal in the amount of cumulative revenue recognized will not occur. The uncertainty associated with the variable consideration is subsequently resolved when the policy renews, and any adjustments in variable consideration are recognized in the period incurred.</w:t>
      </w:r>
    </w:p>
    <w:p>
      <w:pPr>
        <w:spacing w:after="0" w:line="20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Commissions receivable includes the variable consideration for policies that may renew, and therefore, are subject to the same assumptions, judgments and estimates used when recognizing revenue as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294005</wp:posOffset>
            </wp:positionV>
            <wp:extent cx="8255" cy="1200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294005</wp:posOffset>
            </wp:positionV>
            <wp:extent cx="8890" cy="1200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66</w:t>
      </w:r>
    </w:p>
    <w:p>
      <w:pPr>
        <w:sectPr>
          <w:pgSz w:w="11900" w:h="16838" w:orient="portrait"/>
          <w:cols w:equalWidth="0" w:num="3">
            <w:col w:w="4580" w:space="540"/>
            <w:col w:w="1040" w:space="360"/>
            <w:col w:w="4700"/>
          </w:cols>
          <w:pgMar w:left="320" w:top="1323" w:right="35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i w:val="1"/>
          <w:iCs w:val="1"/>
          <w:color w:val="auto"/>
        </w:rPr>
        <w:t>Share-Based Compensation</w:t>
      </w:r>
    </w:p>
    <w:p>
      <w:pPr>
        <w:spacing w:after="0" w:line="23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recognize compensation expense for all share-based awards, including Profit Units, restricted stock units (“RSUs”) and stock options, based on the estimated grant date fair value of awards. Share-based compensation expense for Time-Vesting Units, RSUs and stock options are recognized on a straight-line basis over the requisite service period, which is generally three to five years.</w:t>
      </w:r>
    </w:p>
    <w:p>
      <w:pPr>
        <w:spacing w:after="0" w:line="20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Effective September 13, 2019 and in conjunction with the Centerbridge Acquisition, the Company authorized the grants of non-voting Profit Units. Profit Units consist of both Time-Vesting Units and Performance-Vesting Units and their fair value is determined using a Monte Carlo simulation. Embedded in the simulation are several assumptions, including the expected life of the award based on estimates of the timing of a liquidity event, the expected dividend yield, the risk-free interest rate and the expected volatility. The Time-Vesting Units’ expense is recognized on a straight-line basis over a five year vesting period. The Performance-Vesting Units’ expense is recognized upon a liquidity event based on certain predetermined criteria. Upon completion of our IPO, the implied performance condition was satisfied, triggering an accelerated vesting and related compensation expense of $209.3 million in the third quarter of 2020.</w:t>
      </w:r>
    </w:p>
    <w:p>
      <w:pPr>
        <w:spacing w:after="0" w:line="39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In connection with the IPO, we granted RSUs and stock options to employees and non-employee directors. The fair value of RSUs is determined based on the stock price on the date of grant. The fair value of stock options is calculated using a Black-Scholes-Merton pricing model. Embedded in the pricing model are several assumptions, including the expected life of the award, the expected dividend yield, the risk-free interest rate and the expected volatility. The assumptions we use represent management's best estimates. If factors change and different assumptions are used, our compensation expense for stock options could be materially different for future grants. Compensation expense is recognized on a straight-line basis over the requisite service period, which is generally four years for RSUs and three to four years for stock options. We recognize forfeitures as they occur.</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and Intangible Assets</w:t>
      </w:r>
    </w:p>
    <w:p>
      <w:pPr>
        <w:spacing w:after="0" w:line="237"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We allocate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and represents the future economic benefits arising from other assets acquired in a business combination that are not individually identified and separately recognized.</w:t>
      </w:r>
    </w:p>
    <w:p>
      <w:pPr>
        <w:spacing w:after="0" w:line="20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When determining the fair values of assets acquired and liabilities assumed, we make significant estimates and assumptions, especially with respect to intangible assets. Management's estimates of fair value are based upon assumptions believed to be reasonable, but which are inherently uncertain and unpredictable and, as a result, actual results may differ from estimates. Allocation of purchase consideration to identifiable assets and liabilities affects our amortization expense, as acquired definite-lived intangible assets are amortized over their useful lives, whereas any indefinite-lived intangible assets, as well as goodwill, are not amortized.</w:t>
      </w:r>
    </w:p>
    <w:p>
      <w:pPr>
        <w:spacing w:after="0" w:line="203"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We test goodwill for impairment on an annual basis in the fourth quarter of each year or whenever events or changes in circumstances indicate that the goodwill may be impaired.</w:t>
      </w:r>
    </w:p>
    <w:p>
      <w:pPr>
        <w:spacing w:after="0" w:line="195"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Judgment in the assessment of qualitative factors of impairment include macroeconomic, industry and market conditions, cost considerations, our financial performance, events specific to our company, industry or reporting unit, and other relevant events. To the extent we determine that it is more likely than not that the fair value of a reporting unit is less than its carrying value, a quantitative test is then performed.</w:t>
      </w:r>
    </w:p>
    <w:p>
      <w:pPr>
        <w:spacing w:after="0" w:line="201"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Performing a quantitative impairment test for goodwill includes the determination of the fair value of a reporting unit, and involves significant estimates and assumptions. These estimates and assumptions include, among others, cash flow projections and selecting an appropriate discount rate.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no impairment of goodwill has been recognized.</w:t>
      </w:r>
    </w:p>
    <w:p>
      <w:pPr>
        <w:spacing w:after="0" w:line="22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Indefinite-lived intangible assets are tested for impairment in the fourth quarter of each year or whenever events or changes in circumstances indicate that an impairment may exist. If the carrying amount of an indefinite-lived intangible asset exceeds its fair value, an impairment loss is recognized in an amount equal to that excess. Determination of fair value involves significant estimates and assumptions including, among others, cash flow projections and selecting appropriate royalty and discount rates.</w:t>
      </w:r>
    </w:p>
    <w:p>
      <w:pPr>
        <w:spacing w:after="0" w:line="202"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Intangible assets subject to amortization are also evaluated for impairment when indicators of impairment are determined to exist. Recoverability of these assets is measured by a comparison of the carrying amounts to the future undiscounted cash flows the assets are expected to generate from their use and eventual disposition. If such review indicates that the carrying amount of intangible assets is not recoverable, the carrying amount of such assets is reduced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298450</wp:posOffset>
            </wp:positionV>
            <wp:extent cx="8255" cy="1200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298450</wp:posOffset>
            </wp:positionV>
            <wp:extent cx="8890" cy="1200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67</w:t>
      </w:r>
    </w:p>
    <w:p>
      <w:pPr>
        <w:sectPr>
          <w:pgSz w:w="11900" w:h="16838" w:orient="portrait"/>
          <w:cols w:equalWidth="0" w:num="3">
            <w:col w:w="4580" w:space="540"/>
            <w:col w:w="1040" w:space="360"/>
            <w:col w:w="4720"/>
          </w:cols>
          <w:pgMar w:left="320" w:top="1327" w:right="339" w:bottom="1440" w:gutter="0" w:footer="0" w:header="0"/>
          <w:type w:val="continuous"/>
        </w:sectPr>
      </w:pPr>
    </w:p>
    <w:bookmarkStart w:id="70" w:name="page71"/>
    <w:bookmarkEnd w:id="70"/>
    <w:p>
      <w:pPr>
        <w:ind w:right="240"/>
        <w:spacing w:after="0" w:line="260" w:lineRule="auto"/>
        <w:rPr>
          <w:sz w:val="20"/>
          <w:szCs w:val="20"/>
          <w:color w:val="auto"/>
        </w:rPr>
      </w:pPr>
      <w:r>
        <w:rPr>
          <w:rFonts w:ascii="Arial" w:cs="Arial" w:eastAsia="Arial" w:hAnsi="Arial"/>
          <w:sz w:val="16"/>
          <w:szCs w:val="16"/>
          <w:color w:val="auto"/>
        </w:rPr>
        <w:t>During the periods presented in this Annual Report on Form 10-K, no impairment has been recognized for either indefinite-lived or definite-lived intangible assets.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3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account for income taxes using an asset and liability approach. Deferred income tax assets and liabilities result from temporary differences between the tax basis of assets and liabilities and their reported amounts in the Consolidated Financial Statements that will result in taxable or deductible amounts in future years. Valuation allowances are provided when necessary to reduce deferred tax assets to the amount expected to be realized.</w:t>
      </w:r>
    </w:p>
    <w:p>
      <w:pPr>
        <w:spacing w:after="0" w:line="20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determination of our provision for income taxes requires management’s judgment in the use of estimates and the interpretation and application of complex tax laws. Judgment is also required in assessing the timing and amounts of deductible and taxable items. We establish liabilities for material, known tax exposures relating to deductions, transactions and other matters involving some uncertainty as to the proper tax treatment of the item. Our liabilities reflect our judgment as to the resolution of the issues involved if subject to judicial review. When facts and circumstances change (including a resolution of an issue or statute of limitations expiration), these liabilities are adjusted through the provision for income taxes in the period of change.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Liabilities Pursuant to TRAs</w:t>
      </w:r>
    </w:p>
    <w:p>
      <w:pPr>
        <w:spacing w:after="0" w:line="23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connection with the IPO, the Company entered into the Tax Receivable Agreement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as a result of (1) the Company’s allocable share of existing tax basis acquired in connection with the Transactions (including the Blocker Company’s share of existing tax basis) and increases to such allocable share of existing tax basis; (2) increases in tax basis resulting from (a) the Company’s purchase of LLC Interests directly from GHH, LLC and the partial redemption of LLC Interests by GHH, LLC, (b) future redemptions or exchanges (or deemed exchanges in certain circumstances) of LLC Interests for Class A common stock or cash, and (c) certain distributions (or deemed distributions) by GHH, LLC; and (3) certain additional tax benefits arising from payments made under the Tax Receivable Agreement. The Company may benefit from the remaining 15% of any tax benefits that the Company actually realizes.</w:t>
      </w:r>
    </w:p>
    <w:p>
      <w:pPr>
        <w:spacing w:after="0" w:line="20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amounts payable under the Tax Receivable Agreement will vary depending upon a number of factors, including the amount, character, and timing of the taxable income of the Company in the future. In projecting future taxable income, the Company considers its historical results and incorporates certain assumptions, including revenue growth and operating margins, among others. The projection of future taxable income involves judgement and actual taxable income may differ from our estimates, which could impact the timing of payments under the Tax Receivable Agreement. If the Company determines that it will not be able to fully utilize all or part of the related tax benefits, the Company would reduce the portion of the Tax Receivable Agreement liability related to the tax benefits not expected to be utilized through earnings at that time.</w:t>
      </w:r>
    </w:p>
    <w:p>
      <w:pPr>
        <w:spacing w:after="0" w:line="20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As of December 31, 2020, the Company has determined there is no resulting liability related to the Tax Receivable Agreement arising from the Transactions. Should the Company determine that the Tax Receivable Agreement liability is considered probable at a future date based on new information, any changes will be recorded within earnings at that time.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JOBS Act</w:t>
      </w:r>
    </w:p>
    <w:p>
      <w:pPr>
        <w:spacing w:after="0" w:line="24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qualify as an “emerging growth company” pursuant to the provisions of the JOBS Act, enacted on April 5, 2012. Section 102 of the JOBS Act provides that an “emerging growth company” can take advantage of the extended transition period provided in Section 7(a)(2)(B)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Consolidated Financial Statements may not be comparable to companies that comply with new or revised accounting pronouncements as of public company effective dates.</w:t>
      </w:r>
    </w:p>
    <w:p>
      <w:pPr>
        <w:spacing w:after="0" w:line="20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have elected the other exemptions and reduced reporting requirements provided by the JOBS Act. Subject to certain conditions set forth in the JOBS Act, as an emerging growth company we are not required to, among other things, (1) provide an auditor’s attestation report on our systems of internal controls over financial reporting pursuant to Section 404, (2) provide all of the compensation disclosure that may be required of non-emerging growth public companies under the Dodd-Frank Act, (3) comply with the requirement of the PCAOB regarding the communication of critical audit matters in the auditor’s report on the financial statements and (4) disclose certain executive compensation-related items, such as the correlation between executive compensation and performance and comparisons of the Chief Executive Officer’s compensation to median employee compensation. These exemptions will apply until we no longer meet the requirements of being an emerging growth company. We will remain an emerging growth company until the earlier of (a) the last day of the fiscal year (i) following the fifth anniversary of the completion of our IPO, (ii) in which we have total annual gross revenue of at least $1.07 billion or (iii) in which we are deemed to be a large accelerated filer, which means the market value of our common stock that is held by non-affiliates exceeds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300990</wp:posOffset>
            </wp:positionV>
            <wp:extent cx="8255" cy="1200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300990</wp:posOffset>
            </wp:positionV>
            <wp:extent cx="8890" cy="1200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68</w:t>
      </w:r>
    </w:p>
    <w:p>
      <w:pPr>
        <w:sectPr>
          <w:pgSz w:w="11900" w:h="16838" w:orient="portrait"/>
          <w:cols w:equalWidth="0" w:num="3">
            <w:col w:w="4580" w:space="540"/>
            <w:col w:w="1040" w:space="360"/>
            <w:col w:w="4720"/>
          </w:cols>
          <w:pgMar w:left="320" w:top="1343" w:right="339" w:bottom="1440" w:gutter="0" w:footer="0" w:header="0"/>
          <w:type w:val="continuous"/>
        </w:sectPr>
      </w:pPr>
    </w:p>
    <w:bookmarkStart w:id="71" w:name="page72"/>
    <w:bookmarkEnd w:id="71"/>
    <w:p>
      <w:pPr>
        <w:ind w:right="700"/>
        <w:spacing w:after="0" w:line="260" w:lineRule="auto"/>
        <w:rPr>
          <w:sz w:val="20"/>
          <w:szCs w:val="20"/>
          <w:color w:val="auto"/>
        </w:rPr>
      </w:pPr>
      <w:r>
        <w:rPr>
          <w:rFonts w:ascii="Arial" w:cs="Arial" w:eastAsia="Arial" w:hAnsi="Arial"/>
          <w:sz w:val="16"/>
          <w:szCs w:val="16"/>
          <w:color w:val="auto"/>
        </w:rPr>
        <w:t>$700.0 million as of the last business day of our prior second fiscal quarter, and (b) the date on which we have issued more than $1.0 billion in non-convertible debt over a rolling 36-month period.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7A. QUANTITATIVE AND QUALITATIVE DISCLOSURES ABOUT MARKET RISK</w:t>
      </w:r>
    </w:p>
    <w:p>
      <w:pPr>
        <w:spacing w:after="0" w:line="24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the normal course of business, we are subject to market risks. Market risk represents the risk of loss that may impact our financial position due to adverse changes in financial market prices and rates. Financial instruments that are exposed to concentrations of credit risk primarily consist of accounts and commissions receivable. We do not require collateral or other security for receivables, but believe the potential for collection issues with any customers was minimal as of December 31, 2020, based on the lack of collection issues in the past and the high financial standards we require of customers. As of December 31, 2020, four customers each represented 10% or more of our total accounts receivable and, in aggregate, represented 86%, or $23.2 million, of our total accounts receivable. As of December 31, 2019, five customers each represented 10% or more of our total accounts receivable and, in aggregate, represented 87%, or $21.2 million, of our total accounts receivable. No other customers represented 10% or more of our total accounts receivable at December 31, 2020 and 2019.</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4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As of December 31, 2020, we had cash of $144.2 million deposited in non-interest bearing accounts with major banks with limited to no-interest rate risk. We do not enter into investments for trading or speculative purposes and have not used any derivative financial instruments to manage interest rate risk exposure.</w:t>
      </w:r>
    </w:p>
    <w:p>
      <w:pPr>
        <w:spacing w:after="0" w:line="38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have exposure to changes in interest rates associated with borrowings under our Credit Facilities, which have variable interest rates tied either to LIBOR or an alternate base rate (“ABR”), at our option. At December 31, 2020 we had variable rate borrowings outstanding under our Credit Facilities of $412.4 million, carrying an effective interest rate of 7.5%. A hypothetical 100 basis point change in the interest rate would have had a $3.9 million effect on our income (loss) before income taxes. At December 31, 2019, we had variable rate borrowings outstanding under our Credit Facilities of $299.3 million, carrying a weighted-average effective interest rate of 8.4%. A hypothetical 100 basis point change in the interest rate would have had a $0.9 million effect on our income (loss) before income taxes</w:t>
      </w:r>
    </w:p>
    <w:p>
      <w:pPr>
        <w:spacing w:after="0" w:line="205"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See “Risk Factors—Risks Related to Our Indebtedness—Developments with respect to LIBOR may affect our borrowings under our Credit Facilities” in this Annual Report on Form 10-K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294005</wp:posOffset>
            </wp:positionV>
            <wp:extent cx="8255" cy="1200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294005</wp:posOffset>
            </wp:positionV>
            <wp:extent cx="8890" cy="1200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69</w:t>
      </w:r>
    </w:p>
    <w:p>
      <w:pPr>
        <w:sectPr>
          <w:pgSz w:w="11900" w:h="16838" w:orient="portrait"/>
          <w:cols w:equalWidth="0" w:num="3">
            <w:col w:w="4580" w:space="540"/>
            <w:col w:w="1040" w:space="360"/>
            <w:col w:w="4720"/>
          </w:cols>
          <w:pgMar w:left="320" w:top="1343"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6"/>
          <w:szCs w:val="16"/>
          <w:b w:val="1"/>
          <w:bCs w:val="1"/>
          <w:color w:val="0A2299"/>
        </w:rPr>
        <w:t>ITEM 8. FINANCIAL STATEMENTS AND SUPPLEMENTARY DATA</w:t>
      </w:r>
    </w:p>
    <w:p>
      <w:pPr>
        <w:spacing w:after="0" w:line="221"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GoHealth, Inc.</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 on the Financial Statements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audited the accompanying consolidated balance sheets of GoHealth, Inc. (the “Company”) as of December 31, 2020 and 2019 (Successor), the related consolidated statements of operations, comprehensive income (loss), changes in stockholders’ / members’ equity and cash flows for the year ended December 31, 2020 (Successor), the period from September 13, 2019 to December 31, 2019 (Successor), the period from January 1, 2019 to September 12, 2019 (Predecessor), and the year ended December 31, 2018 (Predecessor), and the related notes (collectively referred to as the “consolidated financial statements”). In our opinion, the consolidated financial statements present fairly, in all material respects, the financial position of the Company at December 31, 2020 and 2019 (Successor), and the results of its operations and its cash flows for the year ended December 31, 2020 (Successor), the period from September 13, 2019 to December 31, 2019 (Successor), the period from January 1, 2019 to September 12, 2019 (Predecessor), and the year ended December 31, 2018 (Predecessor), in conformity with U.S. generally accepted accounting principles.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Ernst &amp; Young LLP</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have served as the Company’s auditor since 2013.</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Chicago, Illinois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379095</wp:posOffset>
            </wp:positionV>
            <wp:extent cx="8255" cy="1200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379095</wp:posOffset>
            </wp:positionV>
            <wp:extent cx="8890" cy="1200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70</w:t>
      </w:r>
    </w:p>
    <w:p>
      <w:pPr>
        <w:sectPr>
          <w:pgSz w:w="11900" w:h="16838" w:orient="portrait"/>
          <w:cols w:equalWidth="0" w:num="3">
            <w:col w:w="4580" w:space="540"/>
            <w:col w:w="1040" w:space="360"/>
            <w:col w:w="4720"/>
          </w:cols>
          <w:pgMar w:left="320" w:top="1323" w:right="3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6"/>
          <w:szCs w:val="16"/>
          <w:b w:val="1"/>
          <w:bCs w:val="1"/>
          <w:color w:val="0A2299"/>
        </w:rPr>
        <w:t>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A2299"/>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A2299"/>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A2299"/>
        </w:rPr>
        <w:t>(in thousands, except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Predecessor</w:t>
            </w:r>
          </w:p>
        </w:tc>
      </w:tr>
      <w:tr>
        <w:trPr>
          <w:trHeight w:val="142"/>
        </w:trPr>
        <w:tc>
          <w:tcPr>
            <w:tcW w:w="6140" w:type="dxa"/>
            <w:vAlign w:val="bottom"/>
          </w:tcPr>
          <w:p>
            <w:pPr>
              <w:spacing w:after="0"/>
              <w:rPr>
                <w:sz w:val="12"/>
                <w:szCs w:val="12"/>
                <w:color w:val="auto"/>
              </w:rPr>
            </w:pPr>
          </w:p>
        </w:tc>
        <w:tc>
          <w:tcPr>
            <w:tcW w:w="13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Twelve months</w:t>
            </w:r>
          </w:p>
        </w:tc>
        <w:tc>
          <w:tcPr>
            <w:tcW w:w="1300" w:type="dxa"/>
            <w:vAlign w:val="bottom"/>
            <w:tcBorders>
              <w:right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Period from Sep.</w:t>
            </w:r>
          </w:p>
        </w:tc>
        <w:tc>
          <w:tcPr>
            <w:tcW w:w="13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Period from Jan.</w:t>
            </w:r>
          </w:p>
        </w:tc>
        <w:tc>
          <w:tcPr>
            <w:tcW w:w="12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Twelve months</w:t>
            </w:r>
          </w:p>
        </w:tc>
      </w:tr>
      <w:tr>
        <w:trPr>
          <w:trHeight w:val="135"/>
        </w:trPr>
        <w:tc>
          <w:tcPr>
            <w:tcW w:w="6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ended Dec. 31,</w:t>
            </w:r>
          </w:p>
        </w:tc>
        <w:tc>
          <w:tcPr>
            <w:tcW w:w="1300" w:type="dxa"/>
            <w:vAlign w:val="bottom"/>
            <w:tcBorders>
              <w:right w:val="single" w:sz="8" w:color="auto"/>
            </w:tcBorders>
            <w:gridSpan w:val="3"/>
          </w:tcPr>
          <w:p>
            <w:pPr>
              <w:ind w:left="20"/>
              <w:spacing w:after="0" w:line="135" w:lineRule="exact"/>
              <w:rPr>
                <w:sz w:val="20"/>
                <w:szCs w:val="20"/>
                <w:color w:val="auto"/>
              </w:rPr>
            </w:pPr>
            <w:r>
              <w:rPr>
                <w:rFonts w:ascii="Arial" w:cs="Arial" w:eastAsia="Arial" w:hAnsi="Arial"/>
                <w:sz w:val="14"/>
                <w:szCs w:val="14"/>
                <w:b w:val="1"/>
                <w:bCs w:val="1"/>
                <w:color w:val="auto"/>
              </w:rPr>
              <w:t>13, 2019 through</w:t>
            </w:r>
          </w:p>
        </w:tc>
        <w:tc>
          <w:tcPr>
            <w:tcW w:w="13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1, 2019 through</w:t>
            </w:r>
          </w:p>
        </w:tc>
        <w:tc>
          <w:tcPr>
            <w:tcW w:w="100" w:type="dxa"/>
            <w:vAlign w:val="bottom"/>
          </w:tcPr>
          <w:p>
            <w:pPr>
              <w:spacing w:after="0"/>
              <w:rPr>
                <w:sz w:val="11"/>
                <w:szCs w:val="11"/>
                <w:color w:val="auto"/>
              </w:rPr>
            </w:pPr>
          </w:p>
        </w:tc>
        <w:tc>
          <w:tcPr>
            <w:tcW w:w="11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ended Dec. 31,</w:t>
            </w:r>
          </w:p>
        </w:tc>
      </w:tr>
      <w:tr>
        <w:trPr>
          <w:trHeight w:val="176"/>
        </w:trPr>
        <w:tc>
          <w:tcPr>
            <w:tcW w:w="6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 31, 2019</w:t>
            </w:r>
          </w:p>
        </w:tc>
        <w:tc>
          <w:tcPr>
            <w:tcW w:w="12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Sep. 12, 2019</w:t>
            </w:r>
          </w:p>
        </w:tc>
        <w:tc>
          <w:tcPr>
            <w:tcW w:w="100" w:type="dxa"/>
            <w:vAlign w:val="bottom"/>
          </w:tcPr>
          <w:p>
            <w:pPr>
              <w:spacing w:after="0"/>
              <w:rPr>
                <w:sz w:val="15"/>
                <w:szCs w:val="15"/>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2018</w:t>
            </w:r>
          </w:p>
        </w:tc>
      </w:tr>
      <w:tr>
        <w:trPr>
          <w:trHeight w:val="169"/>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Net revenues:</w:t>
            </w: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6140" w:type="dxa"/>
            <w:vAlign w:val="bottom"/>
          </w:tcPr>
          <w:p>
            <w:pPr>
              <w:ind w:left="240"/>
              <w:spacing w:after="0"/>
              <w:rPr>
                <w:sz w:val="20"/>
                <w:szCs w:val="20"/>
                <w:color w:val="auto"/>
              </w:rPr>
            </w:pPr>
            <w:r>
              <w:rPr>
                <w:rFonts w:ascii="Arial" w:cs="Arial" w:eastAsia="Arial" w:hAnsi="Arial"/>
                <w:sz w:val="14"/>
                <w:szCs w:val="14"/>
                <w:color w:val="auto"/>
              </w:rPr>
              <w:t>Commission</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671,140</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243,347</w:t>
            </w:r>
          </w:p>
        </w:tc>
        <w:tc>
          <w:tcPr>
            <w:tcW w:w="100" w:type="dxa"/>
            <w:vAlign w:val="bottom"/>
            <w:tcBorders>
              <w:right w:val="single" w:sz="8" w:color="auto"/>
            </w:tcBorders>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175,834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144,378</w:t>
            </w:r>
          </w:p>
        </w:tc>
      </w:tr>
      <w:tr>
        <w:trPr>
          <w:trHeight w:val="189"/>
        </w:trPr>
        <w:tc>
          <w:tcPr>
            <w:tcW w:w="61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Enterprise</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206,210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65,144</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55,176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81,827</w:t>
            </w:r>
          </w:p>
        </w:tc>
      </w:tr>
      <w:tr>
        <w:trPr>
          <w:trHeight w:val="182"/>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revenues</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877,350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308,491</w:t>
            </w:r>
          </w:p>
        </w:tc>
        <w:tc>
          <w:tcPr>
            <w:tcW w:w="100" w:type="dxa"/>
            <w:vAlign w:val="bottom"/>
            <w:tcBorders>
              <w:bottom w:val="single" w:sz="8" w:color="CCEEFF"/>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231,010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226,205</w:t>
            </w:r>
          </w:p>
        </w:tc>
      </w:tr>
      <w:tr>
        <w:trPr>
          <w:trHeight w:val="16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9"/>
        </w:trPr>
        <w:tc>
          <w:tcPr>
            <w:tcW w:w="6140" w:type="dxa"/>
            <w:vAlign w:val="bottom"/>
          </w:tcPr>
          <w:p>
            <w:pPr>
              <w:ind w:left="240"/>
              <w:spacing w:after="0"/>
              <w:rPr>
                <w:sz w:val="20"/>
                <w:szCs w:val="20"/>
                <w:color w:val="auto"/>
              </w:rPr>
            </w:pPr>
            <w:r>
              <w:rPr>
                <w:rFonts w:ascii="Arial" w:cs="Arial" w:eastAsia="Arial" w:hAnsi="Arial"/>
                <w:sz w:val="14"/>
                <w:szCs w:val="14"/>
                <w:color w:val="auto"/>
              </w:rPr>
              <w:t>Cost of revenue</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199,202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90,384</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79,169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79,582</w:t>
            </w:r>
          </w:p>
        </w:tc>
      </w:tr>
      <w:tr>
        <w:trPr>
          <w:trHeight w:val="189"/>
        </w:trPr>
        <w:tc>
          <w:tcPr>
            <w:tcW w:w="61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Marketing and advertising</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24,811</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28,129</w:t>
            </w:r>
          </w:p>
        </w:tc>
      </w:tr>
      <w:tr>
        <w:trPr>
          <w:trHeight w:val="189"/>
        </w:trPr>
        <w:tc>
          <w:tcPr>
            <w:tcW w:w="6140" w:type="dxa"/>
            <w:vAlign w:val="bottom"/>
          </w:tcPr>
          <w:p>
            <w:pPr>
              <w:ind w:left="240"/>
              <w:spacing w:after="0"/>
              <w:rPr>
                <w:sz w:val="20"/>
                <w:szCs w:val="20"/>
                <w:color w:val="auto"/>
              </w:rPr>
            </w:pPr>
            <w:r>
              <w:rPr>
                <w:rFonts w:ascii="Arial" w:cs="Arial" w:eastAsia="Arial" w:hAnsi="Arial"/>
                <w:sz w:val="14"/>
                <w:szCs w:val="14"/>
                <w:color w:val="auto"/>
              </w:rPr>
              <w:t>Customer care and enrollment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165,497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44,356</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49,149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46,076</w:t>
            </w:r>
          </w:p>
        </w:tc>
      </w:tr>
      <w:tr>
        <w:trPr>
          <w:trHeight w:val="189"/>
        </w:trPr>
        <w:tc>
          <w:tcPr>
            <w:tcW w:w="61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59,348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6,006</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16,197</w:t>
            </w:r>
          </w:p>
        </w:tc>
      </w:tr>
      <w:tr>
        <w:trPr>
          <w:trHeight w:val="189"/>
        </w:trPr>
        <w:tc>
          <w:tcPr>
            <w:tcW w:w="614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197,229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13,674</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79,219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27,458</w:t>
            </w:r>
          </w:p>
        </w:tc>
      </w:tr>
      <w:tr>
        <w:trPr>
          <w:trHeight w:val="189"/>
        </w:trPr>
        <w:tc>
          <w:tcPr>
            <w:tcW w:w="61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Change in fair value of contingent consideration liability</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70,700</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4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94,056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28,217</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Acquisition related transaction costs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6,245</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941,896</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284,393</w:t>
            </w:r>
          </w:p>
        </w:tc>
        <w:tc>
          <w:tcPr>
            <w:tcW w:w="100" w:type="dxa"/>
            <w:vAlign w:val="bottom"/>
            <w:tcBorders>
              <w:bottom w:val="single" w:sz="8" w:color="CCEEFF"/>
              <w:right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287,885</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197,442</w:t>
            </w:r>
          </w:p>
        </w:tc>
      </w:tr>
      <w:tr>
        <w:trPr>
          <w:trHeight w:val="183"/>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24,098</w:t>
            </w: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28,763</w:t>
            </w: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32,969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8,076</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224</w:t>
            </w:r>
          </w:p>
        </w:tc>
      </w:tr>
      <w:tr>
        <w:trPr>
          <w:trHeight w:val="18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w:t>
            </w:r>
          </w:p>
        </w:tc>
      </w:tr>
      <w:tr>
        <w:trPr>
          <w:trHeight w:val="182"/>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(loss) before income taxes</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(97,157)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16,039</w:t>
            </w:r>
          </w:p>
        </w:tc>
        <w:tc>
          <w:tcPr>
            <w:tcW w:w="100" w:type="dxa"/>
            <w:vAlign w:val="bottom"/>
            <w:tcBorders>
              <w:bottom w:val="single" w:sz="8" w:color="CCEEFF"/>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(57,129)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28,160</w:t>
            </w:r>
          </w:p>
        </w:tc>
      </w:tr>
      <w:tr>
        <w:trPr>
          <w:trHeight w:val="183"/>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83"/>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(97,200)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15,995</w:t>
            </w:r>
          </w:p>
        </w:tc>
        <w:tc>
          <w:tcPr>
            <w:tcW w:w="100" w:type="dxa"/>
            <w:vAlign w:val="bottom"/>
            <w:tcBorders>
              <w:bottom w:val="single" w:sz="8" w:color="CCEEFF"/>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(57,063)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28,114</w:t>
            </w:r>
          </w:p>
        </w:tc>
      </w:tr>
      <w:tr>
        <w:trPr>
          <w:trHeight w:val="183"/>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non-controlling interests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3"/>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(44,267)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15,995</w:t>
            </w:r>
          </w:p>
        </w:tc>
        <w:tc>
          <w:tcPr>
            <w:tcW w:w="100" w:type="dxa"/>
            <w:vAlign w:val="bottom"/>
            <w:tcBorders>
              <w:right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(57,063)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28,117</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6"/>
        </w:trPr>
        <w:tc>
          <w:tcPr>
            <w:tcW w:w="61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i w:val="1"/>
                <w:iCs w:val="1"/>
                <w:color w:val="auto"/>
              </w:rPr>
              <w:t>Net loss per share (Note 9):</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Net loss per share of Class A common stock — basic and diluted (1)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shares of Class A common stock outstanding — basic and diluted</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bl>
    <w:p>
      <w:pPr>
        <w:spacing w:after="0" w:line="301"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Net loss per share of Class A common stock—basic and diluted is based on the post-IPO net loss from July 17, 2020 to December 31, 2020.</w:t>
      </w:r>
    </w:p>
    <w:p>
      <w:pPr>
        <w:spacing w:after="0" w:line="212" w:lineRule="exact"/>
        <w:rPr>
          <w:rFonts w:ascii="Arial" w:cs="Arial" w:eastAsia="Arial" w:hAnsi="Arial"/>
          <w:sz w:val="14"/>
          <w:szCs w:val="14"/>
          <w:i w:val="1"/>
          <w:iCs w:val="1"/>
          <w:color w:val="auto"/>
        </w:rPr>
      </w:pPr>
    </w:p>
    <w:p>
      <w:pPr>
        <w:ind w:left="2400"/>
        <w:spacing w:after="0"/>
        <w:rPr>
          <w:rFonts w:ascii="Arial" w:cs="Arial" w:eastAsia="Arial" w:hAnsi="Arial"/>
          <w:sz w:val="14"/>
          <w:szCs w:val="14"/>
          <w:i w:val="1"/>
          <w:iCs w:val="1"/>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320675</wp:posOffset>
            </wp:positionV>
            <wp:extent cx="8255" cy="1200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320675</wp:posOffset>
            </wp:positionV>
            <wp:extent cx="8890" cy="1200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71</w:t>
      </w:r>
    </w:p>
    <w:p>
      <w:pPr>
        <w:sectPr>
          <w:pgSz w:w="11900" w:h="16838" w:orient="portrait"/>
          <w:cols w:equalWidth="0" w:num="3">
            <w:col w:w="4580" w:space="540"/>
            <w:col w:w="1040" w:space="360"/>
            <w:col w:w="4720"/>
          </w:cols>
          <w:pgMar w:left="320" w:top="1161" w:right="3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6"/>
          <w:szCs w:val="16"/>
          <w:b w:val="1"/>
          <w:bCs w:val="1"/>
          <w:color w:val="0A2299"/>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A2299"/>
        </w:rPr>
        <w:t>CONSOLIDATED STATEMENTS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A2299"/>
        </w:rPr>
        <w:t>(in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Predecessor</w:t>
            </w:r>
          </w:p>
        </w:tc>
      </w:tr>
      <w:tr>
        <w:trPr>
          <w:trHeight w:val="142"/>
        </w:trPr>
        <w:tc>
          <w:tcPr>
            <w:tcW w:w="6160" w:type="dxa"/>
            <w:vAlign w:val="bottom"/>
          </w:tcPr>
          <w:p>
            <w:pPr>
              <w:spacing w:after="0"/>
              <w:rPr>
                <w:sz w:val="12"/>
                <w:szCs w:val="12"/>
                <w:color w:val="auto"/>
              </w:rPr>
            </w:pPr>
          </w:p>
        </w:tc>
        <w:tc>
          <w:tcPr>
            <w:tcW w:w="128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Twelve months</w:t>
            </w:r>
          </w:p>
        </w:tc>
        <w:tc>
          <w:tcPr>
            <w:tcW w:w="1300" w:type="dxa"/>
            <w:vAlign w:val="bottom"/>
            <w:tcBorders>
              <w:right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Period from Sep.</w:t>
            </w:r>
          </w:p>
        </w:tc>
        <w:tc>
          <w:tcPr>
            <w:tcW w:w="13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Period from Jan.</w:t>
            </w:r>
          </w:p>
        </w:tc>
        <w:tc>
          <w:tcPr>
            <w:tcW w:w="12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Twelve months</w:t>
            </w:r>
          </w:p>
        </w:tc>
      </w:tr>
      <w:tr>
        <w:trPr>
          <w:trHeight w:val="135"/>
        </w:trPr>
        <w:tc>
          <w:tcPr>
            <w:tcW w:w="6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ended Dec. 31,</w:t>
            </w:r>
          </w:p>
        </w:tc>
        <w:tc>
          <w:tcPr>
            <w:tcW w:w="1300" w:type="dxa"/>
            <w:vAlign w:val="bottom"/>
            <w:tcBorders>
              <w:right w:val="single" w:sz="8" w:color="auto"/>
            </w:tcBorders>
            <w:gridSpan w:val="3"/>
          </w:tcPr>
          <w:p>
            <w:pPr>
              <w:ind w:left="20"/>
              <w:spacing w:after="0" w:line="135" w:lineRule="exact"/>
              <w:rPr>
                <w:sz w:val="20"/>
                <w:szCs w:val="20"/>
                <w:color w:val="auto"/>
              </w:rPr>
            </w:pPr>
            <w:r>
              <w:rPr>
                <w:rFonts w:ascii="Arial" w:cs="Arial" w:eastAsia="Arial" w:hAnsi="Arial"/>
                <w:sz w:val="14"/>
                <w:szCs w:val="14"/>
                <w:b w:val="1"/>
                <w:bCs w:val="1"/>
                <w:color w:val="auto"/>
              </w:rPr>
              <w:t>13, 2019 through</w:t>
            </w:r>
          </w:p>
        </w:tc>
        <w:tc>
          <w:tcPr>
            <w:tcW w:w="1300" w:type="dxa"/>
            <w:vAlign w:val="bottom"/>
            <w:gridSpan w:val="3"/>
          </w:tcPr>
          <w:p>
            <w:pPr>
              <w:jc w:val="right"/>
              <w:ind w:right="160"/>
              <w:spacing w:after="0" w:line="135" w:lineRule="exact"/>
              <w:rPr>
                <w:sz w:val="20"/>
                <w:szCs w:val="20"/>
                <w:color w:val="auto"/>
              </w:rPr>
            </w:pPr>
            <w:r>
              <w:rPr>
                <w:rFonts w:ascii="Arial" w:cs="Arial" w:eastAsia="Arial" w:hAnsi="Arial"/>
                <w:sz w:val="14"/>
                <w:szCs w:val="14"/>
                <w:b w:val="1"/>
                <w:bCs w:val="1"/>
                <w:color w:val="auto"/>
              </w:rPr>
              <w:t>1, 2019 through</w:t>
            </w:r>
          </w:p>
        </w:tc>
        <w:tc>
          <w:tcPr>
            <w:tcW w:w="100" w:type="dxa"/>
            <w:vAlign w:val="bottom"/>
          </w:tcPr>
          <w:p>
            <w:pPr>
              <w:spacing w:after="0"/>
              <w:rPr>
                <w:sz w:val="11"/>
                <w:szCs w:val="11"/>
                <w:color w:val="auto"/>
              </w:rPr>
            </w:pPr>
          </w:p>
        </w:tc>
        <w:tc>
          <w:tcPr>
            <w:tcW w:w="11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ended Dec. 31,</w:t>
            </w:r>
          </w:p>
        </w:tc>
      </w:tr>
      <w:tr>
        <w:trPr>
          <w:trHeight w:val="175"/>
        </w:trPr>
        <w:tc>
          <w:tcPr>
            <w:tcW w:w="6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 31, 2019</w:t>
            </w:r>
          </w:p>
        </w:tc>
        <w:tc>
          <w:tcPr>
            <w:tcW w:w="12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 12, 2019</w:t>
            </w:r>
          </w:p>
        </w:tc>
        <w:tc>
          <w:tcPr>
            <w:tcW w:w="100" w:type="dxa"/>
            <w:vAlign w:val="bottom"/>
          </w:tcPr>
          <w:p>
            <w:pPr>
              <w:spacing w:after="0"/>
              <w:rPr>
                <w:sz w:val="15"/>
                <w:szCs w:val="15"/>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2018</w:t>
            </w:r>
          </w:p>
        </w:tc>
      </w:tr>
      <w:tr>
        <w:trPr>
          <w:trHeight w:val="183"/>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(97,200)</w:t>
            </w: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15,995</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(57,063)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28,114</w:t>
            </w:r>
          </w:p>
        </w:tc>
      </w:tr>
      <w:tr>
        <w:trPr>
          <w:trHeight w:val="189"/>
        </w:trPr>
        <w:tc>
          <w:tcPr>
            <w:tcW w:w="6160" w:type="dxa"/>
            <w:vAlign w:val="bottom"/>
          </w:tcPr>
          <w:p>
            <w:pPr>
              <w:ind w:left="20"/>
              <w:spacing w:after="0"/>
              <w:rPr>
                <w:sz w:val="20"/>
                <w:szCs w:val="20"/>
                <w:color w:val="auto"/>
              </w:rPr>
            </w:pPr>
            <w:r>
              <w:rPr>
                <w:rFonts w:ascii="Arial" w:cs="Arial" w:eastAsia="Arial" w:hAnsi="Arial"/>
                <w:sz w:val="14"/>
                <w:szCs w:val="14"/>
                <w:i w:val="1"/>
                <w:iCs w:val="1"/>
                <w:color w:val="auto"/>
              </w:rPr>
              <w:t>Other comprehensive income (loss):</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6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adjustments</w:t>
            </w:r>
          </w:p>
        </w:tc>
        <w:tc>
          <w:tcPr>
            <w:tcW w:w="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Comprehensive income (loss)</w:t>
            </w: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(97,134)</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15,978</w:t>
            </w:r>
          </w:p>
        </w:tc>
        <w:tc>
          <w:tcPr>
            <w:tcW w:w="100" w:type="dxa"/>
            <w:vAlign w:val="bottom"/>
            <w:tcBorders>
              <w:bottom w:val="single" w:sz="8" w:color="CCEEFF"/>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(57,095)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28,106</w:t>
            </w: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loss attributable to non-controlling interests</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(52,884)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3"/>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 (loss) attributable to GoHealth, Inc.</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(44,250)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15,978</w:t>
            </w:r>
          </w:p>
        </w:tc>
        <w:tc>
          <w:tcPr>
            <w:tcW w:w="100" w:type="dxa"/>
            <w:vAlign w:val="bottom"/>
            <w:tcBorders>
              <w:right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(57,095)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28,109</w:t>
            </w:r>
          </w:p>
        </w:tc>
      </w:tr>
      <w:tr>
        <w:trPr>
          <w:trHeight w:val="20"/>
        </w:trPr>
        <w:tc>
          <w:tcPr>
            <w:tcW w:w="6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320675</wp:posOffset>
            </wp:positionV>
            <wp:extent cx="8255" cy="1200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320675</wp:posOffset>
            </wp:positionV>
            <wp:extent cx="8890" cy="1200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72</w:t>
      </w:r>
    </w:p>
    <w:p>
      <w:pPr>
        <w:sectPr>
          <w:pgSz w:w="11900" w:h="16838" w:orient="portrait"/>
          <w:cols w:equalWidth="0" w:num="3">
            <w:col w:w="4580" w:space="540"/>
            <w:col w:w="1040" w:space="360"/>
            <w:col w:w="4720"/>
          </w:cols>
          <w:pgMar w:left="320" w:top="1323" w:right="3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6"/>
          <w:szCs w:val="16"/>
          <w:b w:val="1"/>
          <w:bCs w:val="1"/>
          <w:color w:val="0A2299"/>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A2299"/>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A2299"/>
        </w:rPr>
        <w:t>(in thousands, except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83"/>
        </w:trPr>
        <w:tc>
          <w:tcPr>
            <w:tcW w:w="7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 31, 2020</w:t>
            </w:r>
          </w:p>
        </w:tc>
        <w:tc>
          <w:tcPr>
            <w:tcW w:w="220" w:type="dxa"/>
            <w:vAlign w:val="bottom"/>
          </w:tcPr>
          <w:p>
            <w:pPr>
              <w:spacing w:after="0"/>
              <w:rPr>
                <w:sz w:val="15"/>
                <w:szCs w:val="15"/>
                <w:color w:val="auto"/>
              </w:rPr>
            </w:pPr>
          </w:p>
        </w:tc>
        <w:tc>
          <w:tcPr>
            <w:tcW w:w="1420" w:type="dxa"/>
            <w:vAlign w:val="bottom"/>
          </w:tcPr>
          <w:p>
            <w:pPr>
              <w:jc w:val="right"/>
              <w:ind w:right="308"/>
              <w:spacing w:after="0"/>
              <w:rPr>
                <w:sz w:val="20"/>
                <w:szCs w:val="20"/>
                <w:color w:val="auto"/>
              </w:rPr>
            </w:pPr>
            <w:r>
              <w:rPr>
                <w:rFonts w:ascii="Arial" w:cs="Arial" w:eastAsia="Arial" w:hAnsi="Arial"/>
                <w:sz w:val="14"/>
                <w:szCs w:val="14"/>
                <w:b w:val="1"/>
                <w:bCs w:val="1"/>
                <w:color w:val="auto"/>
              </w:rPr>
              <w:t>Dec. 31, 2019</w:t>
            </w:r>
          </w:p>
        </w:tc>
        <w:tc>
          <w:tcPr>
            <w:tcW w:w="0" w:type="dxa"/>
            <w:vAlign w:val="bottom"/>
          </w:tcPr>
          <w:p>
            <w:pPr>
              <w:spacing w:after="0"/>
              <w:rPr>
                <w:sz w:val="1"/>
                <w:szCs w:val="1"/>
                <w:color w:val="auto"/>
              </w:rPr>
            </w:pPr>
          </w:p>
        </w:tc>
      </w:tr>
      <w:tr>
        <w:trPr>
          <w:trHeight w:val="169"/>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i w:val="1"/>
                <w:iCs w:val="1"/>
                <w:color w:val="auto"/>
              </w:rPr>
              <w:t>Current assets: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144,234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12,276</w:t>
            </w:r>
          </w:p>
        </w:tc>
        <w:tc>
          <w:tcPr>
            <w:tcW w:w="0" w:type="dxa"/>
            <w:vAlign w:val="bottom"/>
          </w:tcPr>
          <w:p>
            <w:pPr>
              <w:spacing w:after="0"/>
              <w:rPr>
                <w:sz w:val="1"/>
                <w:szCs w:val="1"/>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Accounts receivable, net of allowance for doubtful accounts of $1,045 in 2020 and $904 in 2019</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26,871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24,461</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 from NVX Holdings, Inc.</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Commissions receivable - current</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188,128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101,078</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 and other current assets</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29,194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5,954</w:t>
            </w:r>
          </w:p>
        </w:tc>
        <w:tc>
          <w:tcPr>
            <w:tcW w:w="0" w:type="dxa"/>
            <w:vAlign w:val="bottom"/>
          </w:tcPr>
          <w:p>
            <w:pPr>
              <w:spacing w:after="0"/>
              <w:rPr>
                <w:sz w:val="1"/>
                <w:szCs w:val="1"/>
                <w:color w:val="auto"/>
              </w:rPr>
            </w:pP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391,822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143,769</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Commissions receivable - non-current</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622,270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281,853</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2,072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equipment, and capitalized software, net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17,353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6,339</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688,726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782,783</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386,553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386,553</w:t>
            </w:r>
          </w:p>
        </w:tc>
        <w:tc>
          <w:tcPr>
            <w:tcW w:w="0" w:type="dxa"/>
            <w:vAlign w:val="bottom"/>
          </w:tcPr>
          <w:p>
            <w:pPr>
              <w:spacing w:after="0"/>
              <w:rPr>
                <w:sz w:val="1"/>
                <w:szCs w:val="1"/>
                <w:color w:val="auto"/>
              </w:rPr>
            </w:pP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2,108,796</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1,602,295</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 Members’ Equity</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i w:val="1"/>
                <w:iCs w:val="1"/>
                <w:color w:val="auto"/>
              </w:rPr>
              <w:t>Current liabilities: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13,582</w:t>
            </w:r>
          </w:p>
        </w:tc>
        <w:tc>
          <w:tcPr>
            <w:tcW w:w="0" w:type="dxa"/>
            <w:vAlign w:val="bottom"/>
          </w:tcPr>
          <w:p>
            <w:pPr>
              <w:spacing w:after="0"/>
              <w:rPr>
                <w:sz w:val="1"/>
                <w:szCs w:val="1"/>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Accrued liabilities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26,926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22,568</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Commissions payable - current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78,478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56,003</w:t>
            </w:r>
          </w:p>
        </w:tc>
        <w:tc>
          <w:tcPr>
            <w:tcW w:w="0" w:type="dxa"/>
            <w:vAlign w:val="bottom"/>
          </w:tcPr>
          <w:p>
            <w:pPr>
              <w:spacing w:after="0"/>
              <w:rPr>
                <w:sz w:val="1"/>
                <w:szCs w:val="1"/>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15,218</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Current portion of long-term debt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2,694</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127,371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113,065</w:t>
            </w:r>
          </w:p>
        </w:tc>
        <w:tc>
          <w:tcPr>
            <w:tcW w:w="0" w:type="dxa"/>
            <w:vAlign w:val="bottom"/>
          </w:tcPr>
          <w:p>
            <w:pPr>
              <w:spacing w:after="0"/>
              <w:rPr>
                <w:sz w:val="1"/>
                <w:szCs w:val="1"/>
                <w:color w:val="auto"/>
              </w:rPr>
            </w:pPr>
          </w:p>
        </w:tc>
      </w:tr>
      <w:tr>
        <w:trPr>
          <w:trHeight w:val="169"/>
        </w:trPr>
        <w:tc>
          <w:tcPr>
            <w:tcW w:w="7860" w:type="dxa"/>
            <w:vAlign w:val="bottom"/>
          </w:tcPr>
          <w:p>
            <w:pPr>
              <w:ind w:left="20"/>
              <w:spacing w:after="0"/>
              <w:rPr>
                <w:sz w:val="20"/>
                <w:szCs w:val="20"/>
                <w:color w:val="auto"/>
              </w:rPr>
            </w:pPr>
            <w:r>
              <w:rPr>
                <w:rFonts w:ascii="Arial" w:cs="Arial" w:eastAsia="Arial" w:hAnsi="Arial"/>
                <w:sz w:val="14"/>
                <w:szCs w:val="14"/>
                <w:i w:val="1"/>
                <w:iCs w:val="1"/>
                <w:color w:val="auto"/>
              </w:rPr>
              <w:t>Non-current liabilities:</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Commissions payable - non-current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182,596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97,489</w:t>
            </w:r>
          </w:p>
        </w:tc>
        <w:tc>
          <w:tcPr>
            <w:tcW w:w="0" w:type="dxa"/>
            <w:vAlign w:val="bottom"/>
          </w:tcPr>
          <w:p>
            <w:pPr>
              <w:spacing w:after="0"/>
              <w:rPr>
                <w:sz w:val="1"/>
                <w:szCs w:val="1"/>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Long-term debt, net of current portion</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396,400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288,233</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Contingent consideration</w:t>
            </w:r>
          </w:p>
        </w:tc>
        <w:tc>
          <w:tcPr>
            <w:tcW w:w="2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242,700</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non-current liabilities</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582,270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629,086</w:t>
            </w:r>
          </w:p>
        </w:tc>
        <w:tc>
          <w:tcPr>
            <w:tcW w:w="0" w:type="dxa"/>
            <w:vAlign w:val="bottom"/>
          </w:tcPr>
          <w:p>
            <w:pPr>
              <w:spacing w:after="0"/>
              <w:rPr>
                <w:sz w:val="1"/>
                <w:szCs w:val="1"/>
                <w:color w:val="auto"/>
              </w:rPr>
            </w:pPr>
          </w:p>
        </w:tc>
      </w:tr>
      <w:tr>
        <w:trPr>
          <w:trHeight w:val="169"/>
        </w:trPr>
        <w:tc>
          <w:tcPr>
            <w:tcW w:w="7860" w:type="dxa"/>
            <w:vAlign w:val="bottom"/>
          </w:tcPr>
          <w:p>
            <w:pPr>
              <w:ind w:left="20"/>
              <w:spacing w:after="0"/>
              <w:rPr>
                <w:sz w:val="20"/>
                <w:szCs w:val="20"/>
                <w:color w:val="auto"/>
              </w:rPr>
            </w:pPr>
            <w:r>
              <w:rPr>
                <w:rFonts w:ascii="Arial" w:cs="Arial" w:eastAsia="Arial" w:hAnsi="Arial"/>
                <w:sz w:val="14"/>
                <w:szCs w:val="14"/>
                <w:color w:val="auto"/>
              </w:rPr>
              <w:t>Commitments and Contingencies (Note 12)</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Stockholders’ / members’ equity:</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Members’ interest</w:t>
            </w:r>
          </w:p>
        </w:tc>
        <w:tc>
          <w:tcPr>
            <w:tcW w:w="22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860,161</w:t>
            </w:r>
          </w:p>
        </w:tc>
        <w:tc>
          <w:tcPr>
            <w:tcW w:w="0" w:type="dxa"/>
            <w:vAlign w:val="bottom"/>
          </w:tcPr>
          <w:p>
            <w:pPr>
              <w:spacing w:after="0"/>
              <w:rPr>
                <w:sz w:val="1"/>
                <w:szCs w:val="1"/>
                <w:color w:val="auto"/>
              </w:rPr>
            </w:pPr>
          </w:p>
        </w:tc>
      </w:tr>
      <w:tr>
        <w:trPr>
          <w:trHeight w:val="153"/>
        </w:trPr>
        <w:tc>
          <w:tcPr>
            <w:tcW w:w="786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Class A common stock – $0.0001 par value; 1,100,000 shares authorized; 84,196 shares issued and outstanding at</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December 31, 2020</w:t>
            </w:r>
          </w:p>
        </w:tc>
        <w:tc>
          <w:tcPr>
            <w:tcW w:w="22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60" w:type="dxa"/>
            <w:vAlign w:val="bottom"/>
          </w:tcPr>
          <w:p>
            <w:pPr>
              <w:ind w:left="240"/>
              <w:spacing w:after="0" w:line="153" w:lineRule="exact"/>
              <w:rPr>
                <w:sz w:val="20"/>
                <w:szCs w:val="20"/>
                <w:color w:val="auto"/>
              </w:rPr>
            </w:pPr>
            <w:r>
              <w:rPr>
                <w:rFonts w:ascii="Arial" w:cs="Arial" w:eastAsia="Arial" w:hAnsi="Arial"/>
                <w:sz w:val="14"/>
                <w:szCs w:val="14"/>
                <w:color w:val="auto"/>
              </w:rPr>
              <w:t>Class B common stock – $0.0001 par value; 619,004 shares authorized; 236,997 shares issued and outstanding at</w:t>
            </w: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4"/>
                <w:szCs w:val="14"/>
                <w:color w:val="auto"/>
              </w:rPr>
              <w:t>December 31, 2020</w:t>
            </w:r>
          </w:p>
        </w:tc>
        <w:tc>
          <w:tcPr>
            <w:tcW w:w="2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6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Preferred stock – $0.0001 par value; 20,000 shares authorized; no shares issued and outstanding at December 31,</w:t>
            </w:r>
          </w:p>
        </w:tc>
        <w:tc>
          <w:tcPr>
            <w:tcW w:w="220" w:type="dxa"/>
            <w:vAlign w:val="bottom"/>
            <w:shd w:val="clear" w:color="auto" w:fill="CCEEFF"/>
          </w:tcPr>
          <w:p>
            <w:pPr>
              <w:spacing w:after="0"/>
              <w:rPr>
                <w:sz w:val="13"/>
                <w:szCs w:val="13"/>
                <w:color w:val="auto"/>
              </w:rPr>
            </w:pPr>
          </w:p>
        </w:tc>
        <w:tc>
          <w:tcPr>
            <w:tcW w:w="1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2020</w:t>
            </w:r>
          </w:p>
        </w:tc>
        <w:tc>
          <w:tcPr>
            <w:tcW w:w="220" w:type="dxa"/>
            <w:vAlign w:val="bottom"/>
            <w:shd w:val="clear" w:color="auto" w:fill="CCEEFF"/>
          </w:tcPr>
          <w:p>
            <w:pPr>
              <w:spacing w:after="0"/>
              <w:rPr>
                <w:sz w:val="14"/>
                <w:szCs w:val="14"/>
                <w:color w:val="auto"/>
              </w:rPr>
            </w:pPr>
          </w:p>
        </w:tc>
        <w:tc>
          <w:tcPr>
            <w:tcW w:w="15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399,169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Accumulated deficit</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(18,802)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 attributable to GoHealth, Inc. / members’ equity</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380,416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860,144</w:t>
            </w:r>
          </w:p>
        </w:tc>
        <w:tc>
          <w:tcPr>
            <w:tcW w:w="0" w:type="dxa"/>
            <w:vAlign w:val="bottom"/>
          </w:tcPr>
          <w:p>
            <w:pPr>
              <w:spacing w:after="0"/>
              <w:rPr>
                <w:sz w:val="1"/>
                <w:szCs w:val="1"/>
                <w:color w:val="auto"/>
              </w:rPr>
            </w:pP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1,018,739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 members’ equity</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1,399,155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860,144</w:t>
            </w:r>
          </w:p>
        </w:tc>
        <w:tc>
          <w:tcPr>
            <w:tcW w:w="0" w:type="dxa"/>
            <w:vAlign w:val="bottom"/>
          </w:tcPr>
          <w:p>
            <w:pPr>
              <w:spacing w:after="0"/>
              <w:rPr>
                <w:sz w:val="1"/>
                <w:szCs w:val="1"/>
                <w:color w:val="auto"/>
              </w:rPr>
            </w:pP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 members’ equity</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2,108,796</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1,602,295</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320675</wp:posOffset>
            </wp:positionV>
            <wp:extent cx="8255" cy="1200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320675</wp:posOffset>
            </wp:positionV>
            <wp:extent cx="8890" cy="1200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73</w:t>
      </w:r>
    </w:p>
    <w:p>
      <w:pPr>
        <w:sectPr>
          <w:pgSz w:w="11900" w:h="16838" w:orient="portrait"/>
          <w:cols w:equalWidth="0" w:num="3">
            <w:col w:w="4580" w:space="540"/>
            <w:col w:w="1040" w:space="360"/>
            <w:col w:w="4720"/>
          </w:cols>
          <w:pgMar w:left="320" w:top="1323" w:right="33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6"/>
          <w:szCs w:val="16"/>
          <w:b w:val="1"/>
          <w:bCs w:val="1"/>
          <w:color w:val="0A2299"/>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A2299"/>
        </w:rPr>
        <w:t>CONSOLIDATED STATEMENTS OF CHANGES IN STOCKHOLDERS’ / MEMBERS’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A2299"/>
        </w:rPr>
        <w:t>(in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gridSpan w:val="8"/>
          </w:tcPr>
          <w:p>
            <w:pPr>
              <w:jc w:val="center"/>
              <w:ind w:left="86"/>
              <w:spacing w:after="0"/>
              <w:rPr>
                <w:sz w:val="20"/>
                <w:szCs w:val="20"/>
                <w:color w:val="auto"/>
              </w:rPr>
            </w:pPr>
            <w:r>
              <w:rPr>
                <w:rFonts w:ascii="Arial" w:cs="Arial" w:eastAsia="Arial" w:hAnsi="Arial"/>
                <w:sz w:val="11"/>
                <w:szCs w:val="11"/>
                <w:b w:val="1"/>
                <w:bCs w:val="1"/>
                <w:color w:val="auto"/>
                <w:w w:val="98"/>
              </w:rPr>
              <w:t>Twelve months ended Dec. 31, 2020</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5"/>
          </w:tcPr>
          <w:p>
            <w:pPr>
              <w:spacing w:after="0" w:line="20" w:lineRule="exact"/>
              <w:rPr>
                <w:sz w:val="1"/>
                <w:szCs w:val="1"/>
                <w:color w:val="auto"/>
              </w:rPr>
            </w:pPr>
          </w:p>
        </w:tc>
        <w:tc>
          <w:tcPr>
            <w:tcW w:w="146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Class A Common Stock</w:t>
            </w: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Class B Common Stock</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Members’</w:t>
            </w: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line="20" w:lineRule="exact"/>
              <w:rPr>
                <w:sz w:val="1"/>
                <w:szCs w:val="1"/>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line="20" w:lineRule="exact"/>
              <w:rPr>
                <w:sz w:val="1"/>
                <w:szCs w:val="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8"/>
              </w:rPr>
              <w:t>Accumulated Other</w:t>
            </w:r>
          </w:p>
        </w:tc>
        <w:tc>
          <w:tcPr>
            <w:tcW w:w="100" w:type="dxa"/>
            <w:vAlign w:val="bottom"/>
          </w:tcPr>
          <w:p>
            <w:pPr>
              <w:spacing w:after="0" w:line="20" w:lineRule="exact"/>
              <w:rPr>
                <w:sz w:val="1"/>
                <w:szCs w:val="1"/>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Non-</w:t>
            </w:r>
          </w:p>
        </w:tc>
        <w:tc>
          <w:tcPr>
            <w:tcW w:w="100" w:type="dxa"/>
            <w:vAlign w:val="bottom"/>
          </w:tcPr>
          <w:p>
            <w:pPr>
              <w:spacing w:after="0" w:line="20" w:lineRule="exact"/>
              <w:rPr>
                <w:sz w:val="1"/>
                <w:szCs w:val="1"/>
                <w:color w:val="auto"/>
              </w:rPr>
            </w:pPr>
          </w:p>
        </w:tc>
        <w:tc>
          <w:tcPr>
            <w:tcW w:w="90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6"/>
              </w:rPr>
              <w:t>Stockholders’ /</w:t>
            </w:r>
          </w:p>
        </w:tc>
        <w:tc>
          <w:tcPr>
            <w:tcW w:w="0" w:type="dxa"/>
            <w:vAlign w:val="bottom"/>
          </w:tcPr>
          <w:p>
            <w:pPr>
              <w:spacing w:after="0"/>
              <w:rPr>
                <w:sz w:val="1"/>
                <w:szCs w:val="1"/>
                <w:color w:val="auto"/>
              </w:rPr>
            </w:pPr>
          </w:p>
        </w:tc>
      </w:tr>
      <w:tr>
        <w:trPr>
          <w:trHeight w:val="88"/>
        </w:trPr>
        <w:tc>
          <w:tcPr>
            <w:tcW w:w="2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2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6"/>
              </w:rPr>
              <w:t>Comprehensive Income</w:t>
            </w:r>
          </w:p>
        </w:tc>
        <w:tc>
          <w:tcPr>
            <w:tcW w:w="100" w:type="dxa"/>
            <w:vAlign w:val="bottom"/>
          </w:tcPr>
          <w:p>
            <w:pPr>
              <w:spacing w:after="0"/>
              <w:rPr>
                <w:sz w:val="9"/>
                <w:szCs w:val="9"/>
                <w:color w:val="auto"/>
              </w:rPr>
            </w:pPr>
          </w:p>
        </w:tc>
        <w:tc>
          <w:tcPr>
            <w:tcW w:w="8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Controlling</w:t>
            </w: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Equity</w:t>
            </w: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6"/>
              </w:rPr>
              <w:t>Paid-In Capital</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Deficit</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(Loss)</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Interest</w:t>
            </w:r>
          </w:p>
        </w:tc>
        <w:tc>
          <w:tcPr>
            <w:tcW w:w="10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9"/>
              </w:rPr>
              <w:t>Members’ Equity</w:t>
            </w:r>
          </w:p>
        </w:tc>
        <w:tc>
          <w:tcPr>
            <w:tcW w:w="0" w:type="dxa"/>
            <w:vAlign w:val="bottom"/>
          </w:tcPr>
          <w:p>
            <w:pPr>
              <w:spacing w:after="0"/>
              <w:rPr>
                <w:sz w:val="1"/>
                <w:szCs w:val="1"/>
                <w:color w:val="auto"/>
              </w:rPr>
            </w:pP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Successor:</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rPr>
                <w:sz w:val="20"/>
                <w:szCs w:val="20"/>
                <w:color w:val="auto"/>
              </w:rPr>
            </w:pPr>
            <w:r>
              <w:rPr>
                <w:rFonts w:ascii="Arial" w:cs="Arial" w:eastAsia="Arial" w:hAnsi="Arial"/>
                <w:sz w:val="11"/>
                <w:szCs w:val="11"/>
                <w:b w:val="1"/>
                <w:bCs w:val="1"/>
                <w:color w:val="auto"/>
              </w:rPr>
              <w:t>Balance at Jan. 1, 2020</w:t>
            </w:r>
          </w:p>
        </w:tc>
        <w:tc>
          <w:tcPr>
            <w:tcW w:w="140" w:type="dxa"/>
            <w:vAlign w:val="bottom"/>
            <w:tcBorders>
              <w:top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860,144</w:t>
            </w:r>
          </w:p>
        </w:tc>
        <w:tc>
          <w:tcPr>
            <w:tcW w:w="80" w:type="dxa"/>
            <w:vAlign w:val="bottom"/>
          </w:tcPr>
          <w:p>
            <w:pPr>
              <w:spacing w:after="0"/>
              <w:rPr>
                <w:sz w:val="11"/>
                <w:szCs w:val="11"/>
                <w:color w:val="auto"/>
              </w:rPr>
            </w:pP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80" w:type="dxa"/>
            <w:vAlign w:val="bottom"/>
            <w:shd w:val="clear" w:color="auto" w:fill="CCEEFF"/>
          </w:tcPr>
          <w:p>
            <w:pPr>
              <w:ind w:left="20"/>
              <w:spacing w:after="0" w:line="99" w:lineRule="exact"/>
              <w:rPr>
                <w:sz w:val="20"/>
                <w:szCs w:val="20"/>
                <w:color w:val="auto"/>
              </w:rPr>
            </w:pPr>
            <w:r>
              <w:rPr>
                <w:rFonts w:ascii="Arial" w:cs="Arial" w:eastAsia="Arial" w:hAnsi="Arial"/>
                <w:sz w:val="11"/>
                <w:szCs w:val="11"/>
                <w:color w:val="auto"/>
              </w:rPr>
              <w:t>Issuance of Senior Preferred Earnout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units</w:t>
            </w: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100,000</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080" w:type="dxa"/>
            <w:vAlign w:val="bottom"/>
          </w:tcPr>
          <w:p>
            <w:pPr>
              <w:ind w:left="20"/>
              <w:spacing w:after="0"/>
              <w:rPr>
                <w:sz w:val="20"/>
                <w:szCs w:val="20"/>
                <w:color w:val="auto"/>
              </w:rPr>
            </w:pPr>
            <w:r>
              <w:rPr>
                <w:rFonts w:ascii="Arial" w:cs="Arial" w:eastAsia="Arial" w:hAnsi="Arial"/>
                <w:sz w:val="11"/>
                <w:szCs w:val="11"/>
                <w:color w:val="auto"/>
              </w:rPr>
              <w:t>Issuance of Common Earnout Units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100,000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Issuance of common units</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10,000</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080" w:type="dxa"/>
            <w:vAlign w:val="bottom"/>
          </w:tcPr>
          <w:p>
            <w:pPr>
              <w:ind w:left="20"/>
              <w:spacing w:after="0"/>
              <w:rPr>
                <w:sz w:val="20"/>
                <w:szCs w:val="20"/>
                <w:color w:val="auto"/>
              </w:rPr>
            </w:pPr>
            <w:r>
              <w:rPr>
                <w:rFonts w:ascii="Arial" w:cs="Arial" w:eastAsia="Arial" w:hAnsi="Arial"/>
                <w:sz w:val="11"/>
                <w:szCs w:val="11"/>
                <w:color w:val="auto"/>
              </w:rPr>
              <w:t>Net loss prior to the Transactions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(25,465)</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Share-based compensation expense</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prior to the Transactions</w:t>
            </w: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1,182</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line="119" w:lineRule="exact"/>
              <w:rPr>
                <w:sz w:val="20"/>
                <w:szCs w:val="20"/>
                <w:color w:val="auto"/>
              </w:rPr>
            </w:pPr>
            <w:r>
              <w:rPr>
                <w:rFonts w:ascii="Arial" w:cs="Arial" w:eastAsia="Arial" w:hAnsi="Arial"/>
                <w:sz w:val="11"/>
                <w:szCs w:val="11"/>
                <w:color w:val="auto"/>
              </w:rPr>
              <w:t>Foreign currency translation adjustment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80" w:type="dxa"/>
            <w:vAlign w:val="bottom"/>
          </w:tcPr>
          <w:p>
            <w:pPr>
              <w:ind w:left="20"/>
              <w:spacing w:after="0"/>
              <w:rPr>
                <w:sz w:val="20"/>
                <w:szCs w:val="20"/>
                <w:color w:val="auto"/>
              </w:rPr>
            </w:pPr>
            <w:r>
              <w:rPr>
                <w:rFonts w:ascii="Arial" w:cs="Arial" w:eastAsia="Arial" w:hAnsi="Arial"/>
                <w:sz w:val="11"/>
                <w:szCs w:val="11"/>
                <w:color w:val="auto"/>
              </w:rPr>
              <w:t>prior to the Transactions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(59)</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Effect of the Transactions</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(1,045,802)</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307,980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(524,977)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1,570,748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1,045,802</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line="119" w:lineRule="exact"/>
              <w:rPr>
                <w:sz w:val="20"/>
                <w:szCs w:val="20"/>
                <w:color w:val="auto"/>
              </w:rPr>
            </w:pPr>
            <w:r>
              <w:rPr>
                <w:rFonts w:ascii="Arial" w:cs="Arial" w:eastAsia="Arial" w:hAnsi="Arial"/>
                <w:sz w:val="11"/>
                <w:szCs w:val="11"/>
                <w:color w:val="auto"/>
              </w:rPr>
              <w:t>Issuance of common stock sold in IPO,</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80" w:type="dxa"/>
            <w:vAlign w:val="bottom"/>
          </w:tcPr>
          <w:p>
            <w:pPr>
              <w:ind w:left="20"/>
              <w:spacing w:after="0"/>
              <w:rPr>
                <w:sz w:val="20"/>
                <w:szCs w:val="20"/>
                <w:color w:val="auto"/>
              </w:rPr>
            </w:pPr>
            <w:r>
              <w:rPr>
                <w:rFonts w:ascii="Arial" w:cs="Arial" w:eastAsia="Arial" w:hAnsi="Arial"/>
                <w:sz w:val="11"/>
                <w:szCs w:val="11"/>
                <w:color w:val="auto"/>
              </w:rPr>
              <w:t>net of offering costs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43,500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852,403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852,407</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Effect of the Blocker Merger</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40,683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(45,503)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(96,164)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(96,165)</w:t>
            </w:r>
          </w:p>
        </w:tc>
        <w:tc>
          <w:tcPr>
            <w:tcW w:w="0" w:type="dxa"/>
            <w:vAlign w:val="bottom"/>
          </w:tcPr>
          <w:p>
            <w:pPr>
              <w:spacing w:after="0"/>
              <w:rPr>
                <w:sz w:val="1"/>
                <w:szCs w:val="1"/>
                <w:color w:val="auto"/>
              </w:rPr>
            </w:pPr>
          </w:p>
        </w:tc>
      </w:tr>
      <w:tr>
        <w:trPr>
          <w:trHeight w:val="140"/>
        </w:trPr>
        <w:tc>
          <w:tcPr>
            <w:tcW w:w="2080" w:type="dxa"/>
            <w:vAlign w:val="bottom"/>
          </w:tcPr>
          <w:p>
            <w:pPr>
              <w:ind w:left="20"/>
              <w:spacing w:after="0"/>
              <w:rPr>
                <w:sz w:val="20"/>
                <w:szCs w:val="20"/>
                <w:color w:val="auto"/>
              </w:rPr>
            </w:pPr>
            <w:r>
              <w:rPr>
                <w:rFonts w:ascii="Arial" w:cs="Arial" w:eastAsia="Arial" w:hAnsi="Arial"/>
                <w:sz w:val="11"/>
                <w:szCs w:val="11"/>
                <w:color w:val="auto"/>
              </w:rPr>
              <w:t>Effect of purchase of LLC Interests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(25,480)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(508,318)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(508,320)</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Settlement of Senior Preferred Earnout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Units</w:t>
            </w: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(100,000)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(100,000)</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line="119" w:lineRule="exact"/>
              <w:rPr>
                <w:sz w:val="20"/>
                <w:szCs w:val="20"/>
                <w:color w:val="auto"/>
              </w:rPr>
            </w:pPr>
            <w:r>
              <w:rPr>
                <w:rFonts w:ascii="Arial" w:cs="Arial" w:eastAsia="Arial" w:hAnsi="Arial"/>
                <w:sz w:val="11"/>
                <w:szCs w:val="11"/>
                <w:color w:val="auto"/>
              </w:rPr>
              <w:t>Assumption of contingent consideration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80" w:type="dxa"/>
            <w:vAlign w:val="bottom"/>
          </w:tcPr>
          <w:p>
            <w:pPr>
              <w:ind w:left="20"/>
              <w:spacing w:after="0"/>
              <w:rPr>
                <w:sz w:val="20"/>
                <w:szCs w:val="20"/>
                <w:color w:val="auto"/>
              </w:rPr>
            </w:pPr>
            <w:r>
              <w:rPr>
                <w:rFonts w:ascii="Arial" w:cs="Arial" w:eastAsia="Arial" w:hAnsi="Arial"/>
                <w:sz w:val="11"/>
                <w:szCs w:val="11"/>
                <w:color w:val="auto"/>
              </w:rPr>
              <w:t>liability by significant shareholder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62,400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62,400</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Share-based compensation expense</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8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rPr>
              <w:t>upon vesting of performance-based</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profit units</w:t>
            </w: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209,300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209,300</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line="119" w:lineRule="exact"/>
              <w:rPr>
                <w:sz w:val="20"/>
                <w:szCs w:val="20"/>
                <w:color w:val="auto"/>
              </w:rPr>
            </w:pPr>
            <w:r>
              <w:rPr>
                <w:rFonts w:ascii="Arial" w:cs="Arial" w:eastAsia="Arial" w:hAnsi="Arial"/>
                <w:sz w:val="11"/>
                <w:szCs w:val="11"/>
                <w:color w:val="auto"/>
              </w:rPr>
              <w:t>Issuance of Class A common shares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80" w:type="dxa"/>
            <w:vAlign w:val="bottom"/>
          </w:tcPr>
          <w:p>
            <w:pPr>
              <w:ind w:left="20"/>
              <w:spacing w:after="0"/>
              <w:rPr>
                <w:sz w:val="20"/>
                <w:szCs w:val="20"/>
                <w:color w:val="auto"/>
              </w:rPr>
            </w:pPr>
            <w:r>
              <w:rPr>
                <w:rFonts w:ascii="Arial" w:cs="Arial" w:eastAsia="Arial" w:hAnsi="Arial"/>
                <w:sz w:val="11"/>
                <w:szCs w:val="11"/>
                <w:color w:val="auto"/>
              </w:rPr>
              <w:t>upon vesting of restricted stock units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subsequent to the Transactions</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(18,802)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(52,933)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(71,735)</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line="119" w:lineRule="exact"/>
              <w:rPr>
                <w:sz w:val="20"/>
                <w:szCs w:val="20"/>
                <w:color w:val="auto"/>
              </w:rPr>
            </w:pPr>
            <w:r>
              <w:rPr>
                <w:rFonts w:ascii="Arial" w:cs="Arial" w:eastAsia="Arial" w:hAnsi="Arial"/>
                <w:sz w:val="11"/>
                <w:szCs w:val="11"/>
                <w:color w:val="auto"/>
              </w:rPr>
              <w:t>Share-based compensation expense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80" w:type="dxa"/>
            <w:vAlign w:val="bottom"/>
          </w:tcPr>
          <w:p>
            <w:pPr>
              <w:ind w:left="20"/>
              <w:spacing w:after="0"/>
              <w:rPr>
                <w:sz w:val="20"/>
                <w:szCs w:val="20"/>
                <w:color w:val="auto"/>
              </w:rPr>
            </w:pPr>
            <w:r>
              <w:rPr>
                <w:rFonts w:ascii="Arial" w:cs="Arial" w:eastAsia="Arial" w:hAnsi="Arial"/>
                <w:sz w:val="11"/>
                <w:szCs w:val="11"/>
                <w:color w:val="auto"/>
              </w:rPr>
              <w:t>subsequent to the Transactions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9,290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(3,543)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5,747</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Partner distributions and other</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(347)</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line="119" w:lineRule="exact"/>
              <w:rPr>
                <w:sz w:val="20"/>
                <w:szCs w:val="20"/>
                <w:color w:val="auto"/>
              </w:rPr>
            </w:pPr>
            <w:r>
              <w:rPr>
                <w:rFonts w:ascii="Arial" w:cs="Arial" w:eastAsia="Arial" w:hAnsi="Arial"/>
                <w:sz w:val="11"/>
                <w:szCs w:val="11"/>
                <w:color w:val="auto"/>
              </w:rPr>
              <w:t>Foreign currency translation adjustment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80" w:type="dxa"/>
            <w:vAlign w:val="bottom"/>
          </w:tcPr>
          <w:p>
            <w:pPr>
              <w:ind w:left="20"/>
              <w:spacing w:after="0"/>
              <w:rPr>
                <w:sz w:val="20"/>
                <w:szCs w:val="20"/>
                <w:color w:val="auto"/>
              </w:rPr>
            </w:pPr>
            <w:r>
              <w:rPr>
                <w:rFonts w:ascii="Arial" w:cs="Arial" w:eastAsia="Arial" w:hAnsi="Arial"/>
                <w:sz w:val="11"/>
                <w:szCs w:val="11"/>
                <w:color w:val="auto"/>
              </w:rPr>
              <w:t>subsequent to the Transactions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22"/>
        </w:trPr>
        <w:tc>
          <w:tcPr>
            <w:tcW w:w="2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 31, 2020</w:t>
            </w:r>
          </w:p>
        </w:tc>
        <w:tc>
          <w:tcPr>
            <w:tcW w:w="140" w:type="dxa"/>
            <w:vAlign w:val="bottom"/>
            <w:tcBorders>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84,196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236,997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399,169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(18,802)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1,018,739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1,399,155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8"/>
          </w:tcPr>
          <w:p>
            <w:pPr>
              <w:jc w:val="center"/>
              <w:ind w:left="106"/>
              <w:spacing w:after="0"/>
              <w:rPr>
                <w:sz w:val="20"/>
                <w:szCs w:val="20"/>
                <w:color w:val="auto"/>
              </w:rPr>
            </w:pPr>
            <w:r>
              <w:rPr>
                <w:rFonts w:ascii="Arial" w:cs="Arial" w:eastAsia="Arial" w:hAnsi="Arial"/>
                <w:sz w:val="11"/>
                <w:szCs w:val="11"/>
                <w:b w:val="1"/>
                <w:bCs w:val="1"/>
                <w:color w:val="auto"/>
                <w:w w:val="98"/>
              </w:rPr>
              <w:t>Period from Sep. 13, 2019 through Dec. 31, 2019</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5"/>
          </w:tcPr>
          <w:p>
            <w:pPr>
              <w:spacing w:after="0" w:line="20" w:lineRule="exact"/>
              <w:rPr>
                <w:sz w:val="1"/>
                <w:szCs w:val="1"/>
                <w:color w:val="auto"/>
              </w:rPr>
            </w:pPr>
          </w:p>
        </w:tc>
        <w:tc>
          <w:tcPr>
            <w:tcW w:w="146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Class A Common Stock</w:t>
            </w: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Class B Common Stock</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7"/>
              </w:rPr>
              <w:t>Members’</w:t>
            </w: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line="20" w:lineRule="exact"/>
              <w:rPr>
                <w:sz w:val="1"/>
                <w:szCs w:val="1"/>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line="20" w:lineRule="exact"/>
              <w:rPr>
                <w:sz w:val="1"/>
                <w:szCs w:val="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8"/>
              </w:rPr>
              <w:t>Accumulated Other</w:t>
            </w:r>
          </w:p>
        </w:tc>
        <w:tc>
          <w:tcPr>
            <w:tcW w:w="100" w:type="dxa"/>
            <w:vAlign w:val="bottom"/>
          </w:tcPr>
          <w:p>
            <w:pPr>
              <w:spacing w:after="0" w:line="20" w:lineRule="exact"/>
              <w:rPr>
                <w:sz w:val="1"/>
                <w:szCs w:val="1"/>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Non-</w:t>
            </w:r>
          </w:p>
        </w:tc>
        <w:tc>
          <w:tcPr>
            <w:tcW w:w="100" w:type="dxa"/>
            <w:vAlign w:val="bottom"/>
          </w:tcPr>
          <w:p>
            <w:pPr>
              <w:spacing w:after="0" w:line="20" w:lineRule="exact"/>
              <w:rPr>
                <w:sz w:val="1"/>
                <w:szCs w:val="1"/>
                <w:color w:val="auto"/>
              </w:rPr>
            </w:pPr>
          </w:p>
        </w:tc>
        <w:tc>
          <w:tcPr>
            <w:tcW w:w="90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6"/>
              </w:rPr>
              <w:t>Stockholders’ /</w:t>
            </w:r>
          </w:p>
        </w:tc>
        <w:tc>
          <w:tcPr>
            <w:tcW w:w="0" w:type="dxa"/>
            <w:vAlign w:val="bottom"/>
          </w:tcPr>
          <w:p>
            <w:pPr>
              <w:spacing w:after="0"/>
              <w:rPr>
                <w:sz w:val="1"/>
                <w:szCs w:val="1"/>
                <w:color w:val="auto"/>
              </w:rPr>
            </w:pPr>
          </w:p>
        </w:tc>
      </w:tr>
      <w:tr>
        <w:trPr>
          <w:trHeight w:val="88"/>
        </w:trPr>
        <w:tc>
          <w:tcPr>
            <w:tcW w:w="2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2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6"/>
              </w:rPr>
              <w:t>Comprehensive Income</w:t>
            </w:r>
          </w:p>
        </w:tc>
        <w:tc>
          <w:tcPr>
            <w:tcW w:w="100" w:type="dxa"/>
            <w:vAlign w:val="bottom"/>
          </w:tcPr>
          <w:p>
            <w:pPr>
              <w:spacing w:after="0"/>
              <w:rPr>
                <w:sz w:val="9"/>
                <w:szCs w:val="9"/>
                <w:color w:val="auto"/>
              </w:rPr>
            </w:pPr>
          </w:p>
        </w:tc>
        <w:tc>
          <w:tcPr>
            <w:tcW w:w="8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Controlling</w:t>
            </w: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Equity</w:t>
            </w: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6"/>
              </w:rPr>
              <w:t>Paid-In Capital</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Deficit</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(Loss)</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Interest</w:t>
            </w:r>
          </w:p>
        </w:tc>
        <w:tc>
          <w:tcPr>
            <w:tcW w:w="10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9"/>
              </w:rPr>
              <w:t>Members’ Equity</w:t>
            </w:r>
          </w:p>
        </w:tc>
        <w:tc>
          <w:tcPr>
            <w:tcW w:w="0" w:type="dxa"/>
            <w:vAlign w:val="bottom"/>
          </w:tcPr>
          <w:p>
            <w:pPr>
              <w:spacing w:after="0"/>
              <w:rPr>
                <w:sz w:val="1"/>
                <w:szCs w:val="1"/>
                <w:color w:val="auto"/>
              </w:rPr>
            </w:pP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Successor:</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rPr>
                <w:sz w:val="20"/>
                <w:szCs w:val="20"/>
                <w:color w:val="auto"/>
              </w:rPr>
            </w:pPr>
            <w:r>
              <w:rPr>
                <w:rFonts w:ascii="Arial" w:cs="Arial" w:eastAsia="Arial" w:hAnsi="Arial"/>
                <w:sz w:val="11"/>
                <w:szCs w:val="11"/>
                <w:b w:val="1"/>
                <w:bCs w:val="1"/>
                <w:color w:val="auto"/>
              </w:rPr>
              <w:t>Balance at Sep. 13, 2019</w:t>
            </w:r>
          </w:p>
        </w:tc>
        <w:tc>
          <w:tcPr>
            <w:tcW w:w="2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847,263</w:t>
            </w:r>
          </w:p>
        </w:tc>
        <w:tc>
          <w:tcPr>
            <w:tcW w:w="80" w:type="dxa"/>
            <w:vAlign w:val="bottom"/>
          </w:tcPr>
          <w:p>
            <w:pPr>
              <w:spacing w:after="0"/>
              <w:rPr>
                <w:sz w:val="11"/>
                <w:szCs w:val="11"/>
                <w:color w:val="auto"/>
              </w:rPr>
            </w:pP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847,263</w:t>
            </w:r>
          </w:p>
        </w:tc>
        <w:tc>
          <w:tcPr>
            <w:tcW w:w="0" w:type="dxa"/>
            <w:vAlign w:val="bottom"/>
          </w:tcPr>
          <w:p>
            <w:pPr>
              <w:spacing w:after="0"/>
              <w:rPr>
                <w:sz w:val="1"/>
                <w:szCs w:val="1"/>
                <w:color w:val="auto"/>
              </w:rPr>
            </w:pP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(3,545)</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(3,545)</w:t>
            </w:r>
          </w:p>
        </w:tc>
        <w:tc>
          <w:tcPr>
            <w:tcW w:w="0" w:type="dxa"/>
            <w:vAlign w:val="bottom"/>
          </w:tcPr>
          <w:p>
            <w:pPr>
              <w:spacing w:after="0"/>
              <w:rPr>
                <w:sz w:val="1"/>
                <w:szCs w:val="1"/>
                <w:color w:val="auto"/>
              </w:rPr>
            </w:pPr>
          </w:p>
        </w:tc>
      </w:tr>
      <w:tr>
        <w:trPr>
          <w:trHeight w:val="140"/>
        </w:trPr>
        <w:tc>
          <w:tcPr>
            <w:tcW w:w="2080" w:type="dxa"/>
            <w:vAlign w:val="bottom"/>
          </w:tcPr>
          <w:p>
            <w:pPr>
              <w:ind w:left="20"/>
              <w:spacing w:after="0"/>
              <w:rPr>
                <w:sz w:val="20"/>
                <w:szCs w:val="20"/>
                <w:color w:val="auto"/>
              </w:rPr>
            </w:pPr>
            <w:r>
              <w:rPr>
                <w:rFonts w:ascii="Arial" w:cs="Arial" w:eastAsia="Arial" w:hAnsi="Arial"/>
                <w:sz w:val="11"/>
                <w:szCs w:val="11"/>
                <w:color w:val="auto"/>
              </w:rPr>
              <w:t>Share-based compensation expense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448</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448</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0"/>
        </w:trPr>
        <w:tc>
          <w:tcPr>
            <w:tcW w:w="208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15,995</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15,995</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 31, 2019</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860,161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860,144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368300</wp:posOffset>
            </wp:positionV>
            <wp:extent cx="8255" cy="1200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368300</wp:posOffset>
            </wp:positionV>
            <wp:extent cx="8890" cy="1200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126365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74</w:t>
      </w:r>
    </w:p>
    <w:p>
      <w:pPr>
        <w:sectPr>
          <w:pgSz w:w="11900" w:h="16838" w:orient="portrait"/>
          <w:cols w:equalWidth="0" w:num="3">
            <w:col w:w="4580" w:space="540"/>
            <w:col w:w="1040" w:space="360"/>
            <w:col w:w="4720"/>
          </w:cols>
          <w:pgMar w:left="320" w:top="1323" w:right="3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142"/>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gridSpan w:val="8"/>
          </w:tcPr>
          <w:p>
            <w:pPr>
              <w:ind w:left="200"/>
              <w:spacing w:after="0"/>
              <w:rPr>
                <w:sz w:val="20"/>
                <w:szCs w:val="20"/>
                <w:color w:val="auto"/>
              </w:rPr>
            </w:pPr>
            <w:r>
              <w:rPr>
                <w:rFonts w:ascii="Arial" w:cs="Arial" w:eastAsia="Arial" w:hAnsi="Arial"/>
                <w:sz w:val="11"/>
                <w:szCs w:val="11"/>
                <w:b w:val="1"/>
                <w:bCs w:val="1"/>
                <w:color w:val="auto"/>
                <w:w w:val="98"/>
              </w:rPr>
              <w:t>Period from Jan. 1, 2019 through Sep. 12, 2019</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5"/>
          </w:tcPr>
          <w:p>
            <w:pPr>
              <w:spacing w:after="0" w:line="20" w:lineRule="exact"/>
              <w:rPr>
                <w:sz w:val="1"/>
                <w:szCs w:val="1"/>
                <w:color w:val="auto"/>
              </w:rPr>
            </w:pPr>
          </w:p>
        </w:tc>
        <w:tc>
          <w:tcPr>
            <w:tcW w:w="146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Class A Common Stock</w:t>
            </w: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Class B Common Stock</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7"/>
              </w:rPr>
              <w:t>Members’</w:t>
            </w: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line="20" w:lineRule="exact"/>
              <w:rPr>
                <w:sz w:val="1"/>
                <w:szCs w:val="1"/>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line="20" w:lineRule="exact"/>
              <w:rPr>
                <w:sz w:val="1"/>
                <w:szCs w:val="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8"/>
              </w:rPr>
              <w:t>Accumulated Other</w:t>
            </w:r>
          </w:p>
        </w:tc>
        <w:tc>
          <w:tcPr>
            <w:tcW w:w="100" w:type="dxa"/>
            <w:vAlign w:val="bottom"/>
          </w:tcPr>
          <w:p>
            <w:pPr>
              <w:spacing w:after="0" w:line="20" w:lineRule="exact"/>
              <w:rPr>
                <w:sz w:val="1"/>
                <w:szCs w:val="1"/>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Non-</w:t>
            </w:r>
          </w:p>
        </w:tc>
        <w:tc>
          <w:tcPr>
            <w:tcW w:w="100" w:type="dxa"/>
            <w:vAlign w:val="bottom"/>
          </w:tcPr>
          <w:p>
            <w:pPr>
              <w:spacing w:after="0" w:line="20" w:lineRule="exact"/>
              <w:rPr>
                <w:sz w:val="1"/>
                <w:szCs w:val="1"/>
                <w:color w:val="auto"/>
              </w:rPr>
            </w:pPr>
          </w:p>
        </w:tc>
        <w:tc>
          <w:tcPr>
            <w:tcW w:w="90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6"/>
              </w:rPr>
              <w:t>Stockholders’ /</w:t>
            </w:r>
          </w:p>
        </w:tc>
        <w:tc>
          <w:tcPr>
            <w:tcW w:w="0" w:type="dxa"/>
            <w:vAlign w:val="bottom"/>
          </w:tcPr>
          <w:p>
            <w:pPr>
              <w:spacing w:after="0"/>
              <w:rPr>
                <w:sz w:val="1"/>
                <w:szCs w:val="1"/>
                <w:color w:val="auto"/>
              </w:rPr>
            </w:pPr>
          </w:p>
        </w:tc>
      </w:tr>
      <w:tr>
        <w:trPr>
          <w:trHeight w:val="88"/>
        </w:trPr>
        <w:tc>
          <w:tcPr>
            <w:tcW w:w="2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2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6"/>
              </w:rPr>
              <w:t>Comprehensive Income</w:t>
            </w:r>
          </w:p>
        </w:tc>
        <w:tc>
          <w:tcPr>
            <w:tcW w:w="100" w:type="dxa"/>
            <w:vAlign w:val="bottom"/>
          </w:tcPr>
          <w:p>
            <w:pPr>
              <w:spacing w:after="0"/>
              <w:rPr>
                <w:sz w:val="9"/>
                <w:szCs w:val="9"/>
                <w:color w:val="auto"/>
              </w:rPr>
            </w:pPr>
          </w:p>
        </w:tc>
        <w:tc>
          <w:tcPr>
            <w:tcW w:w="8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Controlling</w:t>
            </w: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Equity</w:t>
            </w: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6"/>
              </w:rPr>
              <w:t>Paid-In Capital</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Deficit</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(Loss)</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Interest</w:t>
            </w:r>
          </w:p>
        </w:tc>
        <w:tc>
          <w:tcPr>
            <w:tcW w:w="10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9"/>
              </w:rPr>
              <w:t>Members’ Equity</w:t>
            </w: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Predecessor</w:t>
            </w: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rPr>
                <w:sz w:val="20"/>
                <w:szCs w:val="20"/>
                <w:color w:val="auto"/>
              </w:rPr>
            </w:pPr>
            <w:r>
              <w:rPr>
                <w:rFonts w:ascii="Arial" w:cs="Arial" w:eastAsia="Arial" w:hAnsi="Arial"/>
                <w:sz w:val="11"/>
                <w:szCs w:val="11"/>
                <w:b w:val="1"/>
                <w:bCs w:val="1"/>
                <w:color w:val="auto"/>
              </w:rPr>
              <w:t>Balance at Jan. 1, 2019</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b w:val="1"/>
                <w:bCs w:val="1"/>
                <w:color w:val="auto"/>
              </w:rPr>
              <w:t>2,435</w:t>
            </w:r>
          </w:p>
        </w:tc>
        <w:tc>
          <w:tcPr>
            <w:tcW w:w="80" w:type="dxa"/>
            <w:vAlign w:val="bottom"/>
          </w:tcPr>
          <w:p>
            <w:pPr>
              <w:spacing w:after="0"/>
              <w:rPr>
                <w:sz w:val="11"/>
                <w:szCs w:val="11"/>
                <w:color w:val="auto"/>
              </w:rPr>
            </w:pPr>
          </w:p>
        </w:tc>
        <w:tc>
          <w:tcPr>
            <w:tcW w:w="640" w:type="dxa"/>
            <w:vAlign w:val="bottom"/>
          </w:tcPr>
          <w:p>
            <w:pPr>
              <w:ind w:left="48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ind w:left="38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640" w:type="dxa"/>
            <w:vAlign w:val="bottom"/>
          </w:tcPr>
          <w:p>
            <w:pPr>
              <w:ind w:left="48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ind w:left="38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ind w:left="5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(189,102)</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14</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(186,653)</w:t>
            </w: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Redeemable Class B unit accretion</w:t>
            </w: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(138,404)</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(138,404)</w:t>
            </w:r>
          </w:p>
        </w:tc>
        <w:tc>
          <w:tcPr>
            <w:tcW w:w="0" w:type="dxa"/>
            <w:vAlign w:val="bottom"/>
          </w:tcPr>
          <w:p>
            <w:pPr>
              <w:spacing w:after="0"/>
              <w:rPr>
                <w:sz w:val="1"/>
                <w:szCs w:val="1"/>
                <w:color w:val="auto"/>
              </w:rPr>
            </w:pPr>
          </w:p>
        </w:tc>
      </w:tr>
      <w:tr>
        <w:trPr>
          <w:trHeight w:val="118"/>
        </w:trPr>
        <w:tc>
          <w:tcPr>
            <w:tcW w:w="2100" w:type="dxa"/>
            <w:vAlign w:val="bottom"/>
          </w:tcPr>
          <w:p>
            <w:pPr>
              <w:ind w:left="20"/>
              <w:spacing w:after="0" w:line="119" w:lineRule="exact"/>
              <w:rPr>
                <w:sz w:val="20"/>
                <w:szCs w:val="20"/>
                <w:color w:val="auto"/>
              </w:rPr>
            </w:pPr>
            <w:r>
              <w:rPr>
                <w:rFonts w:ascii="Arial" w:cs="Arial" w:eastAsia="Arial" w:hAnsi="Arial"/>
                <w:sz w:val="11"/>
                <w:szCs w:val="11"/>
                <w:color w:val="auto"/>
              </w:rPr>
              <w:t>Conversion of Redeemable Class B</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100" w:type="dxa"/>
            <w:vAlign w:val="bottom"/>
          </w:tcPr>
          <w:p>
            <w:pPr>
              <w:ind w:left="20"/>
              <w:spacing w:after="0"/>
              <w:rPr>
                <w:sz w:val="20"/>
                <w:szCs w:val="20"/>
                <w:color w:val="auto"/>
              </w:rPr>
            </w:pPr>
            <w:r>
              <w:rPr>
                <w:rFonts w:ascii="Arial" w:cs="Arial" w:eastAsia="Arial" w:hAnsi="Arial"/>
                <w:sz w:val="11"/>
                <w:szCs w:val="11"/>
                <w:color w:val="auto"/>
              </w:rPr>
              <w:t>Units</w:t>
            </w:r>
          </w:p>
        </w:tc>
        <w:tc>
          <w:tcPr>
            <w:tcW w:w="12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384,404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384,404</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1"/>
                <w:szCs w:val="11"/>
                <w:color w:val="auto"/>
              </w:rPr>
              <w:t>Net loss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(57,063)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(57,063)</w:t>
            </w:r>
          </w:p>
        </w:tc>
        <w:tc>
          <w:tcPr>
            <w:tcW w:w="0" w:type="dxa"/>
            <w:vAlign w:val="bottom"/>
          </w:tcPr>
          <w:p>
            <w:pPr>
              <w:spacing w:after="0"/>
              <w:rPr>
                <w:sz w:val="1"/>
                <w:szCs w:val="1"/>
                <w:color w:val="auto"/>
              </w:rPr>
            </w:pPr>
          </w:p>
        </w:tc>
      </w:tr>
      <w:tr>
        <w:trPr>
          <w:trHeight w:val="22"/>
        </w:trPr>
        <w:tc>
          <w:tcPr>
            <w:tcW w:w="2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Sep. 12,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386,839</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(384,569)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2,252</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8"/>
          </w:tcPr>
          <w:p>
            <w:pPr>
              <w:ind w:left="480"/>
              <w:spacing w:after="0"/>
              <w:rPr>
                <w:sz w:val="20"/>
                <w:szCs w:val="20"/>
                <w:color w:val="auto"/>
              </w:rPr>
            </w:pPr>
            <w:r>
              <w:rPr>
                <w:rFonts w:ascii="Arial" w:cs="Arial" w:eastAsia="Arial" w:hAnsi="Arial"/>
                <w:sz w:val="11"/>
                <w:szCs w:val="11"/>
                <w:b w:val="1"/>
                <w:bCs w:val="1"/>
                <w:color w:val="auto"/>
              </w:rPr>
              <w:t>Twelve months ended Dec. 31, 2018</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5"/>
          </w:tcPr>
          <w:p>
            <w:pPr>
              <w:spacing w:after="0" w:line="20" w:lineRule="exact"/>
              <w:rPr>
                <w:sz w:val="1"/>
                <w:szCs w:val="1"/>
                <w:color w:val="auto"/>
              </w:rPr>
            </w:pPr>
          </w:p>
        </w:tc>
        <w:tc>
          <w:tcPr>
            <w:tcW w:w="146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Class A Common Stock</w:t>
            </w: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Class B Common Stock</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7"/>
              </w:rPr>
              <w:t>Members’</w:t>
            </w: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line="20" w:lineRule="exact"/>
              <w:rPr>
                <w:sz w:val="1"/>
                <w:szCs w:val="1"/>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line="20" w:lineRule="exact"/>
              <w:rPr>
                <w:sz w:val="1"/>
                <w:szCs w:val="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8"/>
              </w:rPr>
              <w:t>Accumulated Other</w:t>
            </w:r>
          </w:p>
        </w:tc>
        <w:tc>
          <w:tcPr>
            <w:tcW w:w="100" w:type="dxa"/>
            <w:vAlign w:val="bottom"/>
          </w:tcPr>
          <w:p>
            <w:pPr>
              <w:spacing w:after="0" w:line="20" w:lineRule="exact"/>
              <w:rPr>
                <w:sz w:val="1"/>
                <w:szCs w:val="1"/>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Non-</w:t>
            </w:r>
          </w:p>
        </w:tc>
        <w:tc>
          <w:tcPr>
            <w:tcW w:w="100" w:type="dxa"/>
            <w:vAlign w:val="bottom"/>
          </w:tcPr>
          <w:p>
            <w:pPr>
              <w:spacing w:after="0" w:line="20" w:lineRule="exact"/>
              <w:rPr>
                <w:sz w:val="1"/>
                <w:szCs w:val="1"/>
                <w:color w:val="auto"/>
              </w:rPr>
            </w:pPr>
          </w:p>
        </w:tc>
        <w:tc>
          <w:tcPr>
            <w:tcW w:w="90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6"/>
              </w:rPr>
              <w:t>Stockholders’ /</w:t>
            </w:r>
          </w:p>
        </w:tc>
        <w:tc>
          <w:tcPr>
            <w:tcW w:w="0" w:type="dxa"/>
            <w:vAlign w:val="bottom"/>
          </w:tcPr>
          <w:p>
            <w:pPr>
              <w:spacing w:after="0"/>
              <w:rPr>
                <w:sz w:val="1"/>
                <w:szCs w:val="1"/>
                <w:color w:val="auto"/>
              </w:rPr>
            </w:pPr>
          </w:p>
        </w:tc>
      </w:tr>
      <w:tr>
        <w:trPr>
          <w:trHeight w:val="88"/>
        </w:trPr>
        <w:tc>
          <w:tcPr>
            <w:tcW w:w="2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2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6"/>
              </w:rPr>
              <w:t>Comprehensive Income</w:t>
            </w:r>
          </w:p>
        </w:tc>
        <w:tc>
          <w:tcPr>
            <w:tcW w:w="100" w:type="dxa"/>
            <w:vAlign w:val="bottom"/>
          </w:tcPr>
          <w:p>
            <w:pPr>
              <w:spacing w:after="0"/>
              <w:rPr>
                <w:sz w:val="9"/>
                <w:szCs w:val="9"/>
                <w:color w:val="auto"/>
              </w:rPr>
            </w:pPr>
          </w:p>
        </w:tc>
        <w:tc>
          <w:tcPr>
            <w:tcW w:w="8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Controlling</w:t>
            </w: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Equity</w:t>
            </w: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6"/>
              </w:rPr>
              <w:t>Paid-In Capital</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Deficit</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(Loss)</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Interest</w:t>
            </w:r>
          </w:p>
        </w:tc>
        <w:tc>
          <w:tcPr>
            <w:tcW w:w="10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9"/>
              </w:rPr>
              <w:t>Members’ Equity</w:t>
            </w: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Predecessor:</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100" w:type="dxa"/>
            <w:vAlign w:val="bottom"/>
          </w:tcPr>
          <w:p>
            <w:pPr>
              <w:ind w:left="20"/>
              <w:spacing w:after="0" w:line="88" w:lineRule="exact"/>
              <w:rPr>
                <w:sz w:val="20"/>
                <w:szCs w:val="20"/>
                <w:color w:val="auto"/>
              </w:rPr>
            </w:pPr>
            <w:r>
              <w:rPr>
                <w:rFonts w:ascii="Arial" w:cs="Arial" w:eastAsia="Arial" w:hAnsi="Arial"/>
                <w:sz w:val="10"/>
                <w:szCs w:val="10"/>
                <w:b w:val="1"/>
                <w:bCs w:val="1"/>
                <w:color w:val="auto"/>
              </w:rPr>
              <w:t>Balance at Jan. 1, 2018, before the</w:t>
            </w: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100" w:type="dxa"/>
            <w:vAlign w:val="bottom"/>
          </w:tcPr>
          <w:p>
            <w:pPr>
              <w:ind w:left="20"/>
              <w:spacing w:after="0" w:line="108" w:lineRule="exact"/>
              <w:rPr>
                <w:sz w:val="20"/>
                <w:szCs w:val="20"/>
                <w:color w:val="auto"/>
              </w:rPr>
            </w:pPr>
            <w:r>
              <w:rPr>
                <w:rFonts w:ascii="Arial" w:cs="Arial" w:eastAsia="Arial" w:hAnsi="Arial"/>
                <w:sz w:val="11"/>
                <w:szCs w:val="11"/>
                <w:b w:val="1"/>
                <w:bCs w:val="1"/>
                <w:color w:val="auto"/>
              </w:rPr>
              <w:t>cumulative effect of adoption of ASC</w:t>
            </w: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235</w:t>
            </w:r>
          </w:p>
        </w:tc>
        <w:tc>
          <w:tcPr>
            <w:tcW w:w="80" w:type="dxa"/>
            <w:vAlign w:val="bottom"/>
          </w:tcPr>
          <w:p>
            <w:pPr>
              <w:spacing w:after="0"/>
              <w:rPr>
                <w:sz w:val="9"/>
                <w:szCs w:val="9"/>
                <w:color w:val="auto"/>
              </w:rPr>
            </w:pPr>
          </w:p>
        </w:tc>
        <w:tc>
          <w:tcPr>
            <w:tcW w:w="740" w:type="dxa"/>
            <w:vAlign w:val="bottom"/>
            <w:gridSpan w:val="2"/>
            <w:vMerge w:val="restart"/>
          </w:tcPr>
          <w:p>
            <w:pPr>
              <w:ind w:left="480"/>
              <w:spacing w:after="0"/>
              <w:rPr>
                <w:sz w:val="20"/>
                <w:szCs w:val="20"/>
                <w:color w:val="auto"/>
              </w:rPr>
            </w:pPr>
            <w:r>
              <w:rPr>
                <w:rFonts w:ascii="Arial" w:cs="Arial" w:eastAsia="Arial" w:hAnsi="Arial"/>
                <w:sz w:val="11"/>
                <w:szCs w:val="11"/>
                <w:b w:val="1"/>
                <w:bCs w:val="1"/>
                <w:color w:val="auto"/>
              </w:rPr>
              <w:t>—</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w:t>
            </w:r>
          </w:p>
        </w:tc>
        <w:tc>
          <w:tcPr>
            <w:tcW w:w="740" w:type="dxa"/>
            <w:vAlign w:val="bottom"/>
            <w:gridSpan w:val="2"/>
            <w:vMerge w:val="restart"/>
          </w:tcPr>
          <w:p>
            <w:pPr>
              <w:ind w:left="480"/>
              <w:spacing w:after="0"/>
              <w:rPr>
                <w:sz w:val="20"/>
                <w:szCs w:val="20"/>
                <w:color w:val="auto"/>
              </w:rPr>
            </w:pPr>
            <w:r>
              <w:rPr>
                <w:rFonts w:ascii="Arial" w:cs="Arial" w:eastAsia="Arial" w:hAnsi="Arial"/>
                <w:sz w:val="11"/>
                <w:szCs w:val="11"/>
                <w:b w:val="1"/>
                <w:bCs w:val="1"/>
                <w:color w:val="auto"/>
              </w:rPr>
              <w:t>—</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800" w:type="dxa"/>
            <w:vAlign w:val="bottom"/>
            <w:gridSpan w:val="2"/>
            <w:vMerge w:val="restart"/>
          </w:tcPr>
          <w:p>
            <w:pPr>
              <w:ind w:left="540"/>
              <w:spacing w:after="0"/>
              <w:rPr>
                <w:sz w:val="20"/>
                <w:szCs w:val="20"/>
                <w:color w:val="auto"/>
              </w:rPr>
            </w:pPr>
            <w:r>
              <w:rPr>
                <w:rFonts w:ascii="Arial" w:cs="Arial" w:eastAsia="Arial" w:hAnsi="Arial"/>
                <w:sz w:val="11"/>
                <w:szCs w:val="11"/>
                <w:b w:val="1"/>
                <w:bCs w:val="1"/>
                <w:color w:val="auto"/>
              </w:rPr>
              <w:t>—</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(49,238)</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22</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194</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(48,787)</w:t>
            </w:r>
          </w:p>
        </w:tc>
        <w:tc>
          <w:tcPr>
            <w:tcW w:w="0" w:type="dxa"/>
            <w:vAlign w:val="bottom"/>
          </w:tcPr>
          <w:p>
            <w:pPr>
              <w:spacing w:after="0"/>
              <w:rPr>
                <w:sz w:val="1"/>
                <w:szCs w:val="1"/>
                <w:color w:val="auto"/>
              </w:rPr>
            </w:pPr>
          </w:p>
        </w:tc>
      </w:tr>
      <w:tr>
        <w:trPr>
          <w:trHeight w:val="142"/>
        </w:trPr>
        <w:tc>
          <w:tcPr>
            <w:tcW w:w="2100" w:type="dxa"/>
            <w:vAlign w:val="bottom"/>
          </w:tcPr>
          <w:p>
            <w:pPr>
              <w:ind w:left="20"/>
              <w:spacing w:after="0"/>
              <w:rPr>
                <w:sz w:val="20"/>
                <w:szCs w:val="20"/>
                <w:color w:val="auto"/>
              </w:rPr>
            </w:pPr>
            <w:r>
              <w:rPr>
                <w:rFonts w:ascii="Arial" w:cs="Arial" w:eastAsia="Arial" w:hAnsi="Arial"/>
                <w:sz w:val="11"/>
                <w:szCs w:val="11"/>
                <w:b w:val="1"/>
                <w:bCs w:val="1"/>
                <w:color w:val="auto"/>
              </w:rPr>
              <w:t>606</w:t>
            </w:r>
          </w:p>
        </w:tc>
        <w:tc>
          <w:tcPr>
            <w:tcW w:w="1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100" w:type="dxa"/>
            <w:vAlign w:val="bottom"/>
            <w:shd w:val="clear" w:color="auto" w:fill="CCEEFF"/>
          </w:tcPr>
          <w:p>
            <w:pPr>
              <w:ind w:left="20"/>
              <w:spacing w:after="0" w:line="99" w:lineRule="exact"/>
              <w:rPr>
                <w:sz w:val="20"/>
                <w:szCs w:val="20"/>
                <w:color w:val="auto"/>
              </w:rPr>
            </w:pPr>
            <w:r>
              <w:rPr>
                <w:rFonts w:ascii="Arial" w:cs="Arial" w:eastAsia="Arial" w:hAnsi="Arial"/>
                <w:sz w:val="11"/>
                <w:szCs w:val="11"/>
                <w:color w:val="auto"/>
              </w:rPr>
              <w:t>Cumulative effect of adoption of ASC</w:t>
            </w: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606</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28,607</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28,607</w:t>
            </w:r>
          </w:p>
        </w:tc>
        <w:tc>
          <w:tcPr>
            <w:tcW w:w="0" w:type="dxa"/>
            <w:vAlign w:val="bottom"/>
          </w:tcPr>
          <w:p>
            <w:pPr>
              <w:spacing w:after="0"/>
              <w:rPr>
                <w:sz w:val="1"/>
                <w:szCs w:val="1"/>
                <w:color w:val="auto"/>
              </w:rPr>
            </w:pPr>
          </w:p>
        </w:tc>
      </w:tr>
      <w:tr>
        <w:trPr>
          <w:trHeight w:val="88"/>
        </w:trPr>
        <w:tc>
          <w:tcPr>
            <w:tcW w:w="2100" w:type="dxa"/>
            <w:vAlign w:val="bottom"/>
          </w:tcPr>
          <w:p>
            <w:pPr>
              <w:ind w:left="20"/>
              <w:spacing w:after="0" w:line="88" w:lineRule="exact"/>
              <w:rPr>
                <w:sz w:val="20"/>
                <w:szCs w:val="20"/>
                <w:color w:val="auto"/>
              </w:rPr>
            </w:pPr>
            <w:r>
              <w:rPr>
                <w:rFonts w:ascii="Arial" w:cs="Arial" w:eastAsia="Arial" w:hAnsi="Arial"/>
                <w:sz w:val="10"/>
                <w:szCs w:val="10"/>
                <w:b w:val="1"/>
                <w:bCs w:val="1"/>
                <w:color w:val="auto"/>
              </w:rPr>
              <w:t>Balance at Jan. 1, 2018, after the</w:t>
            </w: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100" w:type="dxa"/>
            <w:vAlign w:val="bottom"/>
          </w:tcPr>
          <w:p>
            <w:pPr>
              <w:ind w:left="20"/>
              <w:spacing w:after="0" w:line="108" w:lineRule="exact"/>
              <w:rPr>
                <w:sz w:val="20"/>
                <w:szCs w:val="20"/>
                <w:color w:val="auto"/>
              </w:rPr>
            </w:pPr>
            <w:r>
              <w:rPr>
                <w:rFonts w:ascii="Arial" w:cs="Arial" w:eastAsia="Arial" w:hAnsi="Arial"/>
                <w:sz w:val="11"/>
                <w:szCs w:val="11"/>
                <w:b w:val="1"/>
                <w:bCs w:val="1"/>
                <w:color w:val="auto"/>
              </w:rPr>
              <w:t>cumulative effect of adoption of ASC</w:t>
            </w: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235</w:t>
            </w:r>
          </w:p>
        </w:tc>
        <w:tc>
          <w:tcPr>
            <w:tcW w:w="80" w:type="dxa"/>
            <w:vAlign w:val="bottom"/>
          </w:tcPr>
          <w:p>
            <w:pPr>
              <w:spacing w:after="0"/>
              <w:rPr>
                <w:sz w:val="9"/>
                <w:szCs w:val="9"/>
                <w:color w:val="auto"/>
              </w:rPr>
            </w:pPr>
          </w:p>
        </w:tc>
        <w:tc>
          <w:tcPr>
            <w:tcW w:w="740" w:type="dxa"/>
            <w:vAlign w:val="bottom"/>
            <w:gridSpan w:val="2"/>
            <w:vMerge w:val="restart"/>
          </w:tcPr>
          <w:p>
            <w:pPr>
              <w:ind w:left="480"/>
              <w:spacing w:after="0"/>
              <w:rPr>
                <w:sz w:val="20"/>
                <w:szCs w:val="20"/>
                <w:color w:val="auto"/>
              </w:rPr>
            </w:pPr>
            <w:r>
              <w:rPr>
                <w:rFonts w:ascii="Arial" w:cs="Arial" w:eastAsia="Arial" w:hAnsi="Arial"/>
                <w:sz w:val="11"/>
                <w:szCs w:val="11"/>
                <w:b w:val="1"/>
                <w:bCs w:val="1"/>
                <w:color w:val="auto"/>
              </w:rPr>
              <w:t>—</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w:t>
            </w:r>
          </w:p>
        </w:tc>
        <w:tc>
          <w:tcPr>
            <w:tcW w:w="740" w:type="dxa"/>
            <w:vAlign w:val="bottom"/>
            <w:gridSpan w:val="2"/>
            <w:vMerge w:val="restart"/>
          </w:tcPr>
          <w:p>
            <w:pPr>
              <w:ind w:left="480"/>
              <w:spacing w:after="0"/>
              <w:rPr>
                <w:sz w:val="20"/>
                <w:szCs w:val="20"/>
                <w:color w:val="auto"/>
              </w:rPr>
            </w:pPr>
            <w:r>
              <w:rPr>
                <w:rFonts w:ascii="Arial" w:cs="Arial" w:eastAsia="Arial" w:hAnsi="Arial"/>
                <w:sz w:val="11"/>
                <w:szCs w:val="11"/>
                <w:b w:val="1"/>
                <w:bCs w:val="1"/>
                <w:color w:val="auto"/>
              </w:rPr>
              <w:t>—</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800" w:type="dxa"/>
            <w:vAlign w:val="bottom"/>
            <w:gridSpan w:val="2"/>
            <w:vMerge w:val="restart"/>
          </w:tcPr>
          <w:p>
            <w:pPr>
              <w:ind w:left="540"/>
              <w:spacing w:after="0"/>
              <w:rPr>
                <w:sz w:val="20"/>
                <w:szCs w:val="20"/>
                <w:color w:val="auto"/>
              </w:rPr>
            </w:pPr>
            <w:r>
              <w:rPr>
                <w:rFonts w:ascii="Arial" w:cs="Arial" w:eastAsia="Arial" w:hAnsi="Arial"/>
                <w:sz w:val="11"/>
                <w:szCs w:val="11"/>
                <w:b w:val="1"/>
                <w:bCs w:val="1"/>
                <w:color w:val="auto"/>
              </w:rPr>
              <w:t>—</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(20,631)</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22</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194</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(20,180)</w:t>
            </w:r>
          </w:p>
        </w:tc>
        <w:tc>
          <w:tcPr>
            <w:tcW w:w="0" w:type="dxa"/>
            <w:vAlign w:val="bottom"/>
          </w:tcPr>
          <w:p>
            <w:pPr>
              <w:spacing w:after="0"/>
              <w:rPr>
                <w:sz w:val="1"/>
                <w:szCs w:val="1"/>
                <w:color w:val="auto"/>
              </w:rPr>
            </w:pPr>
          </w:p>
        </w:tc>
      </w:tr>
      <w:tr>
        <w:trPr>
          <w:trHeight w:val="142"/>
        </w:trPr>
        <w:tc>
          <w:tcPr>
            <w:tcW w:w="2100" w:type="dxa"/>
            <w:vAlign w:val="bottom"/>
          </w:tcPr>
          <w:p>
            <w:pPr>
              <w:ind w:left="20"/>
              <w:spacing w:after="0"/>
              <w:rPr>
                <w:sz w:val="20"/>
                <w:szCs w:val="20"/>
                <w:color w:val="auto"/>
              </w:rPr>
            </w:pPr>
            <w:r>
              <w:rPr>
                <w:rFonts w:ascii="Arial" w:cs="Arial" w:eastAsia="Arial" w:hAnsi="Arial"/>
                <w:sz w:val="11"/>
                <w:szCs w:val="11"/>
                <w:b w:val="1"/>
                <w:bCs w:val="1"/>
                <w:color w:val="auto"/>
              </w:rPr>
              <w:t>606</w:t>
            </w:r>
          </w:p>
        </w:tc>
        <w:tc>
          <w:tcPr>
            <w:tcW w:w="1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Redeemable Class B unit accretion</w:t>
            </w: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(196,700)</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(196,700)</w:t>
            </w:r>
          </w:p>
        </w:tc>
        <w:tc>
          <w:tcPr>
            <w:tcW w:w="0" w:type="dxa"/>
            <w:vAlign w:val="bottom"/>
          </w:tcPr>
          <w:p>
            <w:pPr>
              <w:spacing w:after="0"/>
              <w:rPr>
                <w:sz w:val="1"/>
                <w:szCs w:val="1"/>
                <w:color w:val="auto"/>
              </w:rPr>
            </w:pPr>
          </w:p>
        </w:tc>
      </w:tr>
      <w:tr>
        <w:trPr>
          <w:trHeight w:val="118"/>
        </w:trPr>
        <w:tc>
          <w:tcPr>
            <w:tcW w:w="2100" w:type="dxa"/>
            <w:vAlign w:val="bottom"/>
          </w:tcPr>
          <w:p>
            <w:pPr>
              <w:ind w:left="20"/>
              <w:spacing w:after="0" w:line="119" w:lineRule="exact"/>
              <w:rPr>
                <w:sz w:val="20"/>
                <w:szCs w:val="20"/>
                <w:color w:val="auto"/>
              </w:rPr>
            </w:pPr>
            <w:r>
              <w:rPr>
                <w:rFonts w:ascii="Arial" w:cs="Arial" w:eastAsia="Arial" w:hAnsi="Arial"/>
                <w:sz w:val="11"/>
                <w:szCs w:val="11"/>
                <w:color w:val="auto"/>
              </w:rPr>
              <w:t>Reclassification of Redeemable Class B</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100" w:type="dxa"/>
            <w:vAlign w:val="bottom"/>
          </w:tcPr>
          <w:p>
            <w:pPr>
              <w:ind w:left="20"/>
              <w:spacing w:after="0"/>
              <w:rPr>
                <w:sz w:val="20"/>
                <w:szCs w:val="20"/>
                <w:color w:val="auto"/>
              </w:rPr>
            </w:pPr>
            <w:r>
              <w:rPr>
                <w:rFonts w:ascii="Arial" w:cs="Arial" w:eastAsia="Arial" w:hAnsi="Arial"/>
                <w:sz w:val="11"/>
                <w:szCs w:val="11"/>
                <w:color w:val="auto"/>
              </w:rPr>
              <w:t>to Class B Units</w:t>
            </w:r>
          </w:p>
        </w:tc>
        <w:tc>
          <w:tcPr>
            <w:tcW w:w="12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2,200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2,200</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1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Member distributions non-controlling</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interests</w:t>
            </w: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Acquisition of non-controlling interests</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28,117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28,114</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 31, 2018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2,435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(189,102)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(186,653)</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329565</wp:posOffset>
            </wp:positionV>
            <wp:extent cx="8255" cy="1200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329565</wp:posOffset>
            </wp:positionV>
            <wp:extent cx="8890" cy="1200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126365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75</w:t>
      </w:r>
    </w:p>
    <w:p>
      <w:pPr>
        <w:sectPr>
          <w:pgSz w:w="11900" w:h="16838" w:orient="portrait"/>
          <w:cols w:equalWidth="0" w:num="3">
            <w:col w:w="4580" w:space="540"/>
            <w:col w:w="1040" w:space="360"/>
            <w:col w:w="4720"/>
          </w:cols>
          <w:pgMar w:left="320" w:top="1366" w:right="3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6"/>
          <w:szCs w:val="16"/>
          <w:b w:val="1"/>
          <w:bCs w:val="1"/>
          <w:color w:val="0A2299"/>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A2299"/>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A2299"/>
        </w:rPr>
        <w:t>(in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Borders>
              <w:right w:val="single" w:sz="8" w:color="auto"/>
            </w:tcBorders>
            <w:gridSpan w:val="5"/>
          </w:tcPr>
          <w:p>
            <w:pPr>
              <w:ind w:left="800"/>
              <w:spacing w:after="0"/>
              <w:rPr>
                <w:sz w:val="20"/>
                <w:szCs w:val="20"/>
                <w:color w:val="auto"/>
              </w:rPr>
            </w:pPr>
            <w:r>
              <w:rPr>
                <w:rFonts w:ascii="Arial" w:cs="Arial" w:eastAsia="Arial" w:hAnsi="Arial"/>
                <w:sz w:val="13"/>
                <w:szCs w:val="13"/>
                <w:b w:val="1"/>
                <w:bCs w:val="1"/>
                <w:color w:val="auto"/>
              </w:rPr>
              <w:t>Successor</w:t>
            </w:r>
          </w:p>
        </w:tc>
        <w:tc>
          <w:tcPr>
            <w:tcW w:w="200" w:type="dxa"/>
            <w:vAlign w:val="bottom"/>
          </w:tcPr>
          <w:p>
            <w:pPr>
              <w:spacing w:after="0"/>
              <w:rPr>
                <w:sz w:val="15"/>
                <w:szCs w:val="15"/>
                <w:color w:val="auto"/>
              </w:rPr>
            </w:pPr>
          </w:p>
        </w:tc>
        <w:tc>
          <w:tcPr>
            <w:tcW w:w="2260" w:type="dxa"/>
            <w:vAlign w:val="bottom"/>
            <w:gridSpan w:val="4"/>
          </w:tcPr>
          <w:p>
            <w:pPr>
              <w:jc w:val="right"/>
              <w:ind w:right="797"/>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rPr>
                <w:sz w:val="1"/>
                <w:szCs w:val="1"/>
                <w:color w:val="auto"/>
              </w:rPr>
            </w:pPr>
          </w:p>
        </w:tc>
      </w:tr>
      <w:tr>
        <w:trPr>
          <w:trHeight w:val="115"/>
        </w:trPr>
        <w:tc>
          <w:tcPr>
            <w:tcW w:w="6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w w:val="95"/>
              </w:rPr>
              <w:t>Twelve months</w:t>
            </w: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7"/>
              <w:spacing w:after="0" w:line="115" w:lineRule="exact"/>
              <w:rPr>
                <w:sz w:val="20"/>
                <w:szCs w:val="20"/>
                <w:color w:val="auto"/>
              </w:rPr>
            </w:pPr>
            <w:r>
              <w:rPr>
                <w:rFonts w:ascii="Arial" w:cs="Arial" w:eastAsia="Arial" w:hAnsi="Arial"/>
                <w:sz w:val="13"/>
                <w:szCs w:val="13"/>
                <w:b w:val="1"/>
                <w:bCs w:val="1"/>
                <w:color w:val="auto"/>
                <w:w w:val="98"/>
              </w:rPr>
              <w:t>Period from Sep.</w:t>
            </w:r>
          </w:p>
        </w:tc>
        <w:tc>
          <w:tcPr>
            <w:tcW w:w="140" w:type="dxa"/>
            <w:vAlign w:val="bottom"/>
            <w:tcBorders>
              <w:right w:val="single" w:sz="8" w:color="auto"/>
            </w:tcBorders>
          </w:tcPr>
          <w:p>
            <w:pPr>
              <w:spacing w:after="0"/>
              <w:rPr>
                <w:sz w:val="10"/>
                <w:szCs w:val="10"/>
                <w:color w:val="auto"/>
              </w:rPr>
            </w:pPr>
          </w:p>
        </w:tc>
        <w:tc>
          <w:tcPr>
            <w:tcW w:w="126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3"/>
                <w:szCs w:val="13"/>
                <w:b w:val="1"/>
                <w:bCs w:val="1"/>
                <w:color w:val="auto"/>
              </w:rPr>
              <w:t>Period from Jan. 1,</w:t>
            </w: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77"/>
              <w:spacing w:after="0" w:line="115" w:lineRule="exact"/>
              <w:rPr>
                <w:sz w:val="20"/>
                <w:szCs w:val="20"/>
                <w:color w:val="auto"/>
              </w:rPr>
            </w:pPr>
            <w:r>
              <w:rPr>
                <w:rFonts w:ascii="Arial" w:cs="Arial" w:eastAsia="Arial" w:hAnsi="Arial"/>
                <w:sz w:val="13"/>
                <w:szCs w:val="13"/>
                <w:b w:val="1"/>
                <w:bCs w:val="1"/>
                <w:color w:val="auto"/>
                <w:w w:val="95"/>
              </w:rPr>
              <w:t>Twelve months</w:t>
            </w:r>
          </w:p>
        </w:tc>
        <w:tc>
          <w:tcPr>
            <w:tcW w:w="0" w:type="dxa"/>
            <w:vAlign w:val="bottom"/>
          </w:tcPr>
          <w:p>
            <w:pPr>
              <w:spacing w:after="0"/>
              <w:rPr>
                <w:sz w:val="1"/>
                <w:szCs w:val="1"/>
                <w:color w:val="auto"/>
              </w:rPr>
            </w:pPr>
          </w:p>
        </w:tc>
      </w:tr>
      <w:tr>
        <w:trPr>
          <w:trHeight w:val="121"/>
        </w:trPr>
        <w:tc>
          <w:tcPr>
            <w:tcW w:w="6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00" w:type="dxa"/>
            <w:vAlign w:val="bottom"/>
          </w:tcPr>
          <w:p>
            <w:pPr>
              <w:spacing w:after="0"/>
              <w:rPr>
                <w:sz w:val="10"/>
                <w:szCs w:val="10"/>
                <w:color w:val="auto"/>
              </w:rPr>
            </w:pPr>
          </w:p>
        </w:tc>
        <w:tc>
          <w:tcPr>
            <w:tcW w:w="1240" w:type="dxa"/>
            <w:vAlign w:val="bottom"/>
            <w:tcBorders>
              <w:right w:val="single" w:sz="8" w:color="auto"/>
            </w:tcBorders>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13, 2019 through</w:t>
            </w:r>
          </w:p>
        </w:tc>
        <w:tc>
          <w:tcPr>
            <w:tcW w:w="126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2019 through Sep.</w:t>
            </w:r>
          </w:p>
        </w:tc>
        <w:tc>
          <w:tcPr>
            <w:tcW w:w="120" w:type="dxa"/>
            <w:vAlign w:val="bottom"/>
          </w:tcPr>
          <w:p>
            <w:pPr>
              <w:spacing w:after="0"/>
              <w:rPr>
                <w:sz w:val="10"/>
                <w:szCs w:val="10"/>
                <w:color w:val="auto"/>
              </w:rPr>
            </w:pPr>
          </w:p>
        </w:tc>
        <w:tc>
          <w:tcPr>
            <w:tcW w:w="10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0" w:type="dxa"/>
            <w:vAlign w:val="bottom"/>
          </w:tcPr>
          <w:p>
            <w:pPr>
              <w:spacing w:after="0"/>
              <w:rPr>
                <w:sz w:val="1"/>
                <w:szCs w:val="1"/>
                <w:color w:val="auto"/>
              </w:rPr>
            </w:pPr>
          </w:p>
        </w:tc>
      </w:tr>
      <w:tr>
        <w:trPr>
          <w:trHeight w:val="172"/>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5"/>
              </w:rPr>
              <w:t>Dec. 31, 2019</w:t>
            </w:r>
          </w:p>
        </w:tc>
        <w:tc>
          <w:tcPr>
            <w:tcW w:w="200" w:type="dxa"/>
            <w:vAlign w:val="bottom"/>
          </w:tcPr>
          <w:p>
            <w:pPr>
              <w:spacing w:after="0"/>
              <w:rPr>
                <w:sz w:val="14"/>
                <w:szCs w:val="14"/>
                <w:color w:val="auto"/>
              </w:rPr>
            </w:pPr>
          </w:p>
        </w:tc>
        <w:tc>
          <w:tcPr>
            <w:tcW w:w="960" w:type="dxa"/>
            <w:vAlign w:val="bottom"/>
          </w:tcPr>
          <w:p>
            <w:pPr>
              <w:jc w:val="right"/>
              <w:ind w:right="277"/>
              <w:spacing w:after="0"/>
              <w:rPr>
                <w:sz w:val="20"/>
                <w:szCs w:val="20"/>
                <w:color w:val="auto"/>
              </w:rPr>
            </w:pPr>
            <w:r>
              <w:rPr>
                <w:rFonts w:ascii="Arial" w:cs="Arial" w:eastAsia="Arial" w:hAnsi="Arial"/>
                <w:sz w:val="13"/>
                <w:szCs w:val="13"/>
                <w:b w:val="1"/>
                <w:bCs w:val="1"/>
                <w:color w:val="auto"/>
              </w:rPr>
              <w:t>12, 2019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2018</w:t>
            </w:r>
          </w:p>
        </w:tc>
        <w:tc>
          <w:tcPr>
            <w:tcW w:w="0" w:type="dxa"/>
            <w:vAlign w:val="bottom"/>
          </w:tcPr>
          <w:p>
            <w:pPr>
              <w:spacing w:after="0"/>
              <w:rPr>
                <w:sz w:val="1"/>
                <w:szCs w:val="1"/>
                <w:color w:val="auto"/>
              </w:rPr>
            </w:pPr>
          </w:p>
        </w:tc>
      </w:tr>
      <w:tr>
        <w:trPr>
          <w:trHeight w:val="159"/>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16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(97,200)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15,995</w:t>
            </w:r>
          </w:p>
        </w:tc>
        <w:tc>
          <w:tcPr>
            <w:tcW w:w="140" w:type="dxa"/>
            <w:vAlign w:val="bottom"/>
            <w:tcBorders>
              <w:right w:val="single" w:sz="8" w:color="auto"/>
            </w:tcBorders>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(57,063)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28,114</w:t>
            </w: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Adjustments to reconcile net income (loss) to net cash provided by (used in) operating activities: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16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216,229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448</w:t>
            </w:r>
          </w:p>
        </w:tc>
        <w:tc>
          <w:tcPr>
            <w:tcW w:w="1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87,060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14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6,160</w:t>
            </w:r>
          </w:p>
        </w:tc>
        <w:tc>
          <w:tcPr>
            <w:tcW w:w="0" w:type="dxa"/>
            <w:vAlign w:val="bottom"/>
          </w:tcPr>
          <w:p>
            <w:pPr>
              <w:spacing w:after="0"/>
              <w:rPr>
                <w:sz w:val="1"/>
                <w:szCs w:val="1"/>
                <w:color w:val="auto"/>
              </w:rPr>
            </w:pPr>
          </w:p>
        </w:tc>
      </w:tr>
      <w:tr>
        <w:trPr>
          <w:trHeight w:val="168"/>
        </w:trPr>
        <w:tc>
          <w:tcPr>
            <w:tcW w:w="616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94,056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28,217</w:t>
            </w:r>
          </w:p>
        </w:tc>
        <w:tc>
          <w:tcPr>
            <w:tcW w:w="1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 and issuance costs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w:t>
            </w:r>
          </w:p>
        </w:tc>
        <w:tc>
          <w:tcPr>
            <w:tcW w:w="14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160" w:type="dxa"/>
            <w:vAlign w:val="bottom"/>
          </w:tcPr>
          <w:p>
            <w:pPr>
              <w:ind w:left="240"/>
              <w:spacing w:after="0"/>
              <w:rPr>
                <w:sz w:val="20"/>
                <w:szCs w:val="20"/>
                <w:color w:val="auto"/>
              </w:rPr>
            </w:pPr>
            <w:r>
              <w:rPr>
                <w:rFonts w:ascii="Arial" w:cs="Arial" w:eastAsia="Arial" w:hAnsi="Arial"/>
                <w:sz w:val="13"/>
                <w:szCs w:val="13"/>
                <w:color w:val="auto"/>
              </w:rPr>
              <w:t>Change in fair value of contingent consideration</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19,700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70,700</w:t>
            </w:r>
          </w:p>
        </w:tc>
        <w:tc>
          <w:tcPr>
            <w:tcW w:w="1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non-cash items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14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w:t>
            </w:r>
          </w:p>
        </w:tc>
        <w:tc>
          <w:tcPr>
            <w:tcW w:w="0" w:type="dxa"/>
            <w:vAlign w:val="bottom"/>
          </w:tcPr>
          <w:p>
            <w:pPr>
              <w:spacing w:after="0"/>
              <w:rPr>
                <w:sz w:val="1"/>
                <w:szCs w:val="1"/>
                <w:color w:val="auto"/>
              </w:rPr>
            </w:pPr>
          </w:p>
        </w:tc>
      </w:tr>
      <w:tr>
        <w:trPr>
          <w:trHeight w:val="170"/>
        </w:trPr>
        <w:tc>
          <w:tcPr>
            <w:tcW w:w="6160" w:type="dxa"/>
            <w:vAlign w:val="bottom"/>
          </w:tcPr>
          <w:p>
            <w:pPr>
              <w:ind w:left="240"/>
              <w:spacing w:after="0"/>
              <w:rPr>
                <w:sz w:val="20"/>
                <w:szCs w:val="20"/>
                <w:color w:val="auto"/>
              </w:rPr>
            </w:pPr>
            <w:r>
              <w:rPr>
                <w:rFonts w:ascii="Arial" w:cs="Arial" w:eastAsia="Arial" w:hAnsi="Arial"/>
                <w:sz w:val="13"/>
                <w:szCs w:val="13"/>
                <w:i w:val="1"/>
                <w:iCs w:val="1"/>
                <w:color w:val="auto"/>
              </w:rPr>
              <w:t>Changes in assets and liabilities, net of acquisition:</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1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receivable</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(15,113)</w:t>
            </w:r>
          </w:p>
        </w:tc>
        <w:tc>
          <w:tcPr>
            <w:tcW w:w="14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w:t>
            </w:r>
          </w:p>
        </w:tc>
        <w:tc>
          <w:tcPr>
            <w:tcW w:w="0" w:type="dxa"/>
            <w:vAlign w:val="bottom"/>
          </w:tcPr>
          <w:p>
            <w:pPr>
              <w:spacing w:after="0"/>
              <w:rPr>
                <w:sz w:val="1"/>
                <w:szCs w:val="1"/>
                <w:color w:val="auto"/>
              </w:rPr>
            </w:pPr>
          </w:p>
        </w:tc>
      </w:tr>
      <w:tr>
        <w:trPr>
          <w:trHeight w:val="168"/>
        </w:trPr>
        <w:tc>
          <w:tcPr>
            <w:tcW w:w="6160" w:type="dxa"/>
            <w:vAlign w:val="bottom"/>
          </w:tcPr>
          <w:p>
            <w:pPr>
              <w:ind w:left="460"/>
              <w:spacing w:after="0"/>
              <w:rPr>
                <w:sz w:val="20"/>
                <w:szCs w:val="20"/>
                <w:color w:val="auto"/>
              </w:rPr>
            </w:pPr>
            <w:r>
              <w:rPr>
                <w:rFonts w:ascii="Arial" w:cs="Arial" w:eastAsia="Arial" w:hAnsi="Arial"/>
                <w:sz w:val="13"/>
                <w:szCs w:val="13"/>
                <w:color w:val="auto"/>
              </w:rPr>
              <w:t>Commissions receivable</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(427,467)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(203,956)</w:t>
            </w:r>
          </w:p>
        </w:tc>
        <w:tc>
          <w:tcPr>
            <w:tcW w:w="1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(63,448)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(65,445)</w:t>
            </w: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Prepaid expenses and other assets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(24,021)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(2,316)</w:t>
            </w:r>
          </w:p>
        </w:tc>
        <w:tc>
          <w:tcPr>
            <w:tcW w:w="14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w:t>
            </w:r>
          </w:p>
        </w:tc>
        <w:tc>
          <w:tcPr>
            <w:tcW w:w="0" w:type="dxa"/>
            <w:vAlign w:val="bottom"/>
          </w:tcPr>
          <w:p>
            <w:pPr>
              <w:spacing w:after="0"/>
              <w:rPr>
                <w:sz w:val="1"/>
                <w:szCs w:val="1"/>
                <w:color w:val="auto"/>
              </w:rPr>
            </w:pPr>
          </w:p>
        </w:tc>
      </w:tr>
      <w:tr>
        <w:trPr>
          <w:trHeight w:val="167"/>
        </w:trPr>
        <w:tc>
          <w:tcPr>
            <w:tcW w:w="6160" w:type="dxa"/>
            <w:vAlign w:val="bottom"/>
          </w:tcPr>
          <w:p>
            <w:pPr>
              <w:ind w:left="460"/>
              <w:spacing w:after="0"/>
              <w:rPr>
                <w:sz w:val="20"/>
                <w:szCs w:val="20"/>
                <w:color w:val="auto"/>
              </w:rPr>
            </w:pPr>
            <w:r>
              <w:rPr>
                <w:rFonts w:ascii="Arial" w:cs="Arial" w:eastAsia="Arial" w:hAnsi="Arial"/>
                <w:sz w:val="13"/>
                <w:szCs w:val="13"/>
                <w:color w:val="auto"/>
              </w:rPr>
              <w:t>Accounts payable</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(5,340)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5,031</w:t>
            </w:r>
          </w:p>
        </w:tc>
        <w:tc>
          <w:tcPr>
            <w:tcW w:w="1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(1,981)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3,108</w:t>
            </w:r>
          </w:p>
        </w:tc>
        <w:tc>
          <w:tcPr>
            <w:tcW w:w="0" w:type="dxa"/>
            <w:vAlign w:val="bottom"/>
          </w:tcPr>
          <w:p>
            <w:pPr>
              <w:spacing w:after="0"/>
              <w:rPr>
                <w:sz w:val="1"/>
                <w:szCs w:val="1"/>
                <w:color w:val="auto"/>
              </w:rPr>
            </w:pPr>
          </w:p>
        </w:tc>
      </w:tr>
      <w:tr>
        <w:trPr>
          <w:trHeight w:val="184"/>
        </w:trPr>
        <w:tc>
          <w:tcPr>
            <w:tcW w:w="61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Accrued liabilities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4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2,891</w:t>
            </w:r>
          </w:p>
        </w:tc>
        <w:tc>
          <w:tcPr>
            <w:tcW w:w="0" w:type="dxa"/>
            <w:vAlign w:val="bottom"/>
          </w:tcPr>
          <w:p>
            <w:pPr>
              <w:spacing w:after="0"/>
              <w:rPr>
                <w:sz w:val="1"/>
                <w:szCs w:val="1"/>
                <w:color w:val="auto"/>
              </w:rPr>
            </w:pPr>
          </w:p>
        </w:tc>
      </w:tr>
      <w:tr>
        <w:trPr>
          <w:trHeight w:val="168"/>
        </w:trPr>
        <w:tc>
          <w:tcPr>
            <w:tcW w:w="6160" w:type="dxa"/>
            <w:vAlign w:val="bottom"/>
          </w:tcPr>
          <w:p>
            <w:pPr>
              <w:ind w:left="460"/>
              <w:spacing w:after="0"/>
              <w:rPr>
                <w:sz w:val="20"/>
                <w:szCs w:val="20"/>
                <w:color w:val="auto"/>
              </w:rPr>
            </w:pPr>
            <w:r>
              <w:rPr>
                <w:rFonts w:ascii="Arial" w:cs="Arial" w:eastAsia="Arial" w:hAnsi="Arial"/>
                <w:sz w:val="13"/>
                <w:szCs w:val="13"/>
                <w:color w:val="auto"/>
              </w:rPr>
              <w:t>Deferred revenue</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(14,482)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11,935</w:t>
            </w:r>
          </w:p>
        </w:tc>
        <w:tc>
          <w:tcPr>
            <w:tcW w:w="1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Commissions payable</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107,583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80,828</w:t>
            </w:r>
          </w:p>
        </w:tc>
        <w:tc>
          <w:tcPr>
            <w:tcW w:w="14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30,896</w:t>
            </w:r>
          </w:p>
        </w:tc>
        <w:tc>
          <w:tcPr>
            <w:tcW w:w="0" w:type="dxa"/>
            <w:vAlign w:val="bottom"/>
          </w:tcPr>
          <w:p>
            <w:pPr>
              <w:spacing w:after="0"/>
              <w:rPr>
                <w:sz w:val="1"/>
                <w:szCs w:val="1"/>
                <w:color w:val="auto"/>
              </w:rPr>
            </w:pPr>
          </w:p>
        </w:tc>
      </w:tr>
      <w:tr>
        <w:trPr>
          <w:trHeight w:val="169"/>
        </w:trPr>
        <w:tc>
          <w:tcPr>
            <w:tcW w:w="616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Other liabilities</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8,779</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(2,494)</w:t>
            </w:r>
          </w:p>
        </w:tc>
        <w:tc>
          <w:tcPr>
            <w:tcW w:w="140" w:type="dxa"/>
            <w:vAlign w:val="bottom"/>
            <w:tcBorders>
              <w:bottom w:val="single" w:sz="8" w:color="CCEEFF"/>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175"/>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(114,217)</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(9,284)</w:t>
            </w:r>
          </w:p>
        </w:tc>
        <w:tc>
          <w:tcPr>
            <w:tcW w:w="140" w:type="dxa"/>
            <w:vAlign w:val="bottom"/>
            <w:tcBorders>
              <w:right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9,281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5,443</w:t>
            </w:r>
          </w:p>
        </w:tc>
        <w:tc>
          <w:tcPr>
            <w:tcW w:w="0" w:type="dxa"/>
            <w:vAlign w:val="bottom"/>
          </w:tcPr>
          <w:p>
            <w:pPr>
              <w:spacing w:after="0"/>
              <w:rPr>
                <w:sz w:val="1"/>
                <w:szCs w:val="1"/>
                <w:color w:val="auto"/>
              </w:rPr>
            </w:pPr>
          </w:p>
        </w:tc>
      </w:tr>
      <w:tr>
        <w:trPr>
          <w:trHeight w:val="152"/>
        </w:trPr>
        <w:tc>
          <w:tcPr>
            <w:tcW w:w="616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Investing Activities</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of business, net of cash</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(807,591)</w:t>
            </w:r>
          </w:p>
        </w:tc>
        <w:tc>
          <w:tcPr>
            <w:tcW w:w="14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Purchases of property, equipment and software</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(14,523)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(2,419)</w:t>
            </w:r>
          </w:p>
        </w:tc>
        <w:tc>
          <w:tcPr>
            <w:tcW w:w="140" w:type="dxa"/>
            <w:vAlign w:val="bottom"/>
            <w:tcBorders>
              <w:bottom w:val="single" w:sz="8" w:color="CCEEFF"/>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(5,597)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(6,170)</w:t>
            </w:r>
          </w:p>
        </w:tc>
        <w:tc>
          <w:tcPr>
            <w:tcW w:w="0" w:type="dxa"/>
            <w:vAlign w:val="bottom"/>
          </w:tcPr>
          <w:p>
            <w:pPr>
              <w:spacing w:after="0"/>
              <w:rPr>
                <w:sz w:val="1"/>
                <w:szCs w:val="1"/>
                <w:color w:val="auto"/>
              </w:rPr>
            </w:pPr>
          </w:p>
        </w:tc>
      </w:tr>
      <w:tr>
        <w:trPr>
          <w:trHeight w:val="175"/>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(14,523)</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(810,010)</w:t>
            </w:r>
          </w:p>
        </w:tc>
        <w:tc>
          <w:tcPr>
            <w:tcW w:w="140" w:type="dxa"/>
            <w:vAlign w:val="bottom"/>
            <w:tcBorders>
              <w:right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(5,597)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(6,170)</w:t>
            </w:r>
          </w:p>
        </w:tc>
        <w:tc>
          <w:tcPr>
            <w:tcW w:w="0" w:type="dxa"/>
            <w:vAlign w:val="bottom"/>
          </w:tcPr>
          <w:p>
            <w:pPr>
              <w:spacing w:after="0"/>
              <w:rPr>
                <w:sz w:val="1"/>
                <w:szCs w:val="1"/>
                <w:color w:val="auto"/>
              </w:rPr>
            </w:pPr>
          </w:p>
        </w:tc>
      </w:tr>
      <w:tr>
        <w:trPr>
          <w:trHeight w:val="152"/>
        </w:trPr>
        <w:tc>
          <w:tcPr>
            <w:tcW w:w="616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Financing Activities</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Class A common stock sold in initial public offering, net of offering costs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852,407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160" w:type="dxa"/>
            <w:vAlign w:val="bottom"/>
          </w:tcPr>
          <w:p>
            <w:pPr>
              <w:ind w:left="20"/>
              <w:spacing w:after="0"/>
              <w:rPr>
                <w:sz w:val="20"/>
                <w:szCs w:val="20"/>
                <w:color w:val="auto"/>
              </w:rPr>
            </w:pPr>
            <w:r>
              <w:rPr>
                <w:rFonts w:ascii="Arial" w:cs="Arial" w:eastAsia="Arial" w:hAnsi="Arial"/>
                <w:sz w:val="13"/>
                <w:szCs w:val="13"/>
                <w:color w:val="auto"/>
              </w:rPr>
              <w:t>Payment of partial consideration to Blocker Shareholders in the Blocker Merger</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(96,165)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LLC Interests from Continuing Equity Owners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(508,320)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160" w:type="dxa"/>
            <w:vAlign w:val="bottom"/>
          </w:tcPr>
          <w:p>
            <w:pPr>
              <w:ind w:left="20"/>
              <w:spacing w:after="0"/>
              <w:rPr>
                <w:sz w:val="20"/>
                <w:szCs w:val="20"/>
                <w:color w:val="auto"/>
              </w:rPr>
            </w:pPr>
            <w:r>
              <w:rPr>
                <w:rFonts w:ascii="Arial" w:cs="Arial" w:eastAsia="Arial" w:hAnsi="Arial"/>
                <w:sz w:val="13"/>
                <w:szCs w:val="13"/>
                <w:color w:val="auto"/>
              </w:rPr>
              <w:t>Settlement of Senior Preferred Earnout Units</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received upon issuance of preferred units</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541,263</w:t>
            </w:r>
          </w:p>
        </w:tc>
        <w:tc>
          <w:tcPr>
            <w:tcW w:w="14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6160" w:type="dxa"/>
            <w:vAlign w:val="bottom"/>
          </w:tcPr>
          <w:p>
            <w:pPr>
              <w:ind w:left="20"/>
              <w:spacing w:after="0"/>
              <w:rPr>
                <w:sz w:val="20"/>
                <w:szCs w:val="20"/>
                <w:color w:val="auto"/>
              </w:rPr>
            </w:pPr>
            <w:r>
              <w:rPr>
                <w:rFonts w:ascii="Arial" w:cs="Arial" w:eastAsia="Arial" w:hAnsi="Arial"/>
                <w:sz w:val="13"/>
                <w:szCs w:val="13"/>
                <w:color w:val="auto"/>
              </w:rPr>
              <w:t>Proceeds received upon issuance of common units</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Borrowings under term loans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w:t>
            </w:r>
          </w:p>
        </w:tc>
        <w:tc>
          <w:tcPr>
            <w:tcW w:w="14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160" w:type="dxa"/>
            <w:vAlign w:val="bottom"/>
          </w:tcPr>
          <w:p>
            <w:pPr>
              <w:ind w:left="20"/>
              <w:spacing w:after="0"/>
              <w:rPr>
                <w:sz w:val="20"/>
                <w:szCs w:val="20"/>
                <w:color w:val="auto"/>
              </w:rPr>
            </w:pPr>
            <w:r>
              <w:rPr>
                <w:rFonts w:ascii="Arial" w:cs="Arial" w:eastAsia="Arial" w:hAnsi="Arial"/>
                <w:sz w:val="13"/>
                <w:szCs w:val="13"/>
                <w:color w:val="auto"/>
              </w:rPr>
              <w:t>Principal payments under term loans</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(3,878)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(750)</w:t>
            </w:r>
          </w:p>
        </w:tc>
        <w:tc>
          <w:tcPr>
            <w:tcW w:w="1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Borrowings under revolving credit facilities</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82,555</w:t>
            </w:r>
          </w:p>
        </w:tc>
        <w:tc>
          <w:tcPr>
            <w:tcW w:w="0" w:type="dxa"/>
            <w:vAlign w:val="bottom"/>
          </w:tcPr>
          <w:p>
            <w:pPr>
              <w:spacing w:after="0"/>
              <w:rPr>
                <w:sz w:val="1"/>
                <w:szCs w:val="1"/>
                <w:color w:val="auto"/>
              </w:rPr>
            </w:pPr>
          </w:p>
        </w:tc>
      </w:tr>
      <w:tr>
        <w:trPr>
          <w:trHeight w:val="168"/>
        </w:trPr>
        <w:tc>
          <w:tcPr>
            <w:tcW w:w="6160" w:type="dxa"/>
            <w:vAlign w:val="bottom"/>
          </w:tcPr>
          <w:p>
            <w:pPr>
              <w:ind w:left="20"/>
              <w:spacing w:after="0"/>
              <w:rPr>
                <w:sz w:val="20"/>
                <w:szCs w:val="20"/>
                <w:color w:val="auto"/>
              </w:rPr>
            </w:pPr>
            <w:r>
              <w:rPr>
                <w:rFonts w:ascii="Arial" w:cs="Arial" w:eastAsia="Arial" w:hAnsi="Arial"/>
                <w:sz w:val="13"/>
                <w:szCs w:val="13"/>
                <w:color w:val="auto"/>
              </w:rPr>
              <w:t>Payments under revolving credit facilities</w:t>
            </w: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(59,915)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(82,320)</w:t>
            </w: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Debt issuance cost payments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(9,283)</w:t>
            </w:r>
          </w:p>
        </w:tc>
        <w:tc>
          <w:tcPr>
            <w:tcW w:w="14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160" w:type="dxa"/>
            <w:vAlign w:val="bottom"/>
          </w:tcPr>
          <w:p>
            <w:pPr>
              <w:ind w:left="20"/>
              <w:spacing w:after="0"/>
              <w:rPr>
                <w:sz w:val="20"/>
                <w:szCs w:val="20"/>
                <w:color w:val="auto"/>
              </w:rPr>
            </w:pPr>
            <w:r>
              <w:rPr>
                <w:rFonts w:ascii="Arial" w:cs="Arial" w:eastAsia="Arial" w:hAnsi="Arial"/>
                <w:sz w:val="13"/>
                <w:szCs w:val="13"/>
                <w:color w:val="auto"/>
              </w:rPr>
              <w:t>Principal payments under capital lease obligations</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(351)</w:t>
            </w:r>
          </w:p>
        </w:tc>
        <w:tc>
          <w:tcPr>
            <w:tcW w:w="1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9"/>
        </w:trPr>
        <w:tc>
          <w:tcPr>
            <w:tcW w:w="6160" w:type="dxa"/>
            <w:vAlign w:val="bottom"/>
          </w:tcPr>
          <w:p>
            <w:pPr>
              <w:ind w:left="20"/>
              <w:spacing w:after="0"/>
              <w:rPr>
                <w:sz w:val="20"/>
                <w:szCs w:val="20"/>
                <w:color w:val="auto"/>
              </w:rPr>
            </w:pPr>
            <w:r>
              <w:rPr>
                <w:rFonts w:ascii="Arial" w:cs="Arial" w:eastAsia="Arial" w:hAnsi="Arial"/>
                <w:sz w:val="13"/>
                <w:szCs w:val="13"/>
                <w:color w:val="auto"/>
              </w:rPr>
              <w:t>Advancement to NVX Holdings, Inc.</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(3,395)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260,663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830,879</w:t>
            </w: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6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40" w:type="dxa"/>
            <w:vAlign w:val="bottom"/>
            <w:tcBorders>
              <w:bottom w:val="single" w:sz="8" w:color="CCEEFF"/>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5"/>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(decrease) in cash and cash equivalents</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131,958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11,568</w:t>
            </w:r>
          </w:p>
        </w:tc>
        <w:tc>
          <w:tcPr>
            <w:tcW w:w="140" w:type="dxa"/>
            <w:vAlign w:val="bottom"/>
            <w:tcBorders>
              <w:right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(667)</w:t>
            </w:r>
          </w:p>
        </w:tc>
        <w:tc>
          <w:tcPr>
            <w:tcW w:w="0" w:type="dxa"/>
            <w:vAlign w:val="bottom"/>
          </w:tcPr>
          <w:p>
            <w:pPr>
              <w:spacing w:after="0"/>
              <w:rPr>
                <w:sz w:val="1"/>
                <w:szCs w:val="1"/>
                <w:color w:val="auto"/>
              </w:rPr>
            </w:pPr>
          </w:p>
        </w:tc>
      </w:tr>
      <w:tr>
        <w:trPr>
          <w:trHeight w:val="16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12,276</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708</w:t>
            </w:r>
          </w:p>
        </w:tc>
        <w:tc>
          <w:tcPr>
            <w:tcW w:w="140" w:type="dxa"/>
            <w:vAlign w:val="bottom"/>
            <w:tcBorders>
              <w:bottom w:val="single" w:sz="8" w:color="CCEEFF"/>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1,172</w:t>
            </w:r>
          </w:p>
        </w:tc>
        <w:tc>
          <w:tcPr>
            <w:tcW w:w="0" w:type="dxa"/>
            <w:vAlign w:val="bottom"/>
          </w:tcPr>
          <w:p>
            <w:pPr>
              <w:spacing w:after="0"/>
              <w:rPr>
                <w:sz w:val="1"/>
                <w:szCs w:val="1"/>
                <w:color w:val="auto"/>
              </w:rPr>
            </w:pPr>
          </w:p>
        </w:tc>
      </w:tr>
      <w:tr>
        <w:trPr>
          <w:trHeight w:val="20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144,234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12,276</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708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505</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paid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32,671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5,437</w:t>
            </w:r>
          </w:p>
        </w:tc>
        <w:tc>
          <w:tcPr>
            <w:tcW w:w="14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68"/>
        </w:trPr>
        <w:tc>
          <w:tcPr>
            <w:tcW w:w="6160" w:type="dxa"/>
            <w:vAlign w:val="bottom"/>
          </w:tcPr>
          <w:p>
            <w:pPr>
              <w:ind w:left="20"/>
              <w:spacing w:after="0"/>
              <w:rPr>
                <w:sz w:val="20"/>
                <w:szCs w:val="20"/>
                <w:color w:val="auto"/>
              </w:rPr>
            </w:pPr>
            <w:r>
              <w:rPr>
                <w:rFonts w:ascii="Arial" w:cs="Arial" w:eastAsia="Arial" w:hAnsi="Arial"/>
                <w:sz w:val="13"/>
                <w:szCs w:val="13"/>
                <w:color w:val="auto"/>
              </w:rPr>
              <w:t>Taxes paid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286</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55</w:t>
            </w:r>
          </w:p>
        </w:tc>
        <w:tc>
          <w:tcPr>
            <w:tcW w:w="140" w:type="dxa"/>
            <w:vAlign w:val="bottom"/>
            <w:tcBorders>
              <w:right w:val="single" w:sz="8" w:color="auto"/>
            </w:tcBorders>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84"/>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Non-cash investing and financing activities: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160" w:type="dxa"/>
            <w:vAlign w:val="bottom"/>
          </w:tcPr>
          <w:p>
            <w:pPr>
              <w:ind w:left="240"/>
              <w:spacing w:after="0"/>
              <w:rPr>
                <w:sz w:val="20"/>
                <w:szCs w:val="20"/>
                <w:color w:val="auto"/>
              </w:rPr>
            </w:pPr>
            <w:r>
              <w:rPr>
                <w:rFonts w:ascii="Arial" w:cs="Arial" w:eastAsia="Arial" w:hAnsi="Arial"/>
                <w:sz w:val="13"/>
                <w:szCs w:val="13"/>
                <w:color w:val="auto"/>
              </w:rPr>
              <w:t>Purchases of property, equipment and software included in accounts payable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491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46</w:t>
            </w:r>
          </w:p>
        </w:tc>
        <w:tc>
          <w:tcPr>
            <w:tcW w:w="140" w:type="dxa"/>
            <w:vAlign w:val="bottom"/>
            <w:tcBorders>
              <w:right w:val="single" w:sz="8" w:color="auto"/>
            </w:tcBorders>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84"/>
        </w:trPr>
        <w:tc>
          <w:tcPr>
            <w:tcW w:w="6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property, equipment and software under capital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67"/>
        </w:trPr>
        <w:tc>
          <w:tcPr>
            <w:tcW w:w="6160" w:type="dxa"/>
            <w:vAlign w:val="bottom"/>
          </w:tcPr>
          <w:p>
            <w:pPr>
              <w:ind w:left="240"/>
              <w:spacing w:after="0"/>
              <w:rPr>
                <w:sz w:val="20"/>
                <w:szCs w:val="20"/>
                <w:color w:val="auto"/>
              </w:rPr>
            </w:pPr>
            <w:r>
              <w:rPr>
                <w:rFonts w:ascii="Arial" w:cs="Arial" w:eastAsia="Arial" w:hAnsi="Arial"/>
                <w:sz w:val="13"/>
                <w:szCs w:val="13"/>
                <w:color w:val="auto"/>
              </w:rPr>
              <w:t>Issuance of Senior Preferred Earnout Units to settle contingent consideration liability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100,000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6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Issuance of common A and B units to settle contingent consideration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160" w:type="dxa"/>
            <w:vAlign w:val="bottom"/>
          </w:tcPr>
          <w:p>
            <w:pPr>
              <w:ind w:left="240"/>
              <w:spacing w:after="0"/>
              <w:rPr>
                <w:sz w:val="20"/>
                <w:szCs w:val="20"/>
                <w:color w:val="auto"/>
              </w:rPr>
            </w:pPr>
            <w:r>
              <w:rPr>
                <w:rFonts w:ascii="Arial" w:cs="Arial" w:eastAsia="Arial" w:hAnsi="Arial"/>
                <w:sz w:val="13"/>
                <w:szCs w:val="13"/>
                <w:color w:val="auto"/>
              </w:rPr>
              <w:t>Net issuance of Class A and Class B common stock in connection with the Transactions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6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Settlement of contingent consideration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320675</wp:posOffset>
            </wp:positionV>
            <wp:extent cx="8255" cy="1200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320675</wp:posOffset>
            </wp:positionV>
            <wp:extent cx="8890" cy="1200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76</w:t>
      </w:r>
    </w:p>
    <w:p>
      <w:pPr>
        <w:sectPr>
          <w:pgSz w:w="11900" w:h="16838" w:orient="portrait"/>
          <w:cols w:equalWidth="0" w:num="3">
            <w:col w:w="4580" w:space="540"/>
            <w:col w:w="1040" w:space="360"/>
            <w:col w:w="4720"/>
          </w:cols>
          <w:pgMar w:left="320" w:top="1323" w:right="339" w:bottom="1440" w:gutter="0" w:footer="0" w:header="0"/>
          <w:type w:val="continuous"/>
        </w:sectPr>
      </w:pPr>
    </w:p>
    <w:bookmarkStart w:id="79" w:name="page80"/>
    <w:bookmarkEnd w:id="79"/>
    <w:p>
      <w:pPr>
        <w:jc w:val="center"/>
        <w:ind w:right="-19"/>
        <w:spacing w:after="0"/>
        <w:rPr>
          <w:sz w:val="20"/>
          <w:szCs w:val="20"/>
          <w:color w:val="auto"/>
        </w:rPr>
      </w:pPr>
      <w:r>
        <w:rPr>
          <w:rFonts w:ascii="Arial" w:cs="Arial" w:eastAsia="Arial" w:hAnsi="Arial"/>
          <w:sz w:val="16"/>
          <w:szCs w:val="16"/>
          <w:b w:val="1"/>
          <w:bCs w:val="1"/>
          <w:color w:val="0A2299"/>
        </w:rPr>
        <w:t>GOHEALTH, INC.</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A2299"/>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0A2299"/>
        </w:rPr>
        <w:t>(in thousands, except per share amounts)</w:t>
      </w:r>
    </w:p>
    <w:p>
      <w:pPr>
        <w:spacing w:after="0" w:line="217" w:lineRule="exact"/>
        <w:rPr>
          <w:sz w:val="20"/>
          <w:szCs w:val="20"/>
          <w:color w:val="auto"/>
        </w:rPr>
      </w:pPr>
    </w:p>
    <w:p>
      <w:pPr>
        <w:ind w:right="4740" w:firstLine="656"/>
        <w:spacing w:after="0" w:line="541" w:lineRule="auto"/>
        <w:tabs>
          <w:tab w:leader="none" w:pos="828" w:val="left"/>
        </w:tabs>
        <w:numPr>
          <w:ilvl w:val="0"/>
          <w:numId w:val="42"/>
        </w:numPr>
        <w:rPr>
          <w:rFonts w:ascii="Arial" w:cs="Arial" w:eastAsia="Arial" w:hAnsi="Arial"/>
          <w:sz w:val="16"/>
          <w:szCs w:val="16"/>
          <w:b w:val="1"/>
          <w:bCs w:val="1"/>
          <w:color w:val="0A2299"/>
        </w:rPr>
      </w:pPr>
      <w:r>
        <w:rPr>
          <w:rFonts w:ascii="Arial" w:cs="Arial" w:eastAsia="Arial" w:hAnsi="Arial"/>
          <w:sz w:val="16"/>
          <w:szCs w:val="16"/>
          <w:b w:val="1"/>
          <w:bCs w:val="1"/>
          <w:color w:val="0A2299"/>
        </w:rPr>
        <w:t xml:space="preserve">DESCRIPTION OF BUSINESS AND SIGNIFICANT ACCOUNTING POLICIES </w:t>
      </w:r>
      <w:r>
        <w:rPr>
          <w:rFonts w:ascii="Arial" w:cs="Arial" w:eastAsia="Arial" w:hAnsi="Arial"/>
          <w:sz w:val="16"/>
          <w:szCs w:val="16"/>
          <w:b w:val="1"/>
          <w:bCs w:val="1"/>
          <w:color w:val="000000"/>
        </w:rPr>
        <w:t>Description of Business</w:t>
      </w:r>
    </w:p>
    <w:p>
      <w:pPr>
        <w:spacing w:after="0" w:line="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GoHealth, Inc. (the “Company”) is a leading health insurance marketplace and Medicare-focused digital health company whose mission is to improve healthcare in America. The Company works with insurance carriers to provide solutions to efficiently enroll individuals in health insurance plans. The Company’s proprietary technology platform leverages modern machine-learning algorithms powered by nearly two decades of insurance purchasing behavior to reimagine the optimal process for helping individuals find the best health insurance plan for their specific needs. The Company’s insurance agents leverage the power of its vertically integrated customer acquisition platform to enroll members in Medicare and individual and family plans. Certain of the Company’s operations do business as GoHealth, LLC (“GoHealth”), a wholly owned subsidiary of the Company that was founded in 2001.</w:t>
      </w:r>
    </w:p>
    <w:p>
      <w:pPr>
        <w:spacing w:after="0" w:line="20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 was incorporated in Delaware on March 27, 2020 for the purpose of facilitating an initial public offering and other related transactions in order to carry on the business of GoHealth Holdings, LLC (formerly known as Blizzard Parent, LLC), a Delaware limited liability company, and its wholly owned subsidiaries (collectively, "GHH, LLC"). On July 17, 2020, the Company completed an initial public offering of 43,500 shares of its Class A common stock at a public offering price of $21.00 per share (“the IPO”), receiving approximately $852.4 million in net proceeds, after deducting the underwriting discount and offering expenses.</w:t>
      </w:r>
    </w:p>
    <w:p>
      <w:pPr>
        <w:spacing w:after="0" w:line="20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Pursuant to a reorganization into a holding company structure, the Company is a holding company and its principal asset is a controlling equity interest in GHH, LLC. As the sole managing member of GHH, LLC, the Company operates and controls all of the business and affairs of GHH, LLC, and through GHH, LLC and its subsidiaries, conducts its business.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Company’s IPO, the Company completed a series of organizational transactions (the “Transactions”). The Transactions included:</w:t>
      </w:r>
    </w:p>
    <w:p>
      <w:pPr>
        <w:spacing w:after="0" w:line="221" w:lineRule="exact"/>
        <w:rPr>
          <w:sz w:val="20"/>
          <w:szCs w:val="20"/>
          <w:color w:val="auto"/>
        </w:rPr>
      </w:pPr>
    </w:p>
    <w:p>
      <w:pPr>
        <w:ind w:left="660" w:right="120" w:hanging="328"/>
        <w:spacing w:after="0" w:line="246"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amendment and restatement of the existing limited liability company agreement of GHH, LLC to, among other things, (1) recapitalize all existing ownership interests in GHH, LLC (including profits units awarded under the existing limited liability company agreement of GHH, LLC) and</w:t>
      </w:r>
    </w:p>
    <w:p>
      <w:pPr>
        <w:ind w:left="660"/>
        <w:spacing w:after="0"/>
        <w:rPr>
          <w:rFonts w:ascii="Arial" w:cs="Arial" w:eastAsia="Arial" w:hAnsi="Arial"/>
          <w:sz w:val="16"/>
          <w:szCs w:val="16"/>
          <w:color w:val="auto"/>
        </w:rPr>
      </w:pPr>
      <w:r>
        <w:rPr>
          <w:rFonts w:ascii="Arial" w:cs="Arial" w:eastAsia="Arial" w:hAnsi="Arial"/>
          <w:sz w:val="16"/>
          <w:szCs w:val="16"/>
          <w:color w:val="auto"/>
        </w:rPr>
        <w:t>(2) appoint the Company as the sole managing member of GHH, LLC upon its acquisition of LLC Interests in connection with the IPO;</w:t>
      </w:r>
    </w:p>
    <w:p>
      <w:pPr>
        <w:spacing w:after="0" w:line="221" w:lineRule="exact"/>
        <w:rPr>
          <w:rFonts w:ascii="Arial" w:cs="Arial" w:eastAsia="Arial" w:hAnsi="Arial"/>
          <w:sz w:val="16"/>
          <w:szCs w:val="16"/>
          <w:color w:val="auto"/>
        </w:rPr>
      </w:pPr>
    </w:p>
    <w:p>
      <w:pPr>
        <w:ind w:left="660" w:right="140" w:hanging="328"/>
        <w:spacing w:after="0" w:line="250"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amendment and restatement of the Company’s certificate of incorporation to, among other things, provide for (1) Class A common stock, with each share of the Company’s Class A common stock entitling its holder to economic rights and one vote per share on all matters presented to stockholders generally and (2) Class B common stock, with each share of the Company’s Class B common stock being a non-economic share but entitling its holder to one vote per share on all matters presented to stockholders generally (provided that shares of Class B common stock may only be held by the Continuing Equity Owners and their respective permitted transferees);</w:t>
      </w:r>
    </w:p>
    <w:p>
      <w:pPr>
        <w:spacing w:after="0" w:line="202" w:lineRule="exact"/>
        <w:rPr>
          <w:rFonts w:ascii="Arial" w:cs="Arial" w:eastAsia="Arial" w:hAnsi="Arial"/>
          <w:sz w:val="16"/>
          <w:szCs w:val="16"/>
          <w:color w:val="auto"/>
        </w:rPr>
      </w:pPr>
    </w:p>
    <w:p>
      <w:pPr>
        <w:ind w:left="660" w:right="180" w:hanging="328"/>
        <w:spacing w:after="0" w:line="253"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issuance of 307,980 shares of the Company's Class B common stock, including the issuance of 229,399 such shares to the Continuing Equity Owners, which is equal to the number of LLC Interests held directly or indirectly by such Continuing Equity Owners immediately following the Transactions, for nominal consideration;</w:t>
      </w:r>
    </w:p>
    <w:p>
      <w:pPr>
        <w:spacing w:after="0" w:line="201" w:lineRule="exact"/>
        <w:rPr>
          <w:rFonts w:ascii="Arial" w:cs="Arial" w:eastAsia="Arial" w:hAnsi="Arial"/>
          <w:sz w:val="16"/>
          <w:szCs w:val="16"/>
          <w:color w:val="auto"/>
        </w:rPr>
      </w:pPr>
    </w:p>
    <w:p>
      <w:pPr>
        <w:ind w:left="660" w:right="40" w:hanging="328"/>
        <w:spacing w:after="0" w:line="260"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issuance of 43,500 shares of the Company’s Class A common stock to the purchasers in the IPO in exchange for net proceeds, after taking into account the underwriting discount and offering expenses payable by the Company, of approximately $852.4 million;</w:t>
      </w:r>
    </w:p>
    <w:p>
      <w:pPr>
        <w:spacing w:after="0" w:line="195" w:lineRule="exact"/>
        <w:rPr>
          <w:rFonts w:ascii="Arial" w:cs="Arial" w:eastAsia="Arial" w:hAnsi="Arial"/>
          <w:sz w:val="16"/>
          <w:szCs w:val="16"/>
          <w:color w:val="auto"/>
        </w:rPr>
      </w:pPr>
    </w:p>
    <w:p>
      <w:pPr>
        <w:ind w:left="660" w:right="160" w:hanging="328"/>
        <w:spacing w:after="0" w:line="253"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acquisition by the Company of the Blocker Company in a merger transaction (the “Blocker Merger”), which Blocker Company held 45,503 LLC interests and a corresponding amount of the Company’s Class B common stock (which shares were cancelled after the Blocker Merger), in exchange for 40,683 shares of the Company’s Class A common stock and payment of $96.2 million in cash to Blocker Shareholders;</w:t>
      </w:r>
    </w:p>
    <w:p>
      <w:pPr>
        <w:spacing w:after="0" w:line="201" w:lineRule="exact"/>
        <w:rPr>
          <w:rFonts w:ascii="Arial" w:cs="Arial" w:eastAsia="Arial" w:hAnsi="Arial"/>
          <w:sz w:val="16"/>
          <w:szCs w:val="16"/>
          <w:color w:val="auto"/>
        </w:rPr>
      </w:pPr>
    </w:p>
    <w:p>
      <w:pPr>
        <w:ind w:left="660" w:right="40" w:hanging="328"/>
        <w:spacing w:after="0" w:line="253"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use of the remaining net proceeds from the IPO to (i) pay $508.3 million in cash to redeem 25,480 LLC Interests held directly or indirectly by the Continuing Equity Owners, (ii) satisfy in full $100.0 million in aggregate face amount of senior preferred earnout units in connection with the Transactions, and (iii) use for general corporate purposes;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297815</wp:posOffset>
            </wp:positionV>
            <wp:extent cx="8255" cy="1200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297815</wp:posOffset>
            </wp:positionV>
            <wp:extent cx="8890" cy="1200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77</w:t>
      </w:r>
    </w:p>
    <w:p>
      <w:pPr>
        <w:sectPr>
          <w:pgSz w:w="11900" w:h="16838" w:orient="portrait"/>
          <w:cols w:equalWidth="0" w:num="3">
            <w:col w:w="4580" w:space="540"/>
            <w:col w:w="1040" w:space="360"/>
            <w:col w:w="4720"/>
          </w:cols>
          <w:pgMar w:left="320" w:top="1323" w:right="339" w:bottom="1440" w:gutter="0" w:footer="0" w:header="0"/>
          <w:type w:val="continuous"/>
        </w:sectPr>
      </w:pPr>
    </w:p>
    <w:bookmarkStart w:id="80" w:name="page81"/>
    <w:bookmarkEnd w:id="80"/>
    <w:p>
      <w:pPr>
        <w:jc w:val="both"/>
        <w:ind w:left="660" w:right="100" w:hanging="328"/>
        <w:spacing w:after="0" w:line="260" w:lineRule="auto"/>
        <w:tabs>
          <w:tab w:leader="none" w:pos="6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 entered into (1) a stockholders’ agreement with Centerbridge and NVX Holdings, Inc., (2) a registration rights agreement with certain of the Continuing Equity Owners and (3) a tax receivable agreement with GHH, LLC, the Continuing Equity Owners and the Blocker Shareholders.</w:t>
      </w:r>
    </w:p>
    <w:p>
      <w:pPr>
        <w:spacing w:after="0" w:line="19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connection with the IPO, the Company became the sole managing member of GHH, LLC and controls the management of GHH, LLC. As a result, the Company consolidates GHH, LLC’s financial results in its Consolidated Financial Statements and reports a non-controlling interest for the economic interest in GHH, LLC held by the Continuing Equity Owners. Substantially concurrently with the consummation of the IPO, the existing limited liability company agreement of GHH, LLC was amended and restated to, among other things, recapitalize its capital structure by creating a single new class of units (the “common units”) and provide for a right of redemption of common units (subject in certain circumstances to time-based vesting requirements and certain other restrictions) in exchange for, at the Company’s election, cash or newly-issued shares of Class A common stock on a one-for-one basis. In connection with any redemption, the Company will receive a corresponding number of common units, increasing the Company’s total ownership interest in GHH, LLC.</w:t>
      </w:r>
    </w:p>
    <w:p>
      <w:pPr>
        <w:spacing w:after="0" w:line="20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Immediately following the completion of the Transactions and the IPO, the Company owned 26.8% of the economic interests in GHH, LLC, while the Continuing Equity Owners owned the remaining 73.2% of the economic interests in GHH, LLC. Net income and loss is allocated to the Continuing Equity Owners on a pro rata basis, assuming that any Class B common units that are subject to time-based vesting requirements are fully vested. The net loss attributable to non-controlling interests for the twelve months ended December 31, 2020, represents the Continuing Equity Owners’ pro rata share of net loss of the Company for the period subsequent to the IPO and the Transactions.</w:t>
      </w:r>
    </w:p>
    <w:p>
      <w:pPr>
        <w:spacing w:after="0" w:line="20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Transactions were considered transactions between entities under common control. As a result, the financial statements for periods prior to the IPO and the Transactions have been adjusted to combine the previously separate entities for presentation purposes.</w:t>
      </w:r>
    </w:p>
    <w:p>
      <w:pPr>
        <w:spacing w:after="0" w:line="195" w:lineRule="exact"/>
        <w:rPr>
          <w:sz w:val="20"/>
          <w:szCs w:val="20"/>
          <w:color w:val="auto"/>
        </w:rPr>
      </w:pPr>
    </w:p>
    <w:p>
      <w:pPr>
        <w:ind w:right="320"/>
        <w:spacing w:after="0" w:line="249" w:lineRule="auto"/>
        <w:rPr>
          <w:sz w:val="20"/>
          <w:szCs w:val="20"/>
          <w:color w:val="auto"/>
        </w:rPr>
      </w:pPr>
      <w:r>
        <w:rPr>
          <w:rFonts w:ascii="Arial" w:cs="Arial" w:eastAsia="Arial" w:hAnsi="Arial"/>
          <w:sz w:val="16"/>
          <w:szCs w:val="16"/>
          <w:color w:val="auto"/>
        </w:rPr>
        <w:t>GHH, LLC is a holding company with no operating assets or operations and was formed to acquire a 100% equity interest in Norvax, LLC (“Norvax”). On May 6, 2020, Blizzard Parent, LLC changed its name to GoHealth Holdings, LLC. GHH, LLC owns 100% of Blizzard Midco, LLC, which owns 100% of Norvax. For all of the periods reported in these Consolidated Financial Statements, GHH, LLC has not and does not have any material operations on a standalone basis, and all of the operations of GHH, LLC are carried out by Norvax. On August 15, 2019, GHH, LLC entered a series of arrangements to acquire 100% of the equity interest in Norvax. On September 13, 2019, Blizzard Merger Sub LLC, a transitory merger company of Blizzard Midco, LLC, merged into Norvax, with Norvax continuing as the surviving limited liability company and GHH, LLC's operating entity (the “Acquisition”).</w:t>
      </w:r>
    </w:p>
    <w:p>
      <w:pPr>
        <w:spacing w:after="0" w:line="205" w:lineRule="exact"/>
        <w:rPr>
          <w:sz w:val="20"/>
          <w:szCs w:val="20"/>
          <w:color w:val="auto"/>
        </w:rPr>
      </w:pPr>
    </w:p>
    <w:p>
      <w:pPr>
        <w:ind w:right="300"/>
        <w:spacing w:after="0" w:line="249" w:lineRule="auto"/>
        <w:rPr>
          <w:sz w:val="20"/>
          <w:szCs w:val="20"/>
          <w:color w:val="auto"/>
        </w:rPr>
      </w:pPr>
      <w:r>
        <w:rPr>
          <w:rFonts w:ascii="Arial" w:cs="Arial" w:eastAsia="Arial" w:hAnsi="Arial"/>
          <w:sz w:val="16"/>
          <w:szCs w:val="16"/>
          <w:color w:val="auto"/>
        </w:rPr>
        <w:t>As a result of the Acquisition, which is discussed further in Note 2, “Acquisitions,” Norvax was determined to be the accounting acquirer and Norvax’s historical assets and liabilities are reflected at fair value as of the acquisition date. The financial information for the period after September 13, 2019, represents the consolidated financial information of the “Successor” company (“Successor 2019 Period”). Prior to September 13, 2019, the Consolidated Financial Statements include the accounts of the “Predecessor” company (“Predecessor 2019 Period”). Due to the change in the basis of accounting resulting from the application of the acquisition method of accounting, the Predecessor’s Consolidated Financial Statements and the Successor’s Consolidated Financial Statements are not necessarily comparable.</w:t>
      </w:r>
    </w:p>
    <w:p>
      <w:pPr>
        <w:spacing w:after="0" w:line="20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wholly-owned subsidiaries. The Consolidated Financial Statements have been prepared in conformity with accounting principles generally accepted in the United States of America (“U.S. GAAP”). All intercompany balances and transactions are eliminated in consolidation. Certain prior period amounts have been reclassified to conform with our current period presentation.</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41"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judgments, and assumptions that affect the reported amounts of assets and liabilities at the date of the Consolidated Financial Statements, and the reported amounts of revenues and expenses during the reporting periods. The Company bases its estimates on historical experience and on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241"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The Company considers all investments with an original maturity of 90 days or less from the date of purchase to be cash equivalents. Cash includes all deposits in banks. The Company maintains its cash balances at financial institutions in the United States and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294005</wp:posOffset>
            </wp:positionV>
            <wp:extent cx="8255" cy="1200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294005</wp:posOffset>
            </wp:positionV>
            <wp:extent cx="8890" cy="1200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43"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78</w:t>
      </w:r>
    </w:p>
    <w:p>
      <w:pPr>
        <w:sectPr>
          <w:pgSz w:w="11900" w:h="16838" w:orient="portrait"/>
          <w:cols w:equalWidth="0" w:num="3">
            <w:col w:w="4580" w:space="540"/>
            <w:col w:w="1040" w:space="360"/>
            <w:col w:w="4700"/>
          </w:cols>
          <w:pgMar w:left="320" w:top="1343" w:right="35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6"/>
          <w:szCs w:val="16"/>
          <w:b w:val="1"/>
          <w:bCs w:val="1"/>
          <w:color w:val="auto"/>
        </w:rPr>
        <w:t>Concentration of Credit Risk</w:t>
      </w:r>
    </w:p>
    <w:p>
      <w:pPr>
        <w:spacing w:after="0" w:line="24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accounts receivable, and commissions receivable. The maximum exposure risk of these accounts is equal to the amounts stated on the Company’s Consolidated Balance Sheets. The Company places its cash with high-credit-quality financial institutions and, at times, such deposits may be in excess of federally insured limits. To date, the Company has not experienced any losses on its cash balances and periodic evaluations of the relative credit standing of the financial institutions are performed.</w:t>
      </w:r>
    </w:p>
    <w:p>
      <w:pPr>
        <w:spacing w:after="0" w:line="202"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Accounts receivable and commissions receivable are primarily derived from customers located in North America. The Company performs ongoing credit evaluations of customers’ financial condition and requires no collateral from customers. The Company maintains an allowance for doubtful accounts receivable based upon the expected collectability of accounts receivable balances.</w:t>
      </w:r>
    </w:p>
    <w:p>
      <w:pPr>
        <w:spacing w:after="0" w:line="201"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As of December 31, 2020, four customers each represented 10% or more of the Company’s total accounts receivable and, in aggregate, represented 86%, or $23.2 million, of the Company’s total accounts receivable. As of December 31, 2019, five customers each represented 10% or more of the Company’s total accounts receivable and, in aggregate, represented 87%, or $21.2 million, of the Company’s total accounts receivable.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w:t>
      </w:r>
    </w:p>
    <w:p>
      <w:pPr>
        <w:spacing w:after="0" w:line="24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 is exposed to currency fluctuations from certain vendors and customers that transact business in Euros. Assets and liabilities of the Company’s foreign affiliate in Slovakia, which uses the local currency as its functional currency, are translated at period-end exchange rates, and income and expense items are translated at a rate that approximates the weighted-average exchange rate for the period. Translation adjustments are included as a component of accumulated other comprehensive income (loss). Gains and losses from foreign currency transactions are included in other (income) expense and are immaterial for all periods presented.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 and Allowance for Doubtful Accounts</w:t>
      </w:r>
    </w:p>
    <w:p>
      <w:pPr>
        <w:spacing w:after="0" w:line="24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Accounts receivable are recorded at the invoiced amount and typically do not bear interest. The Company provides allowances for doubtful accounts related to accounts receivable for estimated losses resulting from the inability of its customers to make required payments. The Company takes into consideration the overall quality of the receivables portfolio, along with specifically identified customer risks in establishing allowances. Accounts receivable are charged off against the allowance for doubtful accounts when it is determined the receivable is uncollectible.The Company had unbilled receivables for performance-based enrollment fees as of December 31, 2020 and 2019 of $12.9 million and $6.6 million, respectively, which are included in accounts receivable on the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Commissions Receivable</w:t>
      </w:r>
    </w:p>
    <w:p>
      <w:pPr>
        <w:spacing w:after="0" w:line="24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Commissions receivable are contract assets that represent estimated variable consideration for commissions to be received from insurance carriers for performance obligations that have been satisfied. The current portion of commissions receivable are future commissions expected to be received within one year, while the non-current portion of commissions receivable are expected to be received beyond one year. The Company assesses impairment for uncollectible consideration when information available indicates it is probable that an asset has been impaired. There were no impairments recorded during the twelve months ended December 31, 2020, the Successor 2019 Period, the Predecessor 2019 Period, or the twelve months ended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Commissions Payable</w:t>
      </w:r>
    </w:p>
    <w:p>
      <w:pPr>
        <w:spacing w:after="0" w:line="24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Commissions payable represent the estimated share of policy commissions earned by the Company’s external channel agents. The current portion of commissions payable are future commissions expected to be paid within one year, while the non-current portion of commissions payable are expected to be paid beyond one year.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Combinations</w:t>
      </w:r>
    </w:p>
    <w:p>
      <w:pPr>
        <w:spacing w:after="0" w:line="241" w:lineRule="exact"/>
        <w:rPr>
          <w:sz w:val="20"/>
          <w:szCs w:val="20"/>
          <w:color w:val="auto"/>
        </w:rPr>
      </w:pPr>
    </w:p>
    <w:p>
      <w:pPr>
        <w:ind w:right="400"/>
        <w:spacing w:after="0" w:line="251" w:lineRule="auto"/>
        <w:rPr>
          <w:sz w:val="20"/>
          <w:szCs w:val="20"/>
          <w:color w:val="auto"/>
        </w:rPr>
      </w:pPr>
      <w:r>
        <w:rPr>
          <w:rFonts w:ascii="Arial" w:cs="Arial" w:eastAsia="Arial" w:hAnsi="Arial"/>
          <w:sz w:val="16"/>
          <w:szCs w:val="16"/>
          <w:color w:val="auto"/>
        </w:rPr>
        <w:t>The Company allocates the fair value of the purchase consideration of its acquired businesses to the tangible assets, liabilities assumed, and intangible assets acquired based on the estimated fair values at the acquisition date. The excess of the fair value of purchase consideration over the fair values of these identifiable assets and liabilities is recorded as goodwill. Transaction costs are recognized separately from the business combination and are expensed as incurred.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Equipment, and Capitalized Software, Net</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Property and equipment are stated at cost, less accumulated depreciation. Depreciation is computed using the straight-line method over the estimated useful lives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294005</wp:posOffset>
            </wp:positionV>
            <wp:extent cx="8255" cy="1200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294005</wp:posOffset>
            </wp:positionV>
            <wp:extent cx="8890" cy="1200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79</w:t>
      </w:r>
    </w:p>
    <w:p>
      <w:pPr>
        <w:sectPr>
          <w:pgSz w:w="11900" w:h="16838" w:orient="portrait"/>
          <w:cols w:equalWidth="0" w:num="3">
            <w:col w:w="4580" w:space="540"/>
            <w:col w:w="1040" w:space="360"/>
            <w:col w:w="4720"/>
          </w:cols>
          <w:pgMar w:left="320" w:top="1323" w:right="339" w:bottom="1440" w:gutter="0" w:footer="0" w:header="0"/>
          <w:type w:val="continuous"/>
        </w:sectPr>
      </w:pPr>
    </w:p>
    <w:bookmarkStart w:id="82" w:name="page83"/>
    <w:bookmarkEnd w:id="82"/>
    <w:p>
      <w:pPr>
        <w:ind w:left="20"/>
        <w:spacing w:after="0"/>
        <w:rPr>
          <w:sz w:val="20"/>
          <w:szCs w:val="20"/>
          <w:color w:val="auto"/>
        </w:rPr>
      </w:pPr>
      <w:r>
        <w:rPr>
          <w:rFonts w:ascii="Arial" w:cs="Arial" w:eastAsia="Arial" w:hAnsi="Arial"/>
          <w:sz w:val="16"/>
          <w:szCs w:val="16"/>
          <w:b w:val="1"/>
          <w:bCs w:val="1"/>
          <w:color w:val="auto"/>
        </w:rPr>
        <w:t>Asset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860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Computer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4860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Office equipment and furniture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4860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ind w:left="5"/>
        <w:spacing w:after="0"/>
        <w:rPr>
          <w:sz w:val="20"/>
          <w:szCs w:val="20"/>
          <w:color w:val="auto"/>
        </w:rPr>
      </w:pPr>
      <w:r>
        <w:rPr>
          <w:rFonts w:ascii="Arial" w:cs="Arial" w:eastAsia="Arial" w:hAnsi="Arial"/>
          <w:sz w:val="16"/>
          <w:szCs w:val="16"/>
          <w:b w:val="1"/>
          <w:bCs w:val="1"/>
          <w:color w:val="auto"/>
        </w:rPr>
        <w:t>Estimated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45859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46" w:lineRule="exact"/>
        <w:rPr>
          <w:sz w:val="20"/>
          <w:szCs w:val="20"/>
          <w:color w:val="auto"/>
        </w:rPr>
      </w:pPr>
    </w:p>
    <w:p>
      <w:pPr>
        <w:ind w:left="145" w:hanging="145"/>
        <w:spacing w:after="0"/>
        <w:tabs>
          <w:tab w:leader="none" w:pos="145" w:val="left"/>
        </w:tabs>
        <w:numPr>
          <w:ilvl w:val="0"/>
          <w:numId w:val="45"/>
        </w:numPr>
        <w:rPr>
          <w:rFonts w:ascii="Arial" w:cs="Arial" w:eastAsia="Arial" w:hAnsi="Arial"/>
          <w:sz w:val="16"/>
          <w:szCs w:val="16"/>
          <w:color w:val="auto"/>
        </w:rPr>
      </w:pPr>
      <w:r>
        <w:rPr>
          <w:rFonts w:ascii="Arial" w:cs="Arial" w:eastAsia="Arial" w:hAnsi="Arial"/>
          <w:sz w:val="16"/>
          <w:szCs w:val="16"/>
          <w:color w:val="auto"/>
        </w:rPr>
        <w:t>years</w:t>
      </w:r>
    </w:p>
    <w:p>
      <w:pPr>
        <w:spacing w:after="0" w:line="45" w:lineRule="exact"/>
        <w:rPr>
          <w:rFonts w:ascii="Arial" w:cs="Arial" w:eastAsia="Arial" w:hAnsi="Arial"/>
          <w:sz w:val="16"/>
          <w:szCs w:val="16"/>
          <w:color w:val="auto"/>
        </w:rPr>
      </w:pPr>
    </w:p>
    <w:p>
      <w:pPr>
        <w:ind w:left="5"/>
        <w:spacing w:after="0"/>
        <w:rPr>
          <w:rFonts w:ascii="Arial" w:cs="Arial" w:eastAsia="Arial" w:hAnsi="Arial"/>
          <w:sz w:val="16"/>
          <w:szCs w:val="16"/>
          <w:color w:val="auto"/>
        </w:rPr>
      </w:pPr>
      <w:r>
        <w:rPr>
          <w:rFonts w:ascii="Arial" w:cs="Arial" w:eastAsia="Arial" w:hAnsi="Arial"/>
          <w:sz w:val="16"/>
          <w:szCs w:val="16"/>
          <w:color w:val="auto"/>
        </w:rPr>
        <w:t>7 years</w:t>
      </w:r>
    </w:p>
    <w:p>
      <w:pPr>
        <w:spacing w:after="0" w:line="45" w:lineRule="exact"/>
        <w:rPr>
          <w:rFonts w:ascii="Arial" w:cs="Arial" w:eastAsia="Arial" w:hAnsi="Arial"/>
          <w:sz w:val="16"/>
          <w:szCs w:val="16"/>
          <w:color w:val="auto"/>
        </w:rPr>
      </w:pPr>
    </w:p>
    <w:p>
      <w:pPr>
        <w:ind w:left="5"/>
        <w:spacing w:after="0"/>
        <w:rPr>
          <w:rFonts w:ascii="Arial" w:cs="Arial" w:eastAsia="Arial" w:hAnsi="Arial"/>
          <w:sz w:val="16"/>
          <w:szCs w:val="16"/>
          <w:color w:val="auto"/>
        </w:rPr>
      </w:pPr>
      <w:r>
        <w:rPr>
          <w:rFonts w:ascii="Arial" w:cs="Arial" w:eastAsia="Arial" w:hAnsi="Arial"/>
          <w:sz w:val="16"/>
          <w:szCs w:val="16"/>
          <w:color w:val="auto"/>
        </w:rPr>
        <w:t>Lesser of useful life (typically 5 years) or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-134620</wp:posOffset>
            </wp:positionV>
            <wp:extent cx="45859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58597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-280035</wp:posOffset>
            </wp:positionV>
            <wp:extent cx="45859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15" w:space="720"/>
            <w:col w:w="7205"/>
          </w:cols>
          <w:pgMar w:left="320" w:top="1363" w:right="339" w:bottom="1440" w:gutter="0" w:footer="0" w:header="0"/>
        </w:sectPr>
      </w:pPr>
    </w:p>
    <w:p>
      <w:pPr>
        <w:spacing w:after="0" w:line="12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Expenditures for major renewals and improvements that extend the useful life of property and equipment are capitalized. Expenditures for maintenance and repairs are charged to expense as incurred.</w:t>
      </w:r>
    </w:p>
    <w:p>
      <w:pPr>
        <w:spacing w:after="0" w:line="19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 xml:space="preserve">The Company accounts for costs incurred to develop and maintain source code software and other internally developed software applications, primarily consisting of employee-related and third-party contractor costs, pursuant to Accounting Standards Codification (“ASC”) Topic 350-40, </w:t>
      </w:r>
      <w:r>
        <w:rPr>
          <w:rFonts w:ascii="Arial" w:cs="Arial" w:eastAsia="Arial" w:hAnsi="Arial"/>
          <w:sz w:val="16"/>
          <w:szCs w:val="16"/>
          <w:i w:val="1"/>
          <w:iCs w:val="1"/>
          <w:color w:val="auto"/>
        </w:rPr>
        <w:t>Internal Use Software</w:t>
      </w:r>
      <w:r>
        <w:rPr>
          <w:rFonts w:ascii="Arial" w:cs="Arial" w:eastAsia="Arial" w:hAnsi="Arial"/>
          <w:sz w:val="16"/>
          <w:szCs w:val="16"/>
          <w:color w:val="auto"/>
        </w:rPr>
        <w:t>. Costs incurred during the planning and post-implementation phases of software development are expensed. During the application development phase, costs incurred are capitalized. Capitalized software development costs are amortized over the estimated useful life, which is generally three years. These capitalized costs are recorded within property, equipment, and capitalized software, net, on the Company’s Consolidated Balance Sheets and the amortization is charged to technology expense in the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Intangible Assets</w:t>
      </w:r>
    </w:p>
    <w:p>
      <w:pPr>
        <w:spacing w:after="0" w:line="225" w:lineRule="exact"/>
        <w:rPr>
          <w:sz w:val="20"/>
          <w:szCs w:val="20"/>
          <w:color w:val="auto"/>
        </w:rPr>
      </w:pPr>
    </w:p>
    <w:p>
      <w:pPr>
        <w:ind w:right="420"/>
        <w:spacing w:after="0" w:line="225" w:lineRule="auto"/>
        <w:rPr>
          <w:sz w:val="20"/>
          <w:szCs w:val="20"/>
          <w:color w:val="auto"/>
        </w:rPr>
      </w:pPr>
      <w:r>
        <w:rPr>
          <w:rFonts w:ascii="Arial" w:cs="Arial" w:eastAsia="Arial" w:hAnsi="Arial"/>
          <w:sz w:val="16"/>
          <w:szCs w:val="16"/>
          <w:color w:val="auto"/>
        </w:rPr>
        <w:t>The Company tests goodwill for impairment on an annual basis in the fourth quarter of each year, on November 30</w:t>
      </w:r>
      <w:r>
        <w:rPr>
          <w:rFonts w:ascii="Arial" w:cs="Arial" w:eastAsia="Arial" w:hAnsi="Arial"/>
          <w:sz w:val="21"/>
          <w:szCs w:val="21"/>
          <w:color w:val="auto"/>
          <w:vertAlign w:val="superscript"/>
        </w:rPr>
        <w:t>th</w:t>
      </w:r>
      <w:r>
        <w:rPr>
          <w:rFonts w:ascii="Arial" w:cs="Arial" w:eastAsia="Arial" w:hAnsi="Arial"/>
          <w:sz w:val="16"/>
          <w:szCs w:val="16"/>
          <w:color w:val="auto"/>
        </w:rPr>
        <w:t>, or whenever events or changes in circumstances indicate that the goodwill may be impaired.</w:t>
      </w:r>
    </w:p>
    <w:p>
      <w:pPr>
        <w:spacing w:after="0" w:line="21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An intangible asset determined to have an indefinite useful life is not amortized until its useful life is determined to no longer be indefinite. Indefinite-lived intangible assets are evaluated each reporting period to determine whether events and circumstances continue to support an indefinite useful life. Indefinite-lived intangible assets are tested for impairment annually, or more frequently if events or changes in circumstances indicate that the asset might be impaired, such as a significant decline in the observable market value of an asset, a significant change in the extent or manner in which an asset is used, or any other significant, adverse change that would indicate that the carrying amount of an indefinite-lived intangible asset may not be recoverable. If the carrying amount of an indefinite-lived intangible asset exceeds its fair value, an impairment loss is recognized in an amount equal to that excess.</w:t>
      </w:r>
    </w:p>
    <w:p>
      <w:pPr>
        <w:spacing w:after="0" w:line="20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Significant judgment is applied when goodwill and indefinite-lived intangible assets are assessed for impairment. This judgment may include an assessment of qualitative or quantitative factors, such as developing cash flow projections and selecting appropriate royalty and discount rates.</w:t>
      </w:r>
    </w:p>
    <w:p>
      <w:pPr>
        <w:spacing w:after="0" w:line="19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Company amortizes the cost of definite-lived intangible assets over the respective estimated useful lives on a straight-line basis. Significant judgment is applied when evaluating if an intangible asset has a definite useful life. Intangible assets subject to amortization are also evaluated for impairment when indicators of impairment are determined to exist. Definite-lived intangible assets could become impaired in the future as a result of declines in profitability due to changes in volume, market pricing, cost, manner in which an asset is used, laws and regulations, or the business environment.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Long-Lived Assets</w:t>
      </w:r>
    </w:p>
    <w:p>
      <w:pPr>
        <w:spacing w:after="0" w:line="241"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The Company reviews long-lived assets, primarily property, equipment, and capitalized software, net, and definite-lived intangible assets, for impairment when facts or circumstances indicate the carrying amount of an asset or asset group may not be recoverable. If impairment indicators are present and the estimated future undiscounted cash flows are less than the carrying value of the assets, the carrying values are reduced to the estimated fair value. Fair values are determined based on quoted market values, discounted cash flows or external appraisals, as applicable.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41"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Company applies the accounting guidance related to fair value measurements and discloses information on all financial instruments reported at fair value that enables an assessment of the inputs used in determining the reported fair values. See Note 4, “Fair Value Measurements,” for further discussion around fair value determinations.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 xml:space="preserve">The Company recognizes revenue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Company is compensated by the receipt of commission payments from health insurance carriers whose health insurance policies are purchased through the Company’s ecommerce platforms or customer care centers. The Company also generates revenue from non-commission revenue sources, which it refers to as enterprise revenue and which include providing partner marketing and enrollment services, dedicated insurance agent resources for carrier-specific programs, sales of insurance leads to other marketing agencies and carriers, and the implementation and use of the Company’s platform. The Company accounts for payments made under certain carrier-specific arrangements as deductions to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298450</wp:posOffset>
            </wp:positionV>
            <wp:extent cx="8255" cy="1200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298450</wp:posOffset>
            </wp:positionV>
            <wp:extent cx="8890" cy="1200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80</w:t>
      </w:r>
    </w:p>
    <w:p>
      <w:pPr>
        <w:sectPr>
          <w:pgSz w:w="11900" w:h="16838" w:orient="portrait"/>
          <w:cols w:equalWidth="0" w:num="3">
            <w:col w:w="4580" w:space="540"/>
            <w:col w:w="1040" w:space="360"/>
            <w:col w:w="4720"/>
          </w:cols>
          <w:pgMar w:left="320" w:top="1363" w:right="339" w:bottom="1440" w:gutter="0" w:footer="0" w:header="0"/>
          <w:type w:val="continuous"/>
        </w:sectPr>
      </w:pPr>
    </w:p>
    <w:bookmarkStart w:id="83" w:name="page84"/>
    <w:bookmarkEnd w:id="83"/>
    <w:p>
      <w:pPr>
        <w:ind w:right="180"/>
        <w:spacing w:after="0" w:line="253" w:lineRule="auto"/>
        <w:rPr>
          <w:sz w:val="20"/>
          <w:szCs w:val="20"/>
          <w:color w:val="auto"/>
        </w:rPr>
      </w:pPr>
      <w:r>
        <w:rPr>
          <w:rFonts w:ascii="Arial" w:cs="Arial" w:eastAsia="Arial" w:hAnsi="Arial"/>
          <w:sz w:val="16"/>
          <w:szCs w:val="16"/>
          <w:color w:val="auto"/>
        </w:rPr>
        <w:t>The core principle of ASC 606 is to recognize revenue upon the transfer of promised goods or services to customers in an amount that reflects the consideration the entity expects to be entitled to in exchange for those goods or services. Accordingly, the Company recognizes revenue for its services in accordance with the following five steps outlined in ASC 606:</w:t>
      </w:r>
    </w:p>
    <w:p>
      <w:pPr>
        <w:spacing w:after="0" w:line="201" w:lineRule="exact"/>
        <w:rPr>
          <w:sz w:val="20"/>
          <w:szCs w:val="20"/>
          <w:color w:val="auto"/>
        </w:rPr>
      </w:pPr>
    </w:p>
    <w:p>
      <w:pPr>
        <w:ind w:left="660" w:right="80" w:hanging="328"/>
        <w:spacing w:after="0" w:line="249"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 A contract with a customer exists when (i) the Company enters into an enforceable contract with a customer that defines each party’s rights regarding the goods or services to be transferred and identifies the payment terms related to these goods or services, (ii) the contract has commercial substance and, (iii) the Company determines that collection of substantially all consideration for goods or services that are transferred is probable based on the customer’s intent and ability to pay the promised consideration. Payment of commissions typically commences within 60 days from the policy effective date. Payment terms from non-commission revenue are typically 30 days from the invoice date.</w:t>
      </w:r>
    </w:p>
    <w:p>
      <w:pPr>
        <w:spacing w:after="0" w:line="204" w:lineRule="exact"/>
        <w:rPr>
          <w:rFonts w:ascii="Arial" w:cs="Arial" w:eastAsia="Arial" w:hAnsi="Arial"/>
          <w:sz w:val="16"/>
          <w:szCs w:val="16"/>
          <w:color w:val="auto"/>
        </w:rPr>
      </w:pPr>
    </w:p>
    <w:p>
      <w:pPr>
        <w:ind w:left="660" w:hanging="328"/>
        <w:spacing w:after="0" w:line="251"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 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w:t>
      </w:r>
    </w:p>
    <w:p>
      <w:pPr>
        <w:spacing w:after="0" w:line="202" w:lineRule="exact"/>
        <w:rPr>
          <w:rFonts w:ascii="Arial" w:cs="Arial" w:eastAsia="Arial" w:hAnsi="Arial"/>
          <w:sz w:val="16"/>
          <w:szCs w:val="16"/>
          <w:color w:val="auto"/>
        </w:rPr>
      </w:pPr>
    </w:p>
    <w:p>
      <w:pPr>
        <w:ind w:left="660" w:right="380" w:hanging="328"/>
        <w:spacing w:after="0" w:line="260"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Determination of the transaction price. The transaction price is determined based on the consideration to which the Company will be entitled in exchange for transferring goods or services to the customer.</w:t>
      </w:r>
    </w:p>
    <w:p>
      <w:pPr>
        <w:spacing w:after="0" w:line="195" w:lineRule="exact"/>
        <w:rPr>
          <w:rFonts w:ascii="Arial" w:cs="Arial" w:eastAsia="Arial" w:hAnsi="Arial"/>
          <w:sz w:val="16"/>
          <w:szCs w:val="16"/>
          <w:color w:val="auto"/>
        </w:rPr>
      </w:pPr>
    </w:p>
    <w:p>
      <w:pPr>
        <w:ind w:left="660" w:right="100" w:hanging="328"/>
        <w:spacing w:after="0" w:line="253"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basis.</w:t>
      </w:r>
    </w:p>
    <w:p>
      <w:pPr>
        <w:spacing w:after="0" w:line="201" w:lineRule="exact"/>
        <w:rPr>
          <w:rFonts w:ascii="Arial" w:cs="Arial" w:eastAsia="Arial" w:hAnsi="Arial"/>
          <w:sz w:val="16"/>
          <w:szCs w:val="16"/>
          <w:color w:val="auto"/>
        </w:rPr>
      </w:pPr>
    </w:p>
    <w:p>
      <w:pPr>
        <w:jc w:val="both"/>
        <w:ind w:left="660" w:right="160" w:hanging="328"/>
        <w:spacing w:after="0" w:line="253"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 The Company satisfies performance obligations either over time or at a point in time, as discussed in further detail below. Revenue is recognized at the time the related performance obligation is satisfied by transferring the promised good or service to the customer.</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Commission Revenue</w:t>
      </w:r>
    </w:p>
    <w:p>
      <w:pPr>
        <w:spacing w:after="0" w:line="23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Company recognizes commission revenue from the sale of insurance products at the point when carriers approve an insurance application produced by the Company. The Company records as commission revenue the expected amount of commissions received from the insurance carriers and any renewal commissions to be paid on such placement as long as the policyholder remains with the same insurance product. The Company defines its customer to be the health insurance carrier.</w:t>
      </w:r>
    </w:p>
    <w:p>
      <w:pPr>
        <w:spacing w:after="0" w:line="202"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The Company typically enters into contractual agency relationships with health insurance carriers that are non-exclusive and terminable on short notice by either party for any reason. In addition, health insurance carriers often can terminate or amend agreements unilaterally on short notice, including provisions in agreements relating to the commission rates paid to the Company by the health insurance carriers. The amendment or termination of an agreement the Company has with a health insurance carrier may adversely impact the commissions it is paid on health insurance plans purchased from the carrier.</w:t>
      </w:r>
    </w:p>
    <w:p>
      <w:pPr>
        <w:spacing w:after="0" w:line="202"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Compensation in the form of commissions is received from insurance carriers for the multiple types of insurance products sold by the Company on behalf of the carriers. For Medicare and non-Medicare eligible products, commission revenue generally represents a percentage of the premium amount expected to be collected by the carrier while the policyholder is enrolled in the insurance product, including renewal periods. The Company’s performance obligation is complete when a carrier has received and approved an insurance application. As such, the Company recognizes revenue at this point in time, which represents the total estimated lifetime commissions it expects to receive for selling the product after the carrier approves an application, net of an estimated constraint. The Company’s consideration is variable based on the amount of time it estimates a policy will remain in force. The Company estimates the amount of variable consideration that it expects to receive based on historical experience or carrier experience to the extent available, industry data, and expectations as to future retention rates. Additionally, the Company considers application of the constraint and only recognizes the amount of variable consideration that it believes is probable that it will be entitled to receive and will not be subject to a significant revenue reversal in the future. The Company monitors and updates this estimate at each reporting date. The Company does not have any remaining performance obligations in its commission contracts with customers.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utilizes a practical expedient to estimate commission revenue for each insurance product by applying the use of a portfolio approach to group approved members by the effective month of the relevant policy (referred to as a “vintage”). This allows the Company to estimate the commissions it expects to collect for each vintage by evaluating various factors, including but not limited to, contracted commission rates and expected member churn.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297815</wp:posOffset>
            </wp:positionV>
            <wp:extent cx="8255" cy="1200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297815</wp:posOffset>
            </wp:positionV>
            <wp:extent cx="8890" cy="1200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00"/>
          </w:cols>
          <w:pgMar w:left="320" w:top="1343" w:right="37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81</w:t>
      </w:r>
    </w:p>
    <w:p>
      <w:pPr>
        <w:sectPr>
          <w:pgSz w:w="11900" w:h="16838" w:orient="portrait"/>
          <w:cols w:equalWidth="0" w:num="3">
            <w:col w:w="4580" w:space="540"/>
            <w:col w:w="1040" w:space="360"/>
            <w:col w:w="4680"/>
          </w:cols>
          <w:pgMar w:left="320" w:top="1343" w:right="379" w:bottom="1440" w:gutter="0" w:footer="0" w:header="0"/>
          <w:type w:val="continuous"/>
        </w:sectPr>
      </w:pPr>
    </w:p>
    <w:bookmarkStart w:id="84" w:name="page85"/>
    <w:bookmarkEnd w:id="84"/>
    <w:p>
      <w:pPr>
        <w:spacing w:after="0" w:line="251" w:lineRule="auto"/>
        <w:rPr>
          <w:sz w:val="20"/>
          <w:szCs w:val="20"/>
          <w:color w:val="auto"/>
        </w:rPr>
      </w:pPr>
      <w:r>
        <w:rPr>
          <w:rFonts w:ascii="Arial" w:cs="Arial" w:eastAsia="Arial" w:hAnsi="Arial"/>
          <w:sz w:val="16"/>
          <w:szCs w:val="16"/>
          <w:color w:val="auto"/>
        </w:rPr>
        <w:t>The Company’s variable consideration includes estimated and constrained lifetime values as the “constrained LTV” for the plans. The Company’s estimate of commission revenue for each product line is based on a number of assumptions, which include, but are not limited to, estimating conversion of an approved applicant to a paying policyholder, forecasting persistency and forecasting the commission amounts likely to be received per policyholder. These assumptions are based on historical trends and incorporate management’s judgment in interpreting those trends and in applying constraints.</w:t>
      </w:r>
    </w:p>
    <w:p>
      <w:pPr>
        <w:spacing w:after="0" w:line="202"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On a quarterly basis, the Company re-estimates LTV at a vintage level for outstanding vintages, reviews and monitors changes in the data used to estimate LTV, as well as the cash received for each vintage as compared to the original estimates. The difference between cash received for each vintage and the respective estimated LTV can be significant and may or may not be indicative of the need to adjust revenue for prior period vintages. Changes in LTV may result in an increase or a decrease to revenue and a corresponding increase or decrease to commissions receivable. The Company analyzes these differences and, to the extent the Company believes differences in the estimates of the cash received are indicative of an increase or decrease to prior period LTVs, the Company will adjust revenue for the affected vintages at the time such determination is made and when it is probable that a significant reversal in the amount of cumulative revenue recognized will not occur.</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Enterprise Revenue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Company refers to all non-commission revenue collectively as enterprise revenue, which includes the services and products described below.</w:t>
      </w:r>
    </w:p>
    <w:p>
      <w:pPr>
        <w:spacing w:after="0" w:line="22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Company is compensated for partner marketing and enrollment services, based on delivering call volumes or providing marketing services to certain insurance carriers. The Company is also compensated with performance-based enrollment fees relating to the enrollment of individuals into health insurance plans. The Company recognizes revenue over time for marketing services and at a point in time for enrollment services.</w:t>
      </w:r>
    </w:p>
    <w:p>
      <w:pPr>
        <w:spacing w:after="0" w:line="20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 provides direct partner campaigns, where trained agents are dedicated to partner programs that assist in producing health insurance policies. The Company is compensated for the hours incurred on the partner program at the time hours are incurred, and recognizes revenue accordingly. In addition, the Company provides services to its members and partners related to its Encompass Platform. The Encompass Platform offerings include value-based care provider engagement, health risk assessments, social determinants of health screening, and preferred pharmacy programs. The Company recognizes revenue as it satisfies the related performance obligation.</w:t>
      </w:r>
    </w:p>
    <w:p>
      <w:pPr>
        <w:spacing w:after="0" w:line="203"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The Company recognizes revenue at a point in time resulting from the sale of leads to third parties and independent agents. The Company generates this revenue through the sale of leads sourced through its marketing efforts.</w:t>
      </w:r>
    </w:p>
    <w:p>
      <w:pPr>
        <w:spacing w:after="0" w:line="195"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The Company provides certain customers access to its technology platform, where it charges for the implementation and monthly access to the software. This application allows carriers the use of the Company’s e-commerce platform to offer their own health insurance policies on their websites and agents to utilize the Company’s technology to power their online quoting, content and application submission processes. Typically, the Company is paid a one-time implementation fee, which it recognizes as control is transferred on a straight-line basis over the estimated term of the customer relationship (generally the initial term of the agreement), commencing once the technology is available for use by the third party.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Incremental Costs to Obtain a Contract</w:t>
      </w:r>
    </w:p>
    <w:p>
      <w:pPr>
        <w:spacing w:after="0" w:line="23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Company reviewed its sales compensation plans, which are directed at converting leads into carrier approved submissions, and concluded that they are fulfillment costs and not costs to obtain a contract with a health insurance carrier, which the Company defines as its customer. Additionally, the Company reviewed compensation plans related to personnel responsible for identifying new health insurance carriers as well as entering into contracts with new health insurance carriers and concluded that no incremental costs are incurred to obtain such contracts.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Revenue</w:t>
      </w:r>
    </w:p>
    <w:p>
      <w:pPr>
        <w:spacing w:after="0" w:line="241"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Deferred revenue includes deferred technology licensing implementation fees and amounts collected from partner marketing and enrollment services or technology licensing customers in advance of the Company satisfying its performance obligations for such customers. The Company expects to recognize revenue associated with these remaining performance obligations in the next 12 months.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w:t>
      </w:r>
    </w:p>
    <w:p>
      <w:pPr>
        <w:spacing w:after="0" w:line="24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Cost of revenue represents payments related to health insurance policies sold to members who were enrolled by partners with whom the Company has commissions revenue-sharing arrangements. In order to enter into a revenue-sharing arrangement, partners must be licensed to sell health insurance in the state where the policy is sold. Costs related to revenue-sharing arrangements are expensed as the related revenue is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297815</wp:posOffset>
            </wp:positionV>
            <wp:extent cx="8255" cy="1200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297815</wp:posOffset>
            </wp:positionV>
            <wp:extent cx="8890" cy="1200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43" w:right="3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82</w:t>
      </w:r>
    </w:p>
    <w:p>
      <w:pPr>
        <w:sectPr>
          <w:pgSz w:w="11900" w:h="16838" w:orient="portrait"/>
          <w:cols w:equalWidth="0" w:num="3">
            <w:col w:w="4580" w:space="540"/>
            <w:col w:w="1040" w:space="360"/>
            <w:col w:w="4700"/>
          </w:cols>
          <w:pgMar w:left="320" w:top="1343" w:right="35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6"/>
          <w:szCs w:val="16"/>
          <w:b w:val="1"/>
          <w:bCs w:val="1"/>
          <w:color w:val="auto"/>
        </w:rPr>
        <w:t>Marketing and Advertising</w:t>
      </w:r>
    </w:p>
    <w:p>
      <w:pPr>
        <w:spacing w:after="0" w:line="241"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Marketing expense consists primarily of expenses associated with the Company’s direct, online advertising, and marketing partner channels, in addition to compensation (including share-based compensation expense) and other expenses related to marketing personnel who manage campaigns and optimize consumer activity. The Company’s direct channel expenses primarily consist of costs for e-mail marketing and direct mail marketing. Online advertising expenses primarily consist of paid keyword search advertising on search engines. Marketing partner channel expenses primarily consist of fees paid to marketing partners and affiliates. Marketing costs are expensed as incurred.</w:t>
      </w:r>
    </w:p>
    <w:p>
      <w:pPr>
        <w:spacing w:after="0" w:line="20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Advertising expenses consist of costs incurred to acquire consumers through online, television, and direct mail advertisements. Advertising costs incurred during the twelve months ended December 31, 2020, the Successor 2019 Period, Predecessor 2019 Period, and twelve months ended December 31, 2018, totaled $156.9 million, $18.8 million, $29.3 million, and $25.6 million, respectively. Advertising costs are expensed as incurred.</w:t>
      </w:r>
    </w:p>
    <w:p>
      <w:pPr>
        <w:spacing w:after="0" w:line="201"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Company also has arrangements with certain carriers that allow the Company to increase marketing efforts, including through direct mail, television advertisements, and online advertising for various insurance products that are being offered by these carriers. The Company is reimbursed by carriers for the incremental marketing efforts and records the amounts received as a reduction of the marketing costs incurred.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 Care and Enrollment</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Customer care and enrollment expenses primarily consist of compensation (including share-based compensation expense) and benefits costs for enrollment personnel who assist consumers during the insurance policy application process, along with management and support personnel.</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w:t>
      </w:r>
    </w:p>
    <w:p>
      <w:pPr>
        <w:spacing w:after="0" w:line="241"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Technology expense consists primarily of compensation (including share-based compensation expense) and benefits costs for personnel associated with developing and enhancing the Company’s technology platform, data analytics and business intelligence, as well as maintaining the Company’s online presence and integrations with carrier and federal marketplaces. Technology expense also includes costs for contracted services and supplies, and amortization expense to capitalized software.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 Expenses</w:t>
      </w:r>
    </w:p>
    <w:p>
      <w:pPr>
        <w:spacing w:after="0" w:line="241"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General and administrative expenses include compensation (including share-based compensation expense) and benefits costs for staff working in the Company’s executive, finance, legal, human resources, and facilities departments. These expenses also include facilities costs and fees paid for outside professional services, including audit, tax, legal, and governmental affairs.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 Expense</w:t>
      </w:r>
    </w:p>
    <w:p>
      <w:pPr>
        <w:spacing w:after="0" w:line="24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Company grants share-based awards, including time-vesting and performance-vesting profit units (collectively, “Profit Units”), restricted stock units (“RSUs”) and stock options. Compensation expense for time-vesting units, RSUs and stock options are recognized on a straight-line basis over the requisite service period for each award. Performance-vesting units contain market conditions and an implied performance condition, which results in compensation cost being recognized when the performance condition is considered probable of being satisfied. Upon completion of the Company’s IPO, the implied performance condition was satisfied, triggering an accelerated vesting of the performance-vesting units and the recognition of the related compensation expense.</w:t>
      </w:r>
    </w:p>
    <w:p>
      <w:pPr>
        <w:spacing w:after="0" w:line="39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estimated grant date fair value of Profit Units is determined using a Monte Carlo simulation and Level 3 inputs. The estimated grant date fair value of stock options is determined using a Black-Scholes pricing model. Assumptions utilized in the Monte Carlo simulation and Black-Scholes pricing model for valuing the awards include the expected life of the award, the expected dividend yield, the risk-free interest rate and the expected volatility. The fair value of RSUs is determined based on the stock price on the date of grant.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401(k) Plan</w:t>
      </w:r>
    </w:p>
    <w:p>
      <w:pPr>
        <w:spacing w:after="0" w:line="24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 maintains a tax-qualified 401(k) retirement plan (the Plan) that provides eligible employees with an opportunity to save for retirement on a tax-advantaged basis. Eligible employees may defer compensation subject to applicable annual Internal Revenue Code (“Code”) limits. The Plan permits participants to make both pretax and after-tax deferral contributions. These contributions are allocated to each participant’s individual account and are then invested in selected investment alternatives according to the participants’ directions. Employees are fully vested immediately in their contributions. The Plan is qualified under Section 401(a) of the Code and the related trust is tax-exempt under Section 501(a)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299085</wp:posOffset>
            </wp:positionV>
            <wp:extent cx="8255" cy="1200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299085</wp:posOffset>
            </wp:positionV>
            <wp:extent cx="8890" cy="1200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00"/>
          </w:cols>
          <w:pgMar w:left="320" w:top="1323" w:right="37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83</w:t>
      </w:r>
    </w:p>
    <w:p>
      <w:pPr>
        <w:sectPr>
          <w:pgSz w:w="11900" w:h="16838" w:orient="portrait"/>
          <w:cols w:equalWidth="0" w:num="3">
            <w:col w:w="4580" w:space="540"/>
            <w:col w:w="1040" w:space="360"/>
            <w:col w:w="4680"/>
          </w:cols>
          <w:pgMar w:left="320" w:top="1323" w:right="379" w:bottom="1440" w:gutter="0" w:footer="0" w:header="0"/>
          <w:type w:val="continuous"/>
        </w:sectPr>
      </w:pPr>
    </w:p>
    <w:bookmarkStart w:id="86" w:name="page87"/>
    <w:bookmarkEnd w:id="86"/>
    <w:p>
      <w:pPr>
        <w:spacing w:after="0" w:line="251" w:lineRule="auto"/>
        <w:rPr>
          <w:sz w:val="20"/>
          <w:szCs w:val="20"/>
          <w:color w:val="auto"/>
        </w:rPr>
      </w:pPr>
      <w:r>
        <w:rPr>
          <w:rFonts w:ascii="Arial" w:cs="Arial" w:eastAsia="Arial" w:hAnsi="Arial"/>
          <w:sz w:val="16"/>
          <w:szCs w:val="16"/>
          <w:color w:val="auto"/>
        </w:rPr>
        <w:t>The Company contributes 50% of the first 4% of compensation a participant contributes to the Plan. These matching contributions are expensed as incurred. The Company recognized expense of $1.0 million, $0.2 million, $0.3 million and $0.4 million for the twelve months ended December 31, 2020, the Successor 2019 Period, the Predecessor 2019 Period, and the twelve months ended December 31, 2018, respectively, related to these matching contributions. The Company also may make non-elective contributions to the 401(k) plan, which, if made, vest 20% after two years and 20% annually thereafter.</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24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 analyzes whether it is probable that an asset has been impaired, or a liability has been incurred, and whether the amount of loss can be reasonably estimated. If the loss contingency is both probable and reasonably estimable, the Company records the loss at management’s best estimate of the loss, or when a best estimate cannot be made, a minimum loss contingency amount is recorded. Legal fees are expensed as incurred. If no accrual is made but the loss contingency is reasonably possible, the nature of the contingency and the corresponding estimated loss, if such an estimate can be made, is disclosed. Loss contingencies include, but are not limited to, possible losses related to legal proceedings and regulatory compliance matters.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25"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 xml:space="preserve">The Company accounts for income taxes under the liability method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Accordingly, deferred income taxes are provided for the future tax consequences attributable to differences between the carrying amounts of assets and liabilities for financial reporting and income tax purposes. Deferred tax assets and liabilities are measured using tax rates in effect for the year in which those temporary differences are expected to be recovered or settled.</w:t>
      </w:r>
    </w:p>
    <w:p>
      <w:pPr>
        <w:spacing w:after="0" w:line="19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utilize a two-step approach for evaluating uncertain tax positions. Step one, recognition, requires a company to determine if the weight of available evidence indicates that a tax position is more likely than not to be sustained upon audit, including resolution of related appeals or litigation processes, if any. Step two, measurement, is based on the largest amount of benefit, which is more likely than not to be realized on ultimate settlement. We record interest and penalties related to uncertain tax positions as income tax expense in the Consolidated Financial Statements.</w:t>
      </w:r>
    </w:p>
    <w:p>
      <w:pPr>
        <w:spacing w:after="0" w:line="20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On a consolidated basis, income from the Company’s Slovakian subsidiary is taxed at a blended U.S. Federal and state statutory rate as it is a C-Corporation for tax purposes. The Slovakian subsidiary records taxes on its income at the Slovakian statutory rate and records tax on its worldwide income at the applicable blended U.S. Federal and state statutory rate, net of the foreign tax credit associated with foreign taxes.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4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 greater number of the Company’s Medicare-related health insurance plans are sold in its fourth quarter during the Medicare annual enrollment period when Medicare-eligible individuals are permitted to change their Medicare Advantage and Medicare Part D prescription drug coverage for the following year. As a result, the Company’s Medicare plan-related commission revenue is typically highest in the Company’s fourth quarter.</w:t>
      </w:r>
    </w:p>
    <w:p>
      <w:pPr>
        <w:spacing w:after="0" w:line="20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majority of the Company’s individual and family health insurance plans are sold in its fourth quarter during the annual open enrollment period as defined under the federal Patient Protection and ACA and related amendments in the Health Care and Education Reconciliation Act. Individuals and families generally are not able to purchase individual and family health insurance outside of the open enrollment period, unless they qualify for a special enrollment period as a result of certain qualifying events, such as losing employer-sponsored health insurance or moving to another state. As a result, the Company’s individual and family plan-related commission revenue is typically highest in the Company’s fourth quarter.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Pronouncements</w:t>
      </w:r>
    </w:p>
    <w:p>
      <w:pPr>
        <w:spacing w:after="0" w:line="221"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 xml:space="preserve">In August 2018, the FASB issued Accounting Standards Update (“ASU”) 2018-13, </w:t>
      </w:r>
      <w:r>
        <w:rPr>
          <w:rFonts w:ascii="Arial" w:cs="Arial" w:eastAsia="Arial" w:hAnsi="Arial"/>
          <w:sz w:val="16"/>
          <w:szCs w:val="16"/>
          <w:i w:val="1"/>
          <w:iCs w:val="1"/>
          <w:color w:val="auto"/>
        </w:rPr>
        <w:t>Fair Value Measurement Disclosure Framework – Changes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for Fair Value Measurement </w:t>
      </w:r>
      <w:r>
        <w:rPr>
          <w:rFonts w:ascii="Arial" w:cs="Arial" w:eastAsia="Arial" w:hAnsi="Arial"/>
          <w:sz w:val="16"/>
          <w:szCs w:val="16"/>
          <w:color w:val="auto"/>
        </w:rPr>
        <w:t>(Topic 820), which amended the disclosure requirements under ASC 820. This update clarifies and</w:t>
      </w:r>
      <w:r>
        <w:rPr>
          <w:rFonts w:ascii="Arial" w:cs="Arial" w:eastAsia="Arial" w:hAnsi="Arial"/>
          <w:sz w:val="16"/>
          <w:szCs w:val="16"/>
          <w:i w:val="1"/>
          <w:iCs w:val="1"/>
          <w:color w:val="auto"/>
        </w:rPr>
        <w:t xml:space="preserve"> </w:t>
      </w:r>
      <w:r>
        <w:rPr>
          <w:rFonts w:ascii="Arial" w:cs="Arial" w:eastAsia="Arial" w:hAnsi="Arial"/>
          <w:sz w:val="16"/>
          <w:szCs w:val="16"/>
          <w:color w:val="auto"/>
        </w:rPr>
        <w:t>unifies the disclosure of Level 3 fair value instruments. This guidance is effective for fiscal years beginning after December 15, 2019 and for interim periods within those fiscal years, although early adoption is permitted for either the entire standard or only the provisions that eliminate or modify the requirements. The Company adopted this standard on January 1, 2020, and the adoption did not have a material effect on its Consolidated Financial Statements.</w:t>
      </w:r>
    </w:p>
    <w:p>
      <w:pPr>
        <w:spacing w:after="0" w:line="184"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 xml:space="preserve">In June 2018, the FASB issued ASU 2018-7, </w:t>
      </w:r>
      <w:r>
        <w:rPr>
          <w:rFonts w:ascii="Arial" w:cs="Arial" w:eastAsia="Arial" w:hAnsi="Arial"/>
          <w:sz w:val="16"/>
          <w:szCs w:val="16"/>
          <w:i w:val="1"/>
          <w:iCs w:val="1"/>
          <w:color w:val="auto"/>
        </w:rPr>
        <w:t>Stock Compensation – Improvements to Non-employee Share-Based Payment Accounting</w:t>
      </w:r>
      <w:r>
        <w:rPr>
          <w:rFonts w:ascii="Arial" w:cs="Arial" w:eastAsia="Arial" w:hAnsi="Arial"/>
          <w:sz w:val="16"/>
          <w:szCs w:val="16"/>
          <w:color w:val="auto"/>
        </w:rPr>
        <w:t xml:space="preserve"> (Topic 718). This guidance expands the scope of Topic 718 to include share-based payment transactions for acquiring goods and services from non-employees. Per ASU 2019-08, issued November 2019, the guidance is effective for fiscal years beginning after December 15, 2019, and interim periods within fiscal years beginning after December 15, 2019.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295275</wp:posOffset>
            </wp:positionV>
            <wp:extent cx="8255" cy="1200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295275</wp:posOffset>
            </wp:positionV>
            <wp:extent cx="8890" cy="1200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43" w:right="35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84</w:t>
      </w:r>
    </w:p>
    <w:p>
      <w:pPr>
        <w:sectPr>
          <w:pgSz w:w="11900" w:h="16838" w:orient="portrait"/>
          <w:cols w:equalWidth="0" w:num="3">
            <w:col w:w="4580" w:space="540"/>
            <w:col w:w="1040" w:space="360"/>
            <w:col w:w="4700"/>
          </w:cols>
          <w:pgMar w:left="320" w:top="1343" w:right="359" w:bottom="1440" w:gutter="0" w:footer="0" w:header="0"/>
          <w:type w:val="continuous"/>
        </w:sectPr>
      </w:pPr>
    </w:p>
    <w:bookmarkStart w:id="87" w:name="page88"/>
    <w:bookmarkEnd w:id="87"/>
    <w:p>
      <w:pPr>
        <w:ind w:right="180"/>
        <w:spacing w:after="0" w:line="260" w:lineRule="auto"/>
        <w:rPr>
          <w:sz w:val="20"/>
          <w:szCs w:val="20"/>
          <w:color w:val="auto"/>
        </w:rPr>
      </w:pPr>
      <w:r>
        <w:rPr>
          <w:rFonts w:ascii="Arial" w:cs="Arial" w:eastAsia="Arial" w:hAnsi="Arial"/>
          <w:sz w:val="16"/>
          <w:szCs w:val="16"/>
          <w:color w:val="auto"/>
        </w:rPr>
        <w:t>adoption is permitted, but no earlier than an entity’s adoption date of Topic 606. The Company adopted this standard on January 1, 2020, and the adoption did not have a material effect on its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 Not Yet Adopted</w:t>
      </w:r>
    </w:p>
    <w:p>
      <w:pPr>
        <w:spacing w:after="0" w:line="22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The guidance specifies that lessees will need to recognize a right-of-use asset and a lease liability for virtually all their leases except those which meet the definition of a short-term lease. For income statement purposes, the FASB retained a dual model, requiring leases to be classified as either operating or financing. Classification will be based on criteria that are similar to those applied in current lease accounting, but without explicit bright lines. Per ASU 2020-05,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and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effective Dates for Certain Entities, issued June 2020, the guidance in ASU 2016-2, as amended, is effective for fiscal years beginning after December 15, 2021, and interim periods within fiscal years beginning after December 15, 2022. Early adoption is permitted. The Company is currently evaluating the new guidance to determine the impact it will have on its Consolidated Financial Statements and related disclosures.</w:t>
      </w:r>
    </w:p>
    <w:p>
      <w:pPr>
        <w:spacing w:after="0" w:line="18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In November 2019, the FASB issued ASU 2019-11,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(Topic 326), which amends the guidance for accounting for assets that are potentially subject to credit risk. The amendments affect contract assets, loans, debt securities, trade receivables, net investments in leases, off-balance-sheet credit exposures, reinsurance receivables, and any other financial assets not excluded from the scope that have the contractual right to receive cash. Per ASU 2019-10, issued November 2019, the guidance is effective for annual and interim periods beginning after December 15, 2022. Early adoption is permitted. The Company is currently evaluating the new guidance to determine the impact it will have on its Consolidated Financial Statements and related disclosures.</w:t>
      </w:r>
    </w:p>
    <w:p>
      <w:pPr>
        <w:spacing w:after="0" w:line="186" w:lineRule="exact"/>
        <w:rPr>
          <w:sz w:val="20"/>
          <w:szCs w:val="20"/>
          <w:color w:val="auto"/>
        </w:rPr>
      </w:pPr>
    </w:p>
    <w:p>
      <w:pPr>
        <w:jc w:val="both"/>
        <w:ind w:right="360"/>
        <w:spacing w:after="0" w:line="263"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(Topic 740). The guidance simplifies the accounting for income taxes and is effective for annual and interim periods beginning after December 15, 2021. Early adoption is permitted. The Company is currently evaluating the impact to its Consolidated Financial Statements and related disclosures.</w:t>
      </w:r>
    </w:p>
    <w:p>
      <w:pPr>
        <w:spacing w:after="0" w:line="174" w:lineRule="exact"/>
        <w:rPr>
          <w:sz w:val="20"/>
          <w:szCs w:val="20"/>
          <w:color w:val="auto"/>
        </w:rPr>
      </w:pPr>
    </w:p>
    <w:p>
      <w:pPr>
        <w:ind w:right="9160" w:firstLine="8"/>
        <w:spacing w:after="0" w:line="541" w:lineRule="auto"/>
        <w:tabs>
          <w:tab w:leader="none" w:pos="180" w:val="left"/>
        </w:tabs>
        <w:numPr>
          <w:ilvl w:val="0"/>
          <w:numId w:val="47"/>
        </w:numPr>
        <w:rPr>
          <w:rFonts w:ascii="Arial" w:cs="Arial" w:eastAsia="Arial" w:hAnsi="Arial"/>
          <w:sz w:val="16"/>
          <w:szCs w:val="16"/>
          <w:b w:val="1"/>
          <w:bCs w:val="1"/>
          <w:color w:val="0A2299"/>
        </w:rPr>
      </w:pPr>
      <w:r>
        <w:rPr>
          <w:rFonts w:ascii="Arial" w:cs="Arial" w:eastAsia="Arial" w:hAnsi="Arial"/>
          <w:sz w:val="16"/>
          <w:szCs w:val="16"/>
          <w:b w:val="1"/>
          <w:bCs w:val="1"/>
          <w:color w:val="0A2299"/>
        </w:rPr>
        <w:t xml:space="preserve">ACQUISITIONS </w:t>
      </w:r>
      <w:r>
        <w:rPr>
          <w:rFonts w:ascii="Arial" w:cs="Arial" w:eastAsia="Arial" w:hAnsi="Arial"/>
          <w:sz w:val="16"/>
          <w:szCs w:val="16"/>
          <w:b w:val="1"/>
          <w:bCs w:val="1"/>
          <w:color w:val="000000"/>
        </w:rPr>
        <w:t>Acquisition of Norvax, LLC</w:t>
      </w:r>
    </w:p>
    <w:p>
      <w:pPr>
        <w:spacing w:after="0" w:line="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On September 13, 2019, GHH, LLC acquired a 100% interest in Norvax, for $807.6 million in cash and $306.0 million in equity. In connection with the Acquisition, GHH, LLC also agreed to pay additional consideration of up to $275.0 million in additional GHH, LLC Common and Senior Preferred Earnout Units, if Adjusted EBITDA, as defined in the terms of the acquisition agreement, exceeds certain thresholds for the period September 13, 2019 to December 31, 2019 and the year ended December 31, 2020 (“Earnout” or “contingent consideration”).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elements of the purchase consideration are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807,591</w:t>
            </w:r>
          </w:p>
        </w:tc>
      </w:tr>
      <w:tr>
        <w:trPr>
          <w:trHeight w:val="189"/>
        </w:trPr>
        <w:tc>
          <w:tcPr>
            <w:tcW w:w="9600" w:type="dxa"/>
            <w:vAlign w:val="bottom"/>
          </w:tcPr>
          <w:p>
            <w:pPr>
              <w:ind w:left="20"/>
              <w:spacing w:after="0"/>
              <w:rPr>
                <w:sz w:val="20"/>
                <w:szCs w:val="20"/>
                <w:color w:val="auto"/>
              </w:rPr>
            </w:pPr>
            <w:r>
              <w:rPr>
                <w:rFonts w:ascii="Arial" w:cs="Arial" w:eastAsia="Arial" w:hAnsi="Arial"/>
                <w:sz w:val="14"/>
                <w:szCs w:val="14"/>
                <w:color w:val="auto"/>
              </w:rPr>
              <w:t>Fair value of GHH, LLC Class A and B common units issued</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306,000</w:t>
            </w:r>
          </w:p>
        </w:tc>
      </w:tr>
      <w:tr>
        <w:trPr>
          <w:trHeight w:val="18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contingent consideration liability</w:t>
            </w:r>
          </w:p>
        </w:tc>
        <w:tc>
          <w:tcPr>
            <w:tcW w:w="5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172,000</w:t>
            </w:r>
          </w:p>
        </w:tc>
      </w:tr>
      <w:tr>
        <w:trPr>
          <w:trHeight w:val="183"/>
        </w:trPr>
        <w:tc>
          <w:tcPr>
            <w:tcW w:w="9600" w:type="dxa"/>
            <w:vAlign w:val="bottom"/>
          </w:tcPr>
          <w:p>
            <w:pPr>
              <w:ind w:left="20"/>
              <w:spacing w:after="0"/>
              <w:rPr>
                <w:sz w:val="20"/>
                <w:szCs w:val="20"/>
                <w:color w:val="auto"/>
              </w:rPr>
            </w:pPr>
            <w:r>
              <w:rPr>
                <w:rFonts w:ascii="Arial" w:cs="Arial" w:eastAsia="Arial" w:hAnsi="Arial"/>
                <w:sz w:val="14"/>
                <w:szCs w:val="14"/>
                <w:b w:val="1"/>
                <w:bCs w:val="1"/>
                <w:color w:val="auto"/>
              </w:rPr>
              <w:t>Total consideration</w:t>
            </w: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1,285,591</w:t>
            </w:r>
          </w:p>
        </w:tc>
      </w:tr>
      <w:tr>
        <w:trPr>
          <w:trHeight w:val="20"/>
        </w:trPr>
        <w:tc>
          <w:tcPr>
            <w:tcW w:w="9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237"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color w:val="auto"/>
        </w:rPr>
        <w:t>The contingent consideration liability represents the acquisition date fair value of the Earnout payments to Norvax’s selling shareholders and is remeasured at each reporting date until settled. The contingent consideration was to be settled in GHH, LLC Common and Senior Preferred Earnout Units within 60 days of the issuance of the 2019 and 2020 audited financial statements. The Senior Preferred Earnout Units earned an annual coupon of 10.3% that provides for the accrual of additional units. Changes in the fair value of the contingent consideration are recognized in the Consolidated Statements of Operations.</w:t>
      </w:r>
    </w:p>
    <w:p>
      <w:pPr>
        <w:spacing w:after="0" w:line="202" w:lineRule="exact"/>
        <w:rPr>
          <w:sz w:val="20"/>
          <w:szCs w:val="20"/>
          <w:color w:val="auto"/>
        </w:rPr>
      </w:pPr>
    </w:p>
    <w:p>
      <w:pPr>
        <w:jc w:val="both"/>
        <w:ind w:right="360"/>
        <w:spacing w:after="0" w:line="253" w:lineRule="auto"/>
        <w:rPr>
          <w:sz w:val="20"/>
          <w:szCs w:val="20"/>
          <w:color w:val="auto"/>
        </w:rPr>
      </w:pPr>
      <w:r>
        <w:rPr>
          <w:rFonts w:ascii="Arial" w:cs="Arial" w:eastAsia="Arial" w:hAnsi="Arial"/>
          <w:sz w:val="16"/>
          <w:szCs w:val="16"/>
          <w:color w:val="auto"/>
        </w:rPr>
        <w:t>The full amount available relative to the 2019 target was earned as of December 31, 2019. On May 15, 2020, the contingent consideration related to the 2019 target of $200.0 million was settled with the issuance of 113,407 GHH, LLC Class A common units, 48,645 GHH, LLC Class B common units, and 100,000 GHH, LLC Senior Preferred Earnout Units.</w:t>
      </w:r>
    </w:p>
    <w:p>
      <w:pPr>
        <w:spacing w:after="0" w:line="201"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In connection with the IPO, the Company satisfied in full the GHH, LLC Senior Preferred Earnout Units issued in connection with the 2019 Earnout through the use of proceeds raised in the IPO in the amount of $100.0 million. In addition, in connection with the IPO a significant shareholder assumed the liability associated with the 2020 Earnout, which was $62.4 million as of the IPO closing date. After the completion of the IPO, the full amount of the Company’s liabilities with respect to the 2019 and 2020 Earnouts accrued in connection with the Acquisition were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298450</wp:posOffset>
            </wp:positionV>
            <wp:extent cx="8255" cy="1200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298450</wp:posOffset>
            </wp:positionV>
            <wp:extent cx="8890" cy="1200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85</w:t>
      </w:r>
    </w:p>
    <w:p>
      <w:pPr>
        <w:sectPr>
          <w:pgSz w:w="11900" w:h="16838" w:orient="portrait"/>
          <w:cols w:equalWidth="0" w:num="3">
            <w:col w:w="4580" w:space="540"/>
            <w:col w:w="1040" w:space="360"/>
            <w:col w:w="4720"/>
          </w:cols>
          <w:pgMar w:left="320" w:top="1343"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6"/>
          <w:szCs w:val="16"/>
          <w:i w:val="1"/>
          <w:iCs w:val="1"/>
          <w:color w:val="auto"/>
        </w:rPr>
        <w:t>Allocation of Purchase Price</w:t>
      </w:r>
    </w:p>
    <w:p>
      <w:pPr>
        <w:spacing w:after="0" w:line="237"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allocation of the purchase price is based on the fair value of assets acquired and liabilities assumed as of the acquisition date. The components of the purchase price allocation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working capital</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18,787</w:t>
            </w:r>
          </w:p>
        </w:tc>
      </w:tr>
      <w:tr>
        <w:trPr>
          <w:trHeight w:val="189"/>
        </w:trPr>
        <w:tc>
          <w:tcPr>
            <w:tcW w:w="9600" w:type="dxa"/>
            <w:vAlign w:val="bottom"/>
          </w:tcPr>
          <w:p>
            <w:pPr>
              <w:ind w:left="20"/>
              <w:spacing w:after="0"/>
              <w:rPr>
                <w:sz w:val="20"/>
                <w:szCs w:val="20"/>
                <w:color w:val="auto"/>
              </w:rPr>
            </w:pPr>
            <w:r>
              <w:rPr>
                <w:rFonts w:ascii="Arial" w:cs="Arial" w:eastAsia="Arial" w:hAnsi="Arial"/>
                <w:sz w:val="14"/>
                <w:szCs w:val="14"/>
                <w:color w:val="auto"/>
              </w:rPr>
              <w:t>Commissions receivable - non-current</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113,565</w:t>
            </w:r>
          </w:p>
        </w:tc>
      </w:tr>
      <w:tr>
        <w:trPr>
          <w:trHeight w:val="18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4,442</w:t>
            </w:r>
          </w:p>
        </w:tc>
      </w:tr>
      <w:tr>
        <w:trPr>
          <w:trHeight w:val="189"/>
        </w:trPr>
        <w:tc>
          <w:tcPr>
            <w:tcW w:w="9600" w:type="dxa"/>
            <w:vAlign w:val="bottom"/>
          </w:tcPr>
          <w:p>
            <w:pPr>
              <w:ind w:left="20"/>
              <w:spacing w:after="0"/>
              <w:rPr>
                <w:sz w:val="20"/>
                <w:szCs w:val="20"/>
                <w:color w:val="auto"/>
              </w:rPr>
            </w:pPr>
            <w:r>
              <w:rPr>
                <w:rFonts w:ascii="Arial" w:cs="Arial" w:eastAsia="Arial" w:hAnsi="Arial"/>
                <w:sz w:val="14"/>
                <w:szCs w:val="14"/>
                <w:color w:val="auto"/>
              </w:rPr>
              <w:t>Other non-current assets</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218</w:t>
            </w:r>
          </w:p>
        </w:tc>
      </w:tr>
      <w:tr>
        <w:trPr>
          <w:trHeight w:val="18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w:t>
            </w:r>
          </w:p>
        </w:tc>
      </w:tr>
      <w:tr>
        <w:trPr>
          <w:trHeight w:val="189"/>
        </w:trPr>
        <w:tc>
          <w:tcPr>
            <w:tcW w:w="9600" w:type="dxa"/>
            <w:vAlign w:val="bottom"/>
          </w:tcPr>
          <w:p>
            <w:pPr>
              <w:ind w:left="20"/>
              <w:spacing w:after="0"/>
              <w:rPr>
                <w:sz w:val="20"/>
                <w:szCs w:val="20"/>
                <w:color w:val="auto"/>
              </w:rPr>
            </w:pPr>
            <w:r>
              <w:rPr>
                <w:rFonts w:ascii="Arial" w:cs="Arial" w:eastAsia="Arial" w:hAnsi="Arial"/>
                <w:sz w:val="14"/>
                <w:szCs w:val="14"/>
                <w:color w:val="auto"/>
              </w:rPr>
              <w:t>Trade names</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83,000</w:t>
            </w:r>
          </w:p>
        </w:tc>
      </w:tr>
      <w:tr>
        <w:trPr>
          <w:trHeight w:val="18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496,000</w:t>
            </w:r>
          </w:p>
        </w:tc>
      </w:tr>
      <w:tr>
        <w:trPr>
          <w:trHeight w:val="189"/>
        </w:trPr>
        <w:tc>
          <w:tcPr>
            <w:tcW w:w="960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232,000</w:t>
            </w:r>
          </w:p>
        </w:tc>
      </w:tr>
      <w:tr>
        <w:trPr>
          <w:trHeight w:val="18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386,553</w:t>
            </w:r>
          </w:p>
        </w:tc>
      </w:tr>
      <w:tr>
        <w:trPr>
          <w:trHeight w:val="189"/>
        </w:trPr>
        <w:tc>
          <w:tcPr>
            <w:tcW w:w="9600" w:type="dxa"/>
            <w:vAlign w:val="bottom"/>
          </w:tcPr>
          <w:p>
            <w:pPr>
              <w:ind w:left="20"/>
              <w:spacing w:after="0"/>
              <w:rPr>
                <w:sz w:val="20"/>
                <w:szCs w:val="20"/>
                <w:color w:val="auto"/>
              </w:rPr>
            </w:pPr>
            <w:r>
              <w:rPr>
                <w:rFonts w:ascii="Arial" w:cs="Arial" w:eastAsia="Arial" w:hAnsi="Arial"/>
                <w:sz w:val="14"/>
                <w:szCs w:val="14"/>
                <w:color w:val="auto"/>
              </w:rPr>
              <w:t>Deferred revenue</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(3,283)</w:t>
            </w:r>
          </w:p>
        </w:tc>
      </w:tr>
      <w:tr>
        <w:trPr>
          <w:trHeight w:val="18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Commissions payable - non-current</w:t>
            </w:r>
          </w:p>
        </w:tc>
        <w:tc>
          <w:tcPr>
            <w:tcW w:w="5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(44,728)</w:t>
            </w:r>
          </w:p>
        </w:tc>
      </w:tr>
      <w:tr>
        <w:trPr>
          <w:trHeight w:val="183"/>
        </w:trPr>
        <w:tc>
          <w:tcPr>
            <w:tcW w:w="9600" w:type="dxa"/>
            <w:vAlign w:val="bottom"/>
          </w:tcPr>
          <w:p>
            <w:pPr>
              <w:ind w:left="20"/>
              <w:spacing w:after="0"/>
              <w:rPr>
                <w:sz w:val="20"/>
                <w:szCs w:val="20"/>
                <w:color w:val="auto"/>
              </w:rPr>
            </w:pPr>
            <w:r>
              <w:rPr>
                <w:rFonts w:ascii="Arial" w:cs="Arial" w:eastAsia="Arial" w:hAnsi="Arial"/>
                <w:sz w:val="14"/>
                <w:szCs w:val="14"/>
                <w:b w:val="1"/>
                <w:bCs w:val="1"/>
                <w:color w:val="auto"/>
              </w:rPr>
              <w:t>Total consideration transferred</w:t>
            </w: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1,285,591</w:t>
            </w:r>
          </w:p>
        </w:tc>
      </w:tr>
      <w:tr>
        <w:trPr>
          <w:trHeight w:val="21"/>
        </w:trPr>
        <w:tc>
          <w:tcPr>
            <w:tcW w:w="9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Goodwill represents the excess of the consideration paid over the estimated fair value of assets acquired and liabilities assumed in a business combination and is primarily attributable to future growth and the assembled workforce. The purchase price allocation was final as of September 30, 2020 with no adjustments made in the measurement period.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 Forma</w:t>
      </w:r>
    </w:p>
    <w:p>
      <w:pPr>
        <w:spacing w:after="0" w:line="237"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Had the Acquisition been completed on January 1, 2018, net revenues would be unchanged and the net loss would be approximately $29.5 million and $95.4 million for the years ended December 31, 2019 and December 31, 2018, respectively. This unaudited pro forma financial information is presented for illustrative purposes only and is not necessarily indicative of what the operating results actually would have been if the Acquisition had taken place on January 1, 2018, nor is it indicative of future operating results. The pro forma amounts include the historical operating results of the Company prior to the acquisition, with adjustments factually supportable and directly attributable to the Acquisition, primarily related to transaction costs, the amortization of intangible assets, and interest expense. Share-based compensation and transaction bonuses and costs totaling $98.2 million for the year ended December 31, 2019 are non-recurring pro forma adjustments.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3. BALANCE SHEET ACCOUNTS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Commissions Receivable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Commissions receivable activity is summarized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1248"/>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7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Twelve months ended</w:t>
            </w:r>
          </w:p>
        </w:tc>
        <w:tc>
          <w:tcPr>
            <w:tcW w:w="100" w:type="dxa"/>
            <w:vAlign w:val="bottom"/>
          </w:tcPr>
          <w:p>
            <w:pPr>
              <w:spacing w:after="0"/>
              <w:rPr>
                <w:sz w:val="12"/>
                <w:szCs w:val="12"/>
                <w:color w:val="auto"/>
              </w:rPr>
            </w:pPr>
          </w:p>
        </w:tc>
        <w:tc>
          <w:tcPr>
            <w:tcW w:w="1640" w:type="dxa"/>
            <w:vAlign w:val="bottom"/>
            <w:tcBorders>
              <w:right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Period from Sep. 13,</w:t>
            </w:r>
          </w:p>
        </w:tc>
        <w:tc>
          <w:tcPr>
            <w:tcW w:w="140" w:type="dxa"/>
            <w:vAlign w:val="bottom"/>
          </w:tcPr>
          <w:p>
            <w:pPr>
              <w:spacing w:after="0"/>
              <w:rPr>
                <w:sz w:val="12"/>
                <w:szCs w:val="12"/>
                <w:color w:val="auto"/>
              </w:rPr>
            </w:pPr>
          </w:p>
        </w:tc>
        <w:tc>
          <w:tcPr>
            <w:tcW w:w="1500" w:type="dxa"/>
            <w:vAlign w:val="bottom"/>
          </w:tcPr>
          <w:p>
            <w:pPr>
              <w:jc w:val="center"/>
              <w:ind w:right="88"/>
              <w:spacing w:after="0" w:line="142" w:lineRule="exact"/>
              <w:rPr>
                <w:sz w:val="20"/>
                <w:szCs w:val="20"/>
                <w:color w:val="auto"/>
              </w:rPr>
            </w:pPr>
            <w:r>
              <w:rPr>
                <w:rFonts w:ascii="Arial" w:cs="Arial" w:eastAsia="Arial" w:hAnsi="Arial"/>
                <w:sz w:val="14"/>
                <w:szCs w:val="14"/>
                <w:b w:val="1"/>
                <w:bCs w:val="1"/>
                <w:color w:val="auto"/>
              </w:rPr>
              <w:t>Period from Jan. 1,</w:t>
            </w:r>
          </w:p>
        </w:tc>
        <w:tc>
          <w:tcPr>
            <w:tcW w:w="0" w:type="dxa"/>
            <w:vAlign w:val="bottom"/>
          </w:tcPr>
          <w:p>
            <w:pPr>
              <w:spacing w:after="0"/>
              <w:rPr>
                <w:sz w:val="1"/>
                <w:szCs w:val="1"/>
                <w:color w:val="auto"/>
              </w:rPr>
            </w:pPr>
          </w:p>
        </w:tc>
      </w:tr>
      <w:tr>
        <w:trPr>
          <w:trHeight w:val="135"/>
        </w:trPr>
        <w:tc>
          <w:tcPr>
            <w:tcW w:w="61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740" w:type="dxa"/>
            <w:vAlign w:val="bottom"/>
            <w:gridSpan w:val="3"/>
            <w:vMerge w:val="continue"/>
          </w:tcPr>
          <w:p>
            <w:pPr>
              <w:spacing w:after="0"/>
              <w:rPr>
                <w:sz w:val="11"/>
                <w:szCs w:val="11"/>
                <w:color w:val="auto"/>
              </w:rPr>
            </w:pPr>
          </w:p>
        </w:tc>
        <w:tc>
          <w:tcPr>
            <w:tcW w:w="1740" w:type="dxa"/>
            <w:vAlign w:val="bottom"/>
            <w:tcBorders>
              <w:right w:val="single" w:sz="8" w:color="auto"/>
            </w:tcBorders>
            <w:gridSpan w:val="3"/>
          </w:tcPr>
          <w:p>
            <w:pPr>
              <w:jc w:val="right"/>
              <w:ind w:right="180"/>
              <w:spacing w:after="0" w:line="135" w:lineRule="exact"/>
              <w:rPr>
                <w:sz w:val="20"/>
                <w:szCs w:val="20"/>
                <w:color w:val="auto"/>
              </w:rPr>
            </w:pPr>
            <w:r>
              <w:rPr>
                <w:rFonts w:ascii="Arial" w:cs="Arial" w:eastAsia="Arial" w:hAnsi="Arial"/>
                <w:sz w:val="14"/>
                <w:szCs w:val="14"/>
                <w:b w:val="1"/>
                <w:bCs w:val="1"/>
                <w:color w:val="auto"/>
              </w:rPr>
              <w:t>2019 through Dec. 31,</w:t>
            </w:r>
          </w:p>
        </w:tc>
        <w:tc>
          <w:tcPr>
            <w:tcW w:w="16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2019 through Sep. 12,</w:t>
            </w:r>
          </w:p>
        </w:tc>
        <w:tc>
          <w:tcPr>
            <w:tcW w:w="0" w:type="dxa"/>
            <w:vAlign w:val="bottom"/>
          </w:tcPr>
          <w:p>
            <w:pPr>
              <w:spacing w:after="0"/>
              <w:rPr>
                <w:sz w:val="1"/>
                <w:szCs w:val="1"/>
                <w:color w:val="auto"/>
              </w:rPr>
            </w:pPr>
          </w:p>
        </w:tc>
      </w:tr>
      <w:tr>
        <w:trPr>
          <w:trHeight w:val="175"/>
        </w:trPr>
        <w:tc>
          <w:tcPr>
            <w:tcW w:w="6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 31, 2020</w:t>
            </w:r>
          </w:p>
        </w:tc>
        <w:tc>
          <w:tcPr>
            <w:tcW w:w="100" w:type="dxa"/>
            <w:vAlign w:val="bottom"/>
          </w:tcPr>
          <w:p>
            <w:pPr>
              <w:spacing w:after="0"/>
              <w:rPr>
                <w:sz w:val="15"/>
                <w:szCs w:val="15"/>
                <w:color w:val="auto"/>
              </w:rPr>
            </w:pPr>
          </w:p>
        </w:tc>
        <w:tc>
          <w:tcPr>
            <w:tcW w:w="1520" w:type="dxa"/>
            <w:vAlign w:val="bottom"/>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center"/>
              <w:ind w:right="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382,931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178,975</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115,527</w:t>
            </w:r>
          </w:p>
        </w:tc>
        <w:tc>
          <w:tcPr>
            <w:tcW w:w="0" w:type="dxa"/>
            <w:vAlign w:val="bottom"/>
          </w:tcPr>
          <w:p>
            <w:pPr>
              <w:spacing w:after="0"/>
              <w:rPr>
                <w:sz w:val="1"/>
                <w:szCs w:val="1"/>
                <w:color w:val="auto"/>
              </w:rPr>
            </w:pP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Commission revenue</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671,140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243,347</w:t>
            </w: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175,834</w:t>
            </w:r>
          </w:p>
        </w:tc>
        <w:tc>
          <w:tcPr>
            <w:tcW w:w="0" w:type="dxa"/>
            <w:vAlign w:val="bottom"/>
          </w:tcPr>
          <w:p>
            <w:pPr>
              <w:spacing w:after="0"/>
              <w:rPr>
                <w:sz w:val="1"/>
                <w:szCs w:val="1"/>
                <w:color w:val="auto"/>
              </w:rPr>
            </w:pP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receipts</w:t>
            </w:r>
          </w:p>
        </w:tc>
        <w:tc>
          <w:tcPr>
            <w:tcW w:w="2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(243,673)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(39,391)</w:t>
            </w:r>
          </w:p>
        </w:tc>
        <w:tc>
          <w:tcPr>
            <w:tcW w:w="120" w:type="dxa"/>
            <w:vAlign w:val="bottom"/>
            <w:tcBorders>
              <w:right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(112,386)</w:t>
            </w:r>
          </w:p>
        </w:tc>
        <w:tc>
          <w:tcPr>
            <w:tcW w:w="0" w:type="dxa"/>
            <w:vAlign w:val="bottom"/>
          </w:tcPr>
          <w:p>
            <w:pPr>
              <w:spacing w:after="0"/>
              <w:rPr>
                <w:sz w:val="1"/>
                <w:szCs w:val="1"/>
                <w:color w:val="auto"/>
              </w:rPr>
            </w:pPr>
          </w:p>
        </w:tc>
      </w:tr>
      <w:tr>
        <w:trPr>
          <w:trHeight w:val="183"/>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810,398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382,931</w:t>
            </w:r>
          </w:p>
        </w:tc>
        <w:tc>
          <w:tcPr>
            <w:tcW w:w="12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178,975</w:t>
            </w: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Commissions receivable - current</w:t>
            </w:r>
          </w:p>
        </w:tc>
        <w:tc>
          <w:tcPr>
            <w:tcW w:w="2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188,128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101,078</w:t>
            </w:r>
          </w:p>
        </w:tc>
        <w:tc>
          <w:tcPr>
            <w:tcW w:w="120" w:type="dxa"/>
            <w:vAlign w:val="bottom"/>
            <w:tcBorders>
              <w:right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65,410</w:t>
            </w:r>
          </w:p>
        </w:tc>
        <w:tc>
          <w:tcPr>
            <w:tcW w:w="0" w:type="dxa"/>
            <w:vAlign w:val="bottom"/>
          </w:tcPr>
          <w:p>
            <w:pPr>
              <w:spacing w:after="0"/>
              <w:rPr>
                <w:sz w:val="1"/>
                <w:szCs w:val="1"/>
                <w:color w:val="auto"/>
              </w:rPr>
            </w:pPr>
          </w:p>
        </w:tc>
      </w:tr>
      <w:tr>
        <w:trPr>
          <w:trHeight w:val="183"/>
        </w:trPr>
        <w:tc>
          <w:tcPr>
            <w:tcW w:w="6120" w:type="dxa"/>
            <w:vAlign w:val="bottom"/>
          </w:tcPr>
          <w:p>
            <w:pPr>
              <w:ind w:left="20"/>
              <w:spacing w:after="0"/>
              <w:rPr>
                <w:sz w:val="20"/>
                <w:szCs w:val="20"/>
                <w:color w:val="auto"/>
              </w:rPr>
            </w:pPr>
            <w:r>
              <w:rPr>
                <w:rFonts w:ascii="Arial" w:cs="Arial" w:eastAsia="Arial" w:hAnsi="Arial"/>
                <w:sz w:val="14"/>
                <w:szCs w:val="14"/>
                <w:color w:val="auto"/>
              </w:rPr>
              <w:t>Commissions receivable - non-current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622,270</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281,853</w:t>
            </w:r>
          </w:p>
        </w:tc>
        <w:tc>
          <w:tcPr>
            <w:tcW w:w="120" w:type="dxa"/>
            <w:vAlign w:val="bottom"/>
            <w:tcBorders>
              <w:right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113,565</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The commissions receivable balance as of December 31, 2020 and 2019, primarily relates to Medicare Advantage Plans sold during the fourth quarters of 2020 and 2019 with effective dates in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302895</wp:posOffset>
            </wp:positionV>
            <wp:extent cx="8255" cy="1200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302895</wp:posOffset>
            </wp:positionV>
            <wp:extent cx="8890" cy="1200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126365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86</w:t>
      </w:r>
    </w:p>
    <w:p>
      <w:pPr>
        <w:sectPr>
          <w:pgSz w:w="11900" w:h="16838" w:orient="portrait"/>
          <w:cols w:equalWidth="0" w:num="3">
            <w:col w:w="4580" w:space="540"/>
            <w:col w:w="1040" w:space="360"/>
            <w:col w:w="4720"/>
          </w:cols>
          <w:pgMar w:left="320" w:top="1327"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6"/>
          <w:szCs w:val="16"/>
          <w:b w:val="1"/>
          <w:bCs w:val="1"/>
          <w:color w:val="auto"/>
        </w:rPr>
        <w:t>Property, Equipment and Capitalized Software, Net</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Property, equipment, and capitalized software, net,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Successor</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5"/>
                <w:szCs w:val="15"/>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 31, 2020</w:t>
            </w:r>
          </w:p>
        </w:tc>
        <w:tc>
          <w:tcPr>
            <w:tcW w:w="220" w:type="dxa"/>
            <w:vAlign w:val="bottom"/>
          </w:tcPr>
          <w:p>
            <w:pPr>
              <w:spacing w:after="0"/>
              <w:rPr>
                <w:sz w:val="15"/>
                <w:szCs w:val="15"/>
                <w:color w:val="auto"/>
              </w:rPr>
            </w:pPr>
          </w:p>
        </w:tc>
        <w:tc>
          <w:tcPr>
            <w:tcW w:w="1420" w:type="dxa"/>
            <w:vAlign w:val="bottom"/>
          </w:tcPr>
          <w:p>
            <w:pPr>
              <w:jc w:val="right"/>
              <w:ind w:right="308"/>
              <w:spacing w:after="0"/>
              <w:rPr>
                <w:sz w:val="20"/>
                <w:szCs w:val="20"/>
                <w:color w:val="auto"/>
              </w:rPr>
            </w:pPr>
            <w:r>
              <w:rPr>
                <w:rFonts w:ascii="Arial" w:cs="Arial" w:eastAsia="Arial" w:hAnsi="Arial"/>
                <w:sz w:val="14"/>
                <w:szCs w:val="14"/>
                <w:b w:val="1"/>
                <w:bCs w:val="1"/>
                <w:color w:val="auto"/>
              </w:rPr>
              <w:t>Dec. 31, 2019</w:t>
            </w:r>
          </w:p>
        </w:tc>
      </w:tr>
      <w:tr>
        <w:trPr>
          <w:trHeight w:val="18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Computer equipment</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3,163</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1,046</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 equipment and furniture</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Property and equipment</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12,952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4,898</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Capitalized software</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r>
      <w:tr>
        <w:trPr>
          <w:trHeight w:val="20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equipment and capitalized software, net</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17,353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6,339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Depreciation expense related to property and equipment for the twelve months ended December 31, 2020, the Successor 2019 Period, the Predecessor 2019 Period and the twelve months ended December 31, 2018, was $2.9 million, $0.4 million, $1.3 million and $1.5 million, respectively.</w:t>
      </w:r>
    </w:p>
    <w:p>
      <w:pPr>
        <w:spacing w:after="0" w:line="195"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Amortization expense related to capitalized software was $1.6 million, $0.1 million, $3.0 million and $4.6 million for the twelve months ended December 31, 2020, the Successor 2019 Period, the Predecessor 2019 Period and the twelve months ended December 31, 2018,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Accrued Liabilities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Accrued liabilities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Successor</w:t>
            </w:r>
          </w:p>
        </w:tc>
      </w:tr>
      <w:tr>
        <w:trPr>
          <w:trHeight w:val="183"/>
        </w:trPr>
        <w:tc>
          <w:tcPr>
            <w:tcW w:w="82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 31, 2020</w:t>
            </w:r>
          </w:p>
        </w:tc>
        <w:tc>
          <w:tcPr>
            <w:tcW w:w="200" w:type="dxa"/>
            <w:vAlign w:val="bottom"/>
          </w:tcPr>
          <w:p>
            <w:pPr>
              <w:spacing w:after="0"/>
              <w:rPr>
                <w:sz w:val="15"/>
                <w:szCs w:val="15"/>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Dec. 31, 2019</w:t>
            </w:r>
          </w:p>
        </w:tc>
      </w:tr>
      <w:tr>
        <w:trPr>
          <w:trHeight w:val="18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Bonuses and commissions</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13,284</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12,292</w:t>
            </w:r>
          </w:p>
        </w:tc>
      </w:tr>
      <w:tr>
        <w:trPr>
          <w:trHeight w:val="189"/>
        </w:trPr>
        <w:tc>
          <w:tcPr>
            <w:tcW w:w="8220" w:type="dxa"/>
            <w:vAlign w:val="bottom"/>
          </w:tcPr>
          <w:p>
            <w:pPr>
              <w:ind w:left="20"/>
              <w:spacing w:after="0"/>
              <w:rPr>
                <w:sz w:val="20"/>
                <w:szCs w:val="20"/>
                <w:color w:val="auto"/>
              </w:rPr>
            </w:pPr>
            <w:r>
              <w:rPr>
                <w:rFonts w:ascii="Arial" w:cs="Arial" w:eastAsia="Arial" w:hAnsi="Arial"/>
                <w:sz w:val="14"/>
                <w:szCs w:val="14"/>
                <w:color w:val="auto"/>
              </w:rPr>
              <w:t>Payroll</w:t>
            </w:r>
          </w:p>
        </w:tc>
        <w:tc>
          <w:tcPr>
            <w:tcW w:w="20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6,326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2,685</w:t>
            </w:r>
          </w:p>
        </w:tc>
      </w:tr>
      <w:tr>
        <w:trPr>
          <w:trHeight w:val="189"/>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 costs</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2,384</w:t>
            </w:r>
          </w:p>
        </w:tc>
      </w:tr>
      <w:tr>
        <w:trPr>
          <w:trHeight w:val="189"/>
        </w:trPr>
        <w:tc>
          <w:tcPr>
            <w:tcW w:w="82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2,167</w:t>
            </w:r>
          </w:p>
        </w:tc>
      </w:tr>
      <w:tr>
        <w:trPr>
          <w:trHeight w:val="189"/>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accrued expenses</w:t>
            </w:r>
          </w:p>
        </w:tc>
        <w:tc>
          <w:tcPr>
            <w:tcW w:w="2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5,184</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3,040</w:t>
            </w:r>
          </w:p>
        </w:tc>
      </w:tr>
      <w:tr>
        <w:trPr>
          <w:trHeight w:val="183"/>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Accrued liabilities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26,926</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22,568</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4. FAIR VALUE MEASUREMENTS</w:t>
      </w:r>
    </w:p>
    <w:p>
      <w:pPr>
        <w:spacing w:after="0" w:line="241" w:lineRule="exact"/>
        <w:rPr>
          <w:sz w:val="20"/>
          <w:szCs w:val="20"/>
          <w:color w:val="auto"/>
        </w:rPr>
      </w:pPr>
    </w:p>
    <w:p>
      <w:pPr>
        <w:ind w:right="420"/>
        <w:spacing w:after="0" w:line="251" w:lineRule="auto"/>
        <w:rPr>
          <w:sz w:val="20"/>
          <w:szCs w:val="20"/>
          <w:color w:val="auto"/>
        </w:rPr>
      </w:pPr>
      <w:r>
        <w:rPr>
          <w:rFonts w:ascii="Arial" w:cs="Arial" w:eastAsia="Arial" w:hAnsi="Arial"/>
          <w:sz w:val="16"/>
          <w:szCs w:val="16"/>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classifies the inputs used to measure fair value into the following hierarchy:</w:t>
      </w:r>
    </w:p>
    <w:p>
      <w:pPr>
        <w:sectPr>
          <w:pgSz w:w="11900" w:h="16838" w:orient="portrait"/>
          <w:cols w:equalWidth="0" w:num="1">
            <w:col w:w="11240"/>
          </w:cols>
          <w:pgMar w:left="320" w:top="1323" w:right="339" w:bottom="1440" w:gutter="0" w:footer="0" w:header="0"/>
        </w:sect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3716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3716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3 Inputs</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570039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6" w:lineRule="exact"/>
        <w:rPr>
          <w:sz w:val="20"/>
          <w:szCs w:val="20"/>
          <w:color w:val="auto"/>
        </w:rPr>
      </w:pPr>
    </w:p>
    <w:p>
      <w:pPr>
        <w:ind w:right="80"/>
        <w:spacing w:after="0" w:line="232" w:lineRule="auto"/>
        <w:rPr>
          <w:sz w:val="20"/>
          <w:szCs w:val="20"/>
          <w:color w:val="auto"/>
        </w:rPr>
      </w:pPr>
      <w:r>
        <w:rPr>
          <w:rFonts w:ascii="Arial" w:cs="Arial" w:eastAsia="Arial" w:hAnsi="Arial"/>
          <w:sz w:val="16"/>
          <w:szCs w:val="16"/>
          <w:color w:val="auto"/>
        </w:rPr>
        <w:t>Unadjusted quoted prices in active markets for similar assets or liabilities; unadjusted quoted prices for identical or similar assets or liabilities in markets that are not active;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4445</wp:posOffset>
            </wp:positionV>
            <wp:extent cx="570039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Unobservable inputs for the asset or liability.</w:t>
      </w:r>
    </w:p>
    <w:p>
      <w:pPr>
        <w:spacing w:after="0" w:line="692" w:lineRule="exact"/>
        <w:rPr>
          <w:sz w:val="20"/>
          <w:szCs w:val="20"/>
          <w:color w:val="auto"/>
        </w:rPr>
      </w:pPr>
    </w:p>
    <w:p>
      <w:pPr>
        <w:sectPr>
          <w:pgSz w:w="11900" w:h="16838" w:orient="portrait"/>
          <w:cols w:equalWidth="0" w:num="2">
            <w:col w:w="1960" w:space="320"/>
            <w:col w:w="8960"/>
          </w:cols>
          <w:pgMar w:left="320" w:top="1323" w:right="339" w:bottom="1440" w:gutter="0" w:footer="0" w:header="0"/>
          <w:type w:val="continuous"/>
        </w:sectPr>
      </w:pPr>
    </w:p>
    <w:p>
      <w:pPr>
        <w:spacing w:after="0" w:line="41"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The fair value of the acquired developed technology and trade names were estimated as of the date of the Centerbridge Acquisition. The fair value of the acquired developed technology was estimated using the multi-period excess earnings model. This method discounts the amount of excess cash flows generated by the asset. The fair value of the acquired trade names was estimated using the relief from-royalty method which required that GHH, LLC estimate hypothetical royalty payments that would be required over the economic life of the asset as if it were to be licensed instead of purchased. These payments were then discounted to their present value. Both developed technology and trade names represent a Level 3 measurement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300355</wp:posOffset>
            </wp:positionV>
            <wp:extent cx="8255" cy="1200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300355</wp:posOffset>
            </wp:positionV>
            <wp:extent cx="8890" cy="1200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87</w:t>
      </w:r>
    </w:p>
    <w:p>
      <w:pPr>
        <w:sectPr>
          <w:pgSz w:w="11900" w:h="16838" w:orient="portrait"/>
          <w:cols w:equalWidth="0" w:num="3">
            <w:col w:w="4580" w:space="540"/>
            <w:col w:w="1040" w:space="360"/>
            <w:col w:w="4720"/>
          </w:cols>
          <w:pgMar w:left="320" w:top="1323" w:right="339" w:bottom="1440" w:gutter="0" w:footer="0" w:header="0"/>
          <w:type w:val="continuous"/>
        </w:sectPr>
      </w:pPr>
    </w:p>
    <w:bookmarkStart w:id="90" w:name="page91"/>
    <w:bookmarkEnd w:id="90"/>
    <w:p>
      <w:pPr>
        <w:ind w:right="160"/>
        <w:spacing w:after="0" w:line="260" w:lineRule="auto"/>
        <w:rPr>
          <w:sz w:val="20"/>
          <w:szCs w:val="20"/>
          <w:color w:val="auto"/>
        </w:rPr>
      </w:pPr>
      <w:r>
        <w:rPr>
          <w:rFonts w:ascii="Arial" w:cs="Arial" w:eastAsia="Arial" w:hAnsi="Arial"/>
          <w:sz w:val="16"/>
          <w:szCs w:val="16"/>
          <w:color w:val="auto"/>
        </w:rPr>
        <w:t>The fair value of the acquired customer relationships was estimated as of the date of the Centerbridge Acquisition. Such fair value was estimated using the distributor method under the income approach, which included Level 3 inputs such as revenue, attrition, margin and contributory asset charges.</w:t>
      </w:r>
    </w:p>
    <w:p>
      <w:pPr>
        <w:spacing w:after="0" w:line="19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fair value of the contingent consideration liability was measured using a Monte Carlo simulation and is discounted using a rate that appropriately captures the risk associated with the obligation. As discussed in Note 2, “Acquisitions,” in connection with the IPO, a significant shareholder assumed the liability associated with the 2020 Earnout. The Company recorded the settlement of the $62.4 million liability as an increase to additional paid-in capital. The following table sets forth the changes to the fair value of the contingent consideration for the twelve months ended December 31, 2020.</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2"/>
        </w:trPr>
        <w:tc>
          <w:tcPr>
            <w:tcW w:w="96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6"/>
        </w:trPr>
        <w:tc>
          <w:tcPr>
            <w:tcW w:w="96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Dec. 31, 2020</w:t>
            </w:r>
          </w:p>
        </w:tc>
        <w:tc>
          <w:tcPr>
            <w:tcW w:w="0" w:type="dxa"/>
            <w:vAlign w:val="bottom"/>
          </w:tcPr>
          <w:p>
            <w:pPr>
              <w:spacing w:after="0"/>
              <w:rPr>
                <w:sz w:val="1"/>
                <w:szCs w:val="1"/>
                <w:color w:val="auto"/>
              </w:rPr>
            </w:pPr>
          </w:p>
        </w:tc>
      </w:tr>
      <w:tr>
        <w:trPr>
          <w:trHeight w:val="183"/>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 31, 2019</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242,700</w:t>
            </w:r>
          </w:p>
        </w:tc>
        <w:tc>
          <w:tcPr>
            <w:tcW w:w="0" w:type="dxa"/>
            <w:vAlign w:val="bottom"/>
          </w:tcPr>
          <w:p>
            <w:pPr>
              <w:spacing w:after="0"/>
              <w:rPr>
                <w:sz w:val="1"/>
                <w:szCs w:val="1"/>
                <w:color w:val="auto"/>
              </w:rPr>
            </w:pPr>
          </w:p>
        </w:tc>
      </w:tr>
      <w:tr>
        <w:trPr>
          <w:trHeight w:val="189"/>
        </w:trPr>
        <w:tc>
          <w:tcPr>
            <w:tcW w:w="9600" w:type="dxa"/>
            <w:vAlign w:val="bottom"/>
          </w:tcPr>
          <w:p>
            <w:pPr>
              <w:ind w:left="20"/>
              <w:spacing w:after="0"/>
              <w:rPr>
                <w:sz w:val="20"/>
                <w:szCs w:val="20"/>
                <w:color w:val="auto"/>
              </w:rPr>
            </w:pPr>
            <w:r>
              <w:rPr>
                <w:rFonts w:ascii="Arial" w:cs="Arial" w:eastAsia="Arial" w:hAnsi="Arial"/>
                <w:sz w:val="14"/>
                <w:szCs w:val="14"/>
                <w:color w:val="auto"/>
              </w:rPr>
              <w:t>Settlement of 2019 earnout</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8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 earnout fair value adjustment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19,700</w:t>
            </w:r>
          </w:p>
        </w:tc>
        <w:tc>
          <w:tcPr>
            <w:tcW w:w="0" w:type="dxa"/>
            <w:vAlign w:val="bottom"/>
          </w:tcPr>
          <w:p>
            <w:pPr>
              <w:spacing w:after="0"/>
              <w:rPr>
                <w:sz w:val="1"/>
                <w:szCs w:val="1"/>
                <w:color w:val="auto"/>
              </w:rPr>
            </w:pPr>
          </w:p>
        </w:tc>
      </w:tr>
      <w:tr>
        <w:trPr>
          <w:trHeight w:val="18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Settlement of 2020 earnout</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(62,400)</w:t>
            </w:r>
          </w:p>
        </w:tc>
        <w:tc>
          <w:tcPr>
            <w:tcW w:w="0" w:type="dxa"/>
            <w:vAlign w:val="bottom"/>
          </w:tcPr>
          <w:p>
            <w:pPr>
              <w:spacing w:after="0"/>
              <w:rPr>
                <w:sz w:val="1"/>
                <w:szCs w:val="1"/>
                <w:color w:val="auto"/>
              </w:rPr>
            </w:pPr>
          </w:p>
        </w:tc>
      </w:tr>
      <w:tr>
        <w:trPr>
          <w:trHeight w:val="208"/>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 31, 2020</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The carrying amount of certain financial instruments, including cash and cash equivalents, accounts receivable, commissions receivable, accounts payable, accrued expenses, and commissions payable approximate fair value due to the short maturity of these instruments. Commissions receivable are recorded at constrained lifetime values. The carrying value of debt approximates fair value due to the variable nature of interest rates.</w:t>
      </w:r>
    </w:p>
    <w:p>
      <w:pPr>
        <w:spacing w:after="0" w:line="181" w:lineRule="exact"/>
        <w:rPr>
          <w:sz w:val="20"/>
          <w:szCs w:val="20"/>
          <w:color w:val="auto"/>
        </w:rPr>
      </w:pPr>
    </w:p>
    <w:p>
      <w:pPr>
        <w:ind w:right="7640" w:firstLine="8"/>
        <w:spacing w:after="0" w:line="541" w:lineRule="auto"/>
        <w:tabs>
          <w:tab w:leader="none" w:pos="180" w:val="left"/>
        </w:tabs>
        <w:numPr>
          <w:ilvl w:val="0"/>
          <w:numId w:val="48"/>
        </w:numPr>
        <w:rPr>
          <w:rFonts w:ascii="Arial" w:cs="Arial" w:eastAsia="Arial" w:hAnsi="Arial"/>
          <w:sz w:val="16"/>
          <w:szCs w:val="16"/>
          <w:b w:val="1"/>
          <w:bCs w:val="1"/>
          <w:color w:val="0A2299"/>
        </w:rPr>
      </w:pPr>
      <w:r>
        <w:rPr>
          <w:rFonts w:ascii="Arial" w:cs="Arial" w:eastAsia="Arial" w:hAnsi="Arial"/>
          <w:sz w:val="16"/>
          <w:szCs w:val="16"/>
          <w:b w:val="1"/>
          <w:bCs w:val="1"/>
          <w:color w:val="0A2299"/>
        </w:rPr>
        <w:t xml:space="preserve">GOODWILL AND INTANGIBLE ASSETS, NET </w:t>
      </w:r>
      <w:r>
        <w:rPr>
          <w:rFonts w:ascii="Arial" w:cs="Arial" w:eastAsia="Arial" w:hAnsi="Arial"/>
          <w:sz w:val="16"/>
          <w:szCs w:val="16"/>
          <w:b w:val="1"/>
          <w:bCs w:val="1"/>
          <w:color w:val="000000"/>
        </w:rPr>
        <w:t>Goodwill</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During the Successor 2019 Period, the Company allocated $380.3 million and $6.2 million of the goodwill recognized in connection with the Acquisition to its Medicare—Internal segment and Medicare—External segment, respectively, based on an estimate of the relative fair value of each reportable segment.</w:t>
      </w:r>
    </w:p>
    <w:p>
      <w:pPr>
        <w:spacing w:after="0" w:line="195"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The Company tests goodwill for impairment at the reporting unit level annually and whenever events or circumstances make it more likely than not that an impairment may have occurred. A reporting unit is an operating segment or one level below an operating segment to which goodwill is assigned when initially recorded. The Company has four reporting units, which are the same as its four operating segments.</w:t>
      </w:r>
    </w:p>
    <w:p>
      <w:pPr>
        <w:spacing w:after="0" w:line="201"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For its annual goodwill impairment test, the Company elected to bypass the qualitative assessment and performed a quantitative impairment test as of November 30, 2020. The Company reviewed goodwill for impairment by comparing the fair value of the Medicare—Internal and Medicare—External reporting units to their carrying value, including goodwill. In estimating the fair value of the Medicare—Internal reporting unit, the Company relied on a combination of the income approach and the market approach utilizing the guideline public company method. In estimating the fair value of the Medicare— External reporting unit, the Company utilized the income approach based on an analysis of expected future discounted cash flows.</w:t>
      </w:r>
    </w:p>
    <w:p>
      <w:pPr>
        <w:spacing w:after="0" w:line="203"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Based on the results of the goodwill impairment test, the Company determined the fair value of both the Medicare—Internal and Medicare—External reporting units exceeded their carrying value. As such, the Company concluded that goodwill was not impaired as of November 30, 2020.</w:t>
      </w:r>
    </w:p>
    <w:p>
      <w:pPr>
        <w:spacing w:after="0" w:line="195"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The Company evaluated whether any events have occurred, or any circumstances have changed since November 30, 2020, that would indicate goodwill may have become impaired since the Company’s annual impairment test. Based on the Company’s evaluation as of December 31, 2020, the Company determined that no indicators of impairment have arisen since the annual goodwill impairment test. There was also no impairment of goodwill for the Successor 2019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298450</wp:posOffset>
            </wp:positionV>
            <wp:extent cx="8255" cy="1200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298450</wp:posOffset>
            </wp:positionV>
            <wp:extent cx="8890" cy="1200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88</w:t>
      </w:r>
    </w:p>
    <w:p>
      <w:pPr>
        <w:sectPr>
          <w:pgSz w:w="11900" w:h="16838" w:orient="portrait"/>
          <w:cols w:equalWidth="0" w:num="3">
            <w:col w:w="4580" w:space="540"/>
            <w:col w:w="1040" w:space="360"/>
            <w:col w:w="4720"/>
          </w:cols>
          <w:pgMar w:left="320" w:top="1343"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6"/>
          <w:szCs w:val="16"/>
          <w:b w:val="1"/>
          <w:bCs w:val="1"/>
          <w:color w:val="auto"/>
        </w:rPr>
        <w:t>Intangible Assets</w:t>
      </w:r>
    </w:p>
    <w:p>
      <w:pPr>
        <w:spacing w:after="0" w:line="24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gross carrying amounts, accumulated amortization and net carrying amounts of the Company’s definite-lived amortizable intangible assets, as well as its indefinite-lived intangible trade names,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Dec. 31, 2020</w:t>
            </w: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5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2"/>
                <w:szCs w:val="12"/>
                <w:color w:val="auto"/>
              </w:rPr>
            </w:pPr>
          </w:p>
        </w:tc>
        <w:tc>
          <w:tcPr>
            <w:tcW w:w="152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75"/>
        </w:trPr>
        <w:tc>
          <w:tcPr>
            <w:tcW w:w="6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496,000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92,114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403,886</w:t>
            </w:r>
          </w:p>
        </w:tc>
        <w:tc>
          <w:tcPr>
            <w:tcW w:w="0" w:type="dxa"/>
            <w:vAlign w:val="bottom"/>
          </w:tcPr>
          <w:p>
            <w:pPr>
              <w:spacing w:after="0"/>
              <w:rPr>
                <w:sz w:val="1"/>
                <w:szCs w:val="1"/>
                <w:color w:val="auto"/>
              </w:rPr>
            </w:pPr>
          </w:p>
        </w:tc>
      </w:tr>
      <w:tr>
        <w:trPr>
          <w:trHeight w:val="18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232,000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30,160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201,840</w:t>
            </w:r>
          </w:p>
        </w:tc>
        <w:tc>
          <w:tcPr>
            <w:tcW w:w="0" w:type="dxa"/>
            <w:vAlign w:val="bottom"/>
          </w:tcPr>
          <w:p>
            <w:pPr>
              <w:spacing w:after="0"/>
              <w:rPr>
                <w:sz w:val="1"/>
                <w:szCs w:val="1"/>
                <w:color w:val="auto"/>
              </w:rPr>
            </w:pPr>
          </w:p>
        </w:tc>
      </w:tr>
      <w:tr>
        <w:trPr>
          <w:trHeight w:val="20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 subject to amortization</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728,000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122,274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605,726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Indefinite-lived trade names</w:t>
            </w:r>
          </w:p>
        </w:tc>
        <w:tc>
          <w:tcPr>
            <w:tcW w:w="20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83,000</w:t>
            </w:r>
          </w:p>
        </w:tc>
        <w:tc>
          <w:tcPr>
            <w:tcW w:w="0" w:type="dxa"/>
            <w:vAlign w:val="bottom"/>
          </w:tcPr>
          <w:p>
            <w:pPr>
              <w:spacing w:after="0"/>
              <w:rPr>
                <w:sz w:val="1"/>
                <w:szCs w:val="1"/>
                <w:color w:val="auto"/>
              </w:rPr>
            </w:pPr>
          </w:p>
        </w:tc>
      </w:tr>
      <w:tr>
        <w:trPr>
          <w:trHeight w:val="20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w:t>
            </w:r>
          </w:p>
        </w:tc>
        <w:tc>
          <w:tcPr>
            <w:tcW w:w="2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688,726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Dec. 31, 2019</w:t>
            </w: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5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2"/>
                <w:szCs w:val="12"/>
                <w:color w:val="auto"/>
              </w:rPr>
            </w:pPr>
          </w:p>
        </w:tc>
        <w:tc>
          <w:tcPr>
            <w:tcW w:w="152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75"/>
        </w:trPr>
        <w:tc>
          <w:tcPr>
            <w:tcW w:w="6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496,000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21,257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474,743</w:t>
            </w:r>
          </w:p>
        </w:tc>
        <w:tc>
          <w:tcPr>
            <w:tcW w:w="0" w:type="dxa"/>
            <w:vAlign w:val="bottom"/>
          </w:tcPr>
          <w:p>
            <w:pPr>
              <w:spacing w:after="0"/>
              <w:rPr>
                <w:sz w:val="1"/>
                <w:szCs w:val="1"/>
                <w:color w:val="auto"/>
              </w:rPr>
            </w:pPr>
          </w:p>
        </w:tc>
      </w:tr>
      <w:tr>
        <w:trPr>
          <w:trHeight w:val="18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232,000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225,040</w:t>
            </w:r>
          </w:p>
        </w:tc>
        <w:tc>
          <w:tcPr>
            <w:tcW w:w="0" w:type="dxa"/>
            <w:vAlign w:val="bottom"/>
          </w:tcPr>
          <w:p>
            <w:pPr>
              <w:spacing w:after="0"/>
              <w:rPr>
                <w:sz w:val="1"/>
                <w:szCs w:val="1"/>
                <w:color w:val="auto"/>
              </w:rPr>
            </w:pPr>
          </w:p>
        </w:tc>
      </w:tr>
      <w:tr>
        <w:trPr>
          <w:trHeight w:val="20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 subject to amortization</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728,000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28,217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699,783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Indefinite-lived trade names</w:t>
            </w:r>
          </w:p>
        </w:tc>
        <w:tc>
          <w:tcPr>
            <w:tcW w:w="20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83,000</w:t>
            </w:r>
          </w:p>
        </w:tc>
        <w:tc>
          <w:tcPr>
            <w:tcW w:w="0" w:type="dxa"/>
            <w:vAlign w:val="bottom"/>
          </w:tcPr>
          <w:p>
            <w:pPr>
              <w:spacing w:after="0"/>
              <w:rPr>
                <w:sz w:val="1"/>
                <w:szCs w:val="1"/>
                <w:color w:val="auto"/>
              </w:rPr>
            </w:pPr>
          </w:p>
        </w:tc>
      </w:tr>
      <w:tr>
        <w:trPr>
          <w:trHeight w:val="20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w:t>
            </w:r>
          </w:p>
        </w:tc>
        <w:tc>
          <w:tcPr>
            <w:tcW w:w="2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782,783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of intangible assets for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expected annual amortization expense related to intangible assets for each of the five succeeding years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Developed Technology</w:t>
            </w:r>
          </w:p>
        </w:tc>
        <w:tc>
          <w:tcPr>
            <w:tcW w:w="22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Customer</w:t>
            </w:r>
          </w:p>
        </w:tc>
        <w:tc>
          <w:tcPr>
            <w:tcW w:w="380" w:type="dxa"/>
            <w:vAlign w:val="bottom"/>
          </w:tcPr>
          <w:p>
            <w:pPr>
              <w:spacing w:after="0"/>
              <w:rPr>
                <w:sz w:val="14"/>
                <w:szCs w:val="14"/>
                <w:color w:val="auto"/>
              </w:rPr>
            </w:pPr>
          </w:p>
        </w:tc>
        <w:tc>
          <w:tcPr>
            <w:tcW w:w="126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6100" w:type="dxa"/>
            <w:vAlign w:val="bottom"/>
            <w:vMerge w:val="continue"/>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Relationships</w:t>
            </w:r>
          </w:p>
        </w:tc>
        <w:tc>
          <w:tcPr>
            <w:tcW w:w="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58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70,857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94,057</w:t>
            </w:r>
          </w:p>
        </w:tc>
        <w:tc>
          <w:tcPr>
            <w:tcW w:w="0" w:type="dxa"/>
            <w:vAlign w:val="bottom"/>
          </w:tcPr>
          <w:p>
            <w:pPr>
              <w:spacing w:after="0"/>
              <w:rPr>
                <w:sz w:val="1"/>
                <w:szCs w:val="1"/>
                <w:color w:val="auto"/>
              </w:rPr>
            </w:pP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2022</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70,857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94,057</w:t>
            </w:r>
          </w:p>
        </w:tc>
        <w:tc>
          <w:tcPr>
            <w:tcW w:w="0" w:type="dxa"/>
            <w:vAlign w:val="bottom"/>
          </w:tcPr>
          <w:p>
            <w:pPr>
              <w:spacing w:after="0"/>
              <w:rPr>
                <w:sz w:val="1"/>
                <w:szCs w:val="1"/>
                <w:color w:val="auto"/>
              </w:rPr>
            </w:pP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94,057</w:t>
            </w:r>
          </w:p>
        </w:tc>
        <w:tc>
          <w:tcPr>
            <w:tcW w:w="0" w:type="dxa"/>
            <w:vAlign w:val="bottom"/>
          </w:tcPr>
          <w:p>
            <w:pPr>
              <w:spacing w:after="0"/>
              <w:rPr>
                <w:sz w:val="1"/>
                <w:szCs w:val="1"/>
                <w:color w:val="auto"/>
              </w:rPr>
            </w:pP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2024</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70,857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94,057</w:t>
            </w:r>
          </w:p>
        </w:tc>
        <w:tc>
          <w:tcPr>
            <w:tcW w:w="0" w:type="dxa"/>
            <w:vAlign w:val="bottom"/>
          </w:tcPr>
          <w:p>
            <w:pPr>
              <w:spacing w:after="0"/>
              <w:rPr>
                <w:sz w:val="1"/>
                <w:szCs w:val="1"/>
                <w:color w:val="auto"/>
              </w:rPr>
            </w:pP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94,057</w:t>
            </w:r>
          </w:p>
        </w:tc>
        <w:tc>
          <w:tcPr>
            <w:tcW w:w="0" w:type="dxa"/>
            <w:vAlign w:val="bottom"/>
          </w:tcPr>
          <w:p>
            <w:pPr>
              <w:spacing w:after="0"/>
              <w:rPr>
                <w:sz w:val="1"/>
                <w:szCs w:val="1"/>
                <w:color w:val="auto"/>
              </w:rPr>
            </w:pPr>
          </w:p>
        </w:tc>
      </w:tr>
      <w:tr>
        <w:trPr>
          <w:trHeight w:val="18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49,601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85,840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135,441</w:t>
            </w:r>
          </w:p>
        </w:tc>
        <w:tc>
          <w:tcPr>
            <w:tcW w:w="0" w:type="dxa"/>
            <w:vAlign w:val="bottom"/>
          </w:tcPr>
          <w:p>
            <w:pPr>
              <w:spacing w:after="0"/>
              <w:rPr>
                <w:sz w:val="1"/>
                <w:szCs w:val="1"/>
                <w:color w:val="auto"/>
              </w:rPr>
            </w:pPr>
          </w:p>
        </w:tc>
      </w:tr>
      <w:tr>
        <w:trPr>
          <w:trHeight w:val="20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403,886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201,840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605,726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As of December 31, 2020, the weighted-average remaining amortization period for amortizable intangible assets was 5.8 years for developed technology and 8.8 years for customer relationships.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6. LONG-TERM DEBT</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Company’s long-term debt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Successor</w:t>
            </w:r>
          </w:p>
        </w:tc>
      </w:tr>
      <w:tr>
        <w:trPr>
          <w:trHeight w:val="183"/>
        </w:trPr>
        <w:tc>
          <w:tcPr>
            <w:tcW w:w="78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5"/>
                <w:szCs w:val="15"/>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 31, 2020</w:t>
            </w:r>
          </w:p>
        </w:tc>
        <w:tc>
          <w:tcPr>
            <w:tcW w:w="240" w:type="dxa"/>
            <w:vAlign w:val="bottom"/>
          </w:tcPr>
          <w:p>
            <w:pPr>
              <w:spacing w:after="0"/>
              <w:rPr>
                <w:sz w:val="15"/>
                <w:szCs w:val="15"/>
                <w:color w:val="auto"/>
              </w:rPr>
            </w:pPr>
          </w:p>
        </w:tc>
        <w:tc>
          <w:tcPr>
            <w:tcW w:w="1420" w:type="dxa"/>
            <w:vAlign w:val="bottom"/>
          </w:tcPr>
          <w:p>
            <w:pPr>
              <w:jc w:val="right"/>
              <w:ind w:right="308"/>
              <w:spacing w:after="0"/>
              <w:rPr>
                <w:sz w:val="20"/>
                <w:szCs w:val="20"/>
                <w:color w:val="auto"/>
              </w:rPr>
            </w:pPr>
            <w:r>
              <w:rPr>
                <w:rFonts w:ascii="Arial" w:cs="Arial" w:eastAsia="Arial" w:hAnsi="Arial"/>
                <w:sz w:val="14"/>
                <w:szCs w:val="14"/>
                <w:b w:val="1"/>
                <w:bCs w:val="1"/>
                <w:color w:val="auto"/>
              </w:rPr>
              <w:t>Dec. 31, 2019</w:t>
            </w:r>
          </w:p>
        </w:tc>
      </w:tr>
      <w:tr>
        <w:trPr>
          <w:trHeight w:val="183"/>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Credit facility</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412,373</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299,250</w:t>
            </w:r>
          </w:p>
        </w:tc>
      </w:tr>
      <w:tr>
        <w:trPr>
          <w:trHeight w:val="18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Unamortized debt discount and issuance costs</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(11,803)</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(8,017)</w:t>
            </w:r>
          </w:p>
        </w:tc>
      </w:tr>
      <w:tr>
        <w:trPr>
          <w:trHeight w:val="20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400,570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291,233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Current portion of long-term debt</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w:t>
            </w:r>
          </w:p>
        </w:tc>
      </w:tr>
      <w:tr>
        <w:trPr>
          <w:trHeight w:val="20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long-term-debt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396,400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288,233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368300</wp:posOffset>
            </wp:positionV>
            <wp:extent cx="8255" cy="1200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368300</wp:posOffset>
            </wp:positionV>
            <wp:extent cx="8890" cy="1200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89</w:t>
      </w:r>
    </w:p>
    <w:p>
      <w:pPr>
        <w:sectPr>
          <w:pgSz w:w="11900" w:h="16838" w:orient="portrait"/>
          <w:cols w:equalWidth="0" w:num="3">
            <w:col w:w="4580" w:space="540"/>
            <w:col w:w="1040" w:space="360"/>
            <w:col w:w="4720"/>
          </w:cols>
          <w:pgMar w:left="320" w:top="1323"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6"/>
          <w:szCs w:val="16"/>
          <w:color w:val="auto"/>
        </w:rPr>
        <w:t>Maturities of long-term debt for each of the next five years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4,170</w:t>
            </w:r>
          </w:p>
        </w:tc>
      </w:tr>
      <w:tr>
        <w:trPr>
          <w:trHeight w:val="189"/>
        </w:trPr>
        <w:tc>
          <w:tcPr>
            <w:tcW w:w="9600" w:type="dxa"/>
            <w:vAlign w:val="bottom"/>
          </w:tcPr>
          <w:p>
            <w:pPr>
              <w:ind w:left="20"/>
              <w:spacing w:after="0"/>
              <w:rPr>
                <w:sz w:val="20"/>
                <w:szCs w:val="20"/>
                <w:color w:val="auto"/>
              </w:rPr>
            </w:pPr>
            <w:r>
              <w:rPr>
                <w:rFonts w:ascii="Arial" w:cs="Arial" w:eastAsia="Arial" w:hAnsi="Arial"/>
                <w:sz w:val="14"/>
                <w:szCs w:val="14"/>
                <w:color w:val="auto"/>
              </w:rPr>
              <w:t>2022</w:t>
            </w: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4,170</w:t>
            </w:r>
          </w:p>
        </w:tc>
      </w:tr>
      <w:tr>
        <w:trPr>
          <w:trHeight w:val="18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4,170</w:t>
            </w:r>
          </w:p>
        </w:tc>
      </w:tr>
      <w:tr>
        <w:trPr>
          <w:trHeight w:val="189"/>
        </w:trPr>
        <w:tc>
          <w:tcPr>
            <w:tcW w:w="9600" w:type="dxa"/>
            <w:vAlign w:val="bottom"/>
          </w:tcPr>
          <w:p>
            <w:pPr>
              <w:ind w:left="20"/>
              <w:spacing w:after="0"/>
              <w:rPr>
                <w:sz w:val="20"/>
                <w:szCs w:val="20"/>
                <w:color w:val="auto"/>
              </w:rPr>
            </w:pPr>
            <w:r>
              <w:rPr>
                <w:rFonts w:ascii="Arial" w:cs="Arial" w:eastAsia="Arial" w:hAnsi="Arial"/>
                <w:sz w:val="14"/>
                <w:szCs w:val="14"/>
                <w:color w:val="auto"/>
              </w:rPr>
              <w:t>2024</w:t>
            </w: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4,170</w:t>
            </w:r>
          </w:p>
        </w:tc>
      </w:tr>
      <w:tr>
        <w:trPr>
          <w:trHeight w:val="18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5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395,693</w:t>
            </w:r>
          </w:p>
        </w:tc>
      </w:tr>
      <w:tr>
        <w:trPr>
          <w:trHeight w:val="183"/>
        </w:trPr>
        <w:tc>
          <w:tcPr>
            <w:tcW w:w="96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412,373</w:t>
            </w:r>
          </w:p>
        </w:tc>
      </w:tr>
      <w:tr>
        <w:trPr>
          <w:trHeight w:val="20"/>
        </w:trPr>
        <w:tc>
          <w:tcPr>
            <w:tcW w:w="9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Successor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3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On September 13, 2019, in connection with the Acquisition, Norvax, or the Borrower, entered into a first lien credit agreement (the “Credit Agreement”) which provides for the following:</w:t>
      </w:r>
    </w:p>
    <w:p>
      <w:pPr>
        <w:spacing w:after="0" w:line="195"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$300.0 million aggregate principal amount senior secured term loan facility, or the “Term Loan Facility”; and</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$30.0 million aggregate principal amount senior secured revolving credit facility, or the “Revolving Credit Facility".</w:t>
      </w:r>
    </w:p>
    <w:p>
      <w:pPr>
        <w:spacing w:after="0" w:line="221" w:lineRule="exact"/>
        <w:rPr>
          <w:sz w:val="20"/>
          <w:szCs w:val="20"/>
          <w:color w:val="auto"/>
        </w:rPr>
      </w:pPr>
    </w:p>
    <w:p>
      <w:pPr>
        <w:jc w:val="both"/>
        <w:ind w:right="600"/>
        <w:spacing w:after="0" w:line="253" w:lineRule="auto"/>
        <w:rPr>
          <w:sz w:val="20"/>
          <w:szCs w:val="20"/>
          <w:color w:val="auto"/>
        </w:rPr>
      </w:pPr>
      <w:r>
        <w:rPr>
          <w:rFonts w:ascii="Arial" w:cs="Arial" w:eastAsia="Arial" w:hAnsi="Arial"/>
          <w:sz w:val="16"/>
          <w:szCs w:val="16"/>
          <w:color w:val="auto"/>
        </w:rPr>
        <w:t>On March 20, 2020, the Company entered into an amendment to the Credit Agreement, which provided $117.0 million of incremental term loans (the “Incremental Term Loan Facility”). On March 23, 2020, the Company issued 6,667 of GHH, LLC Class B common units to a lender that is party to the Company’s Credit Agreement for $10.0 million in proceeds.</w:t>
      </w:r>
    </w:p>
    <w:p>
      <w:pPr>
        <w:spacing w:after="0" w:line="20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On May 7, 2020, the Company entered into a second amendment to the Credit Agreement, which provided $20.0 million of incremental revolving credit (the “Incremental Revolving Credit Facility”).</w:t>
      </w:r>
    </w:p>
    <w:p>
      <w:pPr>
        <w:spacing w:after="0" w:line="195"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On June 11, 2020, the Company entered into a third amendment to the Credit Agreement, which provided $8.0 million of incremental revolving credit (the “Incremental No. 3 Revolving Credit Facility”).</w:t>
      </w:r>
    </w:p>
    <w:p>
      <w:pPr>
        <w:spacing w:after="0" w:line="19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Company collectively refers to the Term Loan Facility, the Revolving Credit Facility, the Incremental Term Loan Facility, the Incremental Revolving Credit Facility, and the Incremental No. 3 Revolving Credit Facility as the “Credit Facilities”.</w:t>
      </w:r>
    </w:p>
    <w:p>
      <w:pPr>
        <w:spacing w:after="0" w:line="19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Company incurred $9.3 million, $6.0 million, $0.2 million and $0.1 million of debt issuance costs associated with the Term Loan Facility, the Incremental Term Loan Facility, the Incremental Revolving Credit Facility and the Incremental No. 3 Revolving Credit Facility, respectively, which are being amortized over the life of the debt to interest expense using the effective interest method.</w:t>
      </w:r>
    </w:p>
    <w:p>
      <w:pPr>
        <w:spacing w:after="0" w:line="201" w:lineRule="exact"/>
        <w:rPr>
          <w:sz w:val="20"/>
          <w:szCs w:val="20"/>
          <w:color w:val="auto"/>
        </w:rPr>
      </w:pPr>
    </w:p>
    <w:p>
      <w:pPr>
        <w:jc w:val="both"/>
        <w:ind w:right="60"/>
        <w:spacing w:after="0" w:line="251" w:lineRule="auto"/>
        <w:rPr>
          <w:sz w:val="20"/>
          <w:szCs w:val="20"/>
          <w:color w:val="auto"/>
        </w:rPr>
      </w:pPr>
      <w:r>
        <w:rPr>
          <w:rFonts w:ascii="Arial" w:cs="Arial" w:eastAsia="Arial" w:hAnsi="Arial"/>
          <w:sz w:val="16"/>
          <w:szCs w:val="16"/>
          <w:color w:val="auto"/>
        </w:rPr>
        <w:t>As of December 31, 2020, the Company had a principal amount of $296.3 million and $116.1 million outstanding on the Term Loan Facility and Incremental Term Loan Facility, respectively. The effective interest rate was 7.5% and 8.4% at December 31, 2020 and December 31, 2019, respectively. The Company had no amounts outstanding on the Revolving Credit Facility, Incremental Revolving Credit Facility, or Incremental No. 3 Revolving Credit Facility, which had a remaining capacity of $58.0 million in the aggregate as of December 31, 2020.</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Rates and Fees</w:t>
      </w:r>
    </w:p>
    <w:p>
      <w:pPr>
        <w:spacing w:after="0" w:line="237"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Borrowings under the Credit Facilities are, at the option of the Borrower, either alternate base rate (“ABR”) loans or LIBOR loans. Term loans and revolving loans comprising each ABR borrowing under the Term Loan Facility accrue interest at the ABR plus an applicable rate of 5.50% per annum. Term loans and revolving loans comprising each LIBOR borrowing bear interest at the LIBOR plus an applicable rate of 6.50% per annum.</w:t>
      </w:r>
    </w:p>
    <w:p>
      <w:pPr>
        <w:spacing w:after="0" w:line="20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addition to paying interest on the principal amounts outstanding under the Credit Facilities, the Borrower is required to pay a commitment fee of 0.50% per annum under the Revolving Credit Facility, Incremental Revolving Credit Facility, and Incremental No. 3 Revolving Credit Facility in respect of the unutilized commitments thereunder. The Borrower is also subject to customary letter of credit and agency fees.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Mandatory Prepayments</w:t>
      </w:r>
    </w:p>
    <w:p>
      <w:pPr>
        <w:spacing w:after="0" w:line="237"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The Credit Agreement requires that the Borrower, following the end of each fiscal year, commencing with the fiscal year ended December 31, 2020, repay the outstanding principal amount of all term loans under the Credit Facilities in an aggregate amount equal to (A) 50.0% of the excess cash flow of the Borrower and its restricted subsidiaries for such fiscal year if the Total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297815</wp:posOffset>
            </wp:positionV>
            <wp:extent cx="8255" cy="1200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297815</wp:posOffset>
            </wp:positionV>
            <wp:extent cx="8890" cy="1200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90</w:t>
      </w:r>
    </w:p>
    <w:p>
      <w:pPr>
        <w:sectPr>
          <w:pgSz w:w="11900" w:h="16838" w:orient="portrait"/>
          <w:cols w:equalWidth="0" w:num="3">
            <w:col w:w="4580" w:space="540"/>
            <w:col w:w="1040" w:space="360"/>
            <w:col w:w="4720"/>
          </w:cols>
          <w:pgMar w:left="320" w:top="1343" w:right="339" w:bottom="1440" w:gutter="0" w:footer="0" w:header="0"/>
          <w:type w:val="continuous"/>
        </w:sectPr>
      </w:pPr>
    </w:p>
    <w:bookmarkStart w:id="93" w:name="page94"/>
    <w:bookmarkEnd w:id="93"/>
    <w:p>
      <w:pPr>
        <w:ind w:right="260"/>
        <w:spacing w:after="0" w:line="246" w:lineRule="auto"/>
        <w:rPr>
          <w:sz w:val="20"/>
          <w:szCs w:val="20"/>
          <w:color w:val="auto"/>
        </w:rPr>
      </w:pPr>
      <w:r>
        <w:rPr>
          <w:rFonts w:ascii="Arial" w:cs="Arial" w:eastAsia="Arial" w:hAnsi="Arial"/>
          <w:sz w:val="16"/>
          <w:szCs w:val="16"/>
          <w:color w:val="auto"/>
        </w:rPr>
        <w:t>Leverage Ratio (as defined in the Credit Agreement) is greater than 4.50:1.00, which percentage is reduced to 25% if the Total Net Leverage Ratio is less than or equal to 4.50:1.00 and greater than 4.00:1.00, which percentage is further reduced to 0% if the Total Net Leverage Ratio is less than or equal to</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4.00:1.00, minus (B) at the option of the Borrower, (x) the aggregate amount of certain voluntary prepayments of term loans under the Credit Agreement during such fiscal year or after year-end and prior to the time such Excess Cash Flow prepayment is due, (y) the aggregate principal amount of any voluntary prepayments of indebtedness under pari passu incremental facilities, incremental equivalent debt and/or certain refinancing indebtedness, made during such fiscal year or after such fiscal year and prior to the time such prepayment is due.</w:t>
      </w:r>
    </w:p>
    <w:p>
      <w:pPr>
        <w:spacing w:after="0" w:line="20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Credit Agreement requires the Borrower to repay amounts equal to 100% of the net cash proceeds of certain asset sales or other dispositions of property (including insurance and condemnation proceeds); provided, that, in the case of any prepayment events required in connection with certain dispositions and casualty events, if the net proceeds therefrom are invested (or committed to be invested) within 12 months after the receipt of such net proceeds, then no prepayment shall be required except to the extent such net proceeds have not been so invested (or committed to be invested) by the end of such 12-month period.</w:t>
      </w:r>
    </w:p>
    <w:p>
      <w:pPr>
        <w:spacing w:after="0" w:line="203"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color w:val="auto"/>
        </w:rPr>
        <w:t>The Credit Agreement requires 100% of the net proceeds from the issuance or incurrence of certain indebtedness to be applied to prepay the term loans under the Term Loan Facility and the Incremental Term Loan Facility, except to the extent the indebtedness constitutes refinancing indebtedness. For the twelve months ended December 31, 2020, the Company did not incur any mandatory prepayments.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Voluntary Prepayment</w:t>
      </w:r>
    </w:p>
    <w:p>
      <w:pPr>
        <w:spacing w:after="0" w:line="23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Borrower may voluntarily prepay outstanding borrowings under the Credit Facilities at any time in whole or in part without premium or penalty; provided, that, with respect to voluntary prepayments of the Term Loan Facility and the Incremental Term Loan Facility and in certain other circumstances, the Borrower may have to pay a prepayment premium.</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Amortization and Final Maturity</w:t>
      </w:r>
    </w:p>
    <w:p>
      <w:pPr>
        <w:spacing w:after="0" w:line="23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Term Loan Facility and Incremental Term Loan Facility are payable in quarterly installments in the principal amount of 0.25% of the original principal amount. The remaining unpaid balance on the Term Loan Facility and Incremental Term Loan Facility, together with all accrued and unpaid interest thereon, is due and payable on or prior to September 13, 2025. Outstanding borrowings under the Revolving Credit Facility, the Incremental Revolving Credit Facility and the Incremental No. 3 Revolving Credit Facility do not amortize and are due and payable on September 13, 2024.</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Guarantees and Security</w:t>
      </w:r>
    </w:p>
    <w:p>
      <w:pPr>
        <w:spacing w:after="0" w:line="23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Borrower’s obligations under the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Covenants and Other Matters</w:t>
      </w:r>
    </w:p>
    <w:p>
      <w:pPr>
        <w:spacing w:after="0" w:line="237"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Credit Agreement contains a number of covenants that, among other things and subject to certain exceptions, restrict the Borrower’s and its restricted subsidiaries’ ability to incur indebtedness; incur certain liens; consolidate, merge or sell or otherwise dispose of assets; make investments, loans, advances, guarantees and acquisitions; pay dividends or make other distributions on equity interests, or redeem, repurchase or retire equity interests; enter into transactions with affiliates; alter the business conducted by the Company and subsidiaries; change their fiscal year; and amend or modify governing documents. In addition, the Credit Agreement contains financial and non-financial covenants. The Company is in compliance with all covenants as of December 31, 2020.</w:t>
      </w:r>
    </w:p>
    <w:p>
      <w:pPr>
        <w:spacing w:after="0" w:line="205" w:lineRule="exact"/>
        <w:rPr>
          <w:sz w:val="20"/>
          <w:szCs w:val="20"/>
          <w:color w:val="auto"/>
        </w:rPr>
      </w:pPr>
    </w:p>
    <w:p>
      <w:pPr>
        <w:ind w:right="440"/>
        <w:spacing w:after="0" w:line="249" w:lineRule="auto"/>
        <w:rPr>
          <w:sz w:val="20"/>
          <w:szCs w:val="20"/>
          <w:color w:val="auto"/>
        </w:rPr>
      </w:pPr>
      <w:r>
        <w:rPr>
          <w:rFonts w:ascii="Arial" w:cs="Arial" w:eastAsia="Arial" w:hAnsi="Arial"/>
          <w:sz w:val="16"/>
          <w:szCs w:val="16"/>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Predecessor</w:t>
      </w:r>
    </w:p>
    <w:p>
      <w:pPr>
        <w:spacing w:after="0" w:line="24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During 2019, Norvax had a senior secured revolving credit facility (the “Predecessor Credit Facility”) with The Huntington National Bank (formerly FirstMerit Bank N.A.). In connection with the Acquisition, this facility was paid off and retired. The Predecessor Credit Facility provided for borrowings up to a maximum of $16.0 million based upon 80% of eligible trade accounts receivable, plus 40% of certain earned enrollment/commission fees. Norvax paid a variable interest rate on borrowings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298450</wp:posOffset>
            </wp:positionV>
            <wp:extent cx="8255" cy="1200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298450</wp:posOffset>
            </wp:positionV>
            <wp:extent cx="8890" cy="1200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91</w:t>
      </w:r>
    </w:p>
    <w:p>
      <w:pPr>
        <w:sectPr>
          <w:pgSz w:w="11900" w:h="16838" w:orient="portrait"/>
          <w:cols w:equalWidth="0" w:num="3">
            <w:col w:w="4580" w:space="540"/>
            <w:col w:w="1040" w:space="360"/>
            <w:col w:w="4720"/>
          </w:cols>
          <w:pgMar w:left="320" w:top="1343" w:right="339" w:bottom="1440" w:gutter="0" w:footer="0" w:header="0"/>
          <w:type w:val="continuous"/>
        </w:sectPr>
      </w:pPr>
    </w:p>
    <w:bookmarkStart w:id="94" w:name="page95"/>
    <w:bookmarkEnd w:id="94"/>
    <w:p>
      <w:pPr>
        <w:ind w:right="60"/>
        <w:spacing w:after="0" w:line="260" w:lineRule="auto"/>
        <w:rPr>
          <w:sz w:val="20"/>
          <w:szCs w:val="20"/>
          <w:color w:val="auto"/>
        </w:rPr>
      </w:pPr>
      <w:r>
        <w:rPr>
          <w:rFonts w:ascii="Arial" w:cs="Arial" w:eastAsia="Arial" w:hAnsi="Arial"/>
          <w:sz w:val="16"/>
          <w:szCs w:val="16"/>
          <w:color w:val="auto"/>
        </w:rPr>
        <w:t>at Norvax’s discretion, Prime minus 50 basis points or LIBOR plus 250 basis points. The Predecessor Credit Facility was collateralized by substantially all of the assets of Norvax and was subject to certain financial covenants.</w:t>
      </w:r>
    </w:p>
    <w:p>
      <w:pPr>
        <w:spacing w:after="0" w:line="175" w:lineRule="exact"/>
        <w:rPr>
          <w:sz w:val="20"/>
          <w:szCs w:val="20"/>
          <w:color w:val="auto"/>
        </w:rPr>
      </w:pPr>
    </w:p>
    <w:p>
      <w:pPr>
        <w:ind w:right="7040" w:firstLine="8"/>
        <w:spacing w:after="0" w:line="541" w:lineRule="auto"/>
        <w:tabs>
          <w:tab w:leader="none" w:pos="180" w:val="left"/>
        </w:tabs>
        <w:numPr>
          <w:ilvl w:val="0"/>
          <w:numId w:val="50"/>
        </w:numPr>
        <w:rPr>
          <w:rFonts w:ascii="Arial" w:cs="Arial" w:eastAsia="Arial" w:hAnsi="Arial"/>
          <w:sz w:val="16"/>
          <w:szCs w:val="16"/>
          <w:b w:val="1"/>
          <w:bCs w:val="1"/>
          <w:color w:val="0A2299"/>
        </w:rPr>
      </w:pPr>
      <w:r>
        <w:rPr>
          <w:rFonts w:ascii="Arial" w:cs="Arial" w:eastAsia="Arial" w:hAnsi="Arial"/>
          <w:sz w:val="16"/>
          <w:szCs w:val="16"/>
          <w:b w:val="1"/>
          <w:bCs w:val="1"/>
          <w:color w:val="0A2299"/>
        </w:rPr>
        <w:t xml:space="preserve">STOCKHOLDERS' EQUITY AND MEMBERS' EQUITY </w:t>
      </w:r>
      <w:r>
        <w:rPr>
          <w:rFonts w:ascii="Arial" w:cs="Arial" w:eastAsia="Arial" w:hAnsi="Arial"/>
          <w:sz w:val="16"/>
          <w:szCs w:val="16"/>
          <w:b w:val="1"/>
          <w:bCs w:val="1"/>
          <w:color w:val="000000"/>
        </w:rPr>
        <w:t>Successor</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connection with the Company’s IPO in July 2020, the Company’s Board of Directors approved an amended and restated certificate of incorporation and amended and restated bylaws. The amended and restated certificate of incorporation authorizes the issuance of up to 1,100,000 shares of Class A common stock, 690,000 shares of Class B common stock and 20,000 shares of preferred stock, each having a par value of $0.0001 per share. The number of shares of Class B common stock authorized is reduced for redemptions and forfeitures as they occur.</w:t>
      </w:r>
    </w:p>
    <w:p>
      <w:pPr>
        <w:spacing w:after="0" w:line="20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Company’s amended and restated certificate of incorporation and the GoHealth Holdings, LLC Agreement require that the Company and GoHealth Holdings, LLC at all times maintain a one-to-one ratio between the number of shares of Class A common stock issued by the Company and the number of LLC Interests owned by the Company, except as otherwise determined by the Company. Additionally, the Company’s amended and restated certificate of incorporation and the GoHealth Holdings, LLC Agreement require that the Company and GoHealth Holdings,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the Company. Only the Continuing Equity Owners and the permitted transferees of Class B common stock are permitted to hold shares of Class B common stock. Shares of Class B common stock are transferable for shares of Class A common stock only together with an equal number of LLC Interests.</w:t>
      </w:r>
    </w:p>
    <w:p>
      <w:pPr>
        <w:spacing w:after="0" w:line="20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Holders of shares of the Company’s Class A common stock are entitled to one vote for each share held of record on all matters submitted to a vote of stockholders. Each share of Class B common stock entitles its holders to one vote per share on all matters presented to the Company’s stockholders generally. Holders of shares of Class B common stock will vote together with holders of the Company’s Class A common stock as a single class on all matters presented to the Company’s stockholders for their vote or approval, except for certain amendments to the Company’s amended and restated certificate of incorporation or as otherwise required by applicable law or the amended and restated certificate of incorporation. Holders of our Class B common stock are not entitled to participate in any dividends declared by our board of directors. Under the terms of the Company’s amended and restated certificate of incorporation, the Company’s board of directors is authorized to direct the Company to issue shares of preferred stock in one or more series without stockholder approval. The Company’s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20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Continuing Equity Owners may, subject to certain exceptions, from time to time at each of their options require GoHealth Holdings, LLC to redeem all or a portion of their LLC Interests in exchange for, at the Company’s election (determined by at least two of the Company’s independent directors who are disinterested), newly-issued shares of Class A common stock on a one-for-one basis, or to the extent there is cash available from a secondary offering, a cash payment equal to a volume weighted average market price of one share of the Company’s Class A common stock for each LLC Interest so redeemed, in each case, in accordance with the terms of the GoHealth Holdings, LLC Agreement.</w:t>
      </w:r>
    </w:p>
    <w:p>
      <w:pPr>
        <w:spacing w:after="0" w:line="20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Upon the Company’s dissolution or liquidation, after payment in full of all amounts required to be paid to creditors and to the holders of preferred stock having liquidation preferences, if any,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 receiving such amount, shall not be entitled to receive any of the Company’s other assets or funds with respect to such shares of Class B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Predecessor</w:t>
      </w:r>
    </w:p>
    <w:p>
      <w:pPr>
        <w:spacing w:after="0" w:line="241"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Norvax operating agreement (“Norvax Operating Agreement”) provided for classes of units, allocation of profits and losses, distribution rights, and other member rights. The Norvax Operating Agreement allowed for equity units (Class A units and Class B units) and profits interests units (Class C units). Class A and Class B units had voting rights. Except for board of manager composition, any action taken by the Class A and Class B members required a majority of members holding the outstanding Class A and Class B units, voting together as a single class. Class C units were nonvoting and represented profit interests’ units and entailed no initial capital contribution. Members were limited in their liability to their capital contributions. Immediately prior to the Acquisition described in Note 2, “Acquisitions,” all Class B units converted to Class A units.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Distribution Rights</w:t>
      </w:r>
    </w:p>
    <w:p>
      <w:pPr>
        <w:spacing w:after="0" w:line="237"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Class A and Class B unit holders were entitled to distributions on a pro-rata basis, as approved by the board of managers. To the extent that Norvax had available cash, it distributed to each Class A and Class B unit holder a tax distribution in an amount equal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294005</wp:posOffset>
            </wp:positionV>
            <wp:extent cx="8255" cy="1200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294005</wp:posOffset>
            </wp:positionV>
            <wp:extent cx="8890" cy="1200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43"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92</w:t>
      </w:r>
    </w:p>
    <w:p>
      <w:pPr>
        <w:sectPr>
          <w:pgSz w:w="11900" w:h="16838" w:orient="portrait"/>
          <w:cols w:equalWidth="0" w:num="3">
            <w:col w:w="4580" w:space="540"/>
            <w:col w:w="1040" w:space="360"/>
            <w:col w:w="4700"/>
          </w:cols>
          <w:pgMar w:left="320" w:top="1343" w:right="359" w:bottom="1440" w:gutter="0" w:footer="0" w:header="0"/>
          <w:type w:val="continuous"/>
        </w:sectPr>
      </w:pPr>
    </w:p>
    <w:bookmarkStart w:id="95" w:name="page96"/>
    <w:bookmarkEnd w:id="95"/>
    <w:p>
      <w:pPr>
        <w:ind w:right="160"/>
        <w:spacing w:after="0" w:line="260" w:lineRule="auto"/>
        <w:rPr>
          <w:sz w:val="20"/>
          <w:szCs w:val="20"/>
          <w:color w:val="auto"/>
        </w:rPr>
      </w:pPr>
      <w:r>
        <w:rPr>
          <w:rFonts w:ascii="Arial" w:cs="Arial" w:eastAsia="Arial" w:hAnsi="Arial"/>
          <w:sz w:val="16"/>
          <w:szCs w:val="16"/>
          <w:color w:val="auto"/>
        </w:rPr>
        <w:t>to the product of the aggregate total of all taxable income allocable to the members multiplied by the tax rate. The tax rate is 45% as set forth in the Norvax Operating Agreement.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3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Each Class A and Class B unit had equal voting rights and preferences, except Norwest Equity partners (“NEP”) was granted authority to approve certain actions. The Class A and Class B unit holders also elected the members of the board of managers of Norvax.</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Anti-dilution Rights</w:t>
      </w:r>
    </w:p>
    <w:p>
      <w:pPr>
        <w:spacing w:after="0" w:line="237"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Class B units contained an anti-dilution feature that required an adjustment to the conversion ratio in the event of subsequent issuances of securities by Norvax at a price below the conversion price in effect immediately prior to each such issuance. The Class B conversion ratio could be adjusted in the event that grants of options or changes in option prices or conversion rates on convertible securities resulted in prices below the conversion price in effect immediately prior to each such grant or change.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Preference</w:t>
      </w:r>
    </w:p>
    <w:p>
      <w:pPr>
        <w:spacing w:after="0" w:line="23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Upon a liquidity event defined as: (a) sale or disposition of all or substantially all of the assets of Norvax; (b) the liquidation, dissolution or winding up of Norvax; or (c) any consolidation or merger of Norvax in which the Class A and Class B unit holders owned less than 50% of the voting power of the outstanding securities immediately after the consolidation or merger, the Class B units are first to be paid proceeds at a liquidation amount of $10.00 per unit, and from time to time, was decreased by subtracting distributions (other than tax distributions) made in respect of Class B units.</w:t>
      </w:r>
    </w:p>
    <w:p>
      <w:pPr>
        <w:spacing w:after="0" w:line="20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Upon the occurrence of a Dissolution Event, Norvax continued solely for the purposes of winding up its affairs in an orderly manner, liquidating its assets, and satisfying the claims of its creditors and members. A Dissolution Event is an event by the order of a court pursuant to Section 18-802 of the Delaware Code or by action of the members with NEP’s approval. Net income, net losses, and other items of Norvax’s income, gain, loss, or deduction was to continue to be allocated in the manner provided in the Norvax Operating Agreement. In a Dissolution Event, Class B units received the liquidation preference specified above.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Involuntary Transfer Rights</w:t>
      </w:r>
    </w:p>
    <w:p>
      <w:pPr>
        <w:spacing w:after="0" w:line="23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Upon any involuntary transfer, Norvax had the first option, and the purchase option unit holders had the subsequent options, to purchase all or any portion of the units subject to the involuntary transfer.</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Right of First Refusal</w:t>
      </w:r>
    </w:p>
    <w:p>
      <w:pPr>
        <w:spacing w:after="0" w:line="237"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A unit holder could transfer, sell, or assign any Class A or Class B units in a permitted transfer, given that Norvax first had the option to purchase the units being transferred.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Class B Put Option</w:t>
      </w:r>
    </w:p>
    <w:p>
      <w:pPr>
        <w:spacing w:after="0" w:line="23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Class B units are classified as temporary equity as they were redeemable upon exercise of the Class B put option, which was outside of Norvax’s control, for cash at a put price equal to the greater of the Class B unit fair value or their original cost. Because the Class B units were redeemable, the Company was accreting the change up to the maximum redemption amount.</w:t>
      </w:r>
    </w:p>
    <w:p>
      <w:pPr>
        <w:spacing w:after="0" w:line="201"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Immediately prior to the Acquisition described in Note 2, “Acquisitions,” Norvax adjusted NEP’s Redeemable Class B units to their full redemption amounts and were then converted to Class A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294005</wp:posOffset>
            </wp:positionV>
            <wp:extent cx="8255" cy="1200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294005</wp:posOffset>
            </wp:positionV>
            <wp:extent cx="8890" cy="1200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93</w:t>
      </w:r>
    </w:p>
    <w:p>
      <w:pPr>
        <w:sectPr>
          <w:pgSz w:w="11900" w:h="16838" w:orient="portrait"/>
          <w:cols w:equalWidth="0" w:num="3">
            <w:col w:w="4580" w:space="540"/>
            <w:col w:w="1040" w:space="360"/>
            <w:col w:w="4720"/>
          </w:cols>
          <w:pgMar w:left="320" w:top="1343"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6"/>
          <w:szCs w:val="16"/>
          <w:b w:val="1"/>
          <w:bCs w:val="1"/>
          <w:color w:val="0A2299"/>
        </w:rPr>
        <w:t>8. SHARE-BASED COMPENSATION PLANS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expense by operating function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248"/>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right"/>
              <w:ind w:right="888"/>
              <w:spacing w:after="0"/>
              <w:rPr>
                <w:sz w:val="20"/>
                <w:szCs w:val="20"/>
                <w:color w:val="auto"/>
              </w:rPr>
            </w:pPr>
            <w:r>
              <w:rPr>
                <w:rFonts w:ascii="Arial" w:cs="Arial" w:eastAsia="Arial" w:hAnsi="Arial"/>
                <w:sz w:val="14"/>
                <w:szCs w:val="14"/>
                <w:b w:val="1"/>
                <w:bCs w:val="1"/>
                <w:color w:val="auto"/>
              </w:rPr>
              <w:t>Predecessor</w:t>
            </w: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7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Twelve months ended</w:t>
            </w:r>
          </w:p>
        </w:tc>
        <w:tc>
          <w:tcPr>
            <w:tcW w:w="100" w:type="dxa"/>
            <w:vAlign w:val="bottom"/>
          </w:tcPr>
          <w:p>
            <w:pPr>
              <w:spacing w:after="0"/>
              <w:rPr>
                <w:sz w:val="12"/>
                <w:szCs w:val="12"/>
                <w:color w:val="auto"/>
              </w:rPr>
            </w:pPr>
          </w:p>
        </w:tc>
        <w:tc>
          <w:tcPr>
            <w:tcW w:w="1640" w:type="dxa"/>
            <w:vAlign w:val="bottom"/>
            <w:tcBorders>
              <w:right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Period from Sep. 13,</w:t>
            </w:r>
          </w:p>
        </w:tc>
        <w:tc>
          <w:tcPr>
            <w:tcW w:w="140" w:type="dxa"/>
            <w:vAlign w:val="bottom"/>
          </w:tcPr>
          <w:p>
            <w:pPr>
              <w:spacing w:after="0"/>
              <w:rPr>
                <w:sz w:val="12"/>
                <w:szCs w:val="12"/>
                <w:color w:val="auto"/>
              </w:rPr>
            </w:pPr>
          </w:p>
        </w:tc>
        <w:tc>
          <w:tcPr>
            <w:tcW w:w="15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Period from Jan. 1,</w:t>
            </w:r>
          </w:p>
        </w:tc>
        <w:tc>
          <w:tcPr>
            <w:tcW w:w="16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35"/>
        </w:trPr>
        <w:tc>
          <w:tcPr>
            <w:tcW w:w="44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740" w:type="dxa"/>
            <w:vAlign w:val="bottom"/>
            <w:gridSpan w:val="3"/>
            <w:vMerge w:val="continue"/>
          </w:tcPr>
          <w:p>
            <w:pPr>
              <w:spacing w:after="0"/>
              <w:rPr>
                <w:sz w:val="11"/>
                <w:szCs w:val="11"/>
                <w:color w:val="auto"/>
              </w:rPr>
            </w:pPr>
          </w:p>
        </w:tc>
        <w:tc>
          <w:tcPr>
            <w:tcW w:w="1740" w:type="dxa"/>
            <w:vAlign w:val="bottom"/>
            <w:tcBorders>
              <w:right w:val="single" w:sz="8" w:color="auto"/>
            </w:tcBorders>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2019 through Dec. 31,</w:t>
            </w:r>
          </w:p>
        </w:tc>
        <w:tc>
          <w:tcPr>
            <w:tcW w:w="17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2019 through Sep. 12,</w:t>
            </w:r>
          </w:p>
        </w:tc>
        <w:tc>
          <w:tcPr>
            <w:tcW w:w="1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40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Dec. 31, 2020</w:t>
            </w: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Dec. 31, 2018</w:t>
            </w: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 and advertising</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1,674</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1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Customer care and enrollment</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12,599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Technology</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33,085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27,059</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145,655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309</w:t>
            </w:r>
          </w:p>
        </w:tc>
        <w:tc>
          <w:tcPr>
            <w:tcW w:w="100" w:type="dxa"/>
            <w:vAlign w:val="bottom"/>
            <w:tcBorders>
              <w:bottom w:val="single" w:sz="8" w:color="CCEEFF"/>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58,327</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share-based compensation expense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216,229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448</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87,060</w:t>
            </w: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18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Successor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Profit Units</w:t>
      </w:r>
    </w:p>
    <w:p>
      <w:pPr>
        <w:spacing w:after="0" w:line="23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Effective September 13, 2019 and in conjunction with the Acquisition, the Company authorized the grants of non-voting Profit Units. The Profit Units were issued by Blizzard Management Feeder, LLC (“Feeder”), to employees on behalf of the Company. One-third of the Profit Units granted to each employee will vest in 5 equal installments on the first through fifth anniversaries of the date of grant, so long as the employee remains employed by the Company through the applicable vesting date (“Time-Vesting Units”). Two-thirds of the Profit Units granted to each individual were to vest upon a liquidity event based on certain predetermined criteria (“Performance-Vesting Units”). Following the completion of the Transactions, each of the members of Feeder directly holds common units of Feeder that correspond to the LLC Interests (and associated shares of Class B common stock on a one-for-one basis) directly held by Feeder for each such member’s benefit.</w:t>
      </w:r>
    </w:p>
    <w:p>
      <w:pPr>
        <w:spacing w:after="0" w:line="208"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Compensation expense for the Time-Vesting Units is recognized on a straight-line basis over the five-year requisite service period beginning on the grant date and will continue subsequent to the IPO. Performance-Vesting Units contain market conditions and an implied performance condition, which results in compensation cost being recognized when the performance condition is considered probable of being satisfied. Performance-Vesting Units vest upon the achievement of a contingent exit event that is defined as a transaction in which the ultimate parent disposes of all or substantially all of its investment in the Company. Such an exit event is not considered probable until it consummates.</w:t>
      </w:r>
    </w:p>
    <w:p>
      <w:pPr>
        <w:spacing w:after="0" w:line="20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June 2020, the Company modified the terms of the Performance-Vesting Units such that the performance targets were measured against the public offering price of the IPO, which resulted in a modification and remeasurement of the Performance-Vesting Units. The completion of the IPO in July 2020 satisfied the implied performance condition and triggered an accelerated vesting of all Performance-Vesting Units, which are now issued and outstanding as of the IPO. The Company recorded the related share-based compensation expense of $209.3 million in the third quarter of 2020 with a corresponding increase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299085</wp:posOffset>
            </wp:positionV>
            <wp:extent cx="8255" cy="1200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299085</wp:posOffset>
            </wp:positionV>
            <wp:extent cx="8890" cy="1200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94</w:t>
      </w:r>
    </w:p>
    <w:p>
      <w:pPr>
        <w:sectPr>
          <w:pgSz w:w="11900" w:h="16838" w:orient="portrait"/>
          <w:cols w:equalWidth="0" w:num="3">
            <w:col w:w="4580" w:space="540"/>
            <w:col w:w="1040" w:space="360"/>
            <w:col w:w="4720"/>
          </w:cols>
          <w:pgMar w:left="320" w:top="1323"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6"/>
          <w:szCs w:val="16"/>
          <w:color w:val="auto"/>
        </w:rPr>
        <w:t>A summary of the Profit Units issued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17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Time-Vesting Units</w:t>
            </w:r>
          </w:p>
        </w:tc>
        <w:tc>
          <w:tcPr>
            <w:tcW w:w="14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 Average</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Performance-Vesting</w:t>
            </w:r>
          </w:p>
        </w:tc>
        <w:tc>
          <w:tcPr>
            <w:tcW w:w="160" w:type="dxa"/>
            <w:vAlign w:val="bottom"/>
          </w:tcPr>
          <w:p>
            <w:pPr>
              <w:spacing w:after="0"/>
              <w:rPr>
                <w:sz w:val="14"/>
                <w:szCs w:val="14"/>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6"/>
        </w:trPr>
        <w:tc>
          <w:tcPr>
            <w:tcW w:w="4400" w:type="dxa"/>
            <w:vAlign w:val="bottom"/>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Grant Date Fair Value</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Units</w:t>
            </w:r>
          </w:p>
        </w:tc>
        <w:tc>
          <w:tcPr>
            <w:tcW w:w="16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Unvested units at Dec. 31, 2019</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6,667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1.39</w:t>
            </w:r>
          </w:p>
        </w:tc>
        <w:tc>
          <w:tcPr>
            <w:tcW w:w="8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13,833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Granted</w:t>
            </w:r>
          </w:p>
        </w:tc>
        <w:tc>
          <w:tcPr>
            <w:tcW w:w="1640" w:type="dxa"/>
            <w:vAlign w:val="bottom"/>
          </w:tcPr>
          <w:p>
            <w:pPr>
              <w:jc w:val="right"/>
              <w:spacing w:after="0"/>
              <w:rPr>
                <w:sz w:val="20"/>
                <w:szCs w:val="20"/>
                <w:color w:val="auto"/>
              </w:rPr>
            </w:pPr>
            <w:r>
              <w:rPr>
                <w:rFonts w:ascii="Arial" w:cs="Arial" w:eastAsia="Arial" w:hAnsi="Arial"/>
                <w:sz w:val="14"/>
                <w:szCs w:val="14"/>
                <w:color w:val="auto"/>
              </w:rPr>
              <w:t>944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2.33</w:t>
            </w: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w:t>
            </w:r>
          </w:p>
        </w:tc>
        <w:tc>
          <w:tcPr>
            <w:tcW w:w="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Unvested units at Dec. 31, 2020</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1.53</w:t>
            </w:r>
          </w:p>
        </w:tc>
        <w:tc>
          <w:tcPr>
            <w:tcW w:w="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Profit Units is determined using a Monte Carlo simulation and the following assumptions: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Twelve months ended</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Period from Sep. 13,</w:t>
            </w:r>
          </w:p>
        </w:tc>
        <w:tc>
          <w:tcPr>
            <w:tcW w:w="0" w:type="dxa"/>
            <w:vAlign w:val="bottom"/>
          </w:tcPr>
          <w:p>
            <w:pPr>
              <w:spacing w:after="0"/>
              <w:rPr>
                <w:sz w:val="1"/>
                <w:szCs w:val="1"/>
                <w:color w:val="auto"/>
              </w:rPr>
            </w:pPr>
          </w:p>
        </w:tc>
      </w:tr>
      <w:tr>
        <w:trPr>
          <w:trHeight w:val="135"/>
        </w:trPr>
        <w:tc>
          <w:tcPr>
            <w:tcW w:w="786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2019 through Dec. 31,</w:t>
            </w:r>
          </w:p>
        </w:tc>
        <w:tc>
          <w:tcPr>
            <w:tcW w:w="0" w:type="dxa"/>
            <w:vAlign w:val="bottom"/>
          </w:tcPr>
          <w:p>
            <w:pPr>
              <w:spacing w:after="0"/>
              <w:rPr>
                <w:sz w:val="1"/>
                <w:szCs w:val="1"/>
                <w:color w:val="auto"/>
              </w:rPr>
            </w:pPr>
          </w:p>
        </w:tc>
      </w:tr>
      <w:tr>
        <w:trPr>
          <w:trHeight w:val="176"/>
        </w:trPr>
        <w:tc>
          <w:tcPr>
            <w:tcW w:w="7860" w:type="dxa"/>
            <w:vAlign w:val="bottom"/>
          </w:tcPr>
          <w:p>
            <w:pPr>
              <w:spacing w:after="0"/>
              <w:rPr>
                <w:sz w:val="15"/>
                <w:szCs w:val="15"/>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 31, 2020</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Risk free interest rate</w:t>
            </w: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1.40%</w:t>
            </w:r>
          </w:p>
        </w:tc>
        <w:tc>
          <w:tcPr>
            <w:tcW w:w="10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640" w:type="dxa"/>
            <w:vAlign w:val="bottom"/>
          </w:tcPr>
          <w:p>
            <w:pPr>
              <w:jc w:val="center"/>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life (years)</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90"/>
        </w:trPr>
        <w:tc>
          <w:tcPr>
            <w:tcW w:w="786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1640" w:type="dxa"/>
            <w:vAlign w:val="bottom"/>
          </w:tcPr>
          <w:p>
            <w:pPr>
              <w:jc w:val="center"/>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The expected life was based on estimates of the likely timing of a liquidity event. Volatility was determined based on an analysis of publicly traded peers.</w:t>
      </w:r>
    </w:p>
    <w:p>
      <w:pPr>
        <w:spacing w:after="0" w:line="221"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As of December 31, 2020, there was $8.8 million of unamortized share-based compensation expense related to Time-Vesting Units and these costs are expected to be recognized over a remaining weighted average period of 3.9 years.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Incentive Award Plan</w:t>
      </w:r>
    </w:p>
    <w:p>
      <w:pPr>
        <w:spacing w:after="0" w:line="237" w:lineRule="exact"/>
        <w:rPr>
          <w:sz w:val="20"/>
          <w:szCs w:val="20"/>
          <w:color w:val="auto"/>
        </w:rPr>
      </w:pPr>
    </w:p>
    <w:p>
      <w:pPr>
        <w:ind w:right="300"/>
        <w:spacing w:after="0" w:line="249" w:lineRule="auto"/>
        <w:rPr>
          <w:sz w:val="20"/>
          <w:szCs w:val="20"/>
          <w:color w:val="auto"/>
        </w:rPr>
      </w:pPr>
      <w:r>
        <w:rPr>
          <w:rFonts w:ascii="Arial" w:cs="Arial" w:eastAsia="Arial" w:hAnsi="Arial"/>
          <w:sz w:val="16"/>
          <w:szCs w:val="16"/>
          <w:color w:val="auto"/>
        </w:rPr>
        <w:t>On July 7, 2020, the Company adopted the 2020 Incentive Award Plan, which became effective on July 14, 2020, under which 6,465 shares of the Company’s Class A common stock are initially reserved for issuance. The number of shares initially available for issuance will be increased by an annual increase on January 1 of each calendar year beginning in 2021 and ending in and including 2030, equal to the lesser of (A) 5% of the shares of the Company’s Class A common stock outstanding on the final day of the immediately preceding calendar year and (B) a smaller number of shares as determined by the Company’s board of directors. In February 2021, the Company’s board of directors approved the increase of 4,210 shares to the 2020 Incentive Award Plan.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Restricted Stock Units</w:t>
      </w:r>
    </w:p>
    <w:p>
      <w:pPr>
        <w:spacing w:after="0" w:line="237"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In connection with the IPO and pursuant to the 2020 Incentive Award Plan, the Company granted to its employees and non-employee directors 304 shares of Class A common stock issuable pursuant to RSUs. The Company measures expense for RSUs based on the fair value of the awards on the grant date. The Company recognizes the grant date fair value of RSUs as compensation expense on a straight-line basis over the requisite service period of each award, which is generally four years.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RSUs issued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164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RSUs</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5"/>
        </w:trPr>
        <w:tc>
          <w:tcPr>
            <w:tcW w:w="7860" w:type="dxa"/>
            <w:vAlign w:val="bottom"/>
            <w:tcBorders>
              <w:bottom w:val="single" w:sz="8" w:color="CCEEFF"/>
            </w:tcBorders>
            <w:vMerge w:val="continue"/>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9"/>
              </w:rPr>
              <w:t>Grant Date Fair Value</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Unvested units at Dec. 31, 2019</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Granted</w:t>
            </w:r>
          </w:p>
        </w:tc>
        <w:tc>
          <w:tcPr>
            <w:tcW w:w="164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20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Unvested units at Dec. 31, 2020</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Stock Options</w:t>
      </w:r>
    </w:p>
    <w:p>
      <w:pPr>
        <w:spacing w:after="0" w:line="23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In connection with the IPO and pursuant to the 2020 Incentive Award Plan, the Company granted to its employees 2,432 shares of Class A common stock issuable pursuant to stock options. The Company measures expense for stock options based on the fair value of the awards on the grant date. The Company recognizes the grant date fair value of stock options as compensation expense on a straight-line basis over the requisite service period of each award, which is generally three to four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298450</wp:posOffset>
            </wp:positionV>
            <wp:extent cx="8255" cy="1200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298450</wp:posOffset>
            </wp:positionV>
            <wp:extent cx="8890" cy="1200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95</w:t>
      </w:r>
    </w:p>
    <w:p>
      <w:pPr>
        <w:sectPr>
          <w:pgSz w:w="11900" w:h="16838" w:orient="portrait"/>
          <w:cols w:equalWidth="0" w:num="3">
            <w:col w:w="4580" w:space="540"/>
            <w:col w:w="1040" w:space="360"/>
            <w:col w:w="4720"/>
          </w:cols>
          <w:pgMar w:left="320" w:top="1343"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6"/>
          <w:szCs w:val="16"/>
          <w:color w:val="auto"/>
        </w:rPr>
        <w:t>A summary of the stock options issued to employees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Weighted Average</w:t>
            </w:r>
          </w:p>
        </w:tc>
        <w:tc>
          <w:tcPr>
            <w:tcW w:w="1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5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442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16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Stock Options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 Contractual</w:t>
            </w:r>
          </w:p>
        </w:tc>
        <w:tc>
          <w:tcPr>
            <w:tcW w:w="1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420" w:type="dxa"/>
            <w:vAlign w:val="bottom"/>
            <w:tcBorders>
              <w:bottom w:val="single" w:sz="8" w:color="CCEEFF"/>
            </w:tcBorders>
            <w:vMerge w:val="continue"/>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Grant Date Fair Value</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(Years)</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Value (1)</w:t>
            </w:r>
          </w:p>
        </w:tc>
        <w:tc>
          <w:tcPr>
            <w:tcW w:w="0" w:type="dxa"/>
            <w:vAlign w:val="bottom"/>
          </w:tcPr>
          <w:p>
            <w:pPr>
              <w:spacing w:after="0"/>
              <w:rPr>
                <w:sz w:val="1"/>
                <w:szCs w:val="1"/>
                <w:color w:val="auto"/>
              </w:rPr>
            </w:pPr>
          </w:p>
        </w:tc>
      </w:tr>
      <w:tr>
        <w:trPr>
          <w:trHeight w:val="183"/>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at Dec. 31, 2019</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CCEEFF"/>
          </w:tcPr>
          <w:p>
            <w:pPr>
              <w:ind w:left="12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Granted</w:t>
            </w:r>
          </w:p>
        </w:tc>
        <w:tc>
          <w:tcPr>
            <w:tcW w:w="1640" w:type="dxa"/>
            <w:vAlign w:val="bottom"/>
          </w:tcPr>
          <w:p>
            <w:pPr>
              <w:jc w:val="right"/>
              <w:spacing w:after="0"/>
              <w:rPr>
                <w:sz w:val="20"/>
                <w:szCs w:val="20"/>
                <w:color w:val="auto"/>
              </w:rPr>
            </w:pPr>
            <w:r>
              <w:rPr>
                <w:rFonts w:ascii="Arial" w:cs="Arial" w:eastAsia="Arial" w:hAnsi="Arial"/>
                <w:sz w:val="14"/>
                <w:szCs w:val="14"/>
                <w:color w:val="auto"/>
              </w:rPr>
              <w:t>2,432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at Dec. 31, 2020</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10.88</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CCEEFF"/>
          </w:tcPr>
          <w:p>
            <w:pPr>
              <w:ind w:left="12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Exercisable at Dec. 31, 2020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0.0</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ind w:left="12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left="660" w:right="20" w:hanging="328"/>
        <w:spacing w:after="0" w:line="260" w:lineRule="auto"/>
        <w:tabs>
          <w:tab w:leader="none" w:pos="647"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The aggregate intrinsic value is calculated as the product between the Company’s closing stock price as of December 31, 2020 and the exercise price of in-the-money options, multiplied by the number of stock options outstanding as of December 31, 2020. At December 31, 2020, the aggregate intrinsic value of the outstanding stock options was zero.</w:t>
      </w:r>
    </w:p>
    <w:p>
      <w:pPr>
        <w:spacing w:after="0" w:line="190"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The fair value of stock options with a requisite service period of three to four years is determined using the Black-Scholes option pricing model using the following ranges of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Borders>
              <w:bottom w:val="single" w:sz="8" w:color="CCEEFF"/>
            </w:tcBorders>
          </w:tcPr>
          <w:p>
            <w:pPr>
              <w:spacing w:after="0"/>
              <w:rPr>
                <w:sz w:val="16"/>
                <w:szCs w:val="16"/>
                <w:color w:val="auto"/>
              </w:rPr>
            </w:pPr>
          </w:p>
        </w:tc>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Twelve months ended Dec. 31, 2020</w:t>
            </w:r>
          </w:p>
        </w:tc>
      </w:tr>
      <w:tr>
        <w:trPr>
          <w:trHeight w:val="183"/>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 free interest rate</w:t>
            </w:r>
          </w:p>
        </w:tc>
        <w:tc>
          <w:tcPr>
            <w:tcW w:w="1400" w:type="dxa"/>
            <w:vAlign w:val="bottom"/>
            <w:shd w:val="clear" w:color="auto" w:fill="CCEEFF"/>
          </w:tcPr>
          <w:p>
            <w:pPr>
              <w:jc w:val="center"/>
              <w:ind w:left="188"/>
              <w:spacing w:after="0"/>
              <w:rPr>
                <w:sz w:val="20"/>
                <w:szCs w:val="20"/>
                <w:color w:val="auto"/>
              </w:rPr>
            </w:pPr>
            <w:r>
              <w:rPr>
                <w:rFonts w:ascii="Arial" w:cs="Arial" w:eastAsia="Arial" w:hAnsi="Arial"/>
                <w:sz w:val="14"/>
                <w:szCs w:val="14"/>
                <w:color w:val="auto"/>
              </w:rPr>
              <w:t>0.39%</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rPr>
              <w:t>0.42%</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400" w:type="dxa"/>
            <w:vAlign w:val="bottom"/>
          </w:tcPr>
          <w:p>
            <w:pPr>
              <w:jc w:val="center"/>
              <w:ind w:left="188"/>
              <w:spacing w:after="0"/>
              <w:rPr>
                <w:sz w:val="20"/>
                <w:szCs w:val="20"/>
                <w:color w:val="auto"/>
              </w:rPr>
            </w:pPr>
            <w:r>
              <w:rPr>
                <w:rFonts w:ascii="Arial" w:cs="Arial" w:eastAsia="Arial" w:hAnsi="Arial"/>
                <w:sz w:val="14"/>
                <w:szCs w:val="14"/>
                <w:color w:val="auto"/>
              </w:rPr>
              <w:t>51.6%</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right="188"/>
              <w:spacing w:after="0"/>
              <w:rPr>
                <w:sz w:val="20"/>
                <w:szCs w:val="20"/>
                <w:color w:val="auto"/>
              </w:rPr>
            </w:pPr>
            <w:r>
              <w:rPr>
                <w:rFonts w:ascii="Arial" w:cs="Arial" w:eastAsia="Arial" w:hAnsi="Arial"/>
                <w:sz w:val="14"/>
                <w:szCs w:val="14"/>
                <w:color w:val="auto"/>
              </w:rPr>
              <w:t>52.5%</w:t>
            </w:r>
          </w:p>
        </w:tc>
      </w:tr>
      <w:tr>
        <w:trPr>
          <w:trHeight w:val="189"/>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life (years)</w:t>
            </w:r>
          </w:p>
        </w:tc>
        <w:tc>
          <w:tcPr>
            <w:tcW w:w="1400" w:type="dxa"/>
            <w:vAlign w:val="bottom"/>
            <w:shd w:val="clear" w:color="auto" w:fill="CCEEFF"/>
          </w:tcPr>
          <w:p>
            <w:pPr>
              <w:jc w:val="center"/>
              <w:ind w:left="208"/>
              <w:spacing w:after="0"/>
              <w:rPr>
                <w:sz w:val="20"/>
                <w:szCs w:val="20"/>
                <w:color w:val="auto"/>
              </w:rPr>
            </w:pPr>
            <w:r>
              <w:rPr>
                <w:rFonts w:ascii="Arial" w:cs="Arial" w:eastAsia="Arial" w:hAnsi="Arial"/>
                <w:sz w:val="14"/>
                <w:szCs w:val="14"/>
                <w:color w:val="auto"/>
              </w:rPr>
              <w:t>6.00</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CCEEFF"/>
          </w:tcPr>
          <w:p>
            <w:pPr>
              <w:jc w:val="center"/>
              <w:ind w:right="208"/>
              <w:spacing w:after="0"/>
              <w:rPr>
                <w:sz w:val="20"/>
                <w:szCs w:val="20"/>
                <w:color w:val="auto"/>
              </w:rPr>
            </w:pPr>
            <w:r>
              <w:rPr>
                <w:rFonts w:ascii="Arial" w:cs="Arial" w:eastAsia="Arial" w:hAnsi="Arial"/>
                <w:sz w:val="14"/>
                <w:szCs w:val="14"/>
                <w:color w:val="auto"/>
              </w:rPr>
              <w:t>6.25</w:t>
            </w:r>
          </w:p>
        </w:tc>
      </w:tr>
      <w:tr>
        <w:trPr>
          <w:trHeight w:val="190"/>
        </w:trPr>
        <w:tc>
          <w:tcPr>
            <w:tcW w:w="756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1400" w:type="dxa"/>
            <w:vAlign w:val="bottom"/>
          </w:tcPr>
          <w:p>
            <w:pPr>
              <w:jc w:val="center"/>
              <w:ind w:left="188"/>
              <w:spacing w:after="0"/>
              <w:rPr>
                <w:sz w:val="20"/>
                <w:szCs w:val="20"/>
                <w:color w:val="auto"/>
              </w:rPr>
            </w:pPr>
            <w:r>
              <w:rPr>
                <w:rFonts w:ascii="Arial" w:cs="Arial" w:eastAsia="Arial" w:hAnsi="Arial"/>
                <w:sz w:val="14"/>
                <w:szCs w:val="14"/>
                <w:color w:val="auto"/>
              </w:rPr>
              <w:t>0.0%</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right="188"/>
              <w:spacing w:after="0"/>
              <w:rPr>
                <w:sz w:val="20"/>
                <w:szCs w:val="20"/>
                <w:color w:val="auto"/>
              </w:rPr>
            </w:pPr>
            <w:r>
              <w:rPr>
                <w:rFonts w:ascii="Arial" w:cs="Arial" w:eastAsia="Arial" w:hAnsi="Arial"/>
                <w:sz w:val="14"/>
                <w:szCs w:val="14"/>
                <w:color w:val="auto"/>
              </w:rPr>
              <w:t>0.0%</w:t>
            </w:r>
          </w:p>
        </w:tc>
      </w:tr>
    </w:tbl>
    <w:p>
      <w:pPr>
        <w:spacing w:after="0" w:line="297"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As of December 31, 2020, there was $26.7 million of unamortized share-based compensation expense related to RSUs and stock options and these costs are expected to be recognized over a remaining weighted average period of 2.9 years.</w:t>
      </w:r>
    </w:p>
    <w:p>
      <w:pPr>
        <w:spacing w:after="0" w:line="195"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On July 7, 2020, the Company adopted the 2020 Employee Stock Purchase Plan (“ESPP”), which became effective on the same date, under which 808 shares of the Company’s Class A common stock will be initially reserved for issuance. In addition, the number of shares available for issuance under the ESPP will be annually increased on January 1 of each calendar year beginning in 2021 and ending in 2030, by an amount equal to the lesser of: (i) 1% of the aggregate number of shares of the Company’s Class A common stock outstanding on the final day of the immediately preceding calendar year and (ii) such smaller number of shares as is determined by the Company’s board of directors. In February 2021, the Company’s board of directors approved the increase of 842 shares to the ESPP.</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Predecessor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Class C Incentive Plan</w:t>
      </w:r>
    </w:p>
    <w:p>
      <w:pPr>
        <w:spacing w:after="0" w:line="23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Norvax had a Class C Incentive Plan (the “Class C Plan”), which Norvax accounted for as a liability award. Class C units granted under the plan represented profit interests’ units and entailed no initial capital contribution. Class C units had no voting rights.</w:t>
      </w:r>
    </w:p>
    <w:p>
      <w:pPr>
        <w:spacing w:after="0" w:line="19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On September 13, 2019, GoHealth Holdings, LLC acquired a 100% interest in Norvax. Per the Class C Plan, all eligible unvested units became vested and the Company recorded $73.9 million of compensation expense in the Predecessor 2019 Period.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Incentive Share Plan</w:t>
      </w:r>
    </w:p>
    <w:p>
      <w:pPr>
        <w:spacing w:after="0" w:line="23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Norvax had an Incentive Share Plan, which Norvax accounted for as a liability award. The plan consisted of incentive share grants made to employees that provided for cash payments to participants upon the occurrence of a triggering event. Triggering events included a change in control or an employee’s involuntary termination without cause. In the event of a change in control, the triggering event value per share was the average per share purchase price of the common stock giving rise to such change in control.</w:t>
      </w:r>
    </w:p>
    <w:p>
      <w:pPr>
        <w:spacing w:after="0" w:line="202" w:lineRule="exact"/>
        <w:rPr>
          <w:sz w:val="20"/>
          <w:szCs w:val="20"/>
          <w:color w:val="auto"/>
        </w:rPr>
      </w:pPr>
    </w:p>
    <w:p>
      <w:pPr>
        <w:jc w:val="both"/>
        <w:ind w:right="340"/>
        <w:spacing w:after="0" w:line="253" w:lineRule="auto"/>
        <w:rPr>
          <w:sz w:val="20"/>
          <w:szCs w:val="20"/>
          <w:color w:val="auto"/>
        </w:rPr>
      </w:pPr>
      <w:r>
        <w:rPr>
          <w:rFonts w:ascii="Arial" w:cs="Arial" w:eastAsia="Arial" w:hAnsi="Arial"/>
          <w:sz w:val="16"/>
          <w:szCs w:val="16"/>
          <w:color w:val="auto"/>
        </w:rPr>
        <w:t>On September 13, 2019, GHH, LLC acquired a 100% interest in Norvax. Per the Incentive Share Plan, a change in control triggering event occurred and employees granted incentive shares under this plan became eligible for cash payments and as a result, the Company recorded $13.1 million in incentive share expense in the Predecessor 2019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306705</wp:posOffset>
            </wp:positionV>
            <wp:extent cx="8255" cy="1200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306705</wp:posOffset>
            </wp:positionV>
            <wp:extent cx="8890" cy="1200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126365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96</w:t>
      </w:r>
    </w:p>
    <w:p>
      <w:pPr>
        <w:sectPr>
          <w:pgSz w:w="11900" w:h="16838" w:orient="portrait"/>
          <w:cols w:equalWidth="0" w:num="3">
            <w:col w:w="4580" w:space="540"/>
            <w:col w:w="1040" w:space="360"/>
            <w:col w:w="4720"/>
          </w:cols>
          <w:pgMar w:left="320" w:top="1343"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6"/>
          <w:szCs w:val="16"/>
          <w:b w:val="1"/>
          <w:bCs w:val="1"/>
          <w:color w:val="0A2299"/>
        </w:rPr>
        <w:t>9. NET LOSS PER SHARE</w:t>
      </w:r>
    </w:p>
    <w:p>
      <w:pPr>
        <w:spacing w:after="0" w:line="241"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Basic loss per share is computed by dividing net loss attributable to GoHealth,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20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Prior to the IPO, the GHH, LLC membership structure included Preferred units, Senior Preferred Earnout Units, Class A common units, Class B common units and Profit Units. The Company analyzed the calculation of earnings per unit for periods prior to the IPO using the two-class method and determined that it resulted in values that would not be meaningful to the users of these Consolidated Financial Statements. Therefore, earnings per share information has not been presented for periods prior to the IPO on July 17, 2020. The basic and diluted earnings per share represent only the period from July 17, 2020 to December 31, 2020.</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numerator and denominator used in the calculation of basic and diluted net loss per share of Class A common stock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2"/>
        </w:trPr>
        <w:tc>
          <w:tcPr>
            <w:tcW w:w="960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16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6"/>
        </w:trPr>
        <w:tc>
          <w:tcPr>
            <w:tcW w:w="96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Dec. 31, 2020</w:t>
            </w:r>
          </w:p>
        </w:tc>
        <w:tc>
          <w:tcPr>
            <w:tcW w:w="0" w:type="dxa"/>
            <w:vAlign w:val="bottom"/>
          </w:tcPr>
          <w:p>
            <w:pPr>
              <w:spacing w:after="0"/>
              <w:rPr>
                <w:sz w:val="1"/>
                <w:szCs w:val="1"/>
                <w:color w:val="auto"/>
              </w:rPr>
            </w:pPr>
          </w:p>
        </w:tc>
      </w:tr>
      <w:tr>
        <w:trPr>
          <w:trHeight w:val="16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Numerator:</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0" w:type="dxa"/>
            <w:vAlign w:val="bottom"/>
          </w:tcPr>
          <w:p>
            <w:pPr>
              <w:ind w:left="240"/>
              <w:spacing w:after="0"/>
              <w:rPr>
                <w:sz w:val="20"/>
                <w:szCs w:val="20"/>
                <w:color w:val="auto"/>
              </w:rPr>
            </w:pPr>
            <w:r>
              <w:rPr>
                <w:rFonts w:ascii="Arial" w:cs="Arial" w:eastAsia="Arial" w:hAnsi="Arial"/>
                <w:sz w:val="14"/>
                <w:szCs w:val="14"/>
                <w:color w:val="auto"/>
              </w:rPr>
              <w:t>Net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(97,200)</w:t>
            </w:r>
          </w:p>
        </w:tc>
        <w:tc>
          <w:tcPr>
            <w:tcW w:w="0" w:type="dxa"/>
            <w:vAlign w:val="bottom"/>
          </w:tcPr>
          <w:p>
            <w:pPr>
              <w:spacing w:after="0"/>
              <w:rPr>
                <w:sz w:val="1"/>
                <w:szCs w:val="1"/>
                <w:color w:val="auto"/>
              </w:rPr>
            </w:pPr>
          </w:p>
        </w:tc>
      </w:tr>
      <w:tr>
        <w:trPr>
          <w:trHeight w:val="189"/>
        </w:trPr>
        <w:tc>
          <w:tcPr>
            <w:tcW w:w="9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Net loss attributable to GoHealth, Inc. prior to the IPO</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(25,465)</w:t>
            </w:r>
          </w:p>
        </w:tc>
        <w:tc>
          <w:tcPr>
            <w:tcW w:w="0" w:type="dxa"/>
            <w:vAlign w:val="bottom"/>
          </w:tcPr>
          <w:p>
            <w:pPr>
              <w:spacing w:after="0"/>
              <w:rPr>
                <w:sz w:val="1"/>
                <w:szCs w:val="1"/>
                <w:color w:val="auto"/>
              </w:rPr>
            </w:pPr>
          </w:p>
        </w:tc>
      </w:tr>
      <w:tr>
        <w:trPr>
          <w:trHeight w:val="189"/>
        </w:trPr>
        <w:tc>
          <w:tcPr>
            <w:tcW w:w="96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Less: Net loss attributable to non-controlling interests subsequent to the IPO</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(52,933)</w:t>
            </w:r>
          </w:p>
        </w:tc>
        <w:tc>
          <w:tcPr>
            <w:tcW w:w="0" w:type="dxa"/>
            <w:vAlign w:val="bottom"/>
          </w:tcPr>
          <w:p>
            <w:pPr>
              <w:spacing w:after="0"/>
              <w:rPr>
                <w:sz w:val="1"/>
                <w:szCs w:val="1"/>
                <w:color w:val="auto"/>
              </w:rPr>
            </w:pPr>
          </w:p>
        </w:tc>
      </w:tr>
      <w:tr>
        <w:trPr>
          <w:trHeight w:val="183"/>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GoHealth, Inc.</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(18,802)</w:t>
            </w:r>
          </w:p>
        </w:tc>
        <w:tc>
          <w:tcPr>
            <w:tcW w:w="0" w:type="dxa"/>
            <w:vAlign w:val="bottom"/>
          </w:tcPr>
          <w:p>
            <w:pPr>
              <w:spacing w:after="0"/>
              <w:rPr>
                <w:sz w:val="1"/>
                <w:szCs w:val="1"/>
                <w:color w:val="auto"/>
              </w:rPr>
            </w:pPr>
          </w:p>
        </w:tc>
      </w:tr>
      <w:tr>
        <w:trPr>
          <w:trHeight w:val="169"/>
        </w:trPr>
        <w:tc>
          <w:tcPr>
            <w:tcW w:w="9600" w:type="dxa"/>
            <w:vAlign w:val="bottom"/>
          </w:tcPr>
          <w:p>
            <w:pPr>
              <w:ind w:left="20"/>
              <w:spacing w:after="0"/>
              <w:rPr>
                <w:sz w:val="20"/>
                <w:szCs w:val="20"/>
                <w:color w:val="auto"/>
              </w:rPr>
            </w:pPr>
            <w:r>
              <w:rPr>
                <w:rFonts w:ascii="Arial" w:cs="Arial" w:eastAsia="Arial" w:hAnsi="Arial"/>
                <w:sz w:val="14"/>
                <w:szCs w:val="14"/>
                <w:i w:val="1"/>
                <w:iCs w:val="1"/>
                <w:color w:val="auto"/>
              </w:rPr>
              <w:t>Denominator:</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Weighted-average shares of Class A common stock outstanding—basic</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84,189</w:t>
            </w:r>
          </w:p>
        </w:tc>
        <w:tc>
          <w:tcPr>
            <w:tcW w:w="0" w:type="dxa"/>
            <w:vAlign w:val="bottom"/>
          </w:tcPr>
          <w:p>
            <w:pPr>
              <w:spacing w:after="0"/>
              <w:rPr>
                <w:sz w:val="1"/>
                <w:szCs w:val="1"/>
                <w:color w:val="auto"/>
              </w:rPr>
            </w:pPr>
          </w:p>
        </w:tc>
      </w:tr>
      <w:tr>
        <w:trPr>
          <w:trHeight w:val="189"/>
        </w:trPr>
        <w:tc>
          <w:tcPr>
            <w:tcW w:w="96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Effect of dilutive securities</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shares of Class A common stock outstanding—diluted</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84,189</w:t>
            </w:r>
          </w:p>
        </w:tc>
        <w:tc>
          <w:tcPr>
            <w:tcW w:w="0" w:type="dxa"/>
            <w:vAlign w:val="bottom"/>
          </w:tcPr>
          <w:p>
            <w:pPr>
              <w:spacing w:after="0"/>
              <w:rPr>
                <w:sz w:val="1"/>
                <w:szCs w:val="1"/>
                <w:color w:val="auto"/>
              </w:rPr>
            </w:pPr>
          </w:p>
        </w:tc>
      </w:tr>
      <w:tr>
        <w:trPr>
          <w:trHeight w:val="183"/>
        </w:trPr>
        <w:tc>
          <w:tcPr>
            <w:tcW w:w="9600" w:type="dxa"/>
            <w:vAlign w:val="bottom"/>
          </w:tcPr>
          <w:p>
            <w:pPr>
              <w:ind w:left="20"/>
              <w:spacing w:after="0"/>
              <w:rPr>
                <w:sz w:val="20"/>
                <w:szCs w:val="20"/>
                <w:color w:val="auto"/>
              </w:rPr>
            </w:pPr>
            <w:r>
              <w:rPr>
                <w:rFonts w:ascii="Arial" w:cs="Arial" w:eastAsia="Arial" w:hAnsi="Arial"/>
                <w:sz w:val="14"/>
                <w:szCs w:val="14"/>
                <w:b w:val="1"/>
                <w:bCs w:val="1"/>
                <w:color w:val="auto"/>
              </w:rPr>
              <w:t>Net loss per share of Class A common stock—basic and diluted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(0.22)</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 following number of weighted-average potentially dilutive shares were excluded from the calculation of diluted loss per share because the effect of including such potentially dilutive shares would have been antidilutive: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2"/>
        </w:trPr>
        <w:tc>
          <w:tcPr>
            <w:tcW w:w="96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6"/>
        </w:trPr>
        <w:tc>
          <w:tcPr>
            <w:tcW w:w="9600" w:type="dxa"/>
            <w:vAlign w:val="bottom"/>
            <w:tcBorders>
              <w:bottom w:val="single" w:sz="8" w:color="CCEEFF"/>
            </w:tcBorders>
            <w:vMerge w:val="continue"/>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 31, 2020</w:t>
            </w:r>
          </w:p>
        </w:tc>
        <w:tc>
          <w:tcPr>
            <w:tcW w:w="0" w:type="dxa"/>
            <w:vAlign w:val="bottom"/>
          </w:tcPr>
          <w:p>
            <w:pPr>
              <w:spacing w:after="0"/>
              <w:rPr>
                <w:sz w:val="1"/>
                <w:szCs w:val="1"/>
                <w:color w:val="auto"/>
              </w:rPr>
            </w:pPr>
          </w:p>
        </w:tc>
      </w:tr>
      <w:tr>
        <w:trPr>
          <w:trHeight w:val="182"/>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and RSUs</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2,665</w:t>
            </w:r>
          </w:p>
        </w:tc>
        <w:tc>
          <w:tcPr>
            <w:tcW w:w="0" w:type="dxa"/>
            <w:vAlign w:val="bottom"/>
          </w:tcPr>
          <w:p>
            <w:pPr>
              <w:spacing w:after="0"/>
              <w:rPr>
                <w:sz w:val="1"/>
                <w:szCs w:val="1"/>
                <w:color w:val="auto"/>
              </w:rPr>
            </w:pPr>
          </w:p>
        </w:tc>
      </w:tr>
      <w:tr>
        <w:trPr>
          <w:trHeight w:val="191"/>
        </w:trPr>
        <w:tc>
          <w:tcPr>
            <w:tcW w:w="9600" w:type="dxa"/>
            <w:vAlign w:val="bottom"/>
          </w:tcPr>
          <w:p>
            <w:pPr>
              <w:ind w:left="20"/>
              <w:spacing w:after="0"/>
              <w:rPr>
                <w:sz w:val="20"/>
                <w:szCs w:val="20"/>
                <w:color w:val="auto"/>
              </w:rPr>
            </w:pPr>
            <w:r>
              <w:rPr>
                <w:rFonts w:ascii="Arial" w:cs="Arial" w:eastAsia="Arial" w:hAnsi="Arial"/>
                <w:sz w:val="14"/>
                <w:szCs w:val="14"/>
                <w:color w:val="auto"/>
              </w:rPr>
              <w:t>Class B common stock</w:t>
            </w:r>
          </w:p>
        </w:tc>
        <w:tc>
          <w:tcPr>
            <w:tcW w:w="1640" w:type="dxa"/>
            <w:vAlign w:val="bottom"/>
          </w:tcPr>
          <w:p>
            <w:pPr>
              <w:jc w:val="right"/>
              <w:spacing w:after="0"/>
              <w:rPr>
                <w:sz w:val="20"/>
                <w:szCs w:val="20"/>
                <w:color w:val="auto"/>
              </w:rPr>
            </w:pPr>
            <w:r>
              <w:rPr>
                <w:rFonts w:ascii="Arial" w:cs="Arial" w:eastAsia="Arial" w:hAnsi="Arial"/>
                <w:sz w:val="14"/>
                <w:szCs w:val="14"/>
                <w:color w:val="auto"/>
              </w:rPr>
              <w:t>236,997</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Shares of Class B common stock do not share in earnings and are not participating securities. Accordingly, separate presentation of loss per share of Class B common stock under the two-class method has not been presented. Shares of Class B common stock are, however, considered potentially dilutive shares of Class A common stock. After evaluating the potential dilutive effect, shares of Class B common stock were determined to be anti-dilutive and have therefore been excluded from the computation of diluted earnings per share of Class A common stock.</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For periods prior to the Transactions and the IPO, the reported income taxes represent those of GHH, LLC. As a result of the Transactions and the IPO, the Company became subject to U.S. federal and certain state and local income taxes with respect to its allocable share of any taxable income or loss generated by GHH, LLC. There was no pro forma impact on loss per share to reflect income tax expense at an effective tax rate as the Company determined it is not more likely than not that the tax benefits associated with the deferred tax assets arising from the Transactions and the IPO will be realized.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10. INCOME TAXES</w:t>
      </w:r>
    </w:p>
    <w:p>
      <w:pPr>
        <w:spacing w:after="0" w:line="24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Company is taxed as a corporation for income tax purposes and is subject to federal, state, and local taxes on the income allocated to it from GHH, LLC based upon the Company’s economic interest in GHH, LLC. The Company is the sole managing member of GHH, LLC and, as a result, consolidates the financial results of GHH, LLC. GHH, LLC is a limited liability company taxed as a partnership for income tax purposes, and the subsidiaries of GHH, LLC are limited liability companies for income tax purposes except for a subsidiary and its foreign subsidiary, which are taxed as a corporation and foreign disregarded entity, respectively. As such, GHH, LLC does not pay any federal income taxes, as income or loss is included in the tax returns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307340</wp:posOffset>
            </wp:positionV>
            <wp:extent cx="8255" cy="1200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307340</wp:posOffset>
            </wp:positionV>
            <wp:extent cx="8890" cy="1200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126365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97</w:t>
      </w:r>
    </w:p>
    <w:p>
      <w:pPr>
        <w:sectPr>
          <w:pgSz w:w="11900" w:h="16838" w:orient="portrait"/>
          <w:cols w:equalWidth="0" w:num="3">
            <w:col w:w="4580" w:space="540"/>
            <w:col w:w="1040" w:space="360"/>
            <w:col w:w="4720"/>
          </w:cols>
          <w:pgMar w:left="320" w:top="1323" w:right="339" w:bottom="1440" w:gutter="0" w:footer="0" w:header="0"/>
          <w:type w:val="continuous"/>
        </w:sectPr>
      </w:pPr>
    </w:p>
    <w:bookmarkStart w:id="100" w:name="page101"/>
    <w:bookmarkEnd w:id="100"/>
    <w:p>
      <w:pPr>
        <w:ind w:right="460"/>
        <w:spacing w:after="0" w:line="253" w:lineRule="auto"/>
        <w:rPr>
          <w:sz w:val="20"/>
          <w:szCs w:val="20"/>
          <w:color w:val="auto"/>
        </w:rPr>
      </w:pPr>
      <w:r>
        <w:rPr>
          <w:rFonts w:ascii="Arial" w:cs="Arial" w:eastAsia="Arial" w:hAnsi="Arial"/>
          <w:sz w:val="16"/>
          <w:szCs w:val="16"/>
          <w:color w:val="auto"/>
        </w:rPr>
        <w:t>individual members. Additionally, certain wholly-owned entities taxed as corporations are subject to federal, state, and foreign income taxes in the jurisdictions in which they operate, and accruals for such taxes are included in the Consolidated Financial Statements. For periods prior to the IPO, the Company’s taxes represent those of GHH, LLC.</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income (loss) before income taxes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248"/>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16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7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Twelve months ended</w:t>
            </w:r>
          </w:p>
        </w:tc>
        <w:tc>
          <w:tcPr>
            <w:tcW w:w="100" w:type="dxa"/>
            <w:vAlign w:val="bottom"/>
          </w:tcPr>
          <w:p>
            <w:pPr>
              <w:spacing w:after="0"/>
              <w:rPr>
                <w:sz w:val="12"/>
                <w:szCs w:val="12"/>
                <w:color w:val="auto"/>
              </w:rPr>
            </w:pPr>
          </w:p>
        </w:tc>
        <w:tc>
          <w:tcPr>
            <w:tcW w:w="1640" w:type="dxa"/>
            <w:vAlign w:val="bottom"/>
            <w:tcBorders>
              <w:right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Period from Sep. 13,</w:t>
            </w:r>
          </w:p>
        </w:tc>
        <w:tc>
          <w:tcPr>
            <w:tcW w:w="140" w:type="dxa"/>
            <w:vAlign w:val="bottom"/>
          </w:tcPr>
          <w:p>
            <w:pPr>
              <w:spacing w:after="0"/>
              <w:rPr>
                <w:sz w:val="12"/>
                <w:szCs w:val="12"/>
                <w:color w:val="auto"/>
              </w:rPr>
            </w:pPr>
          </w:p>
        </w:tc>
        <w:tc>
          <w:tcPr>
            <w:tcW w:w="15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Period from Jan. 1,</w:t>
            </w:r>
          </w:p>
        </w:tc>
        <w:tc>
          <w:tcPr>
            <w:tcW w:w="16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35"/>
        </w:trPr>
        <w:tc>
          <w:tcPr>
            <w:tcW w:w="44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740" w:type="dxa"/>
            <w:vAlign w:val="bottom"/>
            <w:gridSpan w:val="3"/>
            <w:vMerge w:val="continue"/>
          </w:tcPr>
          <w:p>
            <w:pPr>
              <w:spacing w:after="0"/>
              <w:rPr>
                <w:sz w:val="11"/>
                <w:szCs w:val="11"/>
                <w:color w:val="auto"/>
              </w:rPr>
            </w:pPr>
          </w:p>
        </w:tc>
        <w:tc>
          <w:tcPr>
            <w:tcW w:w="1740" w:type="dxa"/>
            <w:vAlign w:val="bottom"/>
            <w:tcBorders>
              <w:right w:val="single" w:sz="8" w:color="auto"/>
            </w:tcBorders>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2019 through Dec. 31,</w:t>
            </w:r>
          </w:p>
        </w:tc>
        <w:tc>
          <w:tcPr>
            <w:tcW w:w="17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2019 through Sep. 12,</w:t>
            </w:r>
          </w:p>
        </w:tc>
        <w:tc>
          <w:tcPr>
            <w:tcW w:w="1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 31, 2020</w:t>
            </w:r>
          </w:p>
        </w:tc>
        <w:tc>
          <w:tcPr>
            <w:tcW w:w="100" w:type="dxa"/>
            <w:vAlign w:val="bottom"/>
          </w:tcPr>
          <w:p>
            <w:pPr>
              <w:spacing w:after="0"/>
              <w:rPr>
                <w:sz w:val="15"/>
                <w:szCs w:val="15"/>
                <w:color w:val="auto"/>
              </w:rPr>
            </w:pPr>
          </w:p>
        </w:tc>
        <w:tc>
          <w:tcPr>
            <w:tcW w:w="1540" w:type="dxa"/>
            <w:vAlign w:val="bottom"/>
          </w:tcPr>
          <w:p>
            <w:pPr>
              <w:jc w:val="center"/>
              <w:ind w:right="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center"/>
              <w:ind w:right="6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288"/>
              <w:spacing w:after="0"/>
              <w:rPr>
                <w:sz w:val="20"/>
                <w:szCs w:val="20"/>
                <w:color w:val="auto"/>
              </w:rPr>
            </w:pPr>
            <w:r>
              <w:rPr>
                <w:rFonts w:ascii="Arial" w:cs="Arial" w:eastAsia="Arial" w:hAnsi="Arial"/>
                <w:sz w:val="14"/>
                <w:szCs w:val="14"/>
                <w:b w:val="1"/>
                <w:bCs w:val="1"/>
                <w:color w:val="auto"/>
              </w:rPr>
              <w:t>Dec. 31, 2018</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Domestic</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(98,297)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15,514</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(57,227)</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28,166</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525</w:t>
            </w:r>
          </w:p>
        </w:tc>
        <w:tc>
          <w:tcPr>
            <w:tcW w:w="100" w:type="dxa"/>
            <w:vAlign w:val="bottom"/>
            <w:tcBorders>
              <w:bottom w:val="single" w:sz="8" w:color="CCEEFF"/>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(97,157)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16,039</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(57,129)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28,160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income tax expense (benefit)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248"/>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rPr>
              <w:t>Predecessor</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7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Twelve months ended</w:t>
            </w:r>
          </w:p>
        </w:tc>
        <w:tc>
          <w:tcPr>
            <w:tcW w:w="100" w:type="dxa"/>
            <w:vAlign w:val="bottom"/>
          </w:tcPr>
          <w:p>
            <w:pPr>
              <w:spacing w:after="0"/>
              <w:rPr>
                <w:sz w:val="12"/>
                <w:szCs w:val="12"/>
                <w:color w:val="auto"/>
              </w:rPr>
            </w:pPr>
          </w:p>
        </w:tc>
        <w:tc>
          <w:tcPr>
            <w:tcW w:w="1640" w:type="dxa"/>
            <w:vAlign w:val="bottom"/>
            <w:tcBorders>
              <w:right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Period from Sep. 13,</w:t>
            </w:r>
          </w:p>
        </w:tc>
        <w:tc>
          <w:tcPr>
            <w:tcW w:w="140" w:type="dxa"/>
            <w:vAlign w:val="bottom"/>
          </w:tcPr>
          <w:p>
            <w:pPr>
              <w:spacing w:after="0"/>
              <w:rPr>
                <w:sz w:val="12"/>
                <w:szCs w:val="12"/>
                <w:color w:val="auto"/>
              </w:rPr>
            </w:pPr>
          </w:p>
        </w:tc>
        <w:tc>
          <w:tcPr>
            <w:tcW w:w="15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Period from Jan. 1,</w:t>
            </w:r>
          </w:p>
        </w:tc>
        <w:tc>
          <w:tcPr>
            <w:tcW w:w="16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35"/>
        </w:trPr>
        <w:tc>
          <w:tcPr>
            <w:tcW w:w="44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740" w:type="dxa"/>
            <w:vAlign w:val="bottom"/>
            <w:gridSpan w:val="3"/>
            <w:vMerge w:val="continue"/>
          </w:tcPr>
          <w:p>
            <w:pPr>
              <w:spacing w:after="0"/>
              <w:rPr>
                <w:sz w:val="11"/>
                <w:szCs w:val="11"/>
                <w:color w:val="auto"/>
              </w:rPr>
            </w:pPr>
          </w:p>
        </w:tc>
        <w:tc>
          <w:tcPr>
            <w:tcW w:w="1740" w:type="dxa"/>
            <w:vAlign w:val="bottom"/>
            <w:tcBorders>
              <w:right w:val="single" w:sz="8" w:color="auto"/>
            </w:tcBorders>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2019 through Dec. 31,</w:t>
            </w:r>
          </w:p>
        </w:tc>
        <w:tc>
          <w:tcPr>
            <w:tcW w:w="17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2019 through Sep. 12,</w:t>
            </w:r>
          </w:p>
        </w:tc>
        <w:tc>
          <w:tcPr>
            <w:tcW w:w="1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 31, 2020</w:t>
            </w:r>
          </w:p>
        </w:tc>
        <w:tc>
          <w:tcPr>
            <w:tcW w:w="100" w:type="dxa"/>
            <w:vAlign w:val="bottom"/>
          </w:tcPr>
          <w:p>
            <w:pPr>
              <w:spacing w:after="0"/>
              <w:rPr>
                <w:sz w:val="15"/>
                <w:szCs w:val="15"/>
                <w:color w:val="auto"/>
              </w:rPr>
            </w:pPr>
          </w:p>
        </w:tc>
        <w:tc>
          <w:tcPr>
            <w:tcW w:w="1540" w:type="dxa"/>
            <w:vAlign w:val="bottom"/>
          </w:tcPr>
          <w:p>
            <w:pPr>
              <w:jc w:val="center"/>
              <w:ind w:right="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center"/>
              <w:ind w:right="6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Dec. 31, 2018</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Current income taxes:</w:t>
            </w:r>
          </w:p>
        </w:tc>
        <w:tc>
          <w:tcPr>
            <w:tcW w:w="2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40"/>
              <w:spacing w:after="0"/>
              <w:rPr>
                <w:sz w:val="20"/>
                <w:szCs w:val="20"/>
                <w:color w:val="auto"/>
              </w:rPr>
            </w:pPr>
            <w:r>
              <w:rPr>
                <w:rFonts w:ascii="Arial" w:cs="Arial" w:eastAsia="Arial" w:hAnsi="Arial"/>
                <w:sz w:val="14"/>
                <w:szCs w:val="14"/>
                <w:color w:val="auto"/>
              </w:rPr>
              <w:t>Federal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right w:val="single" w:sz="8" w:color="auto"/>
            </w:tcBorders>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16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State and local</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Foreign</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income taxes</w:t>
            </w:r>
          </w:p>
        </w:tc>
        <w:tc>
          <w:tcPr>
            <w:tcW w:w="2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440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Deferred income taxes:</w:t>
            </w:r>
          </w:p>
        </w:tc>
        <w:tc>
          <w:tcPr>
            <w:tcW w:w="2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Federal</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4400" w:type="dxa"/>
            <w:vAlign w:val="bottom"/>
          </w:tcPr>
          <w:p>
            <w:pPr>
              <w:ind w:left="240"/>
              <w:spacing w:after="0"/>
              <w:rPr>
                <w:sz w:val="20"/>
                <w:szCs w:val="20"/>
                <w:color w:val="auto"/>
              </w:rPr>
            </w:pPr>
            <w:r>
              <w:rPr>
                <w:rFonts w:ascii="Arial" w:cs="Arial" w:eastAsia="Arial" w:hAnsi="Arial"/>
                <w:sz w:val="14"/>
                <w:szCs w:val="14"/>
                <w:color w:val="auto"/>
              </w:rPr>
              <w:t>State and local</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w:t>
            </w:r>
          </w:p>
        </w:tc>
        <w:tc>
          <w:tcPr>
            <w:tcW w:w="2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deferred income taxes</w:t>
            </w:r>
          </w:p>
        </w:tc>
        <w:tc>
          <w:tcPr>
            <w:tcW w:w="24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right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80" w:type="dxa"/>
            <w:vAlign w:val="bottom"/>
            <w:tcBorders>
              <w:bottom w:val="single" w:sz="8" w:color="CCEEFF"/>
            </w:tcBorders>
          </w:tcPr>
          <w:p>
            <w:pPr>
              <w:spacing w:after="0"/>
              <w:rPr>
                <w:sz w:val="15"/>
                <w:szCs w:val="15"/>
                <w:color w:val="auto"/>
              </w:rPr>
            </w:pPr>
          </w:p>
        </w:tc>
        <w:tc>
          <w:tcPr>
            <w:tcW w:w="134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tax expense (benefit)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16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43" w:right="33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U.S. statutory income tax rate to our effective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405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405890"/>
                    </a:xfrm>
                    <a:prstGeom prst="rect">
                      <a:avLst/>
                    </a:prstGeom>
                    <a:noFill/>
                  </pic:spPr>
                </pic:pic>
              </a:graphicData>
            </a:graphic>
          </wp:anchor>
        </w:drawing>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3460" w:type="dxa"/>
            <w:vAlign w:val="bottom"/>
            <w:tcBorders>
              <w:bottom w:val="single" w:sz="8" w:color="auto"/>
            </w:tcBorders>
            <w:gridSpan w:val="3"/>
          </w:tcPr>
          <w:p>
            <w:pPr>
              <w:jc w:val="right"/>
              <w:ind w:right="1288"/>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Twelve months ended</w:t>
            </w:r>
          </w:p>
        </w:tc>
        <w:tc>
          <w:tcPr>
            <w:tcW w:w="1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Period from Sep. 13,</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2019 through Dec. 31,</w:t>
            </w: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 31, 2020</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4160" w:type="dxa"/>
            <w:vAlign w:val="bottom"/>
          </w:tcPr>
          <w:p>
            <w:pPr>
              <w:spacing w:after="0"/>
              <w:rPr>
                <w:sz w:val="20"/>
                <w:szCs w:val="20"/>
                <w:color w:val="auto"/>
              </w:rPr>
            </w:pPr>
            <w:r>
              <w:rPr>
                <w:rFonts w:ascii="Arial" w:cs="Arial" w:eastAsia="Arial" w:hAnsi="Arial"/>
                <w:sz w:val="14"/>
                <w:szCs w:val="14"/>
                <w:color w:val="auto"/>
              </w:rPr>
              <w:t>U.S. statutory tax rate</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Arial" w:cs="Arial" w:eastAsia="Arial" w:hAnsi="Arial"/>
                <w:sz w:val="14"/>
                <w:szCs w:val="14"/>
                <w:color w:val="auto"/>
              </w:rPr>
              <w:t>State taxes, net of the federal benefit</w:t>
            </w:r>
          </w:p>
        </w:tc>
        <w:tc>
          <w:tcPr>
            <w:tcW w:w="1680" w:type="dxa"/>
            <w:vAlign w:val="bottom"/>
          </w:tcPr>
          <w:p>
            <w:pPr>
              <w:jc w:val="right"/>
              <w:spacing w:after="0"/>
              <w:rPr>
                <w:sz w:val="20"/>
                <w:szCs w:val="20"/>
                <w:color w:val="auto"/>
              </w:rPr>
            </w:pPr>
            <w:r>
              <w:rPr>
                <w:rFonts w:ascii="Arial" w:cs="Arial" w:eastAsia="Arial" w:hAnsi="Arial"/>
                <w:sz w:val="14"/>
                <w:szCs w:val="14"/>
                <w:color w:val="auto"/>
              </w:rPr>
              <w:t>0.4 %</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Arial" w:cs="Arial" w:eastAsia="Arial" w:hAnsi="Arial"/>
                <w:sz w:val="14"/>
                <w:szCs w:val="14"/>
                <w:color w:val="auto"/>
              </w:rPr>
              <w:t>Loss attributable to non-controlling interest</w:t>
            </w:r>
          </w:p>
        </w:tc>
        <w:tc>
          <w:tcPr>
            <w:tcW w:w="168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0.0 %</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Arial" w:cs="Arial" w:eastAsia="Arial" w:hAnsi="Arial"/>
                <w:sz w:val="14"/>
                <w:szCs w:val="14"/>
                <w:color w:val="auto"/>
              </w:rPr>
              <w:t>Non-deductible expenses</w:t>
            </w:r>
          </w:p>
        </w:tc>
        <w:tc>
          <w:tcPr>
            <w:tcW w:w="168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0.0 %</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Arial" w:cs="Arial" w:eastAsia="Arial" w:hAnsi="Arial"/>
                <w:sz w:val="14"/>
                <w:szCs w:val="14"/>
                <w:color w:val="auto"/>
              </w:rPr>
              <w:t>Change in valuation allowance</w:t>
            </w:r>
          </w:p>
        </w:tc>
        <w:tc>
          <w:tcPr>
            <w:tcW w:w="16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0.0 %</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Arial" w:cs="Arial" w:eastAsia="Arial" w:hAnsi="Arial"/>
                <w:sz w:val="14"/>
                <w:szCs w:val="14"/>
                <w:color w:val="auto"/>
              </w:rPr>
              <w:t>Flow-through structure</w:t>
            </w:r>
          </w:p>
        </w:tc>
        <w:tc>
          <w:tcPr>
            <w:tcW w:w="1680" w:type="dxa"/>
            <w:vAlign w:val="bottom"/>
          </w:tcPr>
          <w:p>
            <w:pPr>
              <w:jc w:val="right"/>
              <w:spacing w:after="0"/>
              <w:rPr>
                <w:sz w:val="20"/>
                <w:szCs w:val="20"/>
                <w:color w:val="auto"/>
              </w:rPr>
            </w:pPr>
            <w:r>
              <w:rPr>
                <w:rFonts w:ascii="Arial" w:cs="Arial" w:eastAsia="Arial" w:hAnsi="Arial"/>
                <w:sz w:val="14"/>
                <w:szCs w:val="14"/>
                <w:color w:val="auto"/>
              </w:rPr>
              <w:t>0.0 %</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20"/>
                <w:szCs w:val="20"/>
                <w:color w:val="auto"/>
              </w:rPr>
            </w:pPr>
            <w:r>
              <w:rPr>
                <w:rFonts w:ascii="Arial" w:cs="Arial" w:eastAsia="Arial" w:hAnsi="Arial"/>
                <w:sz w:val="14"/>
                <w:szCs w:val="14"/>
                <w:color w:val="auto"/>
              </w:rPr>
              <w:t>Other</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0.0 %</w:t>
            </w:r>
          </w:p>
        </w:tc>
        <w:tc>
          <w:tcPr>
            <w:tcW w:w="0" w:type="dxa"/>
            <w:vAlign w:val="bottom"/>
          </w:tcPr>
          <w:p>
            <w:pPr>
              <w:spacing w:after="0"/>
              <w:rPr>
                <w:sz w:val="1"/>
                <w:szCs w:val="1"/>
                <w:color w:val="auto"/>
              </w:rPr>
            </w:pPr>
          </w:p>
        </w:tc>
      </w:tr>
      <w:tr>
        <w:trPr>
          <w:trHeight w:val="183"/>
        </w:trPr>
        <w:tc>
          <w:tcPr>
            <w:tcW w:w="4160" w:type="dxa"/>
            <w:vAlign w:val="bottom"/>
          </w:tcPr>
          <w:p>
            <w:pPr>
              <w:spacing w:after="0"/>
              <w:rPr>
                <w:sz w:val="20"/>
                <w:szCs w:val="20"/>
                <w:color w:val="auto"/>
              </w:rPr>
            </w:pPr>
            <w:r>
              <w:rPr>
                <w:rFonts w:ascii="Arial" w:cs="Arial" w:eastAsia="Arial" w:hAnsi="Arial"/>
                <w:sz w:val="14"/>
                <w:szCs w:val="14"/>
                <w:b w:val="1"/>
                <w:bCs w:val="1"/>
                <w:color w:val="auto"/>
              </w:rPr>
              <w:t>Effective tax rate</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0.0 %</w:t>
            </w:r>
          </w:p>
        </w:tc>
        <w:tc>
          <w:tcPr>
            <w:tcW w:w="100" w:type="dxa"/>
            <w:vAlign w:val="bottom"/>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0.3 %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Predecessor</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Period from Jan. 1,</w:t>
            </w:r>
          </w:p>
        </w:tc>
        <w:tc>
          <w:tcPr>
            <w:tcW w:w="1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35"/>
        </w:trPr>
        <w:tc>
          <w:tcPr>
            <w:tcW w:w="18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2019 through Sep. 12,</w:t>
            </w:r>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7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 31, 2018</w:t>
            </w:r>
          </w:p>
        </w:tc>
        <w:tc>
          <w:tcPr>
            <w:tcW w:w="0" w:type="dxa"/>
            <w:vAlign w:val="bottom"/>
          </w:tcPr>
          <w:p>
            <w:pPr>
              <w:spacing w:after="0"/>
              <w:rPr>
                <w:sz w:val="1"/>
                <w:szCs w:val="1"/>
                <w:color w:val="auto"/>
              </w:rPr>
            </w:pPr>
          </w:p>
        </w:tc>
      </w:tr>
      <w:tr>
        <w:trPr>
          <w:trHeight w:val="184"/>
        </w:trPr>
        <w:tc>
          <w:tcPr>
            <w:tcW w:w="1700" w:type="dxa"/>
            <w:vAlign w:val="bottom"/>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89"/>
        </w:trPr>
        <w:tc>
          <w:tcPr>
            <w:tcW w:w="1700" w:type="dxa"/>
            <w:vAlign w:val="bottom"/>
          </w:tcPr>
          <w:p>
            <w:pPr>
              <w:jc w:val="right"/>
              <w:spacing w:after="0"/>
              <w:rPr>
                <w:sz w:val="20"/>
                <w:szCs w:val="20"/>
                <w:color w:val="auto"/>
              </w:rPr>
            </w:pPr>
            <w:r>
              <w:rPr>
                <w:rFonts w:ascii="Arial" w:cs="Arial" w:eastAsia="Arial" w:hAnsi="Arial"/>
                <w:sz w:val="14"/>
                <w:szCs w:val="14"/>
                <w:color w:val="auto"/>
              </w:rPr>
              <w:t>0.0 %</w:t>
            </w: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0.0 %</w:t>
            </w:r>
          </w:p>
        </w:tc>
        <w:tc>
          <w:tcPr>
            <w:tcW w:w="0" w:type="dxa"/>
            <w:vAlign w:val="bottom"/>
          </w:tcPr>
          <w:p>
            <w:pPr>
              <w:spacing w:after="0"/>
              <w:rPr>
                <w:sz w:val="1"/>
                <w:szCs w:val="1"/>
                <w:color w:val="auto"/>
              </w:rPr>
            </w:pPr>
          </w:p>
        </w:tc>
      </w:tr>
      <w:tr>
        <w:trPr>
          <w:trHeight w:val="189"/>
        </w:trPr>
        <w:tc>
          <w:tcPr>
            <w:tcW w:w="1700" w:type="dxa"/>
            <w:vAlign w:val="bottom"/>
          </w:tcPr>
          <w:p>
            <w:pPr>
              <w:jc w:val="right"/>
              <w:spacing w:after="0"/>
              <w:rPr>
                <w:sz w:val="20"/>
                <w:szCs w:val="20"/>
                <w:color w:val="auto"/>
              </w:rPr>
            </w:pPr>
            <w:r>
              <w:rPr>
                <w:rFonts w:ascii="Arial" w:cs="Arial" w:eastAsia="Arial" w:hAnsi="Arial"/>
                <w:sz w:val="14"/>
                <w:szCs w:val="14"/>
                <w:color w:val="auto"/>
              </w:rPr>
              <w:t>0.0 %</w:t>
            </w: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0.0 %</w:t>
            </w:r>
          </w:p>
        </w:tc>
        <w:tc>
          <w:tcPr>
            <w:tcW w:w="0" w:type="dxa"/>
            <w:vAlign w:val="bottom"/>
          </w:tcPr>
          <w:p>
            <w:pPr>
              <w:spacing w:after="0"/>
              <w:rPr>
                <w:sz w:val="1"/>
                <w:szCs w:val="1"/>
                <w:color w:val="auto"/>
              </w:rPr>
            </w:pPr>
          </w:p>
        </w:tc>
      </w:tr>
      <w:tr>
        <w:trPr>
          <w:trHeight w:val="189"/>
        </w:trPr>
        <w:tc>
          <w:tcPr>
            <w:tcW w:w="1700" w:type="dxa"/>
            <w:vAlign w:val="bottom"/>
          </w:tcPr>
          <w:p>
            <w:pPr>
              <w:jc w:val="right"/>
              <w:spacing w:after="0"/>
              <w:rPr>
                <w:sz w:val="20"/>
                <w:szCs w:val="20"/>
                <w:color w:val="auto"/>
              </w:rPr>
            </w:pPr>
            <w:r>
              <w:rPr>
                <w:rFonts w:ascii="Arial" w:cs="Arial" w:eastAsia="Arial" w:hAnsi="Arial"/>
                <w:sz w:val="14"/>
                <w:szCs w:val="14"/>
                <w:color w:val="auto"/>
              </w:rPr>
              <w:t>0.0 %</w:t>
            </w: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0.0 %</w:t>
            </w:r>
          </w:p>
        </w:tc>
        <w:tc>
          <w:tcPr>
            <w:tcW w:w="0" w:type="dxa"/>
            <w:vAlign w:val="bottom"/>
          </w:tcPr>
          <w:p>
            <w:pPr>
              <w:spacing w:after="0"/>
              <w:rPr>
                <w:sz w:val="1"/>
                <w:szCs w:val="1"/>
                <w:color w:val="auto"/>
              </w:rPr>
            </w:pPr>
          </w:p>
        </w:tc>
      </w:tr>
      <w:tr>
        <w:trPr>
          <w:trHeight w:val="189"/>
        </w:trPr>
        <w:tc>
          <w:tcPr>
            <w:tcW w:w="1700" w:type="dxa"/>
            <w:vAlign w:val="bottom"/>
          </w:tcPr>
          <w:p>
            <w:pPr>
              <w:jc w:val="right"/>
              <w:spacing w:after="0"/>
              <w:rPr>
                <w:sz w:val="20"/>
                <w:szCs w:val="20"/>
                <w:color w:val="auto"/>
              </w:rPr>
            </w:pPr>
            <w:r>
              <w:rPr>
                <w:rFonts w:ascii="Arial" w:cs="Arial" w:eastAsia="Arial" w:hAnsi="Arial"/>
                <w:sz w:val="14"/>
                <w:szCs w:val="14"/>
                <w:color w:val="auto"/>
              </w:rPr>
              <w:t>0.0 %</w:t>
            </w: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0.0 %</w:t>
            </w:r>
          </w:p>
        </w:tc>
        <w:tc>
          <w:tcPr>
            <w:tcW w:w="0" w:type="dxa"/>
            <w:vAlign w:val="bottom"/>
          </w:tcPr>
          <w:p>
            <w:pPr>
              <w:spacing w:after="0"/>
              <w:rPr>
                <w:sz w:val="1"/>
                <w:szCs w:val="1"/>
                <w:color w:val="auto"/>
              </w:rPr>
            </w:pPr>
          </w:p>
        </w:tc>
      </w:tr>
      <w:tr>
        <w:trPr>
          <w:trHeight w:val="189"/>
        </w:trPr>
        <w:tc>
          <w:tcPr>
            <w:tcW w:w="170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88"/>
        </w:trPr>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0.0 %</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0.0 %</w:t>
            </w:r>
          </w:p>
        </w:tc>
        <w:tc>
          <w:tcPr>
            <w:tcW w:w="0" w:type="dxa"/>
            <w:vAlign w:val="bottom"/>
          </w:tcPr>
          <w:p>
            <w:pPr>
              <w:spacing w:after="0"/>
              <w:rPr>
                <w:sz w:val="1"/>
                <w:szCs w:val="1"/>
                <w:color w:val="auto"/>
              </w:rPr>
            </w:pPr>
          </w:p>
        </w:tc>
      </w:tr>
      <w:tr>
        <w:trPr>
          <w:trHeight w:val="183"/>
        </w:trPr>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0.0 %</w:t>
            </w:r>
          </w:p>
        </w:tc>
        <w:tc>
          <w:tcPr>
            <w:tcW w:w="100" w:type="dxa"/>
            <w:vAlign w:val="bottom"/>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0.1 %</w:t>
            </w:r>
          </w:p>
        </w:tc>
        <w:tc>
          <w:tcPr>
            <w:tcW w:w="0" w:type="dxa"/>
            <w:vAlign w:val="bottom"/>
          </w:tcPr>
          <w:p>
            <w:pPr>
              <w:spacing w:after="0"/>
              <w:rPr>
                <w:sz w:val="1"/>
                <w:szCs w:val="1"/>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640" w:space="100"/>
            <w:col w:w="3500"/>
          </w:cols>
          <w:pgMar w:left="320" w:top="1343" w:right="339" w:bottom="1440" w:gutter="0" w:footer="0" w:header="0"/>
          <w:type w:val="continuous"/>
        </w:sectPr>
      </w:pPr>
    </w:p>
    <w:p>
      <w:pPr>
        <w:spacing w:after="0" w:line="112"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The Company’s effective tax rate for the twelve months ended December 31, 2020, the Successor 2019 Period, the Predecessor 2019 Period, and the twelve months ended December 31, 2018 were 0.0%, 0.3%, 0.0%, and 0.1%, respectively. For periods prior to the Transactions and IPO, the effective tax rate was impacted by the flow-through entity structure in which certain partnerships and limited liability companies were not generally subject to income taxes. For the twelve months ended December 31, 2020, the effective tax rate was impacted by the loss attributable to non-controlling interest, non-deductible expenses and change in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299085</wp:posOffset>
            </wp:positionV>
            <wp:extent cx="8255" cy="1200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299085</wp:posOffset>
            </wp:positionV>
            <wp:extent cx="8890" cy="1200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98</w:t>
      </w:r>
    </w:p>
    <w:p>
      <w:pPr>
        <w:sectPr>
          <w:pgSz w:w="11900" w:h="16838" w:orient="portrait"/>
          <w:cols w:equalWidth="0" w:num="3">
            <w:col w:w="4580" w:space="540"/>
            <w:col w:w="1040" w:space="360"/>
            <w:col w:w="4720"/>
          </w:cols>
          <w:pgMar w:left="320" w:top="1343"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6"/>
          <w:szCs w:val="16"/>
          <w:b w:val="1"/>
          <w:bCs w:val="1"/>
          <w:color w:val="auto"/>
        </w:rPr>
        <w:t>Deferred Taxes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deferred tax assets and liabilities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Successor</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5"/>
                <w:szCs w:val="15"/>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5"/>
                <w:szCs w:val="15"/>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b w:val="1"/>
                <w:bCs w:val="1"/>
                <w:color w:val="auto"/>
              </w:rPr>
              <w:t>December 31, 2019</w:t>
            </w:r>
          </w:p>
        </w:tc>
      </w:tr>
      <w:tr>
        <w:trPr>
          <w:trHeight w:val="169"/>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Deferred tax assets:</w:t>
            </w: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Basis in partnership investment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94,910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operating losses</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Disallowed business interest</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tax credits</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Accrued liabilities</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gross deferred tax assets</w:t>
            </w: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112,067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w:t>
            </w:r>
          </w:p>
        </w:tc>
        <w:tc>
          <w:tcPr>
            <w:tcW w:w="1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(111,843)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deferred tax assets, net of valuation allowance</w:t>
            </w: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r>
      <w:tr>
        <w:trPr>
          <w:trHeight w:val="16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Deferred tax liabilities:</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Fixed assets</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gross deferred tax liabilities</w:t>
            </w:r>
          </w:p>
        </w:tc>
        <w:tc>
          <w:tcPr>
            <w:tcW w:w="12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w:t>
            </w:r>
          </w:p>
        </w:tc>
      </w:tr>
      <w:tr>
        <w:trPr>
          <w:trHeight w:val="20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deferred tax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As a result of the Transactions and the IPO, the Company acquired LLC Interests and has recognized a deferred tax asset for the difference between the financial reporting and tax basis of its investment in GHH, LLC.</w:t>
      </w:r>
    </w:p>
    <w:p>
      <w:pPr>
        <w:spacing w:after="0" w:line="19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Company records valuation allowances against its deferred tax assets when it is more likely than not that all or a portion of a deferred tax asset will not be realized. The Company routinely evaluates the realizability of its deferred tax assets by assessing the likelihood that its deferred tax assets will be recovered based on all available positive and negative evidence, including scheduled reversals of deferred tax liabilities, estimates of future taxable income, tax planning strategies and results of operations. In projecting future taxable income, the Company considers its historical results and incorporates certain assumptions, including revenue growth and operating margins, among others. Based on the lack of sufficient sources of taxable income, the Company has concluded that materially all of its deferred tax assets will not be realized and has recorded a valuation allowance of $111.8 million as of December 31, 2020.</w:t>
      </w:r>
    </w:p>
    <w:p>
      <w:pPr>
        <w:spacing w:after="0" w:line="205"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As of December 31, 2020, the Company had gross U.S. federal net operating loss carryforwards and state tax net operating loss carryforwards of $65.6 million and $1.8 million, respectively. As of December 31, 2019, the Company had no gross U.S. federal net operating loss carryforwards and state tax net operating loss carryforwards. The U.S. federal net operating losses can be carried forward indefinitely as they were generated after 2017. Certain state tax net operating loss carryforwards will begin to expire in 2025. As of December 31, 2020 and 2019, the Company had U.S. federal credits and incentives of $0.3 million and $0.1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Uncertain Tax Positions</w:t>
      </w:r>
    </w:p>
    <w:p>
      <w:pPr>
        <w:spacing w:after="0" w:line="241"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There were no reserves for uncertain tax positions as of December 31, 2020 and 2019. GoHealth, Inc. was formed in March of 2020 and did not engage in any operations prior to the Transactions and the IPO. GoHealth, Inc. will file its first tax returns for the tax year 2020 in 2021, which is the first tax year subject to examination by taxing authorities for U.S. federal and state income tax purposes. Additionally, although GHH, LLC is treated as a partnership for U.S. federal and state income tax purposes, it is still required to file an annual U.S. Return of Partnership Income, which is subject to examination by taxing authorities for U.S. federal and state income tax purposes. The statute of limitations has expired for tax years through 2016.</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CARES Act</w:t>
      </w:r>
    </w:p>
    <w:p>
      <w:pPr>
        <w:spacing w:after="0" w:line="241"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On March 27, 2020, the President signed the CARES Act to provide emergency relief related to the COVID-19 pandemic. The CARES Act contains federal income tax provisions which, among other things; (i) increases the amount of interest expense that businesses are allowed to deduct by increasing the adjusted taxable income limitation from 30% to 50% for tax years that begin in 2019 and 2020; (ii) permits businesses to carry back to each of the five tax years net operating losses arising from tax years beginning after December 31, 2017 and before January 1, 2021; and (iii) temporarily removes the 80% limitation on net operating losses until tax years beginning after 2020. The CARES Act provisions currently do not have a material impact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300355</wp:posOffset>
            </wp:positionV>
            <wp:extent cx="8255" cy="1200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300355</wp:posOffset>
            </wp:positionV>
            <wp:extent cx="8890" cy="1200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99</w:t>
      </w:r>
    </w:p>
    <w:p>
      <w:pPr>
        <w:sectPr>
          <w:pgSz w:w="11900" w:h="16838" w:orient="portrait"/>
          <w:cols w:equalWidth="0" w:num="3">
            <w:col w:w="4580" w:space="540"/>
            <w:col w:w="1040" w:space="360"/>
            <w:col w:w="4720"/>
          </w:cols>
          <w:pgMar w:left="320" w:top="1323"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6"/>
          <w:szCs w:val="16"/>
          <w:b w:val="1"/>
          <w:bCs w:val="1"/>
          <w:color w:val="auto"/>
        </w:rPr>
        <w:t>Tax Receivable Agreement</w:t>
      </w:r>
    </w:p>
    <w:p>
      <w:pPr>
        <w:spacing w:after="0" w:line="24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Pursuant to the Company’s election under Section 754 of the Internal Revenue Code (the “Code”), the Company expects to obtain an increase in its share of the tax basis in the net assets of GHH, LLC when LLC Interests are redeemed or exchanged by the Continuing Equity Owners. The Company intends to make an election under Section 754 of the Code for each taxable year in which a redemption or exchange of LLC Interest occurs. The Company intends to treat any redemptions and exchanges of LLC Interests by the Continuing Equity Owners as direct purchases of LLC Interests for U.S. federal income tax purposes. These increases in tax basis may reduce the amounts that the Company would otherwise pay in the future to various tax authorities. They may also decrease gains (or increase losses) on future dispositions of certain capital assets to the extent tax basis is allocated to those capital assets.</w:t>
      </w:r>
    </w:p>
    <w:p>
      <w:pPr>
        <w:spacing w:after="0" w:line="20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connection with the IPO, the Company entered into the Tax Receivable Agreement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as a result of (1) the Company’s allocable share of existing tax basis acquired in connection with the Transactions (including the Blocker Company’s share of existing tax basis) and increases to such allocable share of existing tax basis; (2) increases in tax basis resulting from (a) the Company’s purchase of LLC Interests directly from GHH, LLC and the partial redemption of LLC Interests by GHH, LLC, (b) future redemptions or exchanges (or deemed exchanges in certain circumstances) of LLC Interests for Class A common stock or cash, and (c) certain distributions (or deemed distributions) by GHH, LLC; and (3) certain additional tax benefits arising from payments made under the Tax Receivable Agreement. The Company may benefit from the remaining 15% of any tax benefits that the Company actually realizes.</w:t>
      </w:r>
    </w:p>
    <w:p>
      <w:pPr>
        <w:spacing w:after="0" w:line="20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amounts payable under the Tax Receivable Agreement will vary depending upon a number of factors, including the amount, character, and timing of the taxable income of the Company in the future. As of December 31, 2020, the Company has determined there is no resulting liability related to the Tax Receivable Agreement arising from the Transactions and IPO. Should the Company determine that the Tax Receivable Agreement liability be considered probable at a future date based on new information, any changes will be recorded within income tax expense (benefit) at that time.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11. REVENUE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 for Variable Consideration</w:t>
      </w:r>
    </w:p>
    <w:p>
      <w:pPr>
        <w:spacing w:after="0" w:line="24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Company’s variable consideration includes the total estimated lifetime value (“LTV”) it expects to receive for selling an insurance product after the carrier approves an application. The consideration is variable based on the amount of time it estimates a policy will remain in force, which is based on historical experience or carrier experience to the extent available, industry data, and expectations as to future retention rates. Additionally, the Company considers the application of a constraint and only recognizes the amount of variable consideration that it believes is probable that it will be entitled to receive and will not be subject to a significant revenue reversal in the future.</w:t>
      </w:r>
    </w:p>
    <w:p>
      <w:pPr>
        <w:spacing w:after="0" w:line="20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On a quarterly basis, the Company re-estimates LTV at a vintage level for outstanding vintages, reviews and monitors changes in the data used to estimate LTV, as well as the cash received for each vintage as compared to the original estimates. The difference between cash received for each vintage and the respective estimated LTV can be significant and may or may not be indicative of the need to adjust revenue for prior period vintages. Changes in LTV may result in an increase or a decrease to revenue and a corresponding change to commissions receivable. The Company analyzes these differences and to the extent the Company believes differences in the estimates are indicative of a change to prior period LTVs, the Company will adjust revenue for the affected vintages at the time such determination is made and when it is probable that a significant reversal in the amount of cumulative revenue recognized will not occur. As a result of this analysis, for the year ended December 31, 2020, the Company recorded a negative revenue adjustment of $2.0 million relating to performance obligations satisfied in prior periods. For the years ended December 31, 2019 and 2018, there was no revenue recognized relating to performance obligations satisfied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300990</wp:posOffset>
            </wp:positionV>
            <wp:extent cx="8255" cy="1200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300990</wp:posOffset>
            </wp:positionV>
            <wp:extent cx="8890" cy="1200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ectPr>
          <w:pgSz w:w="11900" w:h="16838" w:orient="portrait"/>
          <w:cols w:equalWidth="0" w:num="3">
            <w:col w:w="4580" w:space="540"/>
            <w:col w:w="1040" w:space="360"/>
            <w:col w:w="4720"/>
          </w:cols>
          <w:pgMar w:left="320" w:top="1323"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6"/>
          <w:szCs w:val="16"/>
          <w:b w:val="1"/>
          <w:bCs w:val="1"/>
          <w:color w:val="auto"/>
        </w:rPr>
        <w:t>Disaggregation of Revenue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depicts the disaggregation of revenue by product, and is consistent with how the Company evaluates its financial performance: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248"/>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16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7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Twelve months ended</w:t>
            </w:r>
          </w:p>
        </w:tc>
        <w:tc>
          <w:tcPr>
            <w:tcW w:w="100" w:type="dxa"/>
            <w:vAlign w:val="bottom"/>
          </w:tcPr>
          <w:p>
            <w:pPr>
              <w:spacing w:after="0"/>
              <w:rPr>
                <w:sz w:val="12"/>
                <w:szCs w:val="12"/>
                <w:color w:val="auto"/>
              </w:rPr>
            </w:pPr>
          </w:p>
        </w:tc>
        <w:tc>
          <w:tcPr>
            <w:tcW w:w="1640" w:type="dxa"/>
            <w:vAlign w:val="bottom"/>
            <w:tcBorders>
              <w:right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Period from Sep. 13,</w:t>
            </w:r>
          </w:p>
        </w:tc>
        <w:tc>
          <w:tcPr>
            <w:tcW w:w="140" w:type="dxa"/>
            <w:vAlign w:val="bottom"/>
          </w:tcPr>
          <w:p>
            <w:pPr>
              <w:spacing w:after="0"/>
              <w:rPr>
                <w:sz w:val="12"/>
                <w:szCs w:val="12"/>
                <w:color w:val="auto"/>
              </w:rPr>
            </w:pPr>
          </w:p>
        </w:tc>
        <w:tc>
          <w:tcPr>
            <w:tcW w:w="15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Period from Jan. 1,</w:t>
            </w:r>
          </w:p>
        </w:tc>
        <w:tc>
          <w:tcPr>
            <w:tcW w:w="16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35"/>
        </w:trPr>
        <w:tc>
          <w:tcPr>
            <w:tcW w:w="44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740" w:type="dxa"/>
            <w:vAlign w:val="bottom"/>
            <w:gridSpan w:val="3"/>
            <w:vMerge w:val="continue"/>
          </w:tcPr>
          <w:p>
            <w:pPr>
              <w:spacing w:after="0"/>
              <w:rPr>
                <w:sz w:val="11"/>
                <w:szCs w:val="11"/>
                <w:color w:val="auto"/>
              </w:rPr>
            </w:pPr>
          </w:p>
        </w:tc>
        <w:tc>
          <w:tcPr>
            <w:tcW w:w="1740" w:type="dxa"/>
            <w:vAlign w:val="bottom"/>
            <w:tcBorders>
              <w:right w:val="single" w:sz="8" w:color="auto"/>
            </w:tcBorders>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2019 through Dec. 31,</w:t>
            </w:r>
          </w:p>
        </w:tc>
        <w:tc>
          <w:tcPr>
            <w:tcW w:w="17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2019 through Sep. 12,</w:t>
            </w:r>
          </w:p>
        </w:tc>
        <w:tc>
          <w:tcPr>
            <w:tcW w:w="1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40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Dec. 31, 2020</w:t>
            </w: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Dec. 31, 2018</w:t>
            </w:r>
          </w:p>
        </w:tc>
        <w:tc>
          <w:tcPr>
            <w:tcW w:w="0" w:type="dxa"/>
            <w:vAlign w:val="bottom"/>
          </w:tcPr>
          <w:p>
            <w:pPr>
              <w:spacing w:after="0"/>
              <w:rPr>
                <w:sz w:val="1"/>
                <w:szCs w:val="1"/>
                <w:color w:val="auto"/>
              </w:rPr>
            </w:pPr>
          </w:p>
        </w:tc>
      </w:tr>
      <w:tr>
        <w:trPr>
          <w:trHeight w:val="16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Commission revenue:</w:t>
            </w: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40"/>
              <w:spacing w:after="0"/>
              <w:rPr>
                <w:sz w:val="20"/>
                <w:szCs w:val="20"/>
                <w:color w:val="auto"/>
              </w:rPr>
            </w:pPr>
            <w:r>
              <w:rPr>
                <w:rFonts w:ascii="Arial" w:cs="Arial" w:eastAsia="Arial" w:hAnsi="Arial"/>
                <w:sz w:val="14"/>
                <w:szCs w:val="14"/>
                <w:i w:val="1"/>
                <w:iCs w:val="1"/>
                <w:color w:val="auto"/>
              </w:rPr>
              <w:t>Medicare:</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Medicare Advantage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217,763</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119,828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84,218</w:t>
            </w:r>
          </w:p>
        </w:tc>
        <w:tc>
          <w:tcPr>
            <w:tcW w:w="0" w:type="dxa"/>
            <w:vAlign w:val="bottom"/>
          </w:tcPr>
          <w:p>
            <w:pPr>
              <w:spacing w:after="0"/>
              <w:rPr>
                <w:sz w:val="1"/>
                <w:szCs w:val="1"/>
                <w:color w:val="auto"/>
              </w:rPr>
            </w:pPr>
          </w:p>
        </w:tc>
      </w:tr>
      <w:tr>
        <w:trPr>
          <w:trHeight w:val="189"/>
        </w:trPr>
        <w:tc>
          <w:tcPr>
            <w:tcW w:w="4400" w:type="dxa"/>
            <w:vAlign w:val="bottom"/>
          </w:tcPr>
          <w:p>
            <w:pPr>
              <w:ind w:left="460"/>
              <w:spacing w:after="0"/>
              <w:rPr>
                <w:sz w:val="20"/>
                <w:szCs w:val="20"/>
                <w:color w:val="auto"/>
              </w:rPr>
            </w:pPr>
            <w:r>
              <w:rPr>
                <w:rFonts w:ascii="Arial" w:cs="Arial" w:eastAsia="Arial" w:hAnsi="Arial"/>
                <w:sz w:val="14"/>
                <w:szCs w:val="14"/>
                <w:color w:val="auto"/>
              </w:rPr>
              <w:t>Medicare Supplement</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5,407</w:t>
            </w: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9,354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9,610</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Prescription Drug Plans</w:t>
            </w:r>
          </w:p>
        </w:tc>
        <w:tc>
          <w:tcPr>
            <w:tcW w:w="2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2,942</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1,486</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2,396</w:t>
            </w:r>
          </w:p>
        </w:tc>
        <w:tc>
          <w:tcPr>
            <w:tcW w:w="0" w:type="dxa"/>
            <w:vAlign w:val="bottom"/>
          </w:tcPr>
          <w:p>
            <w:pPr>
              <w:spacing w:after="0"/>
              <w:rPr>
                <w:sz w:val="1"/>
                <w:szCs w:val="1"/>
                <w:color w:val="auto"/>
              </w:rPr>
            </w:pPr>
          </w:p>
        </w:tc>
      </w:tr>
      <w:tr>
        <w:trPr>
          <w:trHeight w:val="182"/>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Medicare</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640,862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226,112</w:t>
            </w:r>
          </w:p>
        </w:tc>
        <w:tc>
          <w:tcPr>
            <w:tcW w:w="10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130,668</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96,224</w:t>
            </w:r>
          </w:p>
        </w:tc>
        <w:tc>
          <w:tcPr>
            <w:tcW w:w="0" w:type="dxa"/>
            <w:vAlign w:val="bottom"/>
          </w:tcPr>
          <w:p>
            <w:pPr>
              <w:spacing w:after="0"/>
              <w:rPr>
                <w:sz w:val="1"/>
                <w:szCs w:val="1"/>
                <w:color w:val="auto"/>
              </w:rPr>
            </w:pPr>
          </w:p>
        </w:tc>
      </w:tr>
      <w:tr>
        <w:trPr>
          <w:trHeight w:val="169"/>
        </w:trPr>
        <w:tc>
          <w:tcPr>
            <w:tcW w:w="4400" w:type="dxa"/>
            <w:vAlign w:val="bottom"/>
            <w:shd w:val="clear" w:color="auto" w:fill="CCEEFF"/>
          </w:tcPr>
          <w:p>
            <w:pPr>
              <w:ind w:left="240"/>
              <w:spacing w:after="0"/>
              <w:rPr>
                <w:sz w:val="20"/>
                <w:szCs w:val="20"/>
                <w:color w:val="auto"/>
              </w:rPr>
            </w:pPr>
            <w:r>
              <w:rPr>
                <w:rFonts w:ascii="Arial" w:cs="Arial" w:eastAsia="Arial" w:hAnsi="Arial"/>
                <w:sz w:val="14"/>
                <w:szCs w:val="14"/>
                <w:i w:val="1"/>
                <w:iCs w:val="1"/>
                <w:color w:val="auto"/>
              </w:rPr>
              <w:t>Individual and Family Plan:</w:t>
            </w: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460"/>
              <w:spacing w:after="0"/>
              <w:rPr>
                <w:sz w:val="20"/>
                <w:szCs w:val="20"/>
                <w:color w:val="auto"/>
              </w:rPr>
            </w:pPr>
            <w:r>
              <w:rPr>
                <w:rFonts w:ascii="Arial" w:cs="Arial" w:eastAsia="Arial" w:hAnsi="Arial"/>
                <w:sz w:val="14"/>
                <w:szCs w:val="14"/>
                <w:color w:val="auto"/>
              </w:rPr>
              <w:t>Fixed Indemnity</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15,966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12,080</w:t>
            </w: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35,320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33,861</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Short-term</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2,272</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2,906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2,895</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Major Medical</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1,057</w:t>
            </w:r>
          </w:p>
        </w:tc>
        <w:tc>
          <w:tcPr>
            <w:tcW w:w="100" w:type="dxa"/>
            <w:vAlign w:val="bottom"/>
            <w:tcBorders>
              <w:bottom w:val="single" w:sz="8" w:color="CCEEFF"/>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412</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2,763</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Individual and Family Plan</w:t>
            </w:r>
          </w:p>
        </w:tc>
        <w:tc>
          <w:tcPr>
            <w:tcW w:w="2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24,765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15,409</w:t>
            </w:r>
          </w:p>
        </w:tc>
        <w:tc>
          <w:tcPr>
            <w:tcW w:w="100" w:type="dxa"/>
            <w:vAlign w:val="bottom"/>
            <w:tcBorders>
              <w:right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38,638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39,519</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color w:val="auto"/>
              </w:rPr>
              <w:t>Ancillary</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1,428</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5,483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7,511</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Small Group</w:t>
            </w:r>
          </w:p>
        </w:tc>
        <w:tc>
          <w:tcPr>
            <w:tcW w:w="2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398</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1,045</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w:t>
            </w:r>
          </w:p>
        </w:tc>
        <w:tc>
          <w:tcPr>
            <w:tcW w:w="0" w:type="dxa"/>
            <w:vAlign w:val="bottom"/>
          </w:tcPr>
          <w:p>
            <w:pPr>
              <w:spacing w:after="0"/>
              <w:rPr>
                <w:sz w:val="1"/>
                <w:szCs w:val="1"/>
                <w:color w:val="auto"/>
              </w:rPr>
            </w:pPr>
          </w:p>
        </w:tc>
      </w:tr>
      <w:tr>
        <w:trPr>
          <w:trHeight w:val="182"/>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commission revenue</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671,140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243,347</w:t>
            </w:r>
          </w:p>
        </w:tc>
        <w:tc>
          <w:tcPr>
            <w:tcW w:w="10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175,834</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144,378</w:t>
            </w:r>
          </w:p>
        </w:tc>
        <w:tc>
          <w:tcPr>
            <w:tcW w:w="0" w:type="dxa"/>
            <w:vAlign w:val="bottom"/>
          </w:tcPr>
          <w:p>
            <w:pPr>
              <w:spacing w:after="0"/>
              <w:rPr>
                <w:sz w:val="1"/>
                <w:szCs w:val="1"/>
                <w:color w:val="auto"/>
              </w:rPr>
            </w:pPr>
          </w:p>
        </w:tc>
      </w:tr>
      <w:tr>
        <w:trPr>
          <w:trHeight w:val="16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Enterprise revenue:</w:t>
            </w: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40"/>
              <w:spacing w:after="0"/>
              <w:rPr>
                <w:sz w:val="20"/>
                <w:szCs w:val="20"/>
                <w:color w:val="auto"/>
              </w:rPr>
            </w:pPr>
            <w:r>
              <w:rPr>
                <w:rFonts w:ascii="Arial" w:cs="Arial" w:eastAsia="Arial" w:hAnsi="Arial"/>
                <w:sz w:val="14"/>
                <w:szCs w:val="14"/>
                <w:color w:val="auto"/>
              </w:rPr>
              <w:t>Partner Marketing and Enrollment Services</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164,754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41,674</w:t>
            </w: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14,796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9,913</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Direct Partner Campaigns</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31,897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17,678</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18,251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33,331</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5,792</w:t>
            </w:r>
          </w:p>
        </w:tc>
        <w:tc>
          <w:tcPr>
            <w:tcW w:w="100" w:type="dxa"/>
            <w:vAlign w:val="bottom"/>
            <w:tcBorders>
              <w:bottom w:val="single" w:sz="8" w:color="CCEEFF"/>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22,129</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38,583</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enterprise revenue</w:t>
            </w:r>
          </w:p>
        </w:tc>
        <w:tc>
          <w:tcPr>
            <w:tcW w:w="2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206,210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65,144</w:t>
            </w:r>
          </w:p>
        </w:tc>
        <w:tc>
          <w:tcPr>
            <w:tcW w:w="100" w:type="dxa"/>
            <w:vAlign w:val="bottom"/>
            <w:tcBorders>
              <w:right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55,176</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81,827</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Net revenues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877,350</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308,491</w:t>
            </w:r>
          </w:p>
        </w:tc>
        <w:tc>
          <w:tcPr>
            <w:tcW w:w="100" w:type="dxa"/>
            <w:vAlign w:val="bottom"/>
            <w:tcBorders>
              <w:right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231,010</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226,205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Assets and Liabilities</w:t>
      </w:r>
    </w:p>
    <w:p>
      <w:pPr>
        <w:spacing w:after="0" w:line="24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company records contract assets and contract liabilities from contracts with customers as it relates to commissions receivable, commissions payable and deferred revenue. Commissions receivable represents estimated variable consideration for commissions to be received from insurance carriers for performance obligations that have been satisfied. Commissions payable represents estimated commissions to be paid to the Company’s external agents and other partners. Deferred revenue includes amounts collected for partner marketing and enrollment services and technology licensing and implementation fees in advance of the Company satisfying its performance obligations for such customers. There are no other contract liabilities or contract assets recorded by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For the twelve months ended December 31, 2020, the Company recognized $14.7 million of revenue that was deferred as of December 31, 2019.</w:t>
      </w:r>
    </w:p>
    <w:p>
      <w:pPr>
        <w:spacing w:after="0" w:line="201" w:lineRule="exact"/>
        <w:rPr>
          <w:sz w:val="20"/>
          <w:szCs w:val="20"/>
          <w:color w:val="auto"/>
        </w:rPr>
      </w:pPr>
    </w:p>
    <w:p>
      <w:pPr>
        <w:ind w:right="7940" w:firstLine="8"/>
        <w:spacing w:after="0" w:line="541" w:lineRule="auto"/>
        <w:tabs>
          <w:tab w:leader="none" w:pos="270" w:val="left"/>
        </w:tabs>
        <w:numPr>
          <w:ilvl w:val="0"/>
          <w:numId w:val="52"/>
        </w:numPr>
        <w:rPr>
          <w:rFonts w:ascii="Arial" w:cs="Arial" w:eastAsia="Arial" w:hAnsi="Arial"/>
          <w:sz w:val="16"/>
          <w:szCs w:val="16"/>
          <w:b w:val="1"/>
          <w:bCs w:val="1"/>
          <w:color w:val="0A2299"/>
        </w:rPr>
      </w:pPr>
      <w:r>
        <w:rPr>
          <w:rFonts w:ascii="Arial" w:cs="Arial" w:eastAsia="Arial" w:hAnsi="Arial"/>
          <w:sz w:val="16"/>
          <w:szCs w:val="16"/>
          <w:b w:val="1"/>
          <w:bCs w:val="1"/>
          <w:color w:val="0A2299"/>
        </w:rPr>
        <w:t xml:space="preserve">COMMITMENTS AND CONTINGENCIES </w:t>
      </w:r>
      <w:r>
        <w:rPr>
          <w:rFonts w:ascii="Arial" w:cs="Arial" w:eastAsia="Arial" w:hAnsi="Arial"/>
          <w:sz w:val="16"/>
          <w:szCs w:val="16"/>
          <w:b w:val="1"/>
          <w:bCs w:val="1"/>
          <w:color w:val="000000"/>
        </w:rPr>
        <w:t>Leases</w:t>
      </w:r>
    </w:p>
    <w:p>
      <w:pPr>
        <w:spacing w:after="0" w:line="1"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As of December 31, 2020, the Company had $0.8 million of assets acquired under capital leases, for which the net book value was $0.4 million. The Company has capital lease arrangements to obtain computer equipment and furniture for the Company’s operations.</w:t>
      </w:r>
    </w:p>
    <w:p>
      <w:pPr>
        <w:spacing w:after="0" w:line="195"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The Company entered into various non-cancelable operating lease agreements for certain of the Company’s offices and data centers with lease periods expiring in 2032. Certain of these arrangements have free rent periods or escalating rent payment provisions, and the Company recognizes rent expense under such arrangements on a straight-line basis. The Company recognized rent expense of $6.7 million, $2.0 million, $3.1 million and $2.8 million for the twelve months ended December 31, 2020, the Successor 2019 Period, the Predecessor 2019 Period, and the twelve months ended December 31,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299085</wp:posOffset>
            </wp:positionV>
            <wp:extent cx="8255" cy="1200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299085</wp:posOffset>
            </wp:positionV>
            <wp:extent cx="8890" cy="1200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101</w:t>
      </w:r>
    </w:p>
    <w:p>
      <w:pPr>
        <w:sectPr>
          <w:pgSz w:w="11900" w:h="16838" w:orient="portrait"/>
          <w:cols w:equalWidth="0" w:num="3">
            <w:col w:w="4580" w:space="540"/>
            <w:col w:w="1040" w:space="360"/>
            <w:col w:w="4720"/>
          </w:cols>
          <w:pgMar w:left="320" w:top="1323"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6"/>
          <w:szCs w:val="16"/>
          <w:color w:val="auto"/>
        </w:rPr>
        <w:t>Future minimum lease payments required under non-cancelable capital and operating leases as of December 31, 2020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Capital Leases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Operating Leases</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6,531</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2022</w:t>
            </w: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8,993</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11,529</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2024</w:t>
            </w: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10,812</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9,914</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38,809</w:t>
            </w: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minimum lease payments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86,588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7860" w:type="dxa"/>
            <w:vAlign w:val="bottom"/>
          </w:tcPr>
          <w:p>
            <w:pPr>
              <w:ind w:left="20"/>
              <w:spacing w:after="0"/>
              <w:rPr>
                <w:sz w:val="20"/>
                <w:szCs w:val="20"/>
                <w:color w:val="auto"/>
              </w:rPr>
            </w:pPr>
            <w:r>
              <w:rPr>
                <w:rFonts w:ascii="Arial" w:cs="Arial" w:eastAsia="Arial" w:hAnsi="Arial"/>
                <w:sz w:val="14"/>
                <w:szCs w:val="14"/>
                <w:color w:val="auto"/>
              </w:rPr>
              <w:t>Less: amounts representing interest and taxes</w:t>
            </w: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current portion of the present value of minimum lease payments</w:t>
            </w:r>
          </w:p>
        </w:tc>
        <w:tc>
          <w:tcPr>
            <w:tcW w:w="2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 net of current portion</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4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In September 2020, three purported securities class action complaints were filed in the United States District Court for the Northern District of Illinois against the Company, certain of its officers and directors, and certain underwriters, private equity firms, and investment vehicles alleging violations of the Securities Act of 1933. On December 10, 2020 the court in the earliest filed action consolidated the three complaints, appointed lead plaintiffs and lead counsel for the consolidated action, and captioned the consolidated action In re GoHealth, Inc. Securities Litigation. Lead plaintiffs filed a consolidated complaint on February 25, 2021. Defendants must file responsive pleadings by April 26, 2021. The Company disputes each and every of plaintiffs’ claims and intends to defend the matter vigorously, including by moving to dismiss the forthcoming consolidated complaint.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13. RELATED PARTY TRANSACTIONS</w:t>
      </w:r>
    </w:p>
    <w:p>
      <w:pPr>
        <w:spacing w:after="0" w:line="241"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Company is party to various lease agreements with 214 W Huron LLC, 220 W Huron Street Holdings LLC, and 215 W Superior LLC, each of which are controlled by significant shareholders, to lease its corporate offices in Chicago, Illinois. The Company pays rent, operating expenses, maintenance, and utilities under the terms of the leases. For the twelve months ended December 31, 2020, the Successor 2019 Period, the Predecessor 2019 Period and the twelve months ended December 31, 2018, the Company made aggregate lease payments of $1.4 million, $0.3 million, $0.8 million, and $1.0 million, respectively, under these leases.</w:t>
      </w:r>
    </w:p>
    <w:p>
      <w:pPr>
        <w:spacing w:after="0" w:line="203"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On January 1, 2020, the Company entered into a non-exclusive aircraft dry lease agreement with an entity wholly-owned and controlled by significant shareholders. The agreement allows the Company to use an aircraft owned by this entity for business and on an as-needed basis. The agreement has no set term and is terminable without cause by either party upon 30 days’ prior written notice. Under the agreement, the Company is required to pay $6,036.94 per flight hour for use of the aircraft. For the twelve months ended December 31, 2020, the Company recorded expense of $1.4 million under this lease.</w:t>
      </w:r>
    </w:p>
    <w:p>
      <w:pPr>
        <w:spacing w:after="0" w:line="20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On May 12, 2020, the Company entered into a lease agreement with Wilson Tech 5, which is controlled by significant shareholders, for a proposed site in Lindon, Utah, beginning in 2022. The Company will not have access to the leased premises until construction is complete, the “commencement date,” and is not deemed to be the owner during the construction period. This lease agreement expires ten years after the commencement date. The Company did not make any lease payments during the twelve months ended December 31, 2020 under this lease. The initial base annual rent will be approximately $4.6 million beginning in mid-2022.</w:t>
      </w:r>
    </w:p>
    <w:p>
      <w:pPr>
        <w:spacing w:after="0" w:line="203"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During the twelve months ended December 31, 2020, the Company provided a short-term advancement to NVX Holdings, Inc., which is controlled by significant shareholders, for which the Company recorded a receivable of $3.4 million.</w:t>
      </w:r>
    </w:p>
    <w:p>
      <w:pPr>
        <w:spacing w:after="0" w:line="195"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During 2020, the Company made a one-time tax distribution totaling $0.4 million to several current and former employees, including certain executive officers, related to taxable income allocated to such persons for 2019 relating to the Centerbridge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294005</wp:posOffset>
            </wp:positionV>
            <wp:extent cx="8255" cy="1200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294005</wp:posOffset>
            </wp:positionV>
            <wp:extent cx="8890" cy="1200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102</w:t>
      </w:r>
    </w:p>
    <w:p>
      <w:pPr>
        <w:sectPr>
          <w:pgSz w:w="11900" w:h="16838" w:orient="portrait"/>
          <w:cols w:equalWidth="0" w:num="3">
            <w:col w:w="4580" w:space="540"/>
            <w:col w:w="1040" w:space="360"/>
            <w:col w:w="4720"/>
          </w:cols>
          <w:pgMar w:left="320" w:top="1343" w:right="339" w:bottom="1440" w:gutter="0" w:footer="0" w:header="0"/>
          <w:type w:val="continuous"/>
        </w:sectPr>
      </w:pPr>
    </w:p>
    <w:bookmarkStart w:id="105" w:name="page106"/>
    <w:bookmarkEnd w:id="105"/>
    <w:p>
      <w:pPr>
        <w:ind w:right="6460" w:firstLine="8"/>
        <w:spacing w:after="0" w:line="541" w:lineRule="auto"/>
        <w:tabs>
          <w:tab w:leader="none" w:pos="270" w:val="left"/>
        </w:tabs>
        <w:numPr>
          <w:ilvl w:val="0"/>
          <w:numId w:val="53"/>
        </w:numPr>
        <w:rPr>
          <w:rFonts w:ascii="Arial" w:cs="Arial" w:eastAsia="Arial" w:hAnsi="Arial"/>
          <w:sz w:val="16"/>
          <w:szCs w:val="16"/>
          <w:b w:val="1"/>
          <w:bCs w:val="1"/>
          <w:color w:val="0A2299"/>
        </w:rPr>
      </w:pPr>
      <w:r>
        <w:rPr>
          <w:rFonts w:ascii="Arial" w:cs="Arial" w:eastAsia="Arial" w:hAnsi="Arial"/>
          <w:sz w:val="16"/>
          <w:szCs w:val="16"/>
          <w:b w:val="1"/>
          <w:bCs w:val="1"/>
          <w:color w:val="0A2299"/>
        </w:rPr>
        <w:t xml:space="preserve">OPERATING SEGMENTS AND SIGNIFICANT CUSTOMERS </w:t>
      </w:r>
      <w:r>
        <w:rPr>
          <w:rFonts w:ascii="Arial" w:cs="Arial" w:eastAsia="Arial" w:hAnsi="Arial"/>
          <w:sz w:val="16"/>
          <w:szCs w:val="16"/>
          <w:b w:val="1"/>
          <w:bCs w:val="1"/>
          <w:color w:val="000000"/>
        </w:rPr>
        <w:t>Operating Segments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The Company reports segment information based on how the Company’s chief operating decision maker (“CODM”) regularly reviews operating results, allocates resources and makes decisions regarding business operations. The performance measures of the segments include total revenue and profit (loss). For segment reporting purposes in accordance with ASC 280-10,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Company’s business structure is comprised of four operating and reportable segments:</w:t>
      </w:r>
    </w:p>
    <w:p>
      <w:pPr>
        <w:spacing w:after="0" w:line="18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b w:val="1"/>
          <w:bCs w:val="1"/>
          <w:color w:val="auto"/>
        </w:rPr>
        <w:t xml:space="preserve">Medicare Internal and External: </w:t>
      </w:r>
      <w:r>
        <w:rPr>
          <w:rFonts w:ascii="Arial" w:cs="Arial" w:eastAsia="Arial" w:hAnsi="Arial"/>
          <w:sz w:val="16"/>
          <w:szCs w:val="16"/>
          <w:color w:val="auto"/>
        </w:rPr>
        <w:t>The Medicare internal and external segments consist primarily of revenues earned from sales of Medicare Advantage,</w:t>
      </w:r>
      <w:r>
        <w:rPr>
          <w:rFonts w:ascii="Arial" w:cs="Arial" w:eastAsia="Arial" w:hAnsi="Arial"/>
          <w:sz w:val="16"/>
          <w:szCs w:val="16"/>
          <w:b w:val="1"/>
          <w:bCs w:val="1"/>
          <w:color w:val="auto"/>
        </w:rPr>
        <w:t xml:space="preserve"> </w:t>
      </w:r>
      <w:r>
        <w:rPr>
          <w:rFonts w:ascii="Arial" w:cs="Arial" w:eastAsia="Arial" w:hAnsi="Arial"/>
          <w:sz w:val="16"/>
          <w:szCs w:val="16"/>
          <w:color w:val="auto"/>
        </w:rPr>
        <w:t>Medicare Supplement, Prescription Drug Plans, and Medicare Special Needs Plans (or “SNPs”), for multiple carriers.</w:t>
      </w:r>
    </w:p>
    <w:p>
      <w:pPr>
        <w:spacing w:after="0" w:line="156"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b w:val="1"/>
          <w:bCs w:val="1"/>
          <w:color w:val="auto"/>
        </w:rPr>
        <w:t xml:space="preserve">Individual and Family Plan and Other (“IFP and Other”) Internal and External: </w:t>
      </w:r>
      <w:r>
        <w:rPr>
          <w:rFonts w:ascii="Arial" w:cs="Arial" w:eastAsia="Arial" w:hAnsi="Arial"/>
          <w:sz w:val="16"/>
          <w:szCs w:val="16"/>
          <w:color w:val="auto"/>
        </w:rPr>
        <w:t>The IFP and Other internal and external segments consist primarily of</w:t>
      </w:r>
      <w:r>
        <w:rPr>
          <w:rFonts w:ascii="Arial" w:cs="Arial" w:eastAsia="Arial" w:hAnsi="Arial"/>
          <w:sz w:val="16"/>
          <w:szCs w:val="16"/>
          <w:b w:val="1"/>
          <w:bCs w:val="1"/>
          <w:color w:val="auto"/>
        </w:rPr>
        <w:t xml:space="preserve"> </w:t>
      </w:r>
      <w:r>
        <w:rPr>
          <w:rFonts w:ascii="Arial" w:cs="Arial" w:eastAsia="Arial" w:hAnsi="Arial"/>
          <w:sz w:val="16"/>
          <w:szCs w:val="16"/>
          <w:color w:val="auto"/>
        </w:rPr>
        <w:t>revenues earned from sales of individual and family plans, dental plans, vision plans and other ancillary plans to individuals that are not Medicare-eligible.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Internal and External segments relative to both Medicare and IFP are defined as follows:</w:t>
      </w:r>
    </w:p>
    <w:p>
      <w:pPr>
        <w:spacing w:after="0" w:line="20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b w:val="1"/>
          <w:bCs w:val="1"/>
          <w:color w:val="auto"/>
        </w:rPr>
        <w:t xml:space="preserve">Internal: </w:t>
      </w:r>
      <w:r>
        <w:rPr>
          <w:rFonts w:ascii="Arial" w:cs="Arial" w:eastAsia="Arial" w:hAnsi="Arial"/>
          <w:sz w:val="16"/>
          <w:szCs w:val="16"/>
          <w:color w:val="auto"/>
        </w:rPr>
        <w:t>The two internal segments primarily consist of sales of products and plans by Company-employed agents offering qualified prospects plans from</w:t>
      </w:r>
      <w:r>
        <w:rPr>
          <w:rFonts w:ascii="Arial" w:cs="Arial" w:eastAsia="Arial" w:hAnsi="Arial"/>
          <w:sz w:val="16"/>
          <w:szCs w:val="16"/>
          <w:b w:val="1"/>
          <w:bCs w:val="1"/>
          <w:color w:val="auto"/>
        </w:rPr>
        <w:t xml:space="preserve"> </w:t>
      </w:r>
      <w:r>
        <w:rPr>
          <w:rFonts w:ascii="Arial" w:cs="Arial" w:eastAsia="Arial" w:hAnsi="Arial"/>
          <w:sz w:val="16"/>
          <w:szCs w:val="16"/>
          <w:color w:val="auto"/>
        </w:rPr>
        <w:t>multiple carriers, Company-employed agents offering qualified prospects plans on a carrier-specific basis, or sales of products and plans through our online platform without the assistance of our agents (do-it-yourself or “DIY”). The Company earns revenue in this channel through commissions paid by carriers based on sales the Company generates, as well as enrollment fees, hourly fees and other fees for services performed for specific carriers and other partners.</w:t>
      </w:r>
    </w:p>
    <w:p>
      <w:pPr>
        <w:spacing w:after="0" w:line="37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b w:val="1"/>
          <w:bCs w:val="1"/>
          <w:color w:val="auto"/>
        </w:rPr>
        <w:t xml:space="preserve">External: </w:t>
      </w:r>
      <w:r>
        <w:rPr>
          <w:rFonts w:ascii="Arial" w:cs="Arial" w:eastAsia="Arial" w:hAnsi="Arial"/>
          <w:sz w:val="16"/>
          <w:szCs w:val="16"/>
          <w:color w:val="auto"/>
        </w:rPr>
        <w:t>The two external segments represent sales of products and plans under the Company’s carrier contracts using an independent, national network</w:t>
      </w:r>
      <w:r>
        <w:rPr>
          <w:rFonts w:ascii="Arial" w:cs="Arial" w:eastAsia="Arial" w:hAnsi="Arial"/>
          <w:sz w:val="16"/>
          <w:szCs w:val="16"/>
          <w:b w:val="1"/>
          <w:bCs w:val="1"/>
          <w:color w:val="auto"/>
        </w:rPr>
        <w:t xml:space="preserve"> </w:t>
      </w:r>
      <w:r>
        <w:rPr>
          <w:rFonts w:ascii="Arial" w:cs="Arial" w:eastAsia="Arial" w:hAnsi="Arial"/>
          <w:sz w:val="16"/>
          <w:szCs w:val="16"/>
          <w:color w:val="auto"/>
        </w:rPr>
        <w:t>of agents who are not employed by Company. These agents utilize the Company’s technology and platform to enroll consumers in health insurance plans and provide a means to earn a return on leads that otherwise may have not been addressed. The Company also sells insurance prospects (or “leads”) to agencies within this channel. The Company earns revenue in this channel through commissions paid by carriers as a result of policy sales, as well as sales of leads to external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297180</wp:posOffset>
            </wp:positionV>
            <wp:extent cx="8255" cy="1200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297180</wp:posOffset>
            </wp:positionV>
            <wp:extent cx="8890" cy="1200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00"/>
          </w:cols>
          <w:pgMar w:left="320" w:top="1323" w:right="37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103</w:t>
      </w:r>
    </w:p>
    <w:p>
      <w:pPr>
        <w:sectPr>
          <w:pgSz w:w="11900" w:h="16838" w:orient="portrait"/>
          <w:cols w:equalWidth="0" w:num="3">
            <w:col w:w="4580" w:space="540"/>
            <w:col w:w="1040" w:space="360"/>
            <w:col w:w="4680"/>
          </w:cols>
          <w:pgMar w:left="320" w:top="1323" w:right="37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6"/>
          <w:szCs w:val="16"/>
          <w:color w:val="auto"/>
        </w:rPr>
        <w:t>The following table presents summary results of the Company’s operating segments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248"/>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16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7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Twelve months ended</w:t>
            </w:r>
          </w:p>
        </w:tc>
        <w:tc>
          <w:tcPr>
            <w:tcW w:w="100" w:type="dxa"/>
            <w:vAlign w:val="bottom"/>
          </w:tcPr>
          <w:p>
            <w:pPr>
              <w:spacing w:after="0"/>
              <w:rPr>
                <w:sz w:val="12"/>
                <w:szCs w:val="12"/>
                <w:color w:val="auto"/>
              </w:rPr>
            </w:pPr>
          </w:p>
        </w:tc>
        <w:tc>
          <w:tcPr>
            <w:tcW w:w="1640" w:type="dxa"/>
            <w:vAlign w:val="bottom"/>
            <w:tcBorders>
              <w:right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Period from Sep. 13,</w:t>
            </w:r>
          </w:p>
        </w:tc>
        <w:tc>
          <w:tcPr>
            <w:tcW w:w="140" w:type="dxa"/>
            <w:vAlign w:val="bottom"/>
          </w:tcPr>
          <w:p>
            <w:pPr>
              <w:spacing w:after="0"/>
              <w:rPr>
                <w:sz w:val="12"/>
                <w:szCs w:val="12"/>
                <w:color w:val="auto"/>
              </w:rPr>
            </w:pPr>
          </w:p>
        </w:tc>
        <w:tc>
          <w:tcPr>
            <w:tcW w:w="15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Period from Jan. 1,</w:t>
            </w:r>
          </w:p>
        </w:tc>
        <w:tc>
          <w:tcPr>
            <w:tcW w:w="16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35"/>
        </w:trPr>
        <w:tc>
          <w:tcPr>
            <w:tcW w:w="44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740" w:type="dxa"/>
            <w:vAlign w:val="bottom"/>
            <w:gridSpan w:val="3"/>
            <w:vMerge w:val="continue"/>
          </w:tcPr>
          <w:p>
            <w:pPr>
              <w:spacing w:after="0"/>
              <w:rPr>
                <w:sz w:val="11"/>
                <w:szCs w:val="11"/>
                <w:color w:val="auto"/>
              </w:rPr>
            </w:pPr>
          </w:p>
        </w:tc>
        <w:tc>
          <w:tcPr>
            <w:tcW w:w="1740" w:type="dxa"/>
            <w:vAlign w:val="bottom"/>
            <w:tcBorders>
              <w:right w:val="single" w:sz="8" w:color="auto"/>
            </w:tcBorders>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2019 through Dec. 31,</w:t>
            </w:r>
          </w:p>
        </w:tc>
        <w:tc>
          <w:tcPr>
            <w:tcW w:w="17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2019 through Sep. 12,</w:t>
            </w:r>
          </w:p>
        </w:tc>
        <w:tc>
          <w:tcPr>
            <w:tcW w:w="1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 31, 2020</w:t>
            </w:r>
          </w:p>
        </w:tc>
        <w:tc>
          <w:tcPr>
            <w:tcW w:w="100" w:type="dxa"/>
            <w:vAlign w:val="bottom"/>
          </w:tcPr>
          <w:p>
            <w:pPr>
              <w:spacing w:after="0"/>
              <w:rPr>
                <w:sz w:val="15"/>
                <w:szCs w:val="15"/>
                <w:color w:val="auto"/>
              </w:rPr>
            </w:pPr>
          </w:p>
        </w:tc>
        <w:tc>
          <w:tcPr>
            <w:tcW w:w="1540" w:type="dxa"/>
            <w:vAlign w:val="bottom"/>
          </w:tcPr>
          <w:p>
            <w:pPr>
              <w:jc w:val="center"/>
              <w:ind w:right="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center"/>
              <w:ind w:right="6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288"/>
              <w:spacing w:after="0"/>
              <w:rPr>
                <w:sz w:val="20"/>
                <w:szCs w:val="20"/>
                <w:color w:val="auto"/>
              </w:rPr>
            </w:pPr>
            <w:r>
              <w:rPr>
                <w:rFonts w:ascii="Arial" w:cs="Arial" w:eastAsia="Arial" w:hAnsi="Arial"/>
                <w:sz w:val="14"/>
                <w:szCs w:val="14"/>
                <w:b w:val="1"/>
                <w:bCs w:val="1"/>
                <w:color w:val="auto"/>
              </w:rPr>
              <w:t>Dec. 31, 2018</w:t>
            </w: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Revenues:</w:t>
            </w:r>
          </w:p>
        </w:tc>
        <w:tc>
          <w:tcPr>
            <w:tcW w:w="2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40"/>
              <w:spacing w:after="0"/>
              <w:rPr>
                <w:sz w:val="20"/>
                <w:szCs w:val="20"/>
                <w:color w:val="auto"/>
              </w:rPr>
            </w:pPr>
            <w:r>
              <w:rPr>
                <w:rFonts w:ascii="Arial" w:cs="Arial" w:eastAsia="Arial" w:hAnsi="Arial"/>
                <w:sz w:val="14"/>
                <w:szCs w:val="14"/>
                <w:i w:val="1"/>
                <w:iCs w:val="1"/>
                <w:color w:val="auto"/>
              </w:rPr>
              <w:t>Medicare:</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Internal channel</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667,293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215,322</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102,196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53,365</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External channel</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155,660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59,152</w:t>
            </w:r>
          </w:p>
        </w:tc>
        <w:tc>
          <w:tcPr>
            <w:tcW w:w="100" w:type="dxa"/>
            <w:vAlign w:val="bottom"/>
            <w:tcBorders>
              <w:bottom w:val="single" w:sz="8" w:color="CCEEFF"/>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55,981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58,834</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Medicare</w:t>
            </w:r>
          </w:p>
        </w:tc>
        <w:tc>
          <w:tcPr>
            <w:tcW w:w="2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822,953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274,474</w:t>
            </w:r>
          </w:p>
        </w:tc>
        <w:tc>
          <w:tcPr>
            <w:tcW w:w="100" w:type="dxa"/>
            <w:vAlign w:val="bottom"/>
            <w:tcBorders>
              <w:right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158,177</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112,199</w:t>
            </w:r>
          </w:p>
        </w:tc>
        <w:tc>
          <w:tcPr>
            <w:tcW w:w="0" w:type="dxa"/>
            <w:vAlign w:val="bottom"/>
          </w:tcPr>
          <w:p>
            <w:pPr>
              <w:spacing w:after="0"/>
              <w:rPr>
                <w:sz w:val="1"/>
                <w:szCs w:val="1"/>
                <w:color w:val="auto"/>
              </w:rPr>
            </w:pPr>
          </w:p>
        </w:tc>
      </w:tr>
      <w:tr>
        <w:trPr>
          <w:trHeight w:val="169"/>
        </w:trPr>
        <w:tc>
          <w:tcPr>
            <w:tcW w:w="4400" w:type="dxa"/>
            <w:vAlign w:val="bottom"/>
          </w:tcPr>
          <w:p>
            <w:pPr>
              <w:ind w:left="240"/>
              <w:spacing w:after="0"/>
              <w:rPr>
                <w:sz w:val="20"/>
                <w:szCs w:val="20"/>
                <w:color w:val="auto"/>
              </w:rPr>
            </w:pPr>
            <w:r>
              <w:rPr>
                <w:rFonts w:ascii="Arial" w:cs="Arial" w:eastAsia="Arial" w:hAnsi="Arial"/>
                <w:sz w:val="14"/>
                <w:szCs w:val="14"/>
                <w:i w:val="1"/>
                <w:iCs w:val="1"/>
                <w:color w:val="auto"/>
              </w:rPr>
              <w:t>IFP and Other:</w:t>
            </w: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Internal channel</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20,850</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37,909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63,009</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External channel</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22,126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13,167</w:t>
            </w:r>
          </w:p>
        </w:tc>
        <w:tc>
          <w:tcPr>
            <w:tcW w:w="100" w:type="dxa"/>
            <w:vAlign w:val="bottom"/>
            <w:tcBorders>
              <w:bottom w:val="single" w:sz="8" w:color="CCEEFF"/>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34,924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50,997</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IFP and Other</w:t>
            </w:r>
          </w:p>
        </w:tc>
        <w:tc>
          <w:tcPr>
            <w:tcW w:w="2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54,397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34,017</w:t>
            </w:r>
          </w:p>
        </w:tc>
        <w:tc>
          <w:tcPr>
            <w:tcW w:w="100" w:type="dxa"/>
            <w:vAlign w:val="bottom"/>
            <w:tcBorders>
              <w:right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72,833</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114,006</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revenues</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877,350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308,491</w:t>
            </w:r>
          </w:p>
        </w:tc>
        <w:tc>
          <w:tcPr>
            <w:tcW w:w="10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231,010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226,205</w:t>
            </w:r>
          </w:p>
        </w:tc>
        <w:tc>
          <w:tcPr>
            <w:tcW w:w="0" w:type="dxa"/>
            <w:vAlign w:val="bottom"/>
          </w:tcPr>
          <w:p>
            <w:pPr>
              <w:spacing w:after="0"/>
              <w:rPr>
                <w:sz w:val="1"/>
                <w:szCs w:val="1"/>
                <w:color w:val="auto"/>
              </w:rPr>
            </w:pPr>
          </w:p>
        </w:tc>
      </w:tr>
      <w:tr>
        <w:trPr>
          <w:trHeight w:val="16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profit:</w:t>
            </w: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40"/>
              <w:spacing w:after="0"/>
              <w:rPr>
                <w:sz w:val="20"/>
                <w:szCs w:val="20"/>
                <w:color w:val="auto"/>
              </w:rPr>
            </w:pPr>
            <w:r>
              <w:rPr>
                <w:rFonts w:ascii="Arial" w:cs="Arial" w:eastAsia="Arial" w:hAnsi="Arial"/>
                <w:sz w:val="14"/>
                <w:szCs w:val="14"/>
                <w:i w:val="1"/>
                <w:iCs w:val="1"/>
                <w:color w:val="auto"/>
              </w:rPr>
              <w:t>Medicare:</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Internal channel</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126,210</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40,024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24,183</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External channel</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10,584</w:t>
            </w:r>
          </w:p>
        </w:tc>
        <w:tc>
          <w:tcPr>
            <w:tcW w:w="100" w:type="dxa"/>
            <w:vAlign w:val="bottom"/>
            <w:tcBorders>
              <w:bottom w:val="single" w:sz="8" w:color="CCEEFF"/>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4,893</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9,034</w:t>
            </w:r>
          </w:p>
        </w:tc>
        <w:tc>
          <w:tcPr>
            <w:tcW w:w="0" w:type="dxa"/>
            <w:vAlign w:val="bottom"/>
          </w:tcPr>
          <w:p>
            <w:pPr>
              <w:spacing w:after="0"/>
              <w:rPr>
                <w:sz w:val="1"/>
                <w:szCs w:val="1"/>
                <w:color w:val="auto"/>
              </w:rPr>
            </w:pPr>
          </w:p>
        </w:tc>
      </w:tr>
      <w:tr>
        <w:trPr>
          <w:trHeight w:val="202"/>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Medicare</w:t>
            </w:r>
          </w:p>
        </w:tc>
        <w:tc>
          <w:tcPr>
            <w:tcW w:w="2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302,809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136,794</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44,917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33,217</w:t>
            </w:r>
          </w:p>
        </w:tc>
        <w:tc>
          <w:tcPr>
            <w:tcW w:w="0" w:type="dxa"/>
            <w:vAlign w:val="bottom"/>
          </w:tcPr>
          <w:p>
            <w:pPr>
              <w:spacing w:after="0"/>
              <w:rPr>
                <w:sz w:val="1"/>
                <w:szCs w:val="1"/>
                <w:color w:val="auto"/>
              </w:rPr>
            </w:pPr>
          </w:p>
        </w:tc>
      </w:tr>
      <w:tr>
        <w:trPr>
          <w:trHeight w:val="149"/>
        </w:trPr>
        <w:tc>
          <w:tcPr>
            <w:tcW w:w="440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IFP and Other:</w:t>
            </w:r>
          </w:p>
        </w:tc>
        <w:tc>
          <w:tcPr>
            <w:tcW w:w="2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Internal channel</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1,650</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9,707</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External channel</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584</w:t>
            </w:r>
          </w:p>
        </w:tc>
        <w:tc>
          <w:tcPr>
            <w:tcW w:w="100" w:type="dxa"/>
            <w:vAlign w:val="bottom"/>
            <w:tcBorders>
              <w:bottom w:val="single" w:sz="8" w:color="CCEEFF"/>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1,748</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2,848</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IFP and Other</w:t>
            </w:r>
          </w:p>
        </w:tc>
        <w:tc>
          <w:tcPr>
            <w:tcW w:w="2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2,234</w:t>
            </w:r>
          </w:p>
        </w:tc>
        <w:tc>
          <w:tcPr>
            <w:tcW w:w="100" w:type="dxa"/>
            <w:vAlign w:val="bottom"/>
            <w:tcBorders>
              <w:right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3,943</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12,555</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Segment profit</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308,988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139,027</w:t>
            </w:r>
          </w:p>
        </w:tc>
        <w:tc>
          <w:tcPr>
            <w:tcW w:w="10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48,860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45,772</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expense (1)</w:t>
            </w: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259,778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9,767</w:t>
            </w:r>
          </w:p>
        </w:tc>
        <w:tc>
          <w:tcPr>
            <w:tcW w:w="10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103,469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17,009</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Change in fair value of contingent consideration liability</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19,700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70,700</w:t>
            </w: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28,217</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Acquisition related transaction costs</w:t>
            </w:r>
          </w:p>
        </w:tc>
        <w:tc>
          <w:tcPr>
            <w:tcW w:w="24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6,245</w:t>
            </w: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2,267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8,076</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20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(97,157)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16,039</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(57,129)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28,160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660" w:right="20" w:hanging="328"/>
        <w:spacing w:after="0" w:line="254" w:lineRule="auto"/>
        <w:tabs>
          <w:tab w:leader="none" w:pos="647"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The twelve months ended December 31, 2020 includes $6.9 million of share-based compensation expense related to Time-Vesting Units, stock options and restricted stock units, and $209.3 million of share-based compensation expense associated with the accelerated vesting of the Performance-Vesting Units in connection with the IPO. The Predecessor 2019 Period includes the Class C share-based compensation and incentive share plan expense recorded in connection with the Acquisition which totaled $87.1 million.</w:t>
      </w:r>
    </w:p>
    <w:p>
      <w:pPr>
        <w:spacing w:after="0" w:line="194"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There are no internal revenue transactions between the Company’s operating segments. Substantially all revenue for the periods presented was generated from customers located in the United States. The Company’s CODM does not separately evaluate assets by segment, and therefore assets by segment are not presented. The Company’s assets are primarily located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Customers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carriers representing 10% or more of the Company’s total revenue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7886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3480" w:type="dxa"/>
            <w:vAlign w:val="bottom"/>
            <w:tcBorders>
              <w:bottom w:val="single" w:sz="8" w:color="auto"/>
            </w:tcBorders>
            <w:gridSpan w:val="3"/>
          </w:tcPr>
          <w:p>
            <w:pPr>
              <w:jc w:val="right"/>
              <w:ind w:right="1288"/>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Twelve months ended</w:t>
            </w:r>
          </w:p>
        </w:tc>
        <w:tc>
          <w:tcPr>
            <w:tcW w:w="1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Period from Sep. 13,</w:t>
            </w: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2019 through Dec. 31,</w:t>
            </w: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5"/>
                <w:szCs w:val="15"/>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 31, 2020</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4140" w:type="dxa"/>
            <w:vAlign w:val="bottom"/>
          </w:tcPr>
          <w:p>
            <w:pPr>
              <w:spacing w:after="0"/>
              <w:rPr>
                <w:sz w:val="20"/>
                <w:szCs w:val="20"/>
                <w:color w:val="auto"/>
              </w:rPr>
            </w:pPr>
            <w:r>
              <w:rPr>
                <w:rFonts w:ascii="Arial" w:cs="Arial" w:eastAsia="Arial" w:hAnsi="Arial"/>
                <w:sz w:val="14"/>
                <w:szCs w:val="14"/>
                <w:color w:val="auto"/>
              </w:rPr>
              <w:t>Humana</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40 %</w:t>
            </w:r>
          </w:p>
        </w:tc>
        <w:tc>
          <w:tcPr>
            <w:tcW w:w="80" w:type="dxa"/>
            <w:vAlign w:val="bottom"/>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4"/>
                <w:szCs w:val="14"/>
                <w:color w:val="auto"/>
              </w:rPr>
              <w:t>Anthem</w:t>
            </w:r>
          </w:p>
        </w:tc>
        <w:tc>
          <w:tcPr>
            <w:tcW w:w="1700" w:type="dxa"/>
            <w:vAlign w:val="bottom"/>
          </w:tcPr>
          <w:p>
            <w:pPr>
              <w:jc w:val="right"/>
              <w:spacing w:after="0"/>
              <w:rPr>
                <w:sz w:val="20"/>
                <w:szCs w:val="20"/>
                <w:color w:val="auto"/>
              </w:rPr>
            </w:pPr>
            <w:r>
              <w:rPr>
                <w:rFonts w:ascii="Arial" w:cs="Arial" w:eastAsia="Arial" w:hAnsi="Arial"/>
                <w:sz w:val="14"/>
                <w:szCs w:val="14"/>
                <w:color w:val="auto"/>
              </w:rPr>
              <w:t>29 %</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4"/>
                <w:szCs w:val="14"/>
                <w:color w:val="auto"/>
              </w:rPr>
              <w:t>United</w:t>
            </w:r>
          </w:p>
        </w:tc>
        <w:tc>
          <w:tcPr>
            <w:tcW w:w="1700" w:type="dxa"/>
            <w:vAlign w:val="bottom"/>
          </w:tcPr>
          <w:p>
            <w:pPr>
              <w:jc w:val="right"/>
              <w:spacing w:after="0"/>
              <w:rPr>
                <w:sz w:val="20"/>
                <w:szCs w:val="20"/>
                <w:color w:val="auto"/>
              </w:rPr>
            </w:pPr>
            <w:r>
              <w:rPr>
                <w:rFonts w:ascii="Arial" w:cs="Arial" w:eastAsia="Arial" w:hAnsi="Arial"/>
                <w:sz w:val="14"/>
                <w:szCs w:val="14"/>
                <w:color w:val="auto"/>
              </w:rPr>
              <w:t>13 %</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367665</wp:posOffset>
            </wp:positionV>
            <wp:extent cx="8255" cy="1200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367665</wp:posOffset>
            </wp:positionV>
            <wp:extent cx="8890" cy="1200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Predecessor</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Period from Jan. 1,</w:t>
            </w:r>
          </w:p>
        </w:tc>
        <w:tc>
          <w:tcPr>
            <w:tcW w:w="1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35"/>
        </w:trPr>
        <w:tc>
          <w:tcPr>
            <w:tcW w:w="18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2019 through Sep. 12,</w:t>
            </w:r>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7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 31, 2018</w:t>
            </w:r>
          </w:p>
        </w:tc>
        <w:tc>
          <w:tcPr>
            <w:tcW w:w="0" w:type="dxa"/>
            <w:vAlign w:val="bottom"/>
          </w:tcPr>
          <w:p>
            <w:pPr>
              <w:spacing w:after="0"/>
              <w:rPr>
                <w:sz w:val="1"/>
                <w:szCs w:val="1"/>
                <w:color w:val="auto"/>
              </w:rPr>
            </w:pPr>
          </w:p>
        </w:tc>
      </w:tr>
      <w:tr>
        <w:trPr>
          <w:trHeight w:val="184"/>
        </w:trPr>
        <w:tc>
          <w:tcPr>
            <w:tcW w:w="1700" w:type="dxa"/>
            <w:vAlign w:val="bottom"/>
          </w:tcPr>
          <w:p>
            <w:pPr>
              <w:jc w:val="right"/>
              <w:spacing w:after="0"/>
              <w:rPr>
                <w:sz w:val="20"/>
                <w:szCs w:val="20"/>
                <w:color w:val="auto"/>
              </w:rPr>
            </w:pPr>
            <w:r>
              <w:rPr>
                <w:rFonts w:ascii="Arial" w:cs="Arial" w:eastAsia="Arial" w:hAnsi="Arial"/>
                <w:sz w:val="14"/>
                <w:szCs w:val="14"/>
                <w:color w:val="auto"/>
              </w:rPr>
              <w:t>31 %</w:t>
            </w: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89"/>
        </w:trPr>
        <w:tc>
          <w:tcPr>
            <w:tcW w:w="170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89"/>
        </w:trPr>
        <w:tc>
          <w:tcPr>
            <w:tcW w:w="170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640" w:space="100"/>
            <w:col w:w="3500"/>
          </w:cols>
          <w:pgMar w:left="320" w:top="1343" w:right="339" w:bottom="1440" w:gutter="0" w:footer="0" w:header="0"/>
          <w:type w:val="continuous"/>
        </w:sectPr>
      </w:pPr>
    </w:p>
    <w:p>
      <w:pPr>
        <w:spacing w:after="0" w:line="397"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126365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104</w:t>
      </w:r>
    </w:p>
    <w:p>
      <w:pPr>
        <w:sectPr>
          <w:pgSz w:w="11900" w:h="16838" w:orient="portrait"/>
          <w:cols w:equalWidth="0" w:num="3">
            <w:col w:w="4580" w:space="540"/>
            <w:col w:w="1040" w:space="360"/>
            <w:col w:w="4720"/>
          </w:cols>
          <w:pgMar w:left="320" w:top="1343"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6"/>
          <w:szCs w:val="16"/>
          <w:b w:val="1"/>
          <w:bCs w:val="1"/>
          <w:color w:val="0A2299"/>
        </w:rPr>
        <w:t>15. SUBSEQUENT EVENTS</w:t>
      </w:r>
    </w:p>
    <w:p>
      <w:pPr>
        <w:spacing w:after="0" w:line="24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connection with the IPO, the Company, its officers and directors and substantially all of its stockholders, entered into lock-up agreements as described in the Company’s final prospectus for its IPO filed with the SEC on July 16, 2020. Upon expiration of the 180 day lock-up period on January 10, 2021 and through March 9, 2021, the Company’s Class B shareholders have redeemed 14,240 shares of Class B common stock for shares of Class A common stock on a one-for-one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298450</wp:posOffset>
            </wp:positionV>
            <wp:extent cx="8255" cy="1200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298450</wp:posOffset>
            </wp:positionV>
            <wp:extent cx="8890" cy="1200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140"/>
          </w:cols>
          <w:pgMar w:left="320" w:top="1323" w:right="4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105</w:t>
      </w:r>
    </w:p>
    <w:p>
      <w:pPr>
        <w:sectPr>
          <w:pgSz w:w="11900" w:h="16838" w:orient="portrait"/>
          <w:cols w:equalWidth="0" w:num="3">
            <w:col w:w="4580" w:space="540"/>
            <w:col w:w="1040" w:space="360"/>
            <w:col w:w="4620"/>
          </w:cols>
          <w:pgMar w:left="320" w:top="1323" w:right="4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6"/>
          <w:szCs w:val="16"/>
          <w:b w:val="1"/>
          <w:bCs w:val="1"/>
          <w:color w:val="0A2299"/>
        </w:rPr>
        <w:t>ITEM 9. CHANGES IN AND DISAGREEMENTS WITH ACCOUNTANTS ON ACCOUNTING AND FINANCIAL DISCLOSURE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9A.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Effectiveness of Controls and Procedures</w:t>
      </w:r>
    </w:p>
    <w:p>
      <w:pPr>
        <w:spacing w:after="0" w:line="24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24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as of the end of the period covered by this Annual Report on Form 10-K, the effectiveness of our disclosure controls and procedures (as defined in Rules 13a-15(e) and 15d-15(e) under the Exchange Act). Based on that evaluation, our principal executive officer and principal financial officer concluded that our disclosure controls and procedures were effective at the reasonable assurance level as of December 31, 2020.</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Annual Report on Internal Control over Financial Reporting</w:t>
      </w:r>
    </w:p>
    <w:p>
      <w:pPr>
        <w:spacing w:after="0" w:line="241"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This Annual Report on Form 10-K does not include a report of management’s assessment regarding our internal control over financial reporting (as defined in Rules 13a-15(f) and 15d-15(f) under the Exchange Act) or an attestation report of our independent registered accounting firm due to a transition period established by rules of the SEC for newly public companies. Additionally, 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24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There were no changes in our internal control over financial reporting identified in management’s evaluation pursuant to Rules 13a-15(d) or 15d-15(d) of the Exchange Act during the quarter ended December 31, 2020 that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9B. OTHER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310515</wp:posOffset>
            </wp:positionV>
            <wp:extent cx="8255" cy="1200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310515</wp:posOffset>
            </wp:positionV>
            <wp:extent cx="8890" cy="1200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106</w:t>
      </w:r>
    </w:p>
    <w:p>
      <w:pPr>
        <w:sectPr>
          <w:pgSz w:w="11900" w:h="16838" w:orient="portrait"/>
          <w:cols w:equalWidth="0" w:num="3">
            <w:col w:w="4580" w:space="540"/>
            <w:col w:w="1040" w:space="360"/>
            <w:col w:w="4700"/>
          </w:cols>
          <w:pgMar w:left="320" w:top="1323" w:right="359" w:bottom="1440" w:gutter="0" w:footer="0" w:header="0"/>
          <w:type w:val="continuous"/>
        </w:sectPr>
      </w:pPr>
    </w:p>
    <w:bookmarkStart w:id="109" w:name="page110"/>
    <w:bookmarkEnd w:id="109"/>
    <w:p>
      <w:pPr>
        <w:jc w:val="center"/>
        <w:ind w:right="-39"/>
        <w:spacing w:after="0"/>
        <w:rPr>
          <w:sz w:val="20"/>
          <w:szCs w:val="20"/>
          <w:color w:val="auto"/>
        </w:rPr>
      </w:pPr>
      <w:r>
        <w:rPr>
          <w:rFonts w:ascii="Arial" w:cs="Arial" w:eastAsia="Arial" w:hAnsi="Arial"/>
          <w:sz w:val="17"/>
          <w:szCs w:val="17"/>
          <w:b w:val="1"/>
          <w:bCs w:val="1"/>
          <w:color w:val="FFFFFF"/>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454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00"/>
          </w:cols>
          <w:pgMar w:left="320" w:top="1359" w:right="379" w:bottom="1440" w:gutter="0" w:footer="0" w:header="0"/>
        </w:sect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10. DIRECTORS, EXECUTIVE OFFICERS AND CORPORATE GOVERNANCE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Ethics</w:t>
      </w:r>
    </w:p>
    <w:p>
      <w:pPr>
        <w:spacing w:after="0" w:line="24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have adopted a written Code of Business Conduct and Ethics (the “Code”) which applies to all of our directors, officers and other employees, including our principal executive officer and principal financial officer. A copy of the Code is available on our corporate website, www.gohealth.com, under “Investor Relations—Governance—Documents &amp; Charters.” In addition, we intend to post on our website all disclosures that are required by law or The Nasdaq Stock Market LLC concerning any amendements to, or waivers from, any provision of our Code of Business Conduct and Ethics. The information contained on our website does not constitute a part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and Directors</w:t>
      </w:r>
    </w:p>
    <w:p>
      <w:pPr>
        <w:spacing w:after="0" w:line="24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information concerning our executive offers and directors required by this Item 10 is contained under the caption “Information About Our Executive Officers and Directors” at the end of Part I of this Annual Report on Form 10-K. The remaining information required by this Item 10 of Form 10-K is incorporated by reference from the information contained in the Definitive Proxy Statement for the 2021 Annual Meeting of Stockholders under the headings “Delinquent Section 16(a) Reports” (if applicable) and “Committees of the Board” under the headings “Delinquent Section 16(a) Reports” (if applicable) and “Committees of the Board”, which is expected to be filed within 120 days after our fiscal year ended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11. EXECUTIVE COMPENSATION</w:t>
      </w:r>
    </w:p>
    <w:p>
      <w:pPr>
        <w:spacing w:after="0" w:line="24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information required by Item 11 of Form 10-K is incorporated herein by reference from the information contained in the Definitive Proxy Statement for the 2021 Annual Meeting of Stockholders under the headings “Executive and Director Compensation” and “Compensation Committee Interlocks and Insider Participation” (if applicable), which is expected to be filed within 120 days after our fiscal year ended December 31, 2020.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12. SECURITY OWNERSHIP OF CERTAIN BENEFICIAL OWNERS AND MANAGEMENT AND RELATED STOCKHOLDER MATTERS</w:t>
      </w:r>
    </w:p>
    <w:p>
      <w:pPr>
        <w:spacing w:after="0" w:line="241"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information required by Item 12 of Form 10-K is incorporated herein by reference from the information contained in the Definitive Proxy Statement for the 2021 Annual Meeting of Stockholders under the headings “Security Ownership of Certain Beneficial Owners and Management” and “Securities Authorized For Issuance under Equity Compensation Plans”, which is expected to be filed within 120 days after our fiscal year ended December 31, 2020.</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13. CERTAIN RELATIONSHIPS AND RELATED TRANSACTIONS, AND DIRECTOR INDEPENDENCE</w:t>
      </w:r>
    </w:p>
    <w:p>
      <w:pPr>
        <w:spacing w:after="0" w:line="24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information required by Item 13 of Form 10-K is incorporated herein by reference from the information contained in the Definitive Proxy Statement for the 2021 Annual Meeting of Stockholders under the headings “Corporate Governance” and “Certain Relationships”, which is expected to be filed within 120 days after our fiscal year ended December 31, 2020.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14. PRINCIPAL ACCOUNTANT FEES AND SERVICES</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information required by Item 14 of Form 10-K is incorporated herein by reference from the information contained in the Definitive Proxy Statement for the 2021 Annual Meeting of Stockholders under the heading “Independent Registered Public Accounting Firm Fees and Other Matters”, which is expected to be filed within 120 days after our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297815</wp:posOffset>
            </wp:positionV>
            <wp:extent cx="8255" cy="1200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297815</wp:posOffset>
            </wp:positionV>
            <wp:extent cx="8890" cy="1200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00"/>
          </w:cols>
          <w:pgMar w:left="320" w:top="1359" w:right="37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107</w:t>
      </w:r>
    </w:p>
    <w:p>
      <w:pPr>
        <w:sectPr>
          <w:pgSz w:w="11900" w:h="16838" w:orient="portrait"/>
          <w:cols w:equalWidth="0" w:num="3">
            <w:col w:w="4580" w:space="540"/>
            <w:col w:w="1040" w:space="360"/>
            <w:col w:w="4680"/>
          </w:cols>
          <w:pgMar w:left="320" w:top="1359" w:right="37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1200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t>PART IV</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15. EXHIBITS AND FINANCIAL STATEMENT SCHEDULES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 We have filed the following documents as part of this Annual Report on Form 10-K:</w:t>
      </w:r>
    </w:p>
    <w:p>
      <w:pPr>
        <w:spacing w:after="0" w:line="201"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Information in response to this Item is included in Item 8 of Part II of this Annual Report on Form 10-K.</w:t>
      </w:r>
    </w:p>
    <w:p>
      <w:pPr>
        <w:spacing w:after="0" w:line="201"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 Schedules</w:t>
      </w:r>
    </w:p>
    <w:p>
      <w:pPr>
        <w:spacing w:after="0" w:line="241"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All financial statement schedules have been omitted because they are not applicable, not material or because the required information is included in Item 8 of Part II of this Annual Report on Form 10-K.</w:t>
      </w:r>
    </w:p>
    <w:p>
      <w:pPr>
        <w:spacing w:after="0" w:line="175"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241"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The following documents listed below are incorporated by reference or are filed with this Annual Report on Form 10-K, in each case as indicated therein (numbered in accordance with Item 601 of Regulation S-K).</w:t>
      </w:r>
    </w:p>
    <w:p>
      <w:pPr>
        <w:sectPr>
          <w:pgSz w:w="11900" w:h="16838" w:orient="portrait"/>
          <w:cols w:equalWidth="0" w:num="1">
            <w:col w:w="11240"/>
          </w:cols>
          <w:pgMar w:left="320" w:top="1368" w:right="33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gridSpan w:val="13"/>
          </w:tcPr>
          <w:p>
            <w:pPr>
              <w:ind w:left="1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3"/>
        </w:trPr>
        <w:tc>
          <w:tcPr>
            <w:tcW w:w="102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7"/>
                <w:szCs w:val="17"/>
                <w:color w:val="auto"/>
              </w:rPr>
            </w:pPr>
          </w:p>
        </w:tc>
        <w:tc>
          <w:tcPr>
            <w:tcW w:w="4840" w:type="dxa"/>
            <w:vAlign w:val="bottom"/>
            <w:gridSpan w:val="15"/>
          </w:tcPr>
          <w:p>
            <w:pPr>
              <w:spacing w:after="0"/>
              <w:rPr>
                <w:rFonts w:ascii="Arial" w:cs="Arial" w:eastAsia="Arial" w:hAnsi="Arial"/>
                <w:sz w:val="14"/>
                <w:szCs w:val="14"/>
                <w:u w:val="single" w:color="auto"/>
                <w:color w:val="0000FF"/>
              </w:rPr>
            </w:pPr>
            <w:hyperlink r:id="rId385">
              <w:r>
                <w:rPr>
                  <w:rFonts w:ascii="Arial" w:cs="Arial" w:eastAsia="Arial" w:hAnsi="Arial"/>
                  <w:sz w:val="14"/>
                  <w:szCs w:val="14"/>
                  <w:u w:val="single" w:color="auto"/>
                  <w:color w:val="0000FF"/>
                </w:rPr>
                <w:t>Amended and Restated Certificate of Incorporation of GoHealth, Inc.</w:t>
              </w:r>
            </w:hyperlink>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8"/>
                <w:szCs w:val="18"/>
                <w:color w:val="auto"/>
              </w:rPr>
            </w:pPr>
          </w:p>
        </w:tc>
        <w:tc>
          <w:tcPr>
            <w:tcW w:w="4840" w:type="dxa"/>
            <w:vAlign w:val="bottom"/>
            <w:gridSpan w:val="15"/>
          </w:tcPr>
          <w:p>
            <w:pPr>
              <w:spacing w:after="0"/>
              <w:rPr>
                <w:rFonts w:ascii="Arial" w:cs="Arial" w:eastAsia="Arial" w:hAnsi="Arial"/>
                <w:sz w:val="14"/>
                <w:szCs w:val="14"/>
                <w:u w:val="single" w:color="auto"/>
                <w:color w:val="0000FF"/>
              </w:rPr>
            </w:pPr>
            <w:hyperlink r:id="rId386">
              <w:r>
                <w:rPr>
                  <w:rFonts w:ascii="Arial" w:cs="Arial" w:eastAsia="Arial" w:hAnsi="Arial"/>
                  <w:sz w:val="14"/>
                  <w:szCs w:val="14"/>
                  <w:u w:val="single" w:color="auto"/>
                  <w:color w:val="0000FF"/>
                </w:rPr>
                <w:t>Amended and Restated Bylaws of GoHealth, Inc.</w:t>
              </w:r>
            </w:hyperlink>
          </w:p>
        </w:tc>
        <w:tc>
          <w:tcPr>
            <w:tcW w:w="0" w:type="dxa"/>
            <w:vAlign w:val="bottom"/>
          </w:tcPr>
          <w:p>
            <w:pPr>
              <w:spacing w:after="0"/>
              <w:rPr>
                <w:sz w:val="1"/>
                <w:szCs w:val="1"/>
                <w:color w:val="auto"/>
              </w:rPr>
            </w:pPr>
          </w:p>
        </w:tc>
      </w:tr>
      <w:tr>
        <w:trPr>
          <w:trHeight w:val="188"/>
        </w:trPr>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4840" w:type="dxa"/>
            <w:vAlign w:val="bottom"/>
            <w:gridSpan w:val="15"/>
          </w:tcPr>
          <w:p>
            <w:pPr>
              <w:spacing w:after="0"/>
              <w:rPr>
                <w:rFonts w:ascii="Arial" w:cs="Arial" w:eastAsia="Arial" w:hAnsi="Arial"/>
                <w:sz w:val="14"/>
                <w:szCs w:val="14"/>
                <w:color w:val="0000FF"/>
              </w:rPr>
            </w:pPr>
            <w:hyperlink r:id="rId387">
              <w:r>
                <w:rPr>
                  <w:rFonts w:ascii="Arial" w:cs="Arial" w:eastAsia="Arial" w:hAnsi="Arial"/>
                  <w:sz w:val="14"/>
                  <w:szCs w:val="14"/>
                  <w:color w:val="0000FF"/>
                </w:rPr>
                <w:t>Specimen Stock Certificate evidencing the shares of Class A common</w:t>
              </w:r>
            </w:hyperlink>
          </w:p>
        </w:tc>
        <w:tc>
          <w:tcPr>
            <w:tcW w:w="0" w:type="dxa"/>
            <w:vAlign w:val="bottom"/>
          </w:tcPr>
          <w:p>
            <w:pPr>
              <w:spacing w:after="0"/>
              <w:rPr>
                <w:sz w:val="1"/>
                <w:szCs w:val="1"/>
                <w:color w:val="auto"/>
              </w:rPr>
            </w:pPr>
          </w:p>
        </w:tc>
      </w:tr>
      <w:tr>
        <w:trPr>
          <w:trHeight w:val="90"/>
        </w:trPr>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60" w:type="dxa"/>
            <w:vAlign w:val="bottom"/>
            <w:tcBorders>
              <w:top w:val="single" w:sz="8" w:color="0000FF"/>
            </w:tcBorders>
            <w:gridSpan w:val="8"/>
            <w:vMerge w:val="restart"/>
          </w:tcPr>
          <w:p>
            <w:pPr>
              <w:spacing w:after="0" w:line="142" w:lineRule="exact"/>
              <w:rPr>
                <w:rFonts w:ascii="Arial" w:cs="Arial" w:eastAsia="Arial" w:hAnsi="Arial"/>
                <w:sz w:val="14"/>
                <w:szCs w:val="14"/>
                <w:color w:val="0000FF"/>
              </w:rPr>
            </w:pPr>
            <w:hyperlink r:id="rId387">
              <w:r>
                <w:rPr>
                  <w:rFonts w:ascii="Arial" w:cs="Arial" w:eastAsia="Arial" w:hAnsi="Arial"/>
                  <w:sz w:val="14"/>
                  <w:szCs w:val="14"/>
                  <w:color w:val="0000FF"/>
                </w:rPr>
                <w:t>stock.</w:t>
              </w:r>
            </w:hyperlink>
          </w:p>
        </w:tc>
        <w:tc>
          <w:tcPr>
            <w:tcW w:w="380" w:type="dxa"/>
            <w:vAlign w:val="bottom"/>
            <w:gridSpan w:val="7"/>
            <w:vMerge w:val="restart"/>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60" w:type="dxa"/>
            <w:vAlign w:val="bottom"/>
            <w:gridSpan w:val="8"/>
            <w:vMerge w:val="continue"/>
          </w:tcPr>
          <w:p>
            <w:pPr>
              <w:spacing w:after="0"/>
              <w:rPr>
                <w:sz w:val="4"/>
                <w:szCs w:val="4"/>
                <w:color w:val="auto"/>
              </w:rPr>
            </w:pPr>
          </w:p>
        </w:tc>
        <w:tc>
          <w:tcPr>
            <w:tcW w:w="3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1020" w:type="dxa"/>
            <w:vAlign w:val="bottom"/>
          </w:tcPr>
          <w:p>
            <w:pPr>
              <w:jc w:val="center"/>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4"/>
                <w:szCs w:val="24"/>
                <w:color w:val="auto"/>
              </w:rPr>
            </w:pPr>
          </w:p>
        </w:tc>
        <w:tc>
          <w:tcPr>
            <w:tcW w:w="4840" w:type="dxa"/>
            <w:vAlign w:val="bottom"/>
            <w:gridSpan w:val="15"/>
          </w:tcPr>
          <w:p>
            <w:pPr>
              <w:spacing w:after="0"/>
              <w:rPr>
                <w:rFonts w:ascii="Arial" w:cs="Arial" w:eastAsia="Arial" w:hAnsi="Arial"/>
                <w:sz w:val="14"/>
                <w:szCs w:val="14"/>
                <w:u w:val="single" w:color="auto"/>
                <w:color w:val="0000FF"/>
              </w:rPr>
            </w:pPr>
            <w:hyperlink w:anchor="page114">
              <w:r>
                <w:rPr>
                  <w:rFonts w:ascii="Arial" w:cs="Arial" w:eastAsia="Arial" w:hAnsi="Arial"/>
                  <w:sz w:val="14"/>
                  <w:szCs w:val="14"/>
                  <w:u w:val="single" w:color="auto"/>
                  <w:color w:val="0000FF"/>
                </w:rPr>
                <w:t>Description of Registrant’s Securities</w:t>
              </w:r>
            </w:hyperlink>
          </w:p>
        </w:tc>
        <w:tc>
          <w:tcPr>
            <w:tcW w:w="0" w:type="dxa"/>
            <w:vAlign w:val="bottom"/>
          </w:tcPr>
          <w:p>
            <w:pPr>
              <w:spacing w:after="0"/>
              <w:rPr>
                <w:sz w:val="1"/>
                <w:szCs w:val="1"/>
                <w:color w:val="auto"/>
              </w:rPr>
            </w:pPr>
          </w:p>
        </w:tc>
      </w:tr>
      <w:tr>
        <w:trPr>
          <w:trHeight w:val="188"/>
        </w:trPr>
        <w:tc>
          <w:tcPr>
            <w:tcW w:w="1020" w:type="dxa"/>
            <w:vAlign w:val="bottom"/>
          </w:tcPr>
          <w:p>
            <w:pPr>
              <w:jc w:val="center"/>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6"/>
                <w:szCs w:val="16"/>
                <w:color w:val="auto"/>
              </w:rPr>
            </w:pPr>
          </w:p>
        </w:tc>
        <w:tc>
          <w:tcPr>
            <w:tcW w:w="4660" w:type="dxa"/>
            <w:vAlign w:val="bottom"/>
            <w:tcBorders>
              <w:bottom w:val="single" w:sz="8" w:color="0000FF"/>
            </w:tcBorders>
            <w:gridSpan w:val="11"/>
          </w:tcPr>
          <w:p>
            <w:pPr>
              <w:spacing w:after="0"/>
              <w:rPr>
                <w:rFonts w:ascii="Arial" w:cs="Arial" w:eastAsia="Arial" w:hAnsi="Arial"/>
                <w:sz w:val="14"/>
                <w:szCs w:val="14"/>
                <w:color w:val="0000FF"/>
              </w:rPr>
            </w:pPr>
            <w:hyperlink r:id="rId388">
              <w:r>
                <w:rPr>
                  <w:rFonts w:ascii="Arial" w:cs="Arial" w:eastAsia="Arial" w:hAnsi="Arial"/>
                  <w:sz w:val="14"/>
                  <w:szCs w:val="14"/>
                  <w:color w:val="0000FF"/>
                </w:rPr>
                <w:t>Incremental Facility Agreement and Technical Amendment No. 2 to Credit</w:t>
              </w:r>
            </w:hyperlink>
          </w:p>
        </w:tc>
        <w:tc>
          <w:tcPr>
            <w:tcW w:w="1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20" w:type="dxa"/>
            <w:vAlign w:val="bottom"/>
            <w:tcBorders>
              <w:bottom w:val="single" w:sz="8" w:color="0000FF"/>
            </w:tcBorders>
            <w:gridSpan w:val="9"/>
          </w:tcPr>
          <w:p>
            <w:pPr>
              <w:spacing w:after="0" w:line="142" w:lineRule="exact"/>
              <w:rPr>
                <w:rFonts w:ascii="Arial" w:cs="Arial" w:eastAsia="Arial" w:hAnsi="Arial"/>
                <w:sz w:val="14"/>
                <w:szCs w:val="14"/>
                <w:color w:val="0000FF"/>
              </w:rPr>
            </w:pPr>
            <w:hyperlink r:id="rId388">
              <w:r>
                <w:rPr>
                  <w:rFonts w:ascii="Arial" w:cs="Arial" w:eastAsia="Arial" w:hAnsi="Arial"/>
                  <w:sz w:val="14"/>
                  <w:szCs w:val="14"/>
                  <w:color w:val="0000FF"/>
                </w:rPr>
                <w:t>Agreement, dated as of May 7, 2020, among Norvax, LLC, as borrower,</w:t>
              </w:r>
            </w:hyperlink>
          </w:p>
        </w:tc>
        <w:tc>
          <w:tcPr>
            <w:tcW w:w="3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40" w:type="dxa"/>
            <w:vAlign w:val="bottom"/>
            <w:gridSpan w:val="15"/>
          </w:tcPr>
          <w:p>
            <w:pPr>
              <w:spacing w:after="0" w:line="142" w:lineRule="exact"/>
              <w:rPr>
                <w:rFonts w:ascii="Arial" w:cs="Arial" w:eastAsia="Arial" w:hAnsi="Arial"/>
                <w:sz w:val="14"/>
                <w:szCs w:val="14"/>
                <w:color w:val="0000FF"/>
              </w:rPr>
            </w:pPr>
            <w:hyperlink r:id="rId388">
              <w:r>
                <w:rPr>
                  <w:rFonts w:ascii="Arial" w:cs="Arial" w:eastAsia="Arial" w:hAnsi="Arial"/>
                  <w:sz w:val="14"/>
                  <w:szCs w:val="14"/>
                  <w:color w:val="0000FF"/>
                </w:rPr>
                <w:t>Blizzard Midco, LLC, as a guarantor, the other guarantors party thereto, Owl</w:t>
              </w:r>
            </w:hyperlink>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80" w:type="dxa"/>
            <w:vAlign w:val="bottom"/>
            <w:tcBorders>
              <w:top w:val="single" w:sz="8" w:color="0000FF"/>
            </w:tcBorders>
            <w:gridSpan w:val="14"/>
          </w:tcPr>
          <w:p>
            <w:pPr>
              <w:spacing w:after="0"/>
              <w:rPr>
                <w:rFonts w:ascii="Arial" w:cs="Arial" w:eastAsia="Arial" w:hAnsi="Arial"/>
                <w:sz w:val="14"/>
                <w:szCs w:val="14"/>
                <w:u w:val="single" w:color="auto"/>
                <w:color w:val="0000FF"/>
              </w:rPr>
            </w:pPr>
            <w:hyperlink r:id="rId388">
              <w:r>
                <w:rPr>
                  <w:rFonts w:ascii="Arial" w:cs="Arial" w:eastAsia="Arial" w:hAnsi="Arial"/>
                  <w:sz w:val="14"/>
                  <w:szCs w:val="14"/>
                  <w:u w:val="single" w:color="auto"/>
                  <w:color w:val="0000FF"/>
                </w:rPr>
                <w:t>Rock Capital Corporation, as administrative agent, collateral agent and</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40" w:type="dxa"/>
            <w:vAlign w:val="bottom"/>
            <w:gridSpan w:val="15"/>
          </w:tcPr>
          <w:p>
            <w:pPr>
              <w:spacing w:after="0"/>
              <w:rPr>
                <w:rFonts w:ascii="Arial" w:cs="Arial" w:eastAsia="Arial" w:hAnsi="Arial"/>
                <w:sz w:val="14"/>
                <w:szCs w:val="14"/>
                <w:u w:val="single" w:color="auto"/>
                <w:color w:val="0000FF"/>
              </w:rPr>
            </w:pPr>
            <w:hyperlink r:id="rId388">
              <w:r>
                <w:rPr>
                  <w:rFonts w:ascii="Arial" w:cs="Arial" w:eastAsia="Arial" w:hAnsi="Arial"/>
                  <w:sz w:val="14"/>
                  <w:szCs w:val="14"/>
                  <w:u w:val="single" w:color="auto"/>
                  <w:color w:val="0000FF"/>
                </w:rPr>
                <w:t>swingline lender and the other lenders from time to time party thereto.</w:t>
              </w:r>
            </w:hyperlink>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6"/>
                <w:szCs w:val="16"/>
                <w:color w:val="auto"/>
              </w:rPr>
            </w:pPr>
          </w:p>
        </w:tc>
        <w:tc>
          <w:tcPr>
            <w:tcW w:w="4660" w:type="dxa"/>
            <w:vAlign w:val="bottom"/>
            <w:tcBorders>
              <w:bottom w:val="single" w:sz="8" w:color="0000FF"/>
            </w:tcBorders>
            <w:gridSpan w:val="11"/>
          </w:tcPr>
          <w:p>
            <w:pPr>
              <w:spacing w:after="0"/>
              <w:rPr>
                <w:rFonts w:ascii="Arial" w:cs="Arial" w:eastAsia="Arial" w:hAnsi="Arial"/>
                <w:sz w:val="14"/>
                <w:szCs w:val="14"/>
                <w:color w:val="0000FF"/>
              </w:rPr>
            </w:pPr>
            <w:hyperlink r:id="rId389">
              <w:r>
                <w:rPr>
                  <w:rFonts w:ascii="Arial" w:cs="Arial" w:eastAsia="Arial" w:hAnsi="Arial"/>
                  <w:sz w:val="14"/>
                  <w:szCs w:val="14"/>
                  <w:color w:val="0000FF"/>
                </w:rPr>
                <w:t>Incremental Facility Agreement and Technical Amendment No. 3 to Credit</w:t>
              </w:r>
            </w:hyperlink>
          </w:p>
        </w:tc>
        <w:tc>
          <w:tcPr>
            <w:tcW w:w="1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40" w:type="dxa"/>
            <w:vAlign w:val="bottom"/>
            <w:tcBorders>
              <w:bottom w:val="single" w:sz="8" w:color="0000FF"/>
            </w:tcBorders>
            <w:gridSpan w:val="10"/>
          </w:tcPr>
          <w:p>
            <w:pPr>
              <w:spacing w:after="0" w:line="142" w:lineRule="exact"/>
              <w:rPr>
                <w:rFonts w:ascii="Arial" w:cs="Arial" w:eastAsia="Arial" w:hAnsi="Arial"/>
                <w:sz w:val="14"/>
                <w:szCs w:val="14"/>
                <w:color w:val="0000FF"/>
              </w:rPr>
            </w:pPr>
            <w:hyperlink r:id="rId389">
              <w:r>
                <w:rPr>
                  <w:rFonts w:ascii="Arial" w:cs="Arial" w:eastAsia="Arial" w:hAnsi="Arial"/>
                  <w:sz w:val="14"/>
                  <w:szCs w:val="14"/>
                  <w:color w:val="0000FF"/>
                </w:rPr>
                <w:t>Agreement, dated as of June 11, 2020, among Norvax, LLC, as borrower,</w:t>
              </w:r>
            </w:hyperlink>
          </w:p>
        </w:tc>
        <w:tc>
          <w:tcPr>
            <w:tcW w:w="2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40" w:type="dxa"/>
            <w:vAlign w:val="bottom"/>
            <w:gridSpan w:val="15"/>
          </w:tcPr>
          <w:p>
            <w:pPr>
              <w:spacing w:after="0" w:line="142" w:lineRule="exact"/>
              <w:rPr>
                <w:rFonts w:ascii="Arial" w:cs="Arial" w:eastAsia="Arial" w:hAnsi="Arial"/>
                <w:sz w:val="14"/>
                <w:szCs w:val="14"/>
                <w:color w:val="0000FF"/>
              </w:rPr>
            </w:pPr>
            <w:hyperlink r:id="rId389">
              <w:r>
                <w:rPr>
                  <w:rFonts w:ascii="Arial" w:cs="Arial" w:eastAsia="Arial" w:hAnsi="Arial"/>
                  <w:sz w:val="14"/>
                  <w:szCs w:val="14"/>
                  <w:color w:val="0000FF"/>
                </w:rPr>
                <w:t>Blizzard Midco, LLC, as a guarantor, the other guarantors party thereto, Owl</w:t>
              </w:r>
            </w:hyperlink>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80" w:type="dxa"/>
            <w:vAlign w:val="bottom"/>
            <w:tcBorders>
              <w:top w:val="single" w:sz="8" w:color="0000FF"/>
            </w:tcBorders>
            <w:gridSpan w:val="14"/>
          </w:tcPr>
          <w:p>
            <w:pPr>
              <w:spacing w:after="0"/>
              <w:rPr>
                <w:rFonts w:ascii="Arial" w:cs="Arial" w:eastAsia="Arial" w:hAnsi="Arial"/>
                <w:sz w:val="14"/>
                <w:szCs w:val="14"/>
                <w:u w:val="single" w:color="auto"/>
                <w:color w:val="0000FF"/>
              </w:rPr>
            </w:pPr>
            <w:hyperlink r:id="rId389">
              <w:r>
                <w:rPr>
                  <w:rFonts w:ascii="Arial" w:cs="Arial" w:eastAsia="Arial" w:hAnsi="Arial"/>
                  <w:sz w:val="14"/>
                  <w:szCs w:val="14"/>
                  <w:u w:val="single" w:color="auto"/>
                  <w:color w:val="0000FF"/>
                </w:rPr>
                <w:t>Rock Capital Corporation, as administrative agent, collateral agent and</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40" w:type="dxa"/>
            <w:vAlign w:val="bottom"/>
            <w:gridSpan w:val="15"/>
          </w:tcPr>
          <w:p>
            <w:pPr>
              <w:spacing w:after="0"/>
              <w:rPr>
                <w:rFonts w:ascii="Arial" w:cs="Arial" w:eastAsia="Arial" w:hAnsi="Arial"/>
                <w:sz w:val="14"/>
                <w:szCs w:val="14"/>
                <w:u w:val="single" w:color="auto"/>
                <w:color w:val="0000FF"/>
              </w:rPr>
            </w:pPr>
            <w:hyperlink r:id="rId389">
              <w:r>
                <w:rPr>
                  <w:rFonts w:ascii="Arial" w:cs="Arial" w:eastAsia="Arial" w:hAnsi="Arial"/>
                  <w:sz w:val="14"/>
                  <w:szCs w:val="14"/>
                  <w:u w:val="single" w:color="auto"/>
                  <w:color w:val="0000FF"/>
                </w:rPr>
                <w:t>swingline lender and the other lenders from time to time party thereto.</w:t>
              </w:r>
            </w:hyperlink>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8"/>
                <w:szCs w:val="18"/>
                <w:color w:val="auto"/>
              </w:rPr>
            </w:pPr>
          </w:p>
        </w:tc>
        <w:tc>
          <w:tcPr>
            <w:tcW w:w="4840" w:type="dxa"/>
            <w:vAlign w:val="bottom"/>
            <w:gridSpan w:val="15"/>
          </w:tcPr>
          <w:p>
            <w:pPr>
              <w:spacing w:after="0"/>
              <w:rPr>
                <w:rFonts w:ascii="Arial" w:cs="Arial" w:eastAsia="Arial" w:hAnsi="Arial"/>
                <w:sz w:val="14"/>
                <w:szCs w:val="14"/>
                <w:u w:val="single" w:color="auto"/>
                <w:color w:val="0000FF"/>
              </w:rPr>
            </w:pPr>
            <w:hyperlink r:id="rId390">
              <w:r>
                <w:rPr>
                  <w:rFonts w:ascii="Arial" w:cs="Arial" w:eastAsia="Arial" w:hAnsi="Arial"/>
                  <w:sz w:val="14"/>
                  <w:szCs w:val="14"/>
                  <w:u w:val="single" w:color="auto"/>
                  <w:color w:val="0000FF"/>
                </w:rPr>
                <w:t>GoHealth, Inc. 2020 Incentive Award Plan.</w:t>
              </w:r>
            </w:hyperlink>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8"/>
                <w:szCs w:val="18"/>
                <w:color w:val="auto"/>
              </w:rPr>
            </w:pPr>
          </w:p>
        </w:tc>
        <w:tc>
          <w:tcPr>
            <w:tcW w:w="4840" w:type="dxa"/>
            <w:vAlign w:val="bottom"/>
            <w:gridSpan w:val="15"/>
          </w:tcPr>
          <w:p>
            <w:pPr>
              <w:spacing w:after="0"/>
              <w:rPr>
                <w:rFonts w:ascii="Arial" w:cs="Arial" w:eastAsia="Arial" w:hAnsi="Arial"/>
                <w:sz w:val="14"/>
                <w:szCs w:val="14"/>
                <w:color w:val="0000FF"/>
              </w:rPr>
            </w:pPr>
            <w:hyperlink r:id="rId391">
              <w:r>
                <w:rPr>
                  <w:rFonts w:ascii="Arial" w:cs="Arial" w:eastAsia="Arial" w:hAnsi="Arial"/>
                  <w:sz w:val="14"/>
                  <w:szCs w:val="14"/>
                  <w:u w:val="single" w:color="auto"/>
                  <w:color w:val="0000FF"/>
                </w:rPr>
                <w:t>GoHealth, Inc. 2020 Employee Stock Purchase Plan</w:t>
              </w:r>
              <w:r>
                <w:rPr>
                  <w:rFonts w:ascii="Arial" w:cs="Arial" w:eastAsia="Arial" w:hAnsi="Arial"/>
                  <w:sz w:val="14"/>
                  <w:szCs w:val="14"/>
                  <w:color w:val="0000FF"/>
                </w:rPr>
                <w:t>.</w:t>
              </w:r>
            </w:hyperlink>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6"/>
                <w:szCs w:val="16"/>
                <w:color w:val="auto"/>
              </w:rPr>
            </w:pPr>
          </w:p>
        </w:tc>
        <w:tc>
          <w:tcPr>
            <w:tcW w:w="4680" w:type="dxa"/>
            <w:vAlign w:val="bottom"/>
            <w:tcBorders>
              <w:bottom w:val="single" w:sz="8" w:color="0000FF"/>
            </w:tcBorders>
            <w:gridSpan w:val="12"/>
          </w:tcPr>
          <w:p>
            <w:pPr>
              <w:spacing w:after="0"/>
              <w:rPr>
                <w:rFonts w:ascii="Arial" w:cs="Arial" w:eastAsia="Arial" w:hAnsi="Arial"/>
                <w:sz w:val="14"/>
                <w:szCs w:val="14"/>
                <w:color w:val="0000FF"/>
              </w:rPr>
            </w:pPr>
            <w:hyperlink r:id="rId392">
              <w:r>
                <w:rPr>
                  <w:rFonts w:ascii="Arial" w:cs="Arial" w:eastAsia="Arial" w:hAnsi="Arial"/>
                  <w:sz w:val="14"/>
                  <w:szCs w:val="14"/>
                  <w:color w:val="0000FF"/>
                </w:rPr>
                <w:t>Form of Indemnification and Advancement Agreement between GoHealth,</w:t>
              </w:r>
            </w:hyperlink>
          </w:p>
        </w:tc>
        <w:tc>
          <w:tcPr>
            <w:tcW w:w="1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40" w:type="dxa"/>
            <w:vAlign w:val="bottom"/>
            <w:gridSpan w:val="15"/>
          </w:tcPr>
          <w:p>
            <w:pPr>
              <w:spacing w:after="0" w:line="142" w:lineRule="exact"/>
              <w:rPr>
                <w:rFonts w:ascii="Arial" w:cs="Arial" w:eastAsia="Arial" w:hAnsi="Arial"/>
                <w:sz w:val="14"/>
                <w:szCs w:val="14"/>
                <w:color w:val="0000FF"/>
              </w:rPr>
            </w:pPr>
            <w:hyperlink r:id="rId392">
              <w:r>
                <w:rPr>
                  <w:rFonts w:ascii="Arial" w:cs="Arial" w:eastAsia="Arial" w:hAnsi="Arial"/>
                  <w:sz w:val="14"/>
                  <w:szCs w:val="14"/>
                  <w:color w:val="0000FF"/>
                </w:rPr>
                <w:t>Inc. and its directors and officers.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20" w:type="dxa"/>
            <w:vAlign w:val="bottom"/>
          </w:tcPr>
          <w:p>
            <w:pPr>
              <w:jc w:val="center"/>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9"/>
                <w:szCs w:val="19"/>
                <w:color w:val="auto"/>
              </w:rPr>
            </w:pPr>
          </w:p>
        </w:tc>
        <w:tc>
          <w:tcPr>
            <w:tcW w:w="4840" w:type="dxa"/>
            <w:vAlign w:val="bottom"/>
            <w:gridSpan w:val="15"/>
          </w:tcPr>
          <w:p>
            <w:pPr>
              <w:spacing w:after="0"/>
              <w:rPr>
                <w:rFonts w:ascii="Arial" w:cs="Arial" w:eastAsia="Arial" w:hAnsi="Arial"/>
                <w:sz w:val="14"/>
                <w:szCs w:val="14"/>
                <w:u w:val="single" w:color="auto"/>
                <w:color w:val="0000FF"/>
              </w:rPr>
            </w:pPr>
            <w:hyperlink r:id="rId393">
              <w:r>
                <w:rPr>
                  <w:rFonts w:ascii="Arial" w:cs="Arial" w:eastAsia="Arial" w:hAnsi="Arial"/>
                  <w:sz w:val="14"/>
                  <w:szCs w:val="14"/>
                  <w:u w:val="single" w:color="auto"/>
                  <w:color w:val="0000FF"/>
                </w:rPr>
                <w:t>GoHealth Holdings, LLC Profits Unit Plan.</w:t>
              </w:r>
            </w:hyperlink>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8"/>
                <w:szCs w:val="18"/>
                <w:color w:val="auto"/>
              </w:rPr>
            </w:pPr>
          </w:p>
        </w:tc>
        <w:tc>
          <w:tcPr>
            <w:tcW w:w="4840" w:type="dxa"/>
            <w:vAlign w:val="bottom"/>
            <w:gridSpan w:val="15"/>
          </w:tcPr>
          <w:p>
            <w:pPr>
              <w:spacing w:after="0"/>
              <w:rPr>
                <w:rFonts w:ascii="Arial" w:cs="Arial" w:eastAsia="Arial" w:hAnsi="Arial"/>
                <w:sz w:val="14"/>
                <w:szCs w:val="14"/>
                <w:u w:val="single" w:color="auto"/>
                <w:color w:val="0000FF"/>
              </w:rPr>
            </w:pPr>
            <w:hyperlink r:id="rId394">
              <w:r>
                <w:rPr>
                  <w:rFonts w:ascii="Arial" w:cs="Arial" w:eastAsia="Arial" w:hAnsi="Arial"/>
                  <w:sz w:val="14"/>
                  <w:szCs w:val="14"/>
                  <w:u w:val="single" w:color="auto"/>
                  <w:color w:val="0000FF"/>
                </w:rPr>
                <w:t>Form of Executive Common Unit and Profits Unit Agreement.</w:t>
              </w:r>
            </w:hyperlink>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6"/>
                <w:szCs w:val="16"/>
                <w:color w:val="auto"/>
              </w:rPr>
            </w:pPr>
          </w:p>
        </w:tc>
        <w:tc>
          <w:tcPr>
            <w:tcW w:w="4420" w:type="dxa"/>
            <w:vAlign w:val="bottom"/>
            <w:tcBorders>
              <w:bottom w:val="single" w:sz="8" w:color="0000FF"/>
            </w:tcBorders>
            <w:gridSpan w:val="7"/>
          </w:tcPr>
          <w:p>
            <w:pPr>
              <w:spacing w:after="0"/>
              <w:rPr>
                <w:rFonts w:ascii="Arial" w:cs="Arial" w:eastAsia="Arial" w:hAnsi="Arial"/>
                <w:sz w:val="14"/>
                <w:szCs w:val="14"/>
                <w:color w:val="0000FF"/>
              </w:rPr>
            </w:pPr>
            <w:hyperlink r:id="rId395">
              <w:r>
                <w:rPr>
                  <w:rFonts w:ascii="Arial" w:cs="Arial" w:eastAsia="Arial" w:hAnsi="Arial"/>
                  <w:sz w:val="14"/>
                  <w:szCs w:val="14"/>
                  <w:color w:val="0000FF"/>
                </w:rPr>
                <w:t>Form of Amendment No. 1 to Executive Common Unit and Profits Unit</w:t>
              </w:r>
            </w:hyperlink>
          </w:p>
        </w:tc>
        <w:tc>
          <w:tcPr>
            <w:tcW w:w="42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0000FF"/>
            </w:tcBorders>
            <w:gridSpan w:val="2"/>
          </w:tcPr>
          <w:p>
            <w:pPr>
              <w:spacing w:after="0" w:line="142" w:lineRule="exact"/>
              <w:rPr>
                <w:rFonts w:ascii="Arial" w:cs="Arial" w:eastAsia="Arial" w:hAnsi="Arial"/>
                <w:sz w:val="14"/>
                <w:szCs w:val="14"/>
                <w:color w:val="0000FF"/>
                <w:w w:val="93"/>
              </w:rPr>
            </w:pPr>
            <w:hyperlink r:id="rId395">
              <w:r>
                <w:rPr>
                  <w:rFonts w:ascii="Arial" w:cs="Arial" w:eastAsia="Arial" w:hAnsi="Arial"/>
                  <w:sz w:val="14"/>
                  <w:szCs w:val="14"/>
                  <w:color w:val="0000FF"/>
                  <w:w w:val="93"/>
                </w:rPr>
                <w:t>Agreement.</w:t>
              </w:r>
            </w:hyperlink>
          </w:p>
        </w:tc>
        <w:tc>
          <w:tcPr>
            <w:tcW w:w="414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7"/>
                <w:szCs w:val="17"/>
                <w:color w:val="auto"/>
              </w:rPr>
            </w:pPr>
          </w:p>
        </w:tc>
        <w:tc>
          <w:tcPr>
            <w:tcW w:w="4840" w:type="dxa"/>
            <w:vAlign w:val="bottom"/>
            <w:gridSpan w:val="15"/>
          </w:tcPr>
          <w:p>
            <w:pPr>
              <w:spacing w:after="0"/>
              <w:rPr>
                <w:rFonts w:ascii="Arial" w:cs="Arial" w:eastAsia="Arial" w:hAnsi="Arial"/>
                <w:sz w:val="14"/>
                <w:szCs w:val="14"/>
                <w:color w:val="0000FF"/>
              </w:rPr>
            </w:pPr>
            <w:hyperlink r:id="rId396">
              <w:r>
                <w:rPr>
                  <w:rFonts w:ascii="Arial" w:cs="Arial" w:eastAsia="Arial" w:hAnsi="Arial"/>
                  <w:sz w:val="14"/>
                  <w:szCs w:val="14"/>
                  <w:color w:val="0000FF"/>
                </w:rPr>
                <w:t>Employment Agreement, dated July 7, 2020, by and among GoHealth, Inc.,</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Borders>
              <w:top w:val="single" w:sz="8" w:color="0000FF"/>
              <w:bottom w:val="single" w:sz="8" w:color="0000FF"/>
            </w:tcBorders>
            <w:gridSpan w:val="5"/>
          </w:tcPr>
          <w:p>
            <w:pPr>
              <w:spacing w:after="0" w:line="142" w:lineRule="exact"/>
              <w:rPr>
                <w:rFonts w:ascii="Arial" w:cs="Arial" w:eastAsia="Arial" w:hAnsi="Arial"/>
                <w:sz w:val="14"/>
                <w:szCs w:val="14"/>
                <w:color w:val="0000FF"/>
              </w:rPr>
            </w:pPr>
            <w:hyperlink r:id="rId396">
              <w:r>
                <w:rPr>
                  <w:rFonts w:ascii="Arial" w:cs="Arial" w:eastAsia="Arial" w:hAnsi="Arial"/>
                  <w:sz w:val="14"/>
                  <w:szCs w:val="14"/>
                  <w:color w:val="0000FF"/>
                </w:rPr>
                <w:t>GoHealth Holdings, LLC, and Clinton P. Jones.</w:t>
              </w:r>
            </w:hyperlink>
          </w:p>
        </w:tc>
        <w:tc>
          <w:tcPr>
            <w:tcW w:w="1800" w:type="dxa"/>
            <w:vAlign w:val="bottom"/>
            <w:tcBorders>
              <w:top w:val="single" w:sz="8" w:color="0000FF"/>
            </w:tcBorders>
            <w:gridSpan w:val="8"/>
          </w:tcPr>
          <w:p>
            <w:pPr>
              <w:spacing w:after="0"/>
              <w:rPr>
                <w:sz w:val="12"/>
                <w:szCs w:val="12"/>
                <w:color w:val="auto"/>
              </w:rPr>
            </w:pP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4"/>
                <w:szCs w:val="14"/>
                <w:color w:val="auto"/>
              </w:rPr>
              <w:t>10.10#</w:t>
            </w:r>
          </w:p>
        </w:tc>
        <w:tc>
          <w:tcPr>
            <w:tcW w:w="120" w:type="dxa"/>
            <w:vAlign w:val="bottom"/>
          </w:tcPr>
          <w:p>
            <w:pPr>
              <w:spacing w:after="0"/>
              <w:rPr>
                <w:sz w:val="17"/>
                <w:szCs w:val="17"/>
                <w:color w:val="auto"/>
              </w:rPr>
            </w:pPr>
          </w:p>
        </w:tc>
        <w:tc>
          <w:tcPr>
            <w:tcW w:w="4840" w:type="dxa"/>
            <w:vAlign w:val="bottom"/>
            <w:gridSpan w:val="15"/>
          </w:tcPr>
          <w:p>
            <w:pPr>
              <w:spacing w:after="0"/>
              <w:rPr>
                <w:rFonts w:ascii="Arial" w:cs="Arial" w:eastAsia="Arial" w:hAnsi="Arial"/>
                <w:sz w:val="14"/>
                <w:szCs w:val="14"/>
                <w:color w:val="0000FF"/>
              </w:rPr>
            </w:pPr>
            <w:hyperlink r:id="rId397">
              <w:r>
                <w:rPr>
                  <w:rFonts w:ascii="Arial" w:cs="Arial" w:eastAsia="Arial" w:hAnsi="Arial"/>
                  <w:sz w:val="14"/>
                  <w:szCs w:val="14"/>
                  <w:color w:val="0000FF"/>
                </w:rPr>
                <w:t>Employment Agreement, dated July 7, 2020, by and among GoHealth, Inc.,</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Borders>
              <w:top w:val="single" w:sz="8" w:color="0000FF"/>
              <w:bottom w:val="single" w:sz="8" w:color="0000FF"/>
            </w:tcBorders>
            <w:gridSpan w:val="4"/>
          </w:tcPr>
          <w:p>
            <w:pPr>
              <w:spacing w:after="0" w:line="142" w:lineRule="exact"/>
              <w:rPr>
                <w:rFonts w:ascii="Arial" w:cs="Arial" w:eastAsia="Arial" w:hAnsi="Arial"/>
                <w:sz w:val="14"/>
                <w:szCs w:val="14"/>
                <w:color w:val="0000FF"/>
              </w:rPr>
            </w:pPr>
            <w:hyperlink r:id="rId397">
              <w:r>
                <w:rPr>
                  <w:rFonts w:ascii="Arial" w:cs="Arial" w:eastAsia="Arial" w:hAnsi="Arial"/>
                  <w:sz w:val="14"/>
                  <w:szCs w:val="14"/>
                  <w:color w:val="0000FF"/>
                </w:rPr>
                <w:t>GoHealth Holdings, LLC, and Shane A. Cruz.</w:t>
              </w:r>
            </w:hyperlink>
          </w:p>
        </w:tc>
        <w:tc>
          <w:tcPr>
            <w:tcW w:w="1900" w:type="dxa"/>
            <w:vAlign w:val="bottom"/>
            <w:tcBorders>
              <w:top w:val="single" w:sz="8" w:color="0000FF"/>
            </w:tcBorders>
            <w:gridSpan w:val="9"/>
          </w:tcPr>
          <w:p>
            <w:pPr>
              <w:spacing w:after="0"/>
              <w:rPr>
                <w:sz w:val="12"/>
                <w:szCs w:val="12"/>
                <w:color w:val="auto"/>
              </w:rPr>
            </w:pP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4"/>
                <w:szCs w:val="14"/>
                <w:color w:val="auto"/>
              </w:rPr>
              <w:t>10.11#</w:t>
            </w:r>
          </w:p>
        </w:tc>
        <w:tc>
          <w:tcPr>
            <w:tcW w:w="120" w:type="dxa"/>
            <w:vAlign w:val="bottom"/>
          </w:tcPr>
          <w:p>
            <w:pPr>
              <w:spacing w:after="0"/>
              <w:rPr>
                <w:sz w:val="17"/>
                <w:szCs w:val="17"/>
                <w:color w:val="auto"/>
              </w:rPr>
            </w:pPr>
          </w:p>
        </w:tc>
        <w:tc>
          <w:tcPr>
            <w:tcW w:w="4840" w:type="dxa"/>
            <w:vAlign w:val="bottom"/>
            <w:gridSpan w:val="15"/>
          </w:tcPr>
          <w:p>
            <w:pPr>
              <w:spacing w:after="0"/>
              <w:rPr>
                <w:rFonts w:ascii="Arial" w:cs="Arial" w:eastAsia="Arial" w:hAnsi="Arial"/>
                <w:sz w:val="14"/>
                <w:szCs w:val="14"/>
                <w:color w:val="0000FF"/>
              </w:rPr>
            </w:pPr>
            <w:hyperlink r:id="rId398">
              <w:r>
                <w:rPr>
                  <w:rFonts w:ascii="Arial" w:cs="Arial" w:eastAsia="Arial" w:hAnsi="Arial"/>
                  <w:sz w:val="14"/>
                  <w:szCs w:val="14"/>
                  <w:color w:val="0000FF"/>
                </w:rPr>
                <w:t>Employment Agreement, dated July 7, 2020, by and among GoHealth, Inc.,</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740" w:type="dxa"/>
            <w:vAlign w:val="bottom"/>
            <w:tcBorders>
              <w:top w:val="single" w:sz="8" w:color="0000FF"/>
            </w:tcBorders>
            <w:gridSpan w:val="13"/>
          </w:tcPr>
          <w:p>
            <w:pPr>
              <w:spacing w:after="0" w:line="142" w:lineRule="exact"/>
              <w:rPr>
                <w:rFonts w:ascii="Arial" w:cs="Arial" w:eastAsia="Arial" w:hAnsi="Arial"/>
                <w:sz w:val="14"/>
                <w:szCs w:val="14"/>
                <w:color w:val="0000FF"/>
              </w:rPr>
            </w:pPr>
            <w:hyperlink r:id="rId398">
              <w:r>
                <w:rPr>
                  <w:rFonts w:ascii="Arial" w:cs="Arial" w:eastAsia="Arial" w:hAnsi="Arial"/>
                  <w:sz w:val="14"/>
                  <w:szCs w:val="14"/>
                  <w:color w:val="0000FF"/>
                </w:rPr>
                <w:t>GoHealth Holdings, LLC, and James A. Sharman.</w:t>
              </w:r>
            </w:hyperlink>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385445</wp:posOffset>
            </wp:positionV>
            <wp:extent cx="8890" cy="1200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9">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Incorporated by Reference</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62"/>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62"/>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Filing</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r>
      <w:tr>
        <w:trPr>
          <w:trHeight w:val="196"/>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7"/>
                <w:szCs w:val="17"/>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203"/>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10-Q</w:t>
            </w:r>
          </w:p>
        </w:tc>
        <w:tc>
          <w:tcPr>
            <w:tcW w:w="1200" w:type="dxa"/>
            <w:vAlign w:val="bottom"/>
          </w:tcPr>
          <w:p>
            <w:pPr>
              <w:jc w:val="center"/>
              <w:spacing w:after="0"/>
              <w:rPr>
                <w:sz w:val="20"/>
                <w:szCs w:val="20"/>
                <w:color w:val="auto"/>
              </w:rPr>
            </w:pPr>
            <w:r>
              <w:rPr>
                <w:rFonts w:ascii="Arial" w:cs="Arial" w:eastAsia="Arial" w:hAnsi="Arial"/>
                <w:sz w:val="14"/>
                <w:szCs w:val="14"/>
                <w:color w:val="auto"/>
              </w:rPr>
              <w:t>01-39390</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8/20/2020</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10-Q</w:t>
            </w:r>
          </w:p>
        </w:tc>
        <w:tc>
          <w:tcPr>
            <w:tcW w:w="1200" w:type="dxa"/>
            <w:vAlign w:val="bottom"/>
          </w:tcPr>
          <w:p>
            <w:pPr>
              <w:jc w:val="center"/>
              <w:spacing w:after="0"/>
              <w:rPr>
                <w:sz w:val="20"/>
                <w:szCs w:val="20"/>
                <w:color w:val="auto"/>
              </w:rPr>
            </w:pPr>
            <w:r>
              <w:rPr>
                <w:rFonts w:ascii="Arial" w:cs="Arial" w:eastAsia="Arial" w:hAnsi="Arial"/>
                <w:sz w:val="14"/>
                <w:szCs w:val="14"/>
                <w:color w:val="auto"/>
              </w:rPr>
              <w:t>01-39390</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8/20/2020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97"/>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20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6/19/2020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21"/>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540"/>
        </w:trPr>
        <w:tc>
          <w:tcPr>
            <w:tcW w:w="760" w:type="dxa"/>
            <w:vAlign w:val="bottom"/>
            <w:gridSpan w:val="2"/>
          </w:tcPr>
          <w:p>
            <w:pPr>
              <w:jc w:val="center"/>
              <w:ind w:right="140"/>
              <w:spacing w:after="0"/>
              <w:rPr>
                <w:sz w:val="20"/>
                <w:szCs w:val="20"/>
                <w:color w:val="auto"/>
              </w:rPr>
            </w:pPr>
            <w:r>
              <w:rPr>
                <w:rFonts w:ascii="Arial" w:cs="Arial" w:eastAsia="Arial" w:hAnsi="Arial"/>
                <w:sz w:val="14"/>
                <w:szCs w:val="14"/>
                <w:color w:val="auto"/>
              </w:rPr>
              <w:t>S-1</w:t>
            </w:r>
          </w:p>
        </w:tc>
        <w:tc>
          <w:tcPr>
            <w:tcW w:w="120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6/19/2020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64"/>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10-Q</w:t>
            </w:r>
          </w:p>
        </w:tc>
        <w:tc>
          <w:tcPr>
            <w:tcW w:w="1200" w:type="dxa"/>
            <w:vAlign w:val="bottom"/>
          </w:tcPr>
          <w:p>
            <w:pPr>
              <w:jc w:val="center"/>
              <w:spacing w:after="0"/>
              <w:rPr>
                <w:sz w:val="20"/>
                <w:szCs w:val="20"/>
                <w:color w:val="auto"/>
              </w:rPr>
            </w:pPr>
            <w:r>
              <w:rPr>
                <w:rFonts w:ascii="Arial" w:cs="Arial" w:eastAsia="Arial" w:hAnsi="Arial"/>
                <w:sz w:val="14"/>
                <w:szCs w:val="14"/>
                <w:color w:val="auto"/>
              </w:rPr>
              <w:t>01-39390</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8/20/2020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40"/>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20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7/8/2020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20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7/8/2020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97"/>
        </w:trPr>
        <w:tc>
          <w:tcPr>
            <w:tcW w:w="760" w:type="dxa"/>
            <w:vAlign w:val="bottom"/>
            <w:gridSpan w:val="2"/>
          </w:tcPr>
          <w:p>
            <w:pPr>
              <w:jc w:val="center"/>
              <w:ind w:right="140"/>
              <w:spacing w:after="0"/>
              <w:rPr>
                <w:sz w:val="20"/>
                <w:szCs w:val="20"/>
                <w:color w:val="auto"/>
              </w:rPr>
            </w:pPr>
            <w:r>
              <w:rPr>
                <w:rFonts w:ascii="Arial" w:cs="Arial" w:eastAsia="Arial" w:hAnsi="Arial"/>
                <w:sz w:val="14"/>
                <w:szCs w:val="14"/>
                <w:color w:val="auto"/>
              </w:rPr>
              <w:t>S-1</w:t>
            </w:r>
          </w:p>
        </w:tc>
        <w:tc>
          <w:tcPr>
            <w:tcW w:w="120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6/19/2020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20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7/6/2020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20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7/6/2020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97"/>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20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10.11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7/8/2020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20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7/8/2020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20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10.14</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7/8/2020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20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7/8/2020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427355</wp:posOffset>
            </wp:positionV>
            <wp:extent cx="8255" cy="1200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0">
                      <a:extLst>
                        <a:ext uri="{28A0092B-C50C-407E-A947-70E740481C1C}"/>
                      </a:extLst>
                    </a:blip>
                    <a:srcRect/>
                    <a:stretch>
                      <a:fillRect/>
                    </a:stretch>
                  </pic:blipFill>
                  <pic:spPr bwMode="auto">
                    <a:xfrm>
                      <a:off x="0" y="0"/>
                      <a:ext cx="8255" cy="120015"/>
                    </a:xfrm>
                    <a:prstGeom prst="rect">
                      <a:avLst/>
                    </a:prstGeom>
                    <a:noFill/>
                  </pic:spPr>
                </pic:pic>
              </a:graphicData>
            </a:graphic>
          </wp:anchor>
        </w:drawing>
      </w:r>
    </w:p>
    <w:p>
      <w:pPr>
        <w:spacing w:after="0" w:line="266" w:lineRule="exact"/>
        <w:rPr>
          <w:sz w:val="20"/>
          <w:szCs w:val="20"/>
          <w:color w:val="auto"/>
        </w:rPr>
      </w:pPr>
    </w:p>
    <w:p>
      <w:pPr>
        <w:sectPr>
          <w:pgSz w:w="11900" w:h="16838" w:orient="portrait"/>
          <w:cols w:equalWidth="0" w:num="2">
            <w:col w:w="5980" w:space="120"/>
            <w:col w:w="5140"/>
          </w:cols>
          <w:pgMar w:left="320" w:top="1368" w:right="33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108</w:t>
      </w:r>
    </w:p>
    <w:p>
      <w:pPr>
        <w:sectPr>
          <w:pgSz w:w="11900" w:h="16838" w:orient="portrait"/>
          <w:cols w:equalWidth="0" w:num="3">
            <w:col w:w="4580" w:space="540"/>
            <w:col w:w="1040" w:space="360"/>
            <w:col w:w="4720"/>
          </w:cols>
          <w:pgMar w:left="320" w:top="1368" w:right="339" w:bottom="1440" w:gutter="0" w:footer="0" w:header="0"/>
          <w:type w:val="continuous"/>
        </w:sectPr>
      </w:pPr>
    </w:p>
    <w:bookmarkStart w:id="111" w:name="page112"/>
    <w:bookmarkEnd w:id="111"/>
    <w:p>
      <w:pPr>
        <w:ind w:left="260"/>
        <w:spacing w:after="0"/>
        <w:tabs>
          <w:tab w:leader="none" w:pos="1080" w:val="left"/>
        </w:tabs>
        <w:rPr>
          <w:rFonts w:ascii="Arial" w:cs="Arial" w:eastAsia="Arial" w:hAnsi="Arial"/>
          <w:sz w:val="14"/>
          <w:szCs w:val="14"/>
          <w:u w:val="single" w:color="auto"/>
          <w:color w:val="0000FF"/>
        </w:rPr>
      </w:pPr>
      <w:r>
        <w:rPr>
          <w:rFonts w:ascii="Arial" w:cs="Arial" w:eastAsia="Arial" w:hAnsi="Arial"/>
          <w:sz w:val="14"/>
          <w:szCs w:val="14"/>
          <w:color w:val="auto"/>
        </w:rPr>
        <w:t>10.12#</w:t>
      </w:r>
      <w:r>
        <w:rPr>
          <w:sz w:val="20"/>
          <w:szCs w:val="20"/>
          <w:color w:val="auto"/>
        </w:rPr>
        <w:tab/>
      </w:r>
      <w:hyperlink r:id="rId402">
        <w:r>
          <w:rPr>
            <w:rFonts w:ascii="Arial" w:cs="Arial" w:eastAsia="Arial" w:hAnsi="Arial"/>
            <w:sz w:val="14"/>
            <w:szCs w:val="14"/>
            <w:u w:val="single" w:color="auto"/>
            <w:color w:val="0000FF"/>
          </w:rPr>
          <w:t>GoHealth, Inc. Non-Employee Director Compensation Policy</w:t>
        </w:r>
        <w:r>
          <w:rPr>
            <w:rFonts w:ascii="Arial" w:cs="Arial" w:eastAsia="Arial" w:hAnsi="Arial"/>
            <w:sz w:val="14"/>
            <w:szCs w:val="14"/>
            <w:color w:val="0000FF"/>
          </w:rPr>
          <w:t>.</w:t>
        </w:r>
      </w:hyperlink>
    </w:p>
    <w:p>
      <w:pPr>
        <w:spacing w:after="0" w:line="55" w:lineRule="exact"/>
        <w:rPr>
          <w:sz w:val="20"/>
          <w:szCs w:val="20"/>
          <w:color w:val="auto"/>
        </w:rPr>
      </w:pPr>
    </w:p>
    <w:p>
      <w:pPr>
        <w:ind w:left="260"/>
        <w:spacing w:after="0"/>
        <w:tabs>
          <w:tab w:leader="none" w:pos="1080" w:val="left"/>
        </w:tabs>
        <w:rPr>
          <w:rFonts w:ascii="Arial" w:cs="Arial" w:eastAsia="Arial" w:hAnsi="Arial"/>
          <w:sz w:val="14"/>
          <w:szCs w:val="14"/>
          <w:u w:val="single" w:color="auto"/>
          <w:color w:val="0000FF"/>
        </w:rPr>
      </w:pPr>
      <w:r>
        <w:rPr>
          <w:rFonts w:ascii="Arial" w:cs="Arial" w:eastAsia="Arial" w:hAnsi="Arial"/>
          <w:sz w:val="14"/>
          <w:szCs w:val="14"/>
          <w:color w:val="auto"/>
        </w:rPr>
        <w:t>10.13#</w:t>
      </w:r>
      <w:r>
        <w:rPr>
          <w:sz w:val="20"/>
          <w:szCs w:val="20"/>
          <w:color w:val="auto"/>
        </w:rPr>
        <w:tab/>
      </w:r>
      <w:hyperlink r:id="rId403">
        <w:r>
          <w:rPr>
            <w:rFonts w:ascii="Arial" w:cs="Arial" w:eastAsia="Arial" w:hAnsi="Arial"/>
            <w:sz w:val="14"/>
            <w:szCs w:val="14"/>
            <w:u w:val="single" w:color="auto"/>
            <w:color w:val="0000FF"/>
          </w:rPr>
          <w:t>Form Director Profits Unit Agreement.</w:t>
        </w:r>
      </w:hyperlink>
    </w:p>
    <w:p>
      <w:pPr>
        <w:spacing w:after="0" w:line="55" w:lineRule="exact"/>
        <w:rPr>
          <w:sz w:val="20"/>
          <w:szCs w:val="20"/>
          <w:color w:val="auto"/>
        </w:rPr>
      </w:pPr>
    </w:p>
    <w:p>
      <w:pPr>
        <w:ind w:left="260"/>
        <w:spacing w:after="0"/>
        <w:tabs>
          <w:tab w:leader="none" w:pos="1080" w:val="left"/>
        </w:tabs>
        <w:rPr>
          <w:rFonts w:ascii="Arial" w:cs="Arial" w:eastAsia="Arial" w:hAnsi="Arial"/>
          <w:sz w:val="14"/>
          <w:szCs w:val="14"/>
          <w:u w:val="single" w:color="auto"/>
          <w:color w:val="0000FF"/>
        </w:rPr>
      </w:pPr>
      <w:r>
        <w:rPr>
          <w:rFonts w:ascii="Arial" w:cs="Arial" w:eastAsia="Arial" w:hAnsi="Arial"/>
          <w:sz w:val="14"/>
          <w:szCs w:val="14"/>
          <w:color w:val="auto"/>
        </w:rPr>
        <w:t>10.14#</w:t>
      </w:r>
      <w:r>
        <w:rPr>
          <w:sz w:val="20"/>
          <w:szCs w:val="20"/>
          <w:color w:val="auto"/>
        </w:rPr>
        <w:tab/>
      </w:r>
      <w:hyperlink r:id="rId404">
        <w:r>
          <w:rPr>
            <w:rFonts w:ascii="Arial" w:cs="Arial" w:eastAsia="Arial" w:hAnsi="Arial"/>
            <w:sz w:val="14"/>
            <w:szCs w:val="14"/>
            <w:u w:val="single" w:color="auto"/>
            <w:color w:val="0000FF"/>
          </w:rPr>
          <w:t>Form Amendment No. 1 to Director Profits Unit Agreement.</w:t>
        </w:r>
      </w:hyperlink>
    </w:p>
    <w:p>
      <w:pPr>
        <w:spacing w:after="0" w:line="55" w:lineRule="exact"/>
        <w:rPr>
          <w:sz w:val="20"/>
          <w:szCs w:val="20"/>
          <w:color w:val="auto"/>
        </w:rPr>
      </w:pPr>
    </w:p>
    <w:p>
      <w:pPr>
        <w:ind w:left="260"/>
        <w:spacing w:after="0"/>
        <w:tabs>
          <w:tab w:leader="none" w:pos="1080" w:val="left"/>
        </w:tabs>
        <w:rPr>
          <w:rFonts w:ascii="Arial" w:cs="Arial" w:eastAsia="Arial" w:hAnsi="Arial"/>
          <w:sz w:val="14"/>
          <w:szCs w:val="14"/>
          <w:u w:val="single" w:color="auto"/>
          <w:color w:val="0000FF"/>
        </w:rPr>
      </w:pPr>
      <w:r>
        <w:rPr>
          <w:rFonts w:ascii="Arial" w:cs="Arial" w:eastAsia="Arial" w:hAnsi="Arial"/>
          <w:sz w:val="14"/>
          <w:szCs w:val="14"/>
          <w:color w:val="auto"/>
        </w:rPr>
        <w:t>10.15#</w:t>
      </w:r>
      <w:r>
        <w:rPr>
          <w:sz w:val="20"/>
          <w:szCs w:val="20"/>
          <w:color w:val="auto"/>
        </w:rPr>
        <w:tab/>
      </w:r>
      <w:hyperlink r:id="rId405">
        <w:r>
          <w:rPr>
            <w:rFonts w:ascii="Arial" w:cs="Arial" w:eastAsia="Arial" w:hAnsi="Arial"/>
            <w:sz w:val="14"/>
            <w:szCs w:val="14"/>
            <w:u w:val="single" w:color="auto"/>
            <w:color w:val="0000FF"/>
          </w:rPr>
          <w:t>Form of Stock Option Award Grant Notice and Stock Option Agreement.</w:t>
        </w:r>
      </w:hyperlink>
    </w:p>
    <w:p>
      <w:pPr>
        <w:spacing w:after="0" w:line="55" w:lineRule="exact"/>
        <w:rPr>
          <w:sz w:val="20"/>
          <w:szCs w:val="20"/>
          <w:color w:val="auto"/>
        </w:rPr>
      </w:pPr>
    </w:p>
    <w:p>
      <w:pPr>
        <w:ind w:left="1100" w:right="40" w:hanging="824"/>
        <w:spacing w:after="0" w:line="258" w:lineRule="auto"/>
        <w:tabs>
          <w:tab w:leader="none" w:pos="1080" w:val="left"/>
        </w:tabs>
        <w:rPr>
          <w:rFonts w:ascii="Arial" w:cs="Arial" w:eastAsia="Arial" w:hAnsi="Arial"/>
          <w:sz w:val="14"/>
          <w:szCs w:val="14"/>
          <w:u w:val="single" w:color="auto"/>
          <w:color w:val="0000FF"/>
        </w:rPr>
      </w:pPr>
      <w:r>
        <w:rPr>
          <w:rFonts w:ascii="Arial" w:cs="Arial" w:eastAsia="Arial" w:hAnsi="Arial"/>
          <w:sz w:val="14"/>
          <w:szCs w:val="14"/>
          <w:color w:val="auto"/>
        </w:rPr>
        <w:t>10.16#</w:t>
      </w:r>
      <w:r>
        <w:rPr>
          <w:sz w:val="20"/>
          <w:szCs w:val="20"/>
          <w:color w:val="auto"/>
        </w:rPr>
        <w:tab/>
      </w:r>
      <w:hyperlink r:id="rId406">
        <w:r>
          <w:rPr>
            <w:rFonts w:ascii="Arial" w:cs="Arial" w:eastAsia="Arial" w:hAnsi="Arial"/>
            <w:sz w:val="14"/>
            <w:szCs w:val="14"/>
            <w:u w:val="single" w:color="auto"/>
            <w:color w:val="0000FF"/>
          </w:rPr>
          <w:t>Form of Restricted Stock Unit Award Grant Notice and Restricted Stock Unit</w:t>
        </w:r>
      </w:hyperlink>
      <w:r>
        <w:rPr>
          <w:rFonts w:ascii="Arial" w:cs="Arial" w:eastAsia="Arial" w:hAnsi="Arial"/>
          <w:sz w:val="14"/>
          <w:szCs w:val="14"/>
          <w:u w:val="single" w:color="auto"/>
          <w:color w:val="0000FF"/>
        </w:rPr>
        <w:t xml:space="preserve"> </w:t>
      </w:r>
      <w:hyperlink r:id="rId406">
        <w:r>
          <w:rPr>
            <w:rFonts w:ascii="Arial" w:cs="Arial" w:eastAsia="Arial" w:hAnsi="Arial"/>
            <w:sz w:val="14"/>
            <w:szCs w:val="14"/>
            <w:u w:val="single" w:color="auto"/>
            <w:color w:val="0000FF"/>
          </w:rPr>
          <w:t>Agreement.</w:t>
        </w:r>
      </w:hyperlink>
    </w:p>
    <w:p>
      <w:pPr>
        <w:spacing w:after="0" w:line="32" w:lineRule="exact"/>
        <w:rPr>
          <w:sz w:val="20"/>
          <w:szCs w:val="20"/>
          <w:color w:val="auto"/>
        </w:rPr>
      </w:pPr>
    </w:p>
    <w:p>
      <w:pPr>
        <w:ind w:left="1100" w:right="120" w:hanging="784"/>
        <w:spacing w:after="0" w:line="241" w:lineRule="auto"/>
        <w:tabs>
          <w:tab w:leader="none" w:pos="1080" w:val="left"/>
        </w:tabs>
        <w:rPr>
          <w:rFonts w:ascii="Arial" w:cs="Arial" w:eastAsia="Arial" w:hAnsi="Arial"/>
          <w:sz w:val="14"/>
          <w:szCs w:val="14"/>
          <w:u w:val="single" w:color="auto"/>
          <w:color w:val="0000FF"/>
        </w:rPr>
      </w:pPr>
      <w:r>
        <w:rPr>
          <w:rFonts w:ascii="Arial" w:cs="Arial" w:eastAsia="Arial" w:hAnsi="Arial"/>
          <w:sz w:val="14"/>
          <w:szCs w:val="14"/>
          <w:color w:val="auto"/>
        </w:rPr>
        <w:t>10.17</w:t>
      </w:r>
      <w:r>
        <w:rPr>
          <w:sz w:val="20"/>
          <w:szCs w:val="20"/>
          <w:color w:val="auto"/>
        </w:rPr>
        <w:tab/>
      </w:r>
      <w:hyperlink r:id="rId407">
        <w:r>
          <w:rPr>
            <w:rFonts w:ascii="Arial" w:cs="Arial" w:eastAsia="Arial" w:hAnsi="Arial"/>
            <w:sz w:val="14"/>
            <w:szCs w:val="14"/>
            <w:u w:val="single" w:color="auto"/>
            <w:color w:val="0000FF"/>
          </w:rPr>
          <w:t>Tax Receivable Agreement, dated July 15, 2020, by and among the</w:t>
        </w:r>
      </w:hyperlink>
      <w:r>
        <w:rPr>
          <w:rFonts w:ascii="Arial" w:cs="Arial" w:eastAsia="Arial" w:hAnsi="Arial"/>
          <w:sz w:val="14"/>
          <w:szCs w:val="14"/>
          <w:u w:val="single" w:color="auto"/>
          <w:color w:val="0000FF"/>
        </w:rPr>
        <w:t xml:space="preserve"> </w:t>
      </w:r>
      <w:hyperlink r:id="rId407">
        <w:r>
          <w:rPr>
            <w:rFonts w:ascii="Arial" w:cs="Arial" w:eastAsia="Arial" w:hAnsi="Arial"/>
            <w:sz w:val="14"/>
            <w:szCs w:val="14"/>
            <w:u w:val="single" w:color="auto"/>
            <w:color w:val="0000FF"/>
          </w:rPr>
          <w:t>GoHealth, Inc., GoHealth, LLC, CB Blizzard Co-Invest Holdings, L.P., CCP</w:t>
        </w:r>
      </w:hyperlink>
    </w:p>
    <w:p>
      <w:pPr>
        <w:spacing w:after="0" w:line="1" w:lineRule="exact"/>
        <w:rPr>
          <w:sz w:val="20"/>
          <w:szCs w:val="20"/>
          <w:color w:val="auto"/>
        </w:rPr>
      </w:pPr>
    </w:p>
    <w:p>
      <w:pPr>
        <w:ind w:left="1100" w:right="200" w:hanging="8"/>
        <w:spacing w:after="0" w:line="258" w:lineRule="auto"/>
        <w:tabs>
          <w:tab w:leader="none" w:pos="1260" w:val="left"/>
        </w:tabs>
        <w:numPr>
          <w:ilvl w:val="0"/>
          <w:numId w:val="58"/>
        </w:numPr>
        <w:rPr>
          <w:rFonts w:ascii="Arial" w:cs="Arial" w:eastAsia="Arial" w:hAnsi="Arial"/>
          <w:sz w:val="14"/>
          <w:szCs w:val="14"/>
          <w:u w:val="single" w:color="auto"/>
          <w:color w:val="0000FF"/>
        </w:rPr>
      </w:pPr>
      <w:hyperlink r:id="rId407">
        <w:r>
          <w:rPr>
            <w:rFonts w:ascii="Arial" w:cs="Arial" w:eastAsia="Arial" w:hAnsi="Arial"/>
            <w:sz w:val="14"/>
            <w:szCs w:val="14"/>
            <w:u w:val="single" w:color="auto"/>
            <w:color w:val="0000FF"/>
          </w:rPr>
          <w:t>AIV VII Holdings, L.P. and each of the Members from time to time party</w:t>
        </w:r>
      </w:hyperlink>
      <w:r>
        <w:rPr>
          <w:rFonts w:ascii="Arial" w:cs="Arial" w:eastAsia="Arial" w:hAnsi="Arial"/>
          <w:sz w:val="14"/>
          <w:szCs w:val="14"/>
          <w:u w:val="single" w:color="auto"/>
          <w:color w:val="0000FF"/>
        </w:rPr>
        <w:t xml:space="preserve"> </w:t>
      </w:r>
      <w:hyperlink r:id="rId407">
        <w:r>
          <w:rPr>
            <w:rFonts w:ascii="Arial" w:cs="Arial" w:eastAsia="Arial" w:hAnsi="Arial"/>
            <w:sz w:val="14"/>
            <w:szCs w:val="14"/>
            <w:u w:val="single" w:color="auto"/>
            <w:color w:val="0000FF"/>
          </w:rPr>
          <w:t>thereto.</w:t>
        </w:r>
      </w:hyperlink>
    </w:p>
    <w:p>
      <w:pPr>
        <w:spacing w:after="0" w:line="15" w:lineRule="exact"/>
        <w:rPr>
          <w:rFonts w:ascii="Arial" w:cs="Arial" w:eastAsia="Arial" w:hAnsi="Arial"/>
          <w:sz w:val="14"/>
          <w:szCs w:val="14"/>
          <w:u w:val="single" w:color="auto"/>
          <w:color w:val="0000FF"/>
        </w:rPr>
      </w:pPr>
    </w:p>
    <w:tbl>
      <w:tblPr>
        <w:tblLayout w:type="fixed"/>
        <w:tblInd w:w="200" w:type="dxa"/>
        <w:tblCellMar>
          <w:top w:w="0" w:type="dxa"/>
          <w:left w:w="0" w:type="dxa"/>
          <w:bottom w:w="0" w:type="dxa"/>
          <w:right w:w="0" w:type="dxa"/>
        </w:tblCellMar>
      </w:tblPr>
      <w:tr>
        <w:trPr>
          <w:trHeight w:val="161"/>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10.18</w:t>
            </w:r>
          </w:p>
        </w:tc>
        <w:tc>
          <w:tcPr>
            <w:tcW w:w="4280" w:type="dxa"/>
            <w:vAlign w:val="bottom"/>
            <w:tcBorders>
              <w:bottom w:val="single" w:sz="8" w:color="0000FF"/>
            </w:tcBorders>
            <w:gridSpan w:val="6"/>
          </w:tcPr>
          <w:p>
            <w:pPr>
              <w:spacing w:after="0"/>
              <w:rPr>
                <w:rFonts w:ascii="Arial" w:cs="Arial" w:eastAsia="Arial" w:hAnsi="Arial"/>
                <w:sz w:val="14"/>
                <w:szCs w:val="14"/>
                <w:color w:val="0000FF"/>
              </w:rPr>
            </w:pPr>
            <w:hyperlink r:id="rId408">
              <w:r>
                <w:rPr>
                  <w:rFonts w:ascii="Arial" w:cs="Arial" w:eastAsia="Arial" w:hAnsi="Arial"/>
                  <w:sz w:val="14"/>
                  <w:szCs w:val="14"/>
                  <w:color w:val="0000FF"/>
                </w:rPr>
                <w:t>Registration Rights Agreement, dated July 15, 2020, by and among</w:t>
              </w:r>
            </w:hyperlink>
          </w:p>
        </w:tc>
        <w:tc>
          <w:tcPr>
            <w:tcW w:w="580" w:type="dxa"/>
            <w:vAlign w:val="bottom"/>
            <w:gridSpan w:val="6"/>
          </w:tcPr>
          <w:p>
            <w:pPr>
              <w:spacing w:after="0"/>
              <w:rPr>
                <w:sz w:val="14"/>
                <w:szCs w:val="14"/>
                <w:color w:val="auto"/>
              </w:rPr>
            </w:pPr>
          </w:p>
        </w:tc>
      </w:tr>
      <w:tr>
        <w:trPr>
          <w:trHeight w:val="142"/>
        </w:trPr>
        <w:tc>
          <w:tcPr>
            <w:tcW w:w="900" w:type="dxa"/>
            <w:vAlign w:val="bottom"/>
          </w:tcPr>
          <w:p>
            <w:pPr>
              <w:spacing w:after="0"/>
              <w:rPr>
                <w:sz w:val="12"/>
                <w:szCs w:val="12"/>
                <w:color w:val="auto"/>
              </w:rPr>
            </w:pPr>
          </w:p>
        </w:tc>
        <w:tc>
          <w:tcPr>
            <w:tcW w:w="4840" w:type="dxa"/>
            <w:vAlign w:val="bottom"/>
            <w:tcBorders>
              <w:bottom w:val="single" w:sz="8" w:color="0000FF"/>
            </w:tcBorders>
            <w:gridSpan w:val="11"/>
          </w:tcPr>
          <w:p>
            <w:pPr>
              <w:spacing w:after="0" w:line="142" w:lineRule="exact"/>
              <w:rPr>
                <w:rFonts w:ascii="Arial" w:cs="Arial" w:eastAsia="Arial" w:hAnsi="Arial"/>
                <w:sz w:val="14"/>
                <w:szCs w:val="14"/>
                <w:color w:val="0000FF"/>
              </w:rPr>
            </w:pPr>
            <w:hyperlink r:id="rId408">
              <w:r>
                <w:rPr>
                  <w:rFonts w:ascii="Arial" w:cs="Arial" w:eastAsia="Arial" w:hAnsi="Arial"/>
                  <w:sz w:val="14"/>
                  <w:szCs w:val="14"/>
                  <w:color w:val="0000FF"/>
                </w:rPr>
                <w:t>GoHealth, Inc. and each other person identified on the schedule of investors</w:t>
              </w:r>
            </w:hyperlink>
          </w:p>
        </w:tc>
        <w:tc>
          <w:tcPr>
            <w:tcW w:w="2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1080" w:type="dxa"/>
            <w:vAlign w:val="bottom"/>
            <w:tcBorders>
              <w:bottom w:val="single" w:sz="8" w:color="0000FF"/>
            </w:tcBorders>
            <w:gridSpan w:val="4"/>
          </w:tcPr>
          <w:p>
            <w:pPr>
              <w:spacing w:after="0" w:line="142" w:lineRule="exact"/>
              <w:rPr>
                <w:rFonts w:ascii="Arial" w:cs="Arial" w:eastAsia="Arial" w:hAnsi="Arial"/>
                <w:sz w:val="14"/>
                <w:szCs w:val="14"/>
                <w:color w:val="0000FF"/>
              </w:rPr>
            </w:pPr>
            <w:hyperlink r:id="rId408">
              <w:r>
                <w:rPr>
                  <w:rFonts w:ascii="Arial" w:cs="Arial" w:eastAsia="Arial" w:hAnsi="Arial"/>
                  <w:sz w:val="14"/>
                  <w:szCs w:val="14"/>
                  <w:color w:val="0000FF"/>
                </w:rPr>
                <w:t>attached thereto.</w:t>
              </w:r>
            </w:hyperlink>
          </w:p>
        </w:tc>
        <w:tc>
          <w:tcPr>
            <w:tcW w:w="3780" w:type="dxa"/>
            <w:vAlign w:val="bottom"/>
            <w:gridSpan w:val="8"/>
          </w:tcPr>
          <w:p>
            <w:pPr>
              <w:spacing w:after="0"/>
              <w:rPr>
                <w:sz w:val="12"/>
                <w:szCs w:val="12"/>
                <w:color w:val="auto"/>
              </w:rPr>
            </w:pPr>
          </w:p>
        </w:tc>
      </w:tr>
      <w:tr>
        <w:trPr>
          <w:trHeight w:val="196"/>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10.19</w:t>
            </w:r>
          </w:p>
        </w:tc>
        <w:tc>
          <w:tcPr>
            <w:tcW w:w="4620" w:type="dxa"/>
            <w:vAlign w:val="bottom"/>
            <w:tcBorders>
              <w:bottom w:val="single" w:sz="8" w:color="0000FF"/>
            </w:tcBorders>
            <w:gridSpan w:val="7"/>
          </w:tcPr>
          <w:p>
            <w:pPr>
              <w:spacing w:after="0"/>
              <w:rPr>
                <w:rFonts w:ascii="Arial" w:cs="Arial" w:eastAsia="Arial" w:hAnsi="Arial"/>
                <w:sz w:val="14"/>
                <w:szCs w:val="14"/>
                <w:color w:val="0000FF"/>
              </w:rPr>
            </w:pPr>
            <w:hyperlink r:id="rId409">
              <w:r>
                <w:rPr>
                  <w:rFonts w:ascii="Arial" w:cs="Arial" w:eastAsia="Arial" w:hAnsi="Arial"/>
                  <w:sz w:val="14"/>
                  <w:szCs w:val="14"/>
                  <w:color w:val="0000FF"/>
                </w:rPr>
                <w:t>Second Amended and Restated Limited Liability Company Agreement of</w:t>
              </w:r>
            </w:hyperlink>
          </w:p>
        </w:tc>
        <w:tc>
          <w:tcPr>
            <w:tcW w:w="240" w:type="dxa"/>
            <w:vAlign w:val="bottom"/>
            <w:gridSpan w:val="5"/>
          </w:tcPr>
          <w:p>
            <w:pPr>
              <w:spacing w:after="0"/>
              <w:rPr>
                <w:sz w:val="17"/>
                <w:szCs w:val="17"/>
                <w:color w:val="auto"/>
              </w:rPr>
            </w:pPr>
          </w:p>
        </w:tc>
      </w:tr>
      <w:tr>
        <w:trPr>
          <w:trHeight w:val="142"/>
        </w:trPr>
        <w:tc>
          <w:tcPr>
            <w:tcW w:w="900" w:type="dxa"/>
            <w:vAlign w:val="bottom"/>
          </w:tcPr>
          <w:p>
            <w:pPr>
              <w:spacing w:after="0"/>
              <w:rPr>
                <w:sz w:val="12"/>
                <w:szCs w:val="12"/>
                <w:color w:val="auto"/>
              </w:rPr>
            </w:pPr>
          </w:p>
        </w:tc>
        <w:tc>
          <w:tcPr>
            <w:tcW w:w="4740" w:type="dxa"/>
            <w:vAlign w:val="bottom"/>
            <w:tcBorders>
              <w:bottom w:val="single" w:sz="8" w:color="0000FF"/>
            </w:tcBorders>
            <w:gridSpan w:val="9"/>
          </w:tcPr>
          <w:p>
            <w:pPr>
              <w:spacing w:after="0" w:line="142" w:lineRule="exact"/>
              <w:rPr>
                <w:rFonts w:ascii="Arial" w:cs="Arial" w:eastAsia="Arial" w:hAnsi="Arial"/>
                <w:sz w:val="14"/>
                <w:szCs w:val="14"/>
                <w:color w:val="0000FF"/>
              </w:rPr>
            </w:pPr>
            <w:hyperlink r:id="rId409">
              <w:r>
                <w:rPr>
                  <w:rFonts w:ascii="Arial" w:cs="Arial" w:eastAsia="Arial" w:hAnsi="Arial"/>
                  <w:sz w:val="14"/>
                  <w:szCs w:val="14"/>
                  <w:color w:val="0000FF"/>
                </w:rPr>
                <w:t>GoHealth, LLC, dated July 15, 2020, by and among GoHealth, LLC and its</w:t>
              </w:r>
            </w:hyperlink>
          </w:p>
        </w:tc>
        <w:tc>
          <w:tcPr>
            <w:tcW w:w="120" w:type="dxa"/>
            <w:vAlign w:val="bottom"/>
            <w:gridSpan w:val="3"/>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640" w:type="dxa"/>
            <w:vAlign w:val="bottom"/>
            <w:tcBorders>
              <w:bottom w:val="single" w:sz="8" w:color="0000FF"/>
            </w:tcBorders>
            <w:gridSpan w:val="2"/>
          </w:tcPr>
          <w:p>
            <w:pPr>
              <w:spacing w:after="0" w:line="142" w:lineRule="exact"/>
              <w:rPr>
                <w:rFonts w:ascii="Arial" w:cs="Arial" w:eastAsia="Arial" w:hAnsi="Arial"/>
                <w:sz w:val="14"/>
                <w:szCs w:val="14"/>
                <w:color w:val="0000FF"/>
                <w:w w:val="99"/>
              </w:rPr>
            </w:pPr>
            <w:hyperlink r:id="rId409">
              <w:r>
                <w:rPr>
                  <w:rFonts w:ascii="Arial" w:cs="Arial" w:eastAsia="Arial" w:hAnsi="Arial"/>
                  <w:sz w:val="14"/>
                  <w:szCs w:val="14"/>
                  <w:color w:val="0000FF"/>
                  <w:w w:val="99"/>
                </w:rPr>
                <w:t>Members.</w:t>
              </w:r>
            </w:hyperlink>
          </w:p>
        </w:tc>
        <w:tc>
          <w:tcPr>
            <w:tcW w:w="4220" w:type="dxa"/>
            <w:vAlign w:val="bottom"/>
            <w:gridSpan w:val="10"/>
          </w:tcPr>
          <w:p>
            <w:pPr>
              <w:spacing w:after="0"/>
              <w:rPr>
                <w:sz w:val="12"/>
                <w:szCs w:val="12"/>
                <w:color w:val="auto"/>
              </w:rPr>
            </w:pPr>
          </w:p>
        </w:tc>
      </w:tr>
      <w:tr>
        <w:trPr>
          <w:trHeight w:val="196"/>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10.20</w:t>
            </w:r>
          </w:p>
        </w:tc>
        <w:tc>
          <w:tcPr>
            <w:tcW w:w="4860" w:type="dxa"/>
            <w:vAlign w:val="bottom"/>
            <w:tcBorders>
              <w:bottom w:val="single" w:sz="8" w:color="0000FF"/>
            </w:tcBorders>
            <w:gridSpan w:val="12"/>
          </w:tcPr>
          <w:p>
            <w:pPr>
              <w:spacing w:after="0"/>
              <w:rPr>
                <w:rFonts w:ascii="Arial" w:cs="Arial" w:eastAsia="Arial" w:hAnsi="Arial"/>
                <w:sz w:val="14"/>
                <w:szCs w:val="14"/>
                <w:color w:val="0000FF"/>
              </w:rPr>
            </w:pPr>
            <w:hyperlink r:id="rId410">
              <w:r>
                <w:rPr>
                  <w:rFonts w:ascii="Arial" w:cs="Arial" w:eastAsia="Arial" w:hAnsi="Arial"/>
                  <w:sz w:val="14"/>
                  <w:szCs w:val="14"/>
                  <w:color w:val="0000FF"/>
                </w:rPr>
                <w:t>Stockholders Agreement, dated July 15, 2020, by and among GoHealth, Inc.</w:t>
              </w:r>
            </w:hyperlink>
          </w:p>
        </w:tc>
      </w:tr>
      <w:tr>
        <w:trPr>
          <w:trHeight w:val="171"/>
        </w:trPr>
        <w:tc>
          <w:tcPr>
            <w:tcW w:w="900" w:type="dxa"/>
            <w:vAlign w:val="bottom"/>
          </w:tcPr>
          <w:p>
            <w:pPr>
              <w:spacing w:after="0"/>
              <w:rPr>
                <w:sz w:val="14"/>
                <w:szCs w:val="14"/>
                <w:color w:val="auto"/>
              </w:rPr>
            </w:pPr>
          </w:p>
        </w:tc>
        <w:tc>
          <w:tcPr>
            <w:tcW w:w="4860" w:type="dxa"/>
            <w:vAlign w:val="bottom"/>
            <w:gridSpan w:val="12"/>
          </w:tcPr>
          <w:p>
            <w:pPr>
              <w:spacing w:after="0"/>
              <w:rPr>
                <w:rFonts w:ascii="Arial" w:cs="Arial" w:eastAsia="Arial" w:hAnsi="Arial"/>
                <w:sz w:val="14"/>
                <w:szCs w:val="14"/>
                <w:u w:val="single" w:color="auto"/>
                <w:color w:val="0000FF"/>
              </w:rPr>
            </w:pPr>
            <w:hyperlink r:id="rId410">
              <w:r>
                <w:rPr>
                  <w:rFonts w:ascii="Arial" w:cs="Arial" w:eastAsia="Arial" w:hAnsi="Arial"/>
                  <w:sz w:val="14"/>
                  <w:szCs w:val="14"/>
                  <w:u w:val="single" w:color="auto"/>
                  <w:color w:val="0000FF"/>
                </w:rPr>
                <w:t>and the persons and entities listed on the schedules attached thereto.</w:t>
              </w:r>
            </w:hyperlink>
          </w:p>
        </w:tc>
      </w:tr>
      <w:tr>
        <w:trPr>
          <w:trHeight w:val="216"/>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21.1</w:t>
            </w:r>
          </w:p>
        </w:tc>
        <w:tc>
          <w:tcPr>
            <w:tcW w:w="4860" w:type="dxa"/>
            <w:vAlign w:val="bottom"/>
            <w:gridSpan w:val="12"/>
          </w:tcPr>
          <w:p>
            <w:pPr>
              <w:spacing w:after="0"/>
              <w:rPr>
                <w:rFonts w:ascii="Arial" w:cs="Arial" w:eastAsia="Arial" w:hAnsi="Arial"/>
                <w:sz w:val="14"/>
                <w:szCs w:val="14"/>
                <w:u w:val="single" w:color="auto"/>
                <w:color w:val="0000FF"/>
              </w:rPr>
            </w:pPr>
            <w:hyperlink w:anchor="page119">
              <w:r>
                <w:rPr>
                  <w:rFonts w:ascii="Arial" w:cs="Arial" w:eastAsia="Arial" w:hAnsi="Arial"/>
                  <w:sz w:val="14"/>
                  <w:szCs w:val="14"/>
                  <w:u w:val="single" w:color="auto"/>
                  <w:color w:val="0000FF"/>
                </w:rPr>
                <w:t>Subsidiaries of the Registrant</w:t>
              </w:r>
            </w:hyperlink>
          </w:p>
        </w:tc>
      </w:tr>
      <w:tr>
        <w:trPr>
          <w:trHeight w:val="216"/>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23.1</w:t>
            </w:r>
          </w:p>
        </w:tc>
        <w:tc>
          <w:tcPr>
            <w:tcW w:w="4860" w:type="dxa"/>
            <w:vAlign w:val="bottom"/>
            <w:gridSpan w:val="12"/>
          </w:tcPr>
          <w:p>
            <w:pPr>
              <w:spacing w:after="0"/>
              <w:rPr>
                <w:rFonts w:ascii="Arial" w:cs="Arial" w:eastAsia="Arial" w:hAnsi="Arial"/>
                <w:sz w:val="14"/>
                <w:szCs w:val="14"/>
                <w:u w:val="single" w:color="auto"/>
                <w:color w:val="0000FF"/>
              </w:rPr>
            </w:pPr>
            <w:hyperlink w:anchor="page120">
              <w:r>
                <w:rPr>
                  <w:rFonts w:ascii="Arial" w:cs="Arial" w:eastAsia="Arial" w:hAnsi="Arial"/>
                  <w:sz w:val="14"/>
                  <w:szCs w:val="14"/>
                  <w:u w:val="single" w:color="auto"/>
                  <w:color w:val="0000FF"/>
                </w:rPr>
                <w:t>Consent of Independent Registered Public Accounting Firm</w:t>
              </w:r>
            </w:hyperlink>
          </w:p>
        </w:tc>
      </w:tr>
      <w:tr>
        <w:trPr>
          <w:trHeight w:val="188"/>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31.1</w:t>
            </w:r>
          </w:p>
        </w:tc>
        <w:tc>
          <w:tcPr>
            <w:tcW w:w="4860" w:type="dxa"/>
            <w:vAlign w:val="bottom"/>
            <w:gridSpan w:val="12"/>
          </w:tcPr>
          <w:p>
            <w:pPr>
              <w:spacing w:after="0"/>
              <w:rPr>
                <w:rFonts w:ascii="Arial" w:cs="Arial" w:eastAsia="Arial" w:hAnsi="Arial"/>
                <w:sz w:val="14"/>
                <w:szCs w:val="14"/>
                <w:color w:val="0000FF"/>
              </w:rPr>
            </w:pPr>
            <w:hyperlink w:anchor="page121">
              <w:r>
                <w:rPr>
                  <w:rFonts w:ascii="Arial" w:cs="Arial" w:eastAsia="Arial" w:hAnsi="Arial"/>
                  <w:sz w:val="14"/>
                  <w:szCs w:val="14"/>
                  <w:color w:val="0000FF"/>
                </w:rPr>
                <w:t>Certification of Chief Executive Officer pursuant to Exchange Act Rule 13a-</w:t>
              </w:r>
            </w:hyperlink>
          </w:p>
        </w:tc>
      </w:tr>
      <w:tr>
        <w:trPr>
          <w:trHeight w:val="142"/>
        </w:trPr>
        <w:tc>
          <w:tcPr>
            <w:tcW w:w="900" w:type="dxa"/>
            <w:vAlign w:val="bottom"/>
          </w:tcPr>
          <w:p>
            <w:pPr>
              <w:spacing w:after="0"/>
              <w:rPr>
                <w:sz w:val="12"/>
                <w:szCs w:val="12"/>
                <w:color w:val="auto"/>
              </w:rPr>
            </w:pPr>
          </w:p>
        </w:tc>
        <w:tc>
          <w:tcPr>
            <w:tcW w:w="4760" w:type="dxa"/>
            <w:vAlign w:val="bottom"/>
            <w:tcBorders>
              <w:top w:val="single" w:sz="8" w:color="0000FF"/>
            </w:tcBorders>
            <w:gridSpan w:val="10"/>
          </w:tcPr>
          <w:p>
            <w:pPr>
              <w:spacing w:after="0" w:line="142" w:lineRule="exact"/>
              <w:rPr>
                <w:rFonts w:ascii="Arial" w:cs="Arial" w:eastAsia="Arial" w:hAnsi="Arial"/>
                <w:sz w:val="14"/>
                <w:szCs w:val="14"/>
                <w:color w:val="0000FF"/>
              </w:rPr>
            </w:pPr>
            <w:hyperlink w:anchor="page121">
              <w:r>
                <w:rPr>
                  <w:rFonts w:ascii="Arial" w:cs="Arial" w:eastAsia="Arial" w:hAnsi="Arial"/>
                  <w:sz w:val="14"/>
                  <w:szCs w:val="14"/>
                  <w:color w:val="0000FF"/>
                </w:rPr>
                <w:t>14(a).</w:t>
              </w:r>
            </w:hyperlink>
          </w:p>
        </w:tc>
        <w:tc>
          <w:tcPr>
            <w:tcW w:w="100" w:type="dxa"/>
            <w:vAlign w:val="bottom"/>
            <w:gridSpan w:val="2"/>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31.2</w:t>
            </w:r>
          </w:p>
        </w:tc>
        <w:tc>
          <w:tcPr>
            <w:tcW w:w="4720" w:type="dxa"/>
            <w:vAlign w:val="bottom"/>
            <w:tcBorders>
              <w:bottom w:val="single" w:sz="8" w:color="0000FF"/>
            </w:tcBorders>
            <w:gridSpan w:val="8"/>
          </w:tcPr>
          <w:p>
            <w:pPr>
              <w:spacing w:after="0"/>
              <w:rPr>
                <w:rFonts w:ascii="Arial" w:cs="Arial" w:eastAsia="Arial" w:hAnsi="Arial"/>
                <w:sz w:val="14"/>
                <w:szCs w:val="14"/>
                <w:color w:val="0000FF"/>
              </w:rPr>
            </w:pPr>
            <w:hyperlink w:anchor="page122">
              <w:r>
                <w:rPr>
                  <w:rFonts w:ascii="Arial" w:cs="Arial" w:eastAsia="Arial" w:hAnsi="Arial"/>
                  <w:sz w:val="14"/>
                  <w:szCs w:val="14"/>
                  <w:color w:val="0000FF"/>
                </w:rPr>
                <w:t>Certification of Chief Financial Officer pursuant to Exchange Act Rule 13a-</w:t>
              </w:r>
            </w:hyperlink>
          </w:p>
        </w:tc>
        <w:tc>
          <w:tcPr>
            <w:tcW w:w="140" w:type="dxa"/>
            <w:vAlign w:val="bottom"/>
            <w:gridSpan w:val="4"/>
          </w:tcPr>
          <w:p>
            <w:pPr>
              <w:spacing w:after="0"/>
              <w:rPr>
                <w:sz w:val="17"/>
                <w:szCs w:val="17"/>
                <w:color w:val="auto"/>
              </w:rPr>
            </w:pPr>
          </w:p>
        </w:tc>
      </w:tr>
      <w:tr>
        <w:trPr>
          <w:trHeight w:val="142"/>
        </w:trPr>
        <w:tc>
          <w:tcPr>
            <w:tcW w:w="900" w:type="dxa"/>
            <w:vAlign w:val="bottom"/>
          </w:tcPr>
          <w:p>
            <w:pPr>
              <w:spacing w:after="0"/>
              <w:rPr>
                <w:sz w:val="12"/>
                <w:szCs w:val="12"/>
                <w:color w:val="auto"/>
              </w:rPr>
            </w:pPr>
          </w:p>
        </w:tc>
        <w:tc>
          <w:tcPr>
            <w:tcW w:w="4860" w:type="dxa"/>
            <w:vAlign w:val="bottom"/>
            <w:gridSpan w:val="12"/>
          </w:tcPr>
          <w:p>
            <w:pPr>
              <w:spacing w:after="0" w:line="142" w:lineRule="exact"/>
              <w:rPr>
                <w:rFonts w:ascii="Arial" w:cs="Arial" w:eastAsia="Arial" w:hAnsi="Arial"/>
                <w:sz w:val="14"/>
                <w:szCs w:val="14"/>
                <w:color w:val="0000FF"/>
              </w:rPr>
            </w:pPr>
            <w:hyperlink w:anchor="page122">
              <w:r>
                <w:rPr>
                  <w:rFonts w:ascii="Arial" w:cs="Arial" w:eastAsia="Arial" w:hAnsi="Arial"/>
                  <w:sz w:val="14"/>
                  <w:szCs w:val="14"/>
                  <w:color w:val="0000FF"/>
                </w:rPr>
                <w:t>14(a).</w:t>
              </w:r>
            </w:hyperlink>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r>
      <w:tr>
        <w:trPr>
          <w:trHeight w:val="196"/>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32.1</w:t>
            </w:r>
          </w:p>
        </w:tc>
        <w:tc>
          <w:tcPr>
            <w:tcW w:w="4060" w:type="dxa"/>
            <w:vAlign w:val="bottom"/>
            <w:tcBorders>
              <w:bottom w:val="single" w:sz="8" w:color="0000FF"/>
            </w:tcBorders>
            <w:gridSpan w:val="5"/>
          </w:tcPr>
          <w:p>
            <w:pPr>
              <w:spacing w:after="0"/>
              <w:rPr>
                <w:rFonts w:ascii="Arial" w:cs="Arial" w:eastAsia="Arial" w:hAnsi="Arial"/>
                <w:sz w:val="14"/>
                <w:szCs w:val="14"/>
                <w:color w:val="0000FF"/>
              </w:rPr>
            </w:pPr>
            <w:hyperlink w:anchor="page123">
              <w:r>
                <w:rPr>
                  <w:rFonts w:ascii="Arial" w:cs="Arial" w:eastAsia="Arial" w:hAnsi="Arial"/>
                  <w:sz w:val="14"/>
                  <w:szCs w:val="14"/>
                  <w:color w:val="0000FF"/>
                </w:rPr>
                <w:t>Certification of Principal Executive Officer pursuant to 18 U.S.C.</w:t>
              </w:r>
            </w:hyperlink>
          </w:p>
        </w:tc>
        <w:tc>
          <w:tcPr>
            <w:tcW w:w="800" w:type="dxa"/>
            <w:vAlign w:val="bottom"/>
            <w:gridSpan w:val="7"/>
          </w:tcPr>
          <w:p>
            <w:pPr>
              <w:spacing w:after="0"/>
              <w:rPr>
                <w:sz w:val="17"/>
                <w:szCs w:val="17"/>
                <w:color w:val="auto"/>
              </w:rPr>
            </w:pPr>
          </w:p>
        </w:tc>
      </w:tr>
      <w:tr>
        <w:trPr>
          <w:trHeight w:val="142"/>
        </w:trPr>
        <w:tc>
          <w:tcPr>
            <w:tcW w:w="900" w:type="dxa"/>
            <w:vAlign w:val="bottom"/>
          </w:tcPr>
          <w:p>
            <w:pPr>
              <w:spacing w:after="0"/>
              <w:rPr>
                <w:sz w:val="12"/>
                <w:szCs w:val="12"/>
                <w:color w:val="auto"/>
              </w:rPr>
            </w:pPr>
          </w:p>
        </w:tc>
        <w:tc>
          <w:tcPr>
            <w:tcW w:w="880" w:type="dxa"/>
            <w:vAlign w:val="bottom"/>
            <w:tcBorders>
              <w:bottom w:val="single" w:sz="8" w:color="0000FF"/>
            </w:tcBorders>
            <w:gridSpan w:val="3"/>
          </w:tcPr>
          <w:p>
            <w:pPr>
              <w:spacing w:after="0" w:line="142" w:lineRule="exact"/>
              <w:rPr>
                <w:rFonts w:ascii="Arial" w:cs="Arial" w:eastAsia="Arial" w:hAnsi="Arial"/>
                <w:sz w:val="14"/>
                <w:szCs w:val="14"/>
                <w:color w:val="0000FF"/>
              </w:rPr>
            </w:pPr>
            <w:hyperlink w:anchor="page123">
              <w:r>
                <w:rPr>
                  <w:rFonts w:ascii="Arial" w:cs="Arial" w:eastAsia="Arial" w:hAnsi="Arial"/>
                  <w:sz w:val="14"/>
                  <w:szCs w:val="14"/>
                  <w:color w:val="0000FF"/>
                </w:rPr>
                <w:t>Section 1350.</w:t>
              </w:r>
            </w:hyperlink>
          </w:p>
        </w:tc>
        <w:tc>
          <w:tcPr>
            <w:tcW w:w="3980" w:type="dxa"/>
            <w:vAlign w:val="bottom"/>
            <w:gridSpan w:val="9"/>
          </w:tcPr>
          <w:p>
            <w:pPr>
              <w:spacing w:after="0"/>
              <w:rPr>
                <w:sz w:val="12"/>
                <w:szCs w:val="12"/>
                <w:color w:val="auto"/>
              </w:rPr>
            </w:pPr>
          </w:p>
        </w:tc>
      </w:tr>
      <w:tr>
        <w:trPr>
          <w:trHeight w:val="224"/>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32.2</w:t>
            </w:r>
          </w:p>
        </w:tc>
        <w:tc>
          <w:tcPr>
            <w:tcW w:w="4860" w:type="dxa"/>
            <w:vAlign w:val="bottom"/>
            <w:gridSpan w:val="12"/>
          </w:tcPr>
          <w:p>
            <w:pPr>
              <w:spacing w:after="0"/>
              <w:rPr>
                <w:rFonts w:ascii="Arial" w:cs="Arial" w:eastAsia="Arial" w:hAnsi="Arial"/>
                <w:sz w:val="14"/>
                <w:szCs w:val="14"/>
                <w:u w:val="single" w:color="auto"/>
                <w:color w:val="0000FF"/>
              </w:rPr>
            </w:pPr>
            <w:hyperlink w:anchor="page124">
              <w:r>
                <w:rPr>
                  <w:rFonts w:ascii="Arial" w:cs="Arial" w:eastAsia="Arial" w:hAnsi="Arial"/>
                  <w:sz w:val="14"/>
                  <w:szCs w:val="14"/>
                  <w:u w:val="single" w:color="auto"/>
                  <w:color w:val="0000FF"/>
                </w:rPr>
                <w:t>Certification of Chief Financial Officer pursuant to 18 U.S.C. Section 1350.</w:t>
              </w:r>
            </w:hyperlink>
          </w:p>
        </w:tc>
      </w:tr>
      <w:tr>
        <w:trPr>
          <w:trHeight w:val="206"/>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101.INS</w:t>
            </w:r>
          </w:p>
        </w:tc>
        <w:tc>
          <w:tcPr>
            <w:tcW w:w="4860" w:type="dxa"/>
            <w:vAlign w:val="bottom"/>
            <w:gridSpan w:val="12"/>
          </w:tcPr>
          <w:p>
            <w:pPr>
              <w:spacing w:after="0"/>
              <w:rPr>
                <w:sz w:val="20"/>
                <w:szCs w:val="20"/>
                <w:color w:val="auto"/>
              </w:rPr>
            </w:pPr>
            <w:r>
              <w:rPr>
                <w:rFonts w:ascii="Arial" w:cs="Arial" w:eastAsia="Arial" w:hAnsi="Arial"/>
                <w:sz w:val="14"/>
                <w:szCs w:val="14"/>
                <w:color w:val="auto"/>
              </w:rPr>
              <w:t>Inline XBRL Instance Document – the instance document does not appear</w:t>
            </w:r>
          </w:p>
        </w:tc>
      </w:tr>
      <w:tr>
        <w:trPr>
          <w:trHeight w:val="162"/>
        </w:trPr>
        <w:tc>
          <w:tcPr>
            <w:tcW w:w="900" w:type="dxa"/>
            <w:vAlign w:val="bottom"/>
          </w:tcPr>
          <w:p>
            <w:pPr>
              <w:spacing w:after="0"/>
              <w:rPr>
                <w:sz w:val="14"/>
                <w:szCs w:val="14"/>
                <w:color w:val="auto"/>
              </w:rPr>
            </w:pPr>
          </w:p>
        </w:tc>
        <w:tc>
          <w:tcPr>
            <w:tcW w:w="4860" w:type="dxa"/>
            <w:vAlign w:val="bottom"/>
            <w:gridSpan w:val="12"/>
          </w:tcPr>
          <w:p>
            <w:pPr>
              <w:spacing w:after="0"/>
              <w:rPr>
                <w:sz w:val="20"/>
                <w:szCs w:val="20"/>
                <w:color w:val="auto"/>
              </w:rPr>
            </w:pPr>
            <w:r>
              <w:rPr>
                <w:rFonts w:ascii="Arial" w:cs="Arial" w:eastAsia="Arial" w:hAnsi="Arial"/>
                <w:sz w:val="14"/>
                <w:szCs w:val="14"/>
                <w:color w:val="auto"/>
              </w:rPr>
              <w:t>in the Interactive Data File because its XBRL tags are embedded within the</w:t>
            </w:r>
          </w:p>
        </w:tc>
      </w:tr>
      <w:tr>
        <w:trPr>
          <w:trHeight w:val="172"/>
        </w:trPr>
        <w:tc>
          <w:tcPr>
            <w:tcW w:w="900" w:type="dxa"/>
            <w:vAlign w:val="bottom"/>
          </w:tcPr>
          <w:p>
            <w:pPr>
              <w:spacing w:after="0"/>
              <w:rPr>
                <w:sz w:val="14"/>
                <w:szCs w:val="14"/>
                <w:color w:val="auto"/>
              </w:rPr>
            </w:pPr>
          </w:p>
        </w:tc>
        <w:tc>
          <w:tcPr>
            <w:tcW w:w="4860" w:type="dxa"/>
            <w:vAlign w:val="bottom"/>
            <w:gridSpan w:val="12"/>
          </w:tcPr>
          <w:p>
            <w:pPr>
              <w:spacing w:after="0"/>
              <w:rPr>
                <w:sz w:val="20"/>
                <w:szCs w:val="20"/>
                <w:color w:val="auto"/>
              </w:rPr>
            </w:pPr>
            <w:r>
              <w:rPr>
                <w:rFonts w:ascii="Arial" w:cs="Arial" w:eastAsia="Arial" w:hAnsi="Arial"/>
                <w:sz w:val="14"/>
                <w:szCs w:val="14"/>
                <w:color w:val="auto"/>
              </w:rPr>
              <w:t>Inline XBRL document.</w:t>
            </w:r>
          </w:p>
        </w:tc>
      </w:tr>
      <w:tr>
        <w:trPr>
          <w:trHeight w:val="216"/>
        </w:trPr>
        <w:tc>
          <w:tcPr>
            <w:tcW w:w="900" w:type="dxa"/>
            <w:vAlign w:val="bottom"/>
          </w:tcPr>
          <w:p>
            <w:pPr>
              <w:jc w:val="center"/>
              <w:ind w:right="248"/>
              <w:spacing w:after="0"/>
              <w:rPr>
                <w:sz w:val="20"/>
                <w:szCs w:val="20"/>
                <w:color w:val="auto"/>
              </w:rPr>
            </w:pPr>
            <w:r>
              <w:rPr>
                <w:rFonts w:ascii="Arial" w:cs="Arial" w:eastAsia="Arial" w:hAnsi="Arial"/>
                <w:sz w:val="14"/>
                <w:szCs w:val="14"/>
                <w:color w:val="auto"/>
              </w:rPr>
              <w:t>101.SCH</w:t>
            </w:r>
          </w:p>
        </w:tc>
        <w:tc>
          <w:tcPr>
            <w:tcW w:w="4860" w:type="dxa"/>
            <w:vAlign w:val="bottom"/>
            <w:gridSpan w:val="12"/>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216"/>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101.CAL</w:t>
            </w:r>
          </w:p>
        </w:tc>
        <w:tc>
          <w:tcPr>
            <w:tcW w:w="4860" w:type="dxa"/>
            <w:vAlign w:val="bottom"/>
            <w:gridSpan w:val="12"/>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16"/>
        </w:trPr>
        <w:tc>
          <w:tcPr>
            <w:tcW w:w="900" w:type="dxa"/>
            <w:vAlign w:val="bottom"/>
          </w:tcPr>
          <w:p>
            <w:pPr>
              <w:jc w:val="center"/>
              <w:ind w:right="248"/>
              <w:spacing w:after="0"/>
              <w:rPr>
                <w:sz w:val="20"/>
                <w:szCs w:val="20"/>
                <w:color w:val="auto"/>
              </w:rPr>
            </w:pPr>
            <w:r>
              <w:rPr>
                <w:rFonts w:ascii="Arial" w:cs="Arial" w:eastAsia="Arial" w:hAnsi="Arial"/>
                <w:sz w:val="14"/>
                <w:szCs w:val="14"/>
                <w:color w:val="auto"/>
              </w:rPr>
              <w:t>101.DEF</w:t>
            </w:r>
          </w:p>
        </w:tc>
        <w:tc>
          <w:tcPr>
            <w:tcW w:w="4860" w:type="dxa"/>
            <w:vAlign w:val="bottom"/>
            <w:gridSpan w:val="12"/>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16"/>
        </w:trPr>
        <w:tc>
          <w:tcPr>
            <w:tcW w:w="900" w:type="dxa"/>
            <w:vAlign w:val="bottom"/>
          </w:tcPr>
          <w:p>
            <w:pPr>
              <w:jc w:val="center"/>
              <w:ind w:right="248"/>
              <w:spacing w:after="0"/>
              <w:rPr>
                <w:sz w:val="20"/>
                <w:szCs w:val="20"/>
                <w:color w:val="auto"/>
              </w:rPr>
            </w:pPr>
            <w:r>
              <w:rPr>
                <w:rFonts w:ascii="Arial" w:cs="Arial" w:eastAsia="Arial" w:hAnsi="Arial"/>
                <w:sz w:val="14"/>
                <w:szCs w:val="14"/>
                <w:color w:val="auto"/>
              </w:rPr>
              <w:t>101.LAB</w:t>
            </w:r>
          </w:p>
        </w:tc>
        <w:tc>
          <w:tcPr>
            <w:tcW w:w="4860" w:type="dxa"/>
            <w:vAlign w:val="bottom"/>
            <w:gridSpan w:val="12"/>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16"/>
        </w:trPr>
        <w:tc>
          <w:tcPr>
            <w:tcW w:w="900" w:type="dxa"/>
            <w:vAlign w:val="bottom"/>
          </w:tcPr>
          <w:p>
            <w:pPr>
              <w:jc w:val="center"/>
              <w:ind w:right="248"/>
              <w:spacing w:after="0"/>
              <w:rPr>
                <w:sz w:val="20"/>
                <w:szCs w:val="20"/>
                <w:color w:val="auto"/>
              </w:rPr>
            </w:pPr>
            <w:r>
              <w:rPr>
                <w:rFonts w:ascii="Arial" w:cs="Arial" w:eastAsia="Arial" w:hAnsi="Arial"/>
                <w:sz w:val="14"/>
                <w:szCs w:val="14"/>
                <w:color w:val="auto"/>
              </w:rPr>
              <w:t>101.PRE</w:t>
            </w:r>
          </w:p>
        </w:tc>
        <w:tc>
          <w:tcPr>
            <w:tcW w:w="4860" w:type="dxa"/>
            <w:vAlign w:val="bottom"/>
            <w:gridSpan w:val="12"/>
          </w:tcPr>
          <w:p>
            <w:pPr>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44" w:lineRule="exact"/>
        <w:rPr>
          <w:sz w:val="20"/>
          <w:szCs w:val="20"/>
          <w:color w:val="auto"/>
        </w:rPr>
      </w:pPr>
    </w:p>
    <w:p>
      <w:pPr>
        <w:ind w:left="1100" w:hanging="733"/>
        <w:spacing w:after="0" w:line="258" w:lineRule="auto"/>
        <w:tabs>
          <w:tab w:leader="none" w:pos="1100" w:val="left"/>
        </w:tabs>
        <w:numPr>
          <w:ilvl w:val="1"/>
          <w:numId w:val="59"/>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9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Filed herewith.</w:t>
      </w:r>
    </w:p>
    <w:p>
      <w:pPr>
        <w:spacing w:after="0" w:line="1" w:lineRule="exact"/>
        <w:rPr>
          <w:rFonts w:ascii="Arial" w:cs="Arial" w:eastAsia="Arial" w:hAnsi="Arial"/>
          <w:sz w:val="14"/>
          <w:szCs w:val="14"/>
          <w:color w:val="auto"/>
        </w:rPr>
      </w:pPr>
    </w:p>
    <w:p>
      <w:pPr>
        <w:ind w:left="280" w:hanging="272"/>
        <w:spacing w:after="0"/>
        <w:tabs>
          <w:tab w:leader="none" w:pos="2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ind w:left="240" w:hanging="232"/>
        <w:spacing w:after="0"/>
        <w:tabs>
          <w:tab w:leader="none" w:pos="2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580" w:type="dxa"/>
            <w:vAlign w:val="bottom"/>
          </w:tcPr>
          <w:p>
            <w:pPr>
              <w:jc w:val="center"/>
              <w:ind w:right="14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860" w:type="dxa"/>
            <w:vAlign w:val="bottom"/>
          </w:tcPr>
          <w:p>
            <w:pPr>
              <w:jc w:val="center"/>
              <w:spacing w:after="0"/>
              <w:rPr>
                <w:sz w:val="20"/>
                <w:szCs w:val="20"/>
                <w:color w:val="auto"/>
              </w:rPr>
            </w:pPr>
            <w:r>
              <w:rPr>
                <w:rFonts w:ascii="Arial" w:cs="Arial" w:eastAsia="Arial" w:hAnsi="Arial"/>
                <w:sz w:val="14"/>
                <w:szCs w:val="14"/>
                <w:color w:val="auto"/>
              </w:rPr>
              <w:t>10.16</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7/8/2020</w:t>
            </w:r>
          </w:p>
        </w:tc>
      </w:tr>
      <w:tr>
        <w:trPr>
          <w:trHeight w:val="216"/>
        </w:trPr>
        <w:tc>
          <w:tcPr>
            <w:tcW w:w="580" w:type="dxa"/>
            <w:vAlign w:val="bottom"/>
          </w:tcPr>
          <w:p>
            <w:pPr>
              <w:jc w:val="center"/>
              <w:ind w:right="14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860" w:type="dxa"/>
            <w:vAlign w:val="bottom"/>
          </w:tcPr>
          <w:p>
            <w:pPr>
              <w:jc w:val="center"/>
              <w:spacing w:after="0"/>
              <w:rPr>
                <w:sz w:val="20"/>
                <w:szCs w:val="20"/>
                <w:color w:val="auto"/>
              </w:rPr>
            </w:pPr>
            <w:r>
              <w:rPr>
                <w:rFonts w:ascii="Arial" w:cs="Arial" w:eastAsia="Arial" w:hAnsi="Arial"/>
                <w:sz w:val="14"/>
                <w:szCs w:val="14"/>
                <w:color w:val="auto"/>
              </w:rPr>
              <w:t>10.17</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7/8/2020</w:t>
            </w:r>
          </w:p>
        </w:tc>
      </w:tr>
      <w:tr>
        <w:trPr>
          <w:trHeight w:val="216"/>
        </w:trPr>
        <w:tc>
          <w:tcPr>
            <w:tcW w:w="580" w:type="dxa"/>
            <w:vAlign w:val="bottom"/>
          </w:tcPr>
          <w:p>
            <w:pPr>
              <w:jc w:val="center"/>
              <w:ind w:right="14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860" w:type="dxa"/>
            <w:vAlign w:val="bottom"/>
          </w:tcPr>
          <w:p>
            <w:pPr>
              <w:jc w:val="center"/>
              <w:spacing w:after="0"/>
              <w:rPr>
                <w:sz w:val="20"/>
                <w:szCs w:val="20"/>
                <w:color w:val="auto"/>
              </w:rPr>
            </w:pPr>
            <w:r>
              <w:rPr>
                <w:rFonts w:ascii="Arial" w:cs="Arial" w:eastAsia="Arial" w:hAnsi="Arial"/>
                <w:sz w:val="14"/>
                <w:szCs w:val="14"/>
                <w:color w:val="auto"/>
              </w:rPr>
              <w:t>10.18</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7/8/2020</w:t>
            </w:r>
          </w:p>
        </w:tc>
      </w:tr>
      <w:tr>
        <w:trPr>
          <w:trHeight w:val="216"/>
        </w:trPr>
        <w:tc>
          <w:tcPr>
            <w:tcW w:w="580" w:type="dxa"/>
            <w:vAlign w:val="bottom"/>
          </w:tcPr>
          <w:p>
            <w:pPr>
              <w:jc w:val="center"/>
              <w:ind w:right="14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860" w:type="dxa"/>
            <w:vAlign w:val="bottom"/>
          </w:tcPr>
          <w:p>
            <w:pPr>
              <w:jc w:val="center"/>
              <w:spacing w:after="0"/>
              <w:rPr>
                <w:sz w:val="20"/>
                <w:szCs w:val="20"/>
                <w:color w:val="auto"/>
              </w:rPr>
            </w:pPr>
            <w:r>
              <w:rPr>
                <w:rFonts w:ascii="Arial" w:cs="Arial" w:eastAsia="Arial" w:hAnsi="Arial"/>
                <w:sz w:val="14"/>
                <w:szCs w:val="14"/>
                <w:color w:val="auto"/>
              </w:rPr>
              <w:t>10.19</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7/8/2020</w:t>
            </w:r>
          </w:p>
        </w:tc>
      </w:tr>
      <w:tr>
        <w:trPr>
          <w:trHeight w:val="297"/>
        </w:trPr>
        <w:tc>
          <w:tcPr>
            <w:tcW w:w="580" w:type="dxa"/>
            <w:vAlign w:val="bottom"/>
          </w:tcPr>
          <w:p>
            <w:pPr>
              <w:jc w:val="center"/>
              <w:ind w:right="14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860" w:type="dxa"/>
            <w:vAlign w:val="bottom"/>
          </w:tcPr>
          <w:p>
            <w:pPr>
              <w:jc w:val="center"/>
              <w:spacing w:after="0"/>
              <w:rPr>
                <w:sz w:val="20"/>
                <w:szCs w:val="20"/>
                <w:color w:val="auto"/>
              </w:rPr>
            </w:pPr>
            <w:r>
              <w:rPr>
                <w:rFonts w:ascii="Arial" w:cs="Arial" w:eastAsia="Arial" w:hAnsi="Arial"/>
                <w:sz w:val="14"/>
                <w:szCs w:val="14"/>
                <w:color w:val="auto"/>
              </w:rPr>
              <w:t>10.20</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7/8/2020</w:t>
            </w:r>
          </w:p>
        </w:tc>
      </w:tr>
      <w:tr>
        <w:trPr>
          <w:trHeight w:val="540"/>
        </w:trPr>
        <w:tc>
          <w:tcPr>
            <w:tcW w:w="580" w:type="dxa"/>
            <w:vAlign w:val="bottom"/>
          </w:tcPr>
          <w:p>
            <w:pPr>
              <w:jc w:val="center"/>
              <w:ind w:right="168"/>
              <w:spacing w:after="0"/>
              <w:rPr>
                <w:sz w:val="20"/>
                <w:szCs w:val="20"/>
                <w:color w:val="auto"/>
              </w:rPr>
            </w:pPr>
            <w:r>
              <w:rPr>
                <w:rFonts w:ascii="Arial" w:cs="Arial" w:eastAsia="Arial" w:hAnsi="Arial"/>
                <w:sz w:val="14"/>
                <w:szCs w:val="14"/>
                <w:color w:val="auto"/>
              </w:rPr>
              <w:t>8-K</w:t>
            </w:r>
          </w:p>
        </w:tc>
        <w:tc>
          <w:tcPr>
            <w:tcW w:w="126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860" w:type="dxa"/>
            <w:vAlign w:val="bottom"/>
          </w:tcPr>
          <w:p>
            <w:pPr>
              <w:jc w:val="center"/>
              <w:spacing w:after="0"/>
              <w:rPr>
                <w:sz w:val="20"/>
                <w:szCs w:val="20"/>
                <w:color w:val="auto"/>
              </w:rPr>
            </w:pPr>
            <w:r>
              <w:rPr>
                <w:rFonts w:ascii="Arial" w:cs="Arial" w:eastAsia="Arial" w:hAnsi="Arial"/>
                <w:sz w:val="14"/>
                <w:szCs w:val="14"/>
                <w:color w:val="auto"/>
              </w:rPr>
              <w:t>10.1</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7/17/2020</w:t>
            </w:r>
          </w:p>
        </w:tc>
      </w:tr>
      <w:tr>
        <w:trPr>
          <w:trHeight w:val="621"/>
        </w:trPr>
        <w:tc>
          <w:tcPr>
            <w:tcW w:w="580" w:type="dxa"/>
            <w:vAlign w:val="bottom"/>
          </w:tcPr>
          <w:p>
            <w:pPr>
              <w:jc w:val="center"/>
              <w:ind w:right="168"/>
              <w:spacing w:after="0"/>
              <w:rPr>
                <w:sz w:val="20"/>
                <w:szCs w:val="20"/>
                <w:color w:val="auto"/>
              </w:rPr>
            </w:pPr>
            <w:r>
              <w:rPr>
                <w:rFonts w:ascii="Arial" w:cs="Arial" w:eastAsia="Arial" w:hAnsi="Arial"/>
                <w:sz w:val="14"/>
                <w:szCs w:val="14"/>
                <w:color w:val="auto"/>
              </w:rPr>
              <w:t>8-K</w:t>
            </w:r>
          </w:p>
        </w:tc>
        <w:tc>
          <w:tcPr>
            <w:tcW w:w="126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860" w:type="dxa"/>
            <w:vAlign w:val="bottom"/>
          </w:tcPr>
          <w:p>
            <w:pPr>
              <w:jc w:val="center"/>
              <w:spacing w:after="0"/>
              <w:rPr>
                <w:sz w:val="20"/>
                <w:szCs w:val="20"/>
                <w:color w:val="auto"/>
              </w:rPr>
            </w:pPr>
            <w:r>
              <w:rPr>
                <w:rFonts w:ascii="Arial" w:cs="Arial" w:eastAsia="Arial" w:hAnsi="Arial"/>
                <w:sz w:val="14"/>
                <w:szCs w:val="14"/>
                <w:color w:val="auto"/>
              </w:rPr>
              <w:t>10.2</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7/17/2020</w:t>
            </w:r>
          </w:p>
        </w:tc>
      </w:tr>
      <w:tr>
        <w:trPr>
          <w:trHeight w:val="540"/>
        </w:trPr>
        <w:tc>
          <w:tcPr>
            <w:tcW w:w="580" w:type="dxa"/>
            <w:vAlign w:val="bottom"/>
          </w:tcPr>
          <w:p>
            <w:pPr>
              <w:jc w:val="center"/>
              <w:ind w:right="168"/>
              <w:spacing w:after="0"/>
              <w:rPr>
                <w:sz w:val="20"/>
                <w:szCs w:val="20"/>
                <w:color w:val="auto"/>
              </w:rPr>
            </w:pPr>
            <w:r>
              <w:rPr>
                <w:rFonts w:ascii="Arial" w:cs="Arial" w:eastAsia="Arial" w:hAnsi="Arial"/>
                <w:sz w:val="14"/>
                <w:szCs w:val="14"/>
                <w:color w:val="auto"/>
              </w:rPr>
              <w:t>8-K</w:t>
            </w:r>
          </w:p>
        </w:tc>
        <w:tc>
          <w:tcPr>
            <w:tcW w:w="126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860" w:type="dxa"/>
            <w:vAlign w:val="bottom"/>
          </w:tcPr>
          <w:p>
            <w:pPr>
              <w:jc w:val="center"/>
              <w:spacing w:after="0"/>
              <w:rPr>
                <w:sz w:val="20"/>
                <w:szCs w:val="20"/>
                <w:color w:val="auto"/>
              </w:rPr>
            </w:pPr>
            <w:r>
              <w:rPr>
                <w:rFonts w:ascii="Arial" w:cs="Arial" w:eastAsia="Arial" w:hAnsi="Arial"/>
                <w:sz w:val="14"/>
                <w:szCs w:val="14"/>
                <w:color w:val="auto"/>
              </w:rPr>
              <w:t>10.3</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7/17/2020</w:t>
            </w:r>
          </w:p>
        </w:tc>
      </w:tr>
      <w:tr>
        <w:trPr>
          <w:trHeight w:val="459"/>
        </w:trPr>
        <w:tc>
          <w:tcPr>
            <w:tcW w:w="580" w:type="dxa"/>
            <w:vAlign w:val="bottom"/>
          </w:tcPr>
          <w:p>
            <w:pPr>
              <w:jc w:val="center"/>
              <w:ind w:right="168"/>
              <w:spacing w:after="0"/>
              <w:rPr>
                <w:sz w:val="20"/>
                <w:szCs w:val="20"/>
                <w:color w:val="auto"/>
              </w:rPr>
            </w:pPr>
            <w:r>
              <w:rPr>
                <w:rFonts w:ascii="Arial" w:cs="Arial" w:eastAsia="Arial" w:hAnsi="Arial"/>
                <w:sz w:val="14"/>
                <w:szCs w:val="14"/>
                <w:color w:val="auto"/>
              </w:rPr>
              <w:t>8-K</w:t>
            </w:r>
          </w:p>
        </w:tc>
        <w:tc>
          <w:tcPr>
            <w:tcW w:w="126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860" w:type="dxa"/>
            <w:vAlign w:val="bottom"/>
          </w:tcPr>
          <w:p>
            <w:pPr>
              <w:jc w:val="center"/>
              <w:spacing w:after="0"/>
              <w:rPr>
                <w:sz w:val="20"/>
                <w:szCs w:val="20"/>
                <w:color w:val="auto"/>
              </w:rPr>
            </w:pPr>
            <w:r>
              <w:rPr>
                <w:rFonts w:ascii="Arial" w:cs="Arial" w:eastAsia="Arial" w:hAnsi="Arial"/>
                <w:sz w:val="14"/>
                <w:szCs w:val="14"/>
                <w:color w:val="auto"/>
              </w:rPr>
              <w:t>10.4</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7/17/2020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882" w:lineRule="exact"/>
        <w:rPr>
          <w:sz w:val="20"/>
          <w:szCs w:val="20"/>
          <w:color w:val="auto"/>
        </w:rPr>
      </w:pPr>
    </w:p>
    <w:p>
      <w:pPr>
        <w:sectPr>
          <w:pgSz w:w="11900" w:h="16838" w:orient="portrait"/>
          <w:cols w:equalWidth="0" w:num="3">
            <w:col w:w="5960" w:space="280"/>
            <w:col w:w="3680" w:space="720"/>
            <w:col w:w="100"/>
          </w:cols>
          <w:pgMar w:left="320" w:top="1400" w:right="839" w:bottom="1440" w:gutter="0" w:footer="0" w:header="0"/>
        </w:sectPr>
      </w:pPr>
    </w:p>
    <w:p>
      <w:pPr>
        <w:spacing w:after="0"/>
        <w:rPr>
          <w:sz w:val="20"/>
          <w:szCs w:val="20"/>
          <w:color w:val="auto"/>
        </w:rPr>
      </w:pPr>
      <w:r>
        <w:rPr>
          <w:rFonts w:ascii="Arial" w:cs="Arial" w:eastAsia="Arial" w:hAnsi="Arial"/>
          <w:sz w:val="16"/>
          <w:szCs w:val="16"/>
          <w:b w:val="1"/>
          <w:bCs w:val="1"/>
          <w:color w:val="0A2299"/>
        </w:rPr>
        <w:t>ITEM 16. FORM 10-K SUMMARY</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134620</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-113030</wp:posOffset>
            </wp:positionV>
            <wp:extent cx="8890" cy="1200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2">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-113030</wp:posOffset>
            </wp:positionV>
            <wp:extent cx="8255" cy="1200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3">
                      <a:extLst>
                        <a:ext uri="{28A0092B-C50C-407E-A947-70E740481C1C}"/>
                      </a:extLst>
                    </a:blip>
                    <a:srcRect/>
                    <a:stretch>
                      <a:fillRect/>
                    </a:stretch>
                  </pic:blipFill>
                  <pic:spPr bwMode="auto">
                    <a:xfrm>
                      <a:off x="0" y="0"/>
                      <a:ext cx="8255" cy="120015"/>
                    </a:xfrm>
                    <a:prstGeom prst="rect">
                      <a:avLst/>
                    </a:prstGeom>
                    <a:noFill/>
                  </pic:spPr>
                </pic:pic>
              </a:graphicData>
            </a:graphic>
          </wp:anchor>
        </w:drawing>
      </w:r>
    </w:p>
    <w:p>
      <w:pPr>
        <w:sectPr>
          <w:pgSz w:w="11900" w:h="16838" w:orient="portrait"/>
          <w:cols w:equalWidth="0" w:num="3">
            <w:col w:w="4580" w:space="540"/>
            <w:col w:w="1040" w:space="360"/>
            <w:col w:w="4220"/>
          </w:cols>
          <w:pgMar w:left="320" w:top="1400" w:right="8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6"/>
          <w:szCs w:val="16"/>
          <w:b w:val="1"/>
          <w:bCs w:val="1"/>
          <w:color w:val="0A2299"/>
        </w:rPr>
        <w:t>SIGNATURES</w:t>
      </w:r>
    </w:p>
    <w:p>
      <w:pPr>
        <w:spacing w:after="0" w:line="241"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167"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March 16, 2021</w:t>
      </w:r>
      <w:r>
        <w:rPr>
          <w:sz w:val="20"/>
          <w:szCs w:val="20"/>
          <w:color w:val="auto"/>
        </w:rPr>
        <w:tab/>
      </w:r>
      <w:r>
        <w:rPr>
          <w:rFonts w:ascii="Arial" w:cs="Arial" w:eastAsia="Arial" w:hAnsi="Arial"/>
          <w:sz w:val="15"/>
          <w:szCs w:val="15"/>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Clinton P. Jones</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Executive Officer)</w:t>
      </w:r>
    </w:p>
    <w:p>
      <w:pPr>
        <w:spacing w:after="0" w:line="167"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March 16, 2021</w:t>
      </w:r>
      <w:r>
        <w:rPr>
          <w:sz w:val="20"/>
          <w:szCs w:val="20"/>
          <w:color w:val="auto"/>
        </w:rPr>
        <w:tab/>
      </w:r>
      <w:r>
        <w:rPr>
          <w:rFonts w:ascii="Arial" w:cs="Arial" w:eastAsia="Arial" w:hAnsi="Arial"/>
          <w:sz w:val="15"/>
          <w:szCs w:val="15"/>
          <w:color w:val="auto"/>
        </w:rPr>
        <w:t>By: /s/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5">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Travis J. Matthiesen</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34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indicated on March 16, 2021.</w:t>
      </w:r>
    </w:p>
    <w:p>
      <w:pPr>
        <w:sectPr>
          <w:pgSz w:w="11900" w:h="16838" w:orient="portrait"/>
          <w:cols w:equalWidth="0" w:num="1">
            <w:col w:w="11180"/>
          </w:cols>
          <w:pgMar w:left="320" w:top="1323" w:right="399" w:bottom="1440" w:gutter="0" w:footer="0" w:header="0"/>
        </w:sect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4632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6">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Clinton P. Jones</w:t>
      </w:r>
    </w:p>
    <w:p>
      <w:pPr>
        <w:spacing w:after="0" w:line="5" w:lineRule="exact"/>
        <w:rPr>
          <w:sz w:val="20"/>
          <w:szCs w:val="20"/>
          <w:color w:val="auto"/>
        </w:rPr>
      </w:pPr>
    </w:p>
    <w:p>
      <w:pPr>
        <w:ind w:left="20" w:right="560"/>
        <w:spacing w:after="0" w:line="260" w:lineRule="auto"/>
        <w:rPr>
          <w:sz w:val="20"/>
          <w:szCs w:val="20"/>
          <w:color w:val="auto"/>
        </w:rPr>
      </w:pPr>
      <w:r>
        <w:rPr>
          <w:rFonts w:ascii="Arial" w:cs="Arial" w:eastAsia="Arial" w:hAnsi="Arial"/>
          <w:sz w:val="16"/>
          <w:szCs w:val="16"/>
          <w:color w:val="auto"/>
        </w:rPr>
        <w:t xml:space="preserve">Chief Executive Officer and Co-Chair of the Board of Directors </w:t>
      </w:r>
      <w:r>
        <w:rPr>
          <w:rFonts w:ascii="Arial" w:cs="Arial" w:eastAsia="Arial" w:hAnsi="Arial"/>
          <w:sz w:val="16"/>
          <w:szCs w:val="16"/>
          <w:i w:val="1"/>
          <w:iCs w:val="1"/>
          <w:color w:val="auto"/>
        </w:rPr>
        <w:t>(Principal Executive Officer)</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Brandon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4632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7">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Brandon M. Cruz</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Co-Chair of the Board of Directors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Joseph G. Flanagan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4632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8">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Joseph G. Flanagan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Director</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Jeremy W. Gelber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4632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Jeremy W. Gelber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Director</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Miriam A. Tawil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4632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0">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Miriam A. Tawil</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387985</wp:posOffset>
            </wp:positionV>
            <wp:extent cx="8890" cy="1200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1">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19050</wp:posOffset>
            </wp:positionV>
            <wp:extent cx="34804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2">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Travis J. Matthiesen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 Rahm Emanuel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19050</wp:posOffset>
            </wp:positionV>
            <wp:extent cx="348043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3">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Rahm Emanuel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 Helene D. Gayle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19050</wp:posOffset>
            </wp:positionV>
            <wp:extent cx="34804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Helene Gayle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 Anita V. Pramoda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19050</wp:posOffset>
            </wp:positionV>
            <wp:extent cx="34804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5">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Anita Pramoda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 Alexander E.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19050</wp:posOffset>
            </wp:positionV>
            <wp:extent cx="348043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6">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Alexander E. Timm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387985</wp:posOffset>
            </wp:positionV>
            <wp:extent cx="8255" cy="1200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7">
                      <a:extLst>
                        <a:ext uri="{28A0092B-C50C-407E-A947-70E740481C1C}"/>
                      </a:extLst>
                    </a:blip>
                    <a:srcRect/>
                    <a:stretch>
                      <a:fillRect/>
                    </a:stretch>
                  </pic:blipFill>
                  <pic:spPr bwMode="auto">
                    <a:xfrm>
                      <a:off x="0" y="0"/>
                      <a:ext cx="8255"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720"/>
            <w:col w:w="5420"/>
          </w:cols>
          <w:pgMar w:left="320" w:top="1323" w:right="39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GoHealth,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2020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110</w:t>
      </w:r>
    </w:p>
    <w:p>
      <w:pPr>
        <w:sectPr>
          <w:pgSz w:w="11900" w:h="16838" w:orient="portrait"/>
          <w:cols w:equalWidth="0" w:num="3">
            <w:col w:w="4580" w:space="540"/>
            <w:col w:w="1040" w:space="360"/>
            <w:col w:w="4660"/>
          </w:cols>
          <w:pgMar w:left="320" w:top="1323" w:right="399" w:bottom="1440" w:gutter="0" w:footer="0" w:header="0"/>
          <w:type w:val="continuous"/>
        </w:sectPr>
      </w:pPr>
    </w:p>
    <w:bookmarkStart w:id="113" w:name="page114"/>
    <w:bookmarkEnd w:id="113"/>
    <w:p>
      <w:pPr>
        <w:jc w:val="right"/>
        <w:spacing w:after="0"/>
        <w:rPr>
          <w:sz w:val="20"/>
          <w:szCs w:val="20"/>
          <w:color w:val="auto"/>
        </w:rPr>
      </w:pPr>
      <w:r>
        <w:rPr>
          <w:rFonts w:ascii="Arial" w:cs="Arial" w:eastAsia="Arial" w:hAnsi="Arial"/>
          <w:sz w:val="16"/>
          <w:szCs w:val="16"/>
          <w:b w:val="1"/>
          <w:bCs w:val="1"/>
          <w:color w:val="auto"/>
        </w:rPr>
        <w:t>Exhibit 4.2</w:t>
      </w:r>
    </w:p>
    <w:p>
      <w:pPr>
        <w:spacing w:after="0" w:line="221" w:lineRule="exact"/>
        <w:rPr>
          <w:sz w:val="20"/>
          <w:szCs w:val="20"/>
          <w:color w:val="auto"/>
        </w:rPr>
      </w:pPr>
    </w:p>
    <w:p>
      <w:pPr>
        <w:jc w:val="center"/>
        <w:ind w:left="340" w:right="2780"/>
        <w:spacing w:after="0" w:line="336" w:lineRule="auto"/>
        <w:rPr>
          <w:sz w:val="20"/>
          <w:szCs w:val="20"/>
          <w:color w:val="auto"/>
        </w:rPr>
      </w:pPr>
      <w:r>
        <w:rPr>
          <w:rFonts w:ascii="Arial" w:cs="Arial" w:eastAsia="Arial" w:hAnsi="Arial"/>
          <w:sz w:val="16"/>
          <w:szCs w:val="16"/>
          <w:b w:val="1"/>
          <w:bCs w:val="1"/>
          <w:color w:val="auto"/>
        </w:rPr>
        <w:t>Description of the Registrant’s Securities Registered Pursuant to Section 12 of the Securities Exchange Act of 1934 DESCRIPTION OF CAPITAL STOCK</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certificate of incorporation authorizes capital stock consisting of:</w:t>
      </w:r>
    </w:p>
    <w:p>
      <w:pPr>
        <w:spacing w:after="0" w:line="217"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22"/>
          <w:szCs w:val="22"/>
          <w:color w:val="auto"/>
        </w:rPr>
      </w:pPr>
      <w:r>
        <w:rPr>
          <w:rFonts w:ascii="Arial" w:cs="Arial" w:eastAsia="Arial" w:hAnsi="Arial"/>
          <w:sz w:val="16"/>
          <w:szCs w:val="16"/>
          <w:color w:val="auto"/>
        </w:rPr>
        <w:t>1,100,000,000 shares of Class A common stock, par value $0.0001 per share;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62"/>
        </w:numPr>
        <w:rPr>
          <w:rFonts w:ascii="Arial" w:cs="Arial" w:eastAsia="Arial" w:hAnsi="Arial"/>
          <w:sz w:val="22"/>
          <w:szCs w:val="22"/>
          <w:color w:val="auto"/>
        </w:rPr>
      </w:pPr>
      <w:r>
        <w:rPr>
          <w:rFonts w:ascii="Arial" w:cs="Arial" w:eastAsia="Arial" w:hAnsi="Arial"/>
          <w:sz w:val="16"/>
          <w:szCs w:val="16"/>
          <w:color w:val="auto"/>
        </w:rPr>
        <w:t>690,000,000 shares of Class B common stock, par value $0.0001 per share;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62"/>
        </w:numPr>
        <w:rPr>
          <w:rFonts w:ascii="Arial" w:cs="Arial" w:eastAsia="Arial" w:hAnsi="Arial"/>
          <w:sz w:val="22"/>
          <w:szCs w:val="22"/>
          <w:color w:val="auto"/>
        </w:rPr>
      </w:pPr>
      <w:r>
        <w:rPr>
          <w:rFonts w:ascii="Arial" w:cs="Arial" w:eastAsia="Arial" w:hAnsi="Arial"/>
          <w:sz w:val="16"/>
          <w:szCs w:val="16"/>
          <w:color w:val="auto"/>
        </w:rPr>
        <w:t>20,000,000 shares of preferred stock, par value $0.0001 per share.</w:t>
      </w:r>
    </w:p>
    <w:p>
      <w:pPr>
        <w:spacing w:after="0" w:line="22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following summary describes the material provisions of our capital stock. We urge you to read the below in conjunction with our amended and restated certificate of incorporation and our amended and restated.</w:t>
      </w:r>
    </w:p>
    <w:p>
      <w:pPr>
        <w:spacing w:after="0" w:line="19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Class A Common Stock</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Holders of shares of our Class A common stock are entitled to one vote for each share held of record on all matters submitted to a vote of stockholders.</w:t>
      </w:r>
    </w:p>
    <w:p>
      <w:pPr>
        <w:spacing w:after="0" w:line="22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20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Upon our dissolution or liquidation, after payment in full of all amounts required to be paid to creditors and to the holders of preferred stock having liquidation preferences, if any, the holders of shares of our Class A common stock and Class B common stock are entitled to receive ratable portions of our remaining assets available for distribution; provided, that the holders of shares of Class B common stock shall not be entitled to receive more than $0.0001 per share of Class B common stock and upon receiving such amount, shall not be entitled to receive any of our other assets or funds with respect to such shares of Class B common stock.</w:t>
      </w:r>
    </w:p>
    <w:p>
      <w:pPr>
        <w:spacing w:after="0" w:line="20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Holders of shares of our Class A common stock do not have preemptive, subscription, redemption, or conversion rights with respect to such share of Class A common stock. There are no redemption or sinking fund provisions applicable to the Class A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Class B Common Stock</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Each share of our Class B common stock entitles its holders to one vote per share on all matters presented to our stockholders generally.</w:t>
      </w:r>
    </w:p>
    <w:p>
      <w:pPr>
        <w:spacing w:after="0" w:line="22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Shares of Class B common stock are issued only to the extent necessary to maintain a one-to-one ratio between the number of LLC Interests held by the Continuing Equity Owners and the number of shares of Class B common stock issued to the Continuing Equity Owners. Shares of Class B common stock are transferable only together with an equal number of LLC Interests. Only permitted transferees of LLC Interests held by the Continuing Equity Owners are permitted transferees of Class B common stock.</w:t>
      </w:r>
    </w:p>
    <w:p>
      <w:pPr>
        <w:spacing w:after="0" w:line="202"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Holders of shares of our Class B common stock vote together with holders of our Class A common stock as a single class on all matters presented to our stockholders for their vote or approval, except for certain amendments to our amended and restated certificate of incorporation described below or as otherwise required by applicable law or the amended and restated certificate of incorporation.</w:t>
      </w:r>
    </w:p>
    <w:p>
      <w:pPr>
        <w:sectPr>
          <w:pgSz w:w="11900" w:h="16838" w:orient="portrait"/>
          <w:cols w:equalWidth="0" w:num="1">
            <w:col w:w="11240"/>
          </w:cols>
          <w:pgMar w:left="320" w:top="1107" w:right="339" w:bottom="1440" w:gutter="0" w:footer="0" w:header="0"/>
        </w:sectPr>
      </w:pPr>
    </w:p>
    <w:bookmarkStart w:id="114" w:name="page115"/>
    <w:bookmarkEnd w:id="114"/>
    <w:p>
      <w:pPr>
        <w:spacing w:after="0" w:line="248" w:lineRule="auto"/>
        <w:rPr>
          <w:sz w:val="20"/>
          <w:szCs w:val="20"/>
          <w:color w:val="auto"/>
        </w:rPr>
      </w:pPr>
      <w:r>
        <w:rPr>
          <w:rFonts w:ascii="Arial" w:cs="Arial" w:eastAsia="Arial" w:hAnsi="Arial"/>
          <w:sz w:val="16"/>
          <w:szCs w:val="16"/>
          <w:color w:val="auto"/>
        </w:rPr>
        <w:t>Holders of our Class B common stock do not have any right to receive dividends or to receive a distribution upon dissolution or liquidation other than the right to receive $0.0001 per share of Class B common stock. Additionally, holders of shares of our Class B common stock do not have preemptive, subscription, redemption, or conversion rights with respect to such shares of Class B common stock. There are no redemption or sinking fund provisions applicable to the Class B common stock. Any amendment of our amended and restated certificate of incorporation that gives holders of our Class B common stock (1) any rights to receive dividends or any other kind of distribution other than in connection with a dissolution or liquidation, (2) any right to convert into or be exchanged for Class A common stock or (3) any other economic rights will require, in addition to stockholder approval, the affirmative vote of holders of our Class A common stock voting separately as a class.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total of our authorized shares of preferred stock is 20,000,000 shares.</w:t>
      </w:r>
    </w:p>
    <w:p>
      <w:pPr>
        <w:spacing w:after="0" w:line="22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201"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Forum Selection</w:t>
      </w:r>
    </w:p>
    <w:p>
      <w:pPr>
        <w:spacing w:after="0" w:line="241"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Our amended and restated certificate of incorporation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of 1933, as amended. Notwithstanding the foregoing, the exclusive forum provision shall not apply to claims seeking to enforce any liability or duty created by the Securities and Exchange Act of 1934, as amended. Our amended and restated certificate of incorporation provides that, to the fullest extent permitted by law, any person or entity purchasing or otherwise acquiring or holding any interest in shares of our capital stock shall be deemed to have notice of and consented to the foregoing. By agreeing to this provision, however, stockholders are not deemed to have waived our compliance with the federal securities laws and the rules and regulations thereunder.</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41"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Declaration and payment of any dividend are subject to the discretion of our board of directors. The time and amount of dividends is dependent upon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distributions to stockholders and any other factors our board of directors may consider relevant.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Provisions</w:t>
      </w:r>
    </w:p>
    <w:p>
      <w:pPr>
        <w:spacing w:after="0" w:line="24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but Unissued Shares</w:t>
      </w:r>
    </w:p>
    <w:p>
      <w:pPr>
        <w:sectPr>
          <w:pgSz w:w="11900" w:h="16838" w:orient="portrait"/>
          <w:cols w:equalWidth="0" w:num="1">
            <w:col w:w="11240"/>
          </w:cols>
          <w:pgMar w:left="320" w:top="1127" w:right="339" w:bottom="1440" w:gutter="0" w:footer="0" w:header="0"/>
        </w:sectPr>
      </w:pPr>
    </w:p>
    <w:bookmarkStart w:id="115" w:name="page116"/>
    <w:bookmarkEnd w:id="115"/>
    <w:p>
      <w:pPr>
        <w:ind w:right="120"/>
        <w:spacing w:after="0" w:line="249" w:lineRule="auto"/>
        <w:rPr>
          <w:sz w:val="20"/>
          <w:szCs w:val="20"/>
          <w:color w:val="auto"/>
        </w:rPr>
      </w:pPr>
      <w:r>
        <w:rPr>
          <w:rFonts w:ascii="Arial" w:cs="Arial" w:eastAsia="Arial" w:hAnsi="Arial"/>
          <w:sz w:val="16"/>
          <w:szCs w:val="16"/>
          <w:color w:val="auto"/>
        </w:rPr>
        <w:t>The authorized but unissued shares of our common stock and our preferred stock are available for future issuance without stockholder approval, subject to any limitations imposed by the listing rules of The Nasdaq Global Market. These additional shares may be used for a variety of corporate finance transactions, acquisitions and employee benefit plans and funding of redemptions of the common units of GoHealth Holdings, LLC, including those that we purchased with a portion of the net proceeds from our initial public offering ("LLC Interests"). The existence of authorized but unissued and unreserved common stock and preferred stock could make more difficult or discourage an attempt to obtain control of us by means of a proxy contest, tender offer, merger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Classified Board of Directors</w:t>
      </w:r>
    </w:p>
    <w:p>
      <w:pPr>
        <w:spacing w:after="0" w:line="24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amended and restated certificate of incorporation provides that our board of directors is divided into three classes, with the classes as nearly equal in number as possible and each class serving three-year staggered terms. Our amended and restated certificate of incorporation also provides that subject to the rights of the holders of any series of preferred stock then outstanding, for as long as the amended and restated certificate of incorporation provides for a classified board of directors, any director, or the entire board of directors, may otherwise be removed only for cause by an affirmative vote of at least sixty-six and two-thirds percent (66 2/3%) of the voting power of all the outstanding shares of stock entitled to vote generally in the election of directors, at a meeting duly called for that purpose; provided, however, that the directors appointed pursuant to the Stockholders Agreement among Centerbridge, NVX Holdings and us (the “Stockholders Agreement) may be removed with or without cause in accordance with the terms thereof and the requirements of the DGCL. These provisions may have the effect of deferring, delaying or discouraging hostile takeovers, or changes in control of us or our management.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Action by Written Consent</w:t>
      </w:r>
    </w:p>
    <w:p>
      <w:pPr>
        <w:spacing w:after="0" w:line="24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Our amended and restated certificate of incorporation provides that at any time when Centerbridge Capital Partners III, L.P., our sponsor and a Delaware limited partnership, certain funds affiliated with Centerbridge Capital Partners III, L.P. and other entities over which Centerbridge Capital Partners III, L.P. has voting control (collectively, "Centerbridge") beneficially owns, in the aggregate, at least forty percent (40%) in voting power of the corporation entitled to vote generally in the election of directors, any action required or permitted to be taken by our stockholders at an annual meeting or special meeting of stockholders may be taken without a meeting, without prior notice and without a vote, if a written consent, setting forth the action so taken, is signed by the holders of our outstanding shares of common stock representing not less than the minimum number of votes that would be necessary to authorize such action at a meeting at which all outstanding shares of common stock entitled to vote thereon were present and voted and such consent is delivered to us in accordance with applicable law. However, at any time when Centerbridge beneficially owns, in the aggregate, less than forty percent (40%) in voting power of the corporation entitled to vote generally in the election of directors, any action required or permitted to be taken at any annual or special meeting of stockholders must be effected at a duly called annual or special meeting of such holders and may not be effected by written consent in lieu of a meeting;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preferred stock designation.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Special Meetings of Stockholders</w:t>
      </w:r>
    </w:p>
    <w:p>
      <w:pPr>
        <w:spacing w:after="0" w:line="24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Our amended and restated bylaws provides that only the chairperson of our board of directors or a majority of our whole board of directors may call special meetings of our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Advance Notice Requirements for Stockholder Proposals and Director Nominations</w:t>
      </w:r>
    </w:p>
    <w:p>
      <w:pPr>
        <w:spacing w:after="0" w:line="24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addition, our amended and restated bylaws establishes an advance notice procedure for stockholder proposals to be brought before an annual meeting of stockholders, including proposed nominations of candidates for election to our board of directors; provided, however, that so long as Centerbridge is entitled to nominate a director pursuant to the Stockholders Agreement, such advance notice provisions do not apply to Centerbridge in connection with the nomination of directors. In order for any matter to be “properly brought” before a meeting, a stockholder has to comply with advance notice and 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of Certificate of Incorporation or Bylaws</w:t>
      </w:r>
    </w:p>
    <w:p>
      <w:pPr>
        <w:spacing w:after="0" w:line="24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(i) a majority vote of our board of directors or (ii) at any time when Centerbridge beneficially owns, in the aggregate, less than forty percent (40%) in voting power</w:t>
      </w:r>
    </w:p>
    <w:p>
      <w:pPr>
        <w:sectPr>
          <w:pgSz w:w="11900" w:h="16838" w:orient="portrait"/>
          <w:cols w:equalWidth="0" w:num="1">
            <w:col w:w="11200"/>
          </w:cols>
          <w:pgMar w:left="320" w:top="1127" w:right="379" w:bottom="1440" w:gutter="0" w:footer="0" w:header="0"/>
        </w:sectPr>
      </w:pPr>
    </w:p>
    <w:bookmarkStart w:id="116" w:name="page117"/>
    <w:bookmarkEnd w:id="116"/>
    <w:p>
      <w:pPr>
        <w:ind w:right="380"/>
        <w:spacing w:after="0" w:line="260" w:lineRule="auto"/>
        <w:rPr>
          <w:sz w:val="20"/>
          <w:szCs w:val="20"/>
          <w:color w:val="auto"/>
        </w:rPr>
      </w:pPr>
      <w:r>
        <w:rPr>
          <w:rFonts w:ascii="Arial" w:cs="Arial" w:eastAsia="Arial" w:hAnsi="Arial"/>
          <w:sz w:val="16"/>
          <w:szCs w:val="16"/>
          <w:color w:val="auto"/>
        </w:rPr>
        <w:t>of the corporation entitled to vote generally in the election of directors, by the affirmative vote of at least sixty-six and two-thirds percent (66 2/3%) of the voting power of all outstanding voting stock of the corporation entitled to vote, voting together as a single class.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203 of the DGCL</w:t>
      </w:r>
    </w:p>
    <w:p>
      <w:pPr>
        <w:spacing w:after="0" w:line="241"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Our amended and restated certificate of incorporation contains a provision opting out of Section 203 of the DGCL. However, our amended and restated certificate of incorporation contains provisions that are similar to Section 203. Specifically, our amended and restated certificate of incorporation provides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08" w:lineRule="exact"/>
        <w:rPr>
          <w:sz w:val="20"/>
          <w:szCs w:val="20"/>
          <w:color w:val="auto"/>
        </w:rPr>
      </w:pPr>
    </w:p>
    <w:p>
      <w:pPr>
        <w:jc w:val="both"/>
        <w:ind w:right="200"/>
        <w:spacing w:after="0" w:line="251" w:lineRule="auto"/>
        <w:rPr>
          <w:sz w:val="20"/>
          <w:szCs w:val="20"/>
          <w:color w:val="auto"/>
        </w:rPr>
      </w:pPr>
      <w:r>
        <w:rPr>
          <w:rFonts w:ascii="Arial" w:cs="Arial" w:eastAsia="Arial" w:hAnsi="Arial"/>
          <w:sz w:val="16"/>
          <w:szCs w:val="16"/>
          <w:color w:val="auto"/>
        </w:rPr>
        <w:t>However, under our amended and restated certificate of incorporation, Centerbridge and NVX Holdings, Inc., a Delaware corporation that is controlled by Brandon M. Cruz, our Co-Founder and Chief Strategy Officer and Special Advisor to the Executive Team, and Clinton P. Jones, our Co-Founder and Chief Executive Officer ("NVX Holdings") and any of their respective affiliates are not deemed to be interested stockholders regardless of the percentage of our outstanding voting stock owned by them, and accordingly are not subject to such restrictions.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Liability and Indemnification of Officers and Directors</w:t>
      </w:r>
    </w:p>
    <w:p>
      <w:pPr>
        <w:spacing w:after="0" w:line="241"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Our amended and restated certificate of incorporation and amended and restated bylaws provide indemnification for our directors and officers to the fullest extent permitted by the DGCL. We have entered into indemnification agreements with each of our directors and executive officers that may, in some cases, be broader than the specific indemnification provisions contained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These provisions may be held not to be enforceable for violations of the federal securities laws of the United States.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Opportunity Doctrine</w:t>
      </w:r>
    </w:p>
    <w:p>
      <w:pPr>
        <w:spacing w:after="0" w:line="24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fullest extent permitted from time to time by Delaware law, provides that we renounce any interest or expectancy that we otherwise would have in, all rights to be offered an opportunity to participate in, any business opportunity that are from time to time may be presented to Centerbridge or its affiliates (other than us and our subsidiaries), and any of its or their respective principals, members, directors, partners, stockholders, officers, employees or other representatives (other than any such person who is also our employee or an employee of our subsidiaries subsidiaries), or any director or stockholder who is not employed by us or our subsidiaries (each such person, an “exempt person”). Our amended and restated certificate of incorporation provides that, to the fullest extent permitted by law, no exempt person has any duty to refrain from (1) engaging in a corporate opportunity in the same or similar lines of business in which we or our subsidiaries now engage or propose to engage or (2) otherwise competing with us or our subsidiaries. In addition, to the fullest extent permitted by law, if an exempt person acquires knowledge of a potential transaction or other business opportunity which may be a corporate opportunity for itself or himself or its or his affiliates or for us or our subsidiaries, such exempt person not have a duty to communicate or offer such transaction or business opportunity to us or any of our subsidiaries and such exempt person may take any such opportunity for themselves or offer it to another person or entity. The forgoing provisions shall not apply to an opportunity that was expressly offered to an exempt person solely in their capacity as a director, executive officer or employee of us or our subsidiaries. To the fullest extent permitted by Delaware law, no potential transaction or business opportunity may be deemed to be a corporate opportunity of the corporation or its subsidiaries unless (1) we or our subsidiaries would be permitted to undertake such transaction or opportunity in accordance with the amended and restated certificate of incorporation, (2) we or our subsidiaries, at such time have sufficient financial resources to undertake such transaction or opportunity, (3) we or our subsidiaries have an interest or expectancy in such transaction or opportunity, and (4) such transaction or opportunity would be in the same or similar line of our or our subsidiaries’ business in which we or our subsidiaries are engaged or a line of business that is reasonably related to, or a reasonable extension of, such line of business.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Dissenters’ Rights of Appraisal and Payment</w:t>
      </w:r>
    </w:p>
    <w:p>
      <w:pPr>
        <w:spacing w:after="0" w:line="24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Under the DGCL, with certain exceptions, our stockholders have appraisal rights in connection with a merger or consolidation of GoHealth, Inc. Pursuant to the DGCL, stockholders who properly request and perfect appraisal rights in connection with such</w:t>
      </w:r>
    </w:p>
    <w:p>
      <w:pPr>
        <w:sectPr>
          <w:pgSz w:w="11900" w:h="16838" w:orient="portrait"/>
          <w:cols w:equalWidth="0" w:num="1">
            <w:col w:w="11220"/>
          </w:cols>
          <w:pgMar w:left="320" w:top="1127" w:right="35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color w:val="auto"/>
        </w:rPr>
        <w:t>merger or consolidation will have the right to receive payment of the fair value of their shares as determined by the Delaware Court of Chancery.</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Stockholders’ Derivative Actions</w:t>
      </w:r>
    </w:p>
    <w:p>
      <w:pPr>
        <w:spacing w:after="0" w:line="24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Trading Symbol and Market</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Our Class A common stock is listed on The Nasdaq Global Market under the symbol “GOCO.”</w:t>
      </w:r>
    </w:p>
    <w:p>
      <w:pPr>
        <w:sectPr>
          <w:pgSz w:w="11900" w:h="16838" w:orient="portrait"/>
          <w:cols w:equalWidth="0" w:num="1">
            <w:col w:w="10980"/>
          </w:cols>
          <w:pgMar w:left="320" w:top="1127" w:right="5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6"/>
          <w:szCs w:val="16"/>
          <w:b w:val="1"/>
          <w:bCs w:val="1"/>
          <w:color w:val="auto"/>
        </w:rPr>
        <w:t>Exhibit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rPr>
                <w:sz w:val="18"/>
                <w:szCs w:val="18"/>
                <w:color w:val="auto"/>
              </w:rPr>
            </w:pPr>
          </w:p>
        </w:tc>
        <w:tc>
          <w:tcPr>
            <w:tcW w:w="8180" w:type="dxa"/>
            <w:vAlign w:val="bottom"/>
            <w:gridSpan w:val="3"/>
          </w:tcPr>
          <w:p>
            <w:pPr>
              <w:ind w:left="1420"/>
              <w:spacing w:after="0"/>
              <w:rPr>
                <w:sz w:val="20"/>
                <w:szCs w:val="20"/>
                <w:color w:val="auto"/>
              </w:rPr>
            </w:pPr>
            <w:r>
              <w:rPr>
                <w:rFonts w:ascii="Arial" w:cs="Arial" w:eastAsia="Arial" w:hAnsi="Arial"/>
                <w:sz w:val="16"/>
                <w:szCs w:val="16"/>
                <w:b w:val="1"/>
                <w:bCs w:val="1"/>
                <w:color w:val="auto"/>
              </w:rPr>
              <w:t>Subsidiaries of GoHealth, Inc.</w:t>
            </w:r>
          </w:p>
        </w:tc>
      </w:tr>
      <w:tr>
        <w:trPr>
          <w:trHeight w:val="424"/>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Legal Name</w:t>
            </w:r>
          </w:p>
        </w:tc>
        <w:tc>
          <w:tcPr>
            <w:tcW w:w="37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 of Incorporation or Organization</w:t>
            </w:r>
          </w:p>
        </w:tc>
      </w:tr>
      <w:tr>
        <w:trPr>
          <w:trHeight w:val="183"/>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GoHealth Holdings, LLC</w:t>
            </w:r>
          </w:p>
        </w:tc>
        <w:tc>
          <w:tcPr>
            <w:tcW w:w="3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 USA</w:t>
            </w:r>
          </w:p>
        </w:tc>
      </w:tr>
      <w:tr>
        <w:trPr>
          <w:trHeight w:val="189"/>
        </w:trPr>
        <w:tc>
          <w:tcPr>
            <w:tcW w:w="3060" w:type="dxa"/>
            <w:vAlign w:val="bottom"/>
          </w:tcPr>
          <w:p>
            <w:pPr>
              <w:ind w:left="20"/>
              <w:spacing w:after="0"/>
              <w:rPr>
                <w:sz w:val="20"/>
                <w:szCs w:val="20"/>
                <w:color w:val="auto"/>
              </w:rPr>
            </w:pPr>
            <w:r>
              <w:rPr>
                <w:rFonts w:ascii="Arial" w:cs="Arial" w:eastAsia="Arial" w:hAnsi="Arial"/>
                <w:sz w:val="14"/>
                <w:szCs w:val="14"/>
                <w:color w:val="auto"/>
              </w:rPr>
              <w:t>Blizzard Midco, LLC</w:t>
            </w:r>
          </w:p>
        </w:tc>
        <w:tc>
          <w:tcPr>
            <w:tcW w:w="3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80" w:type="dxa"/>
            <w:vAlign w:val="bottom"/>
          </w:tcPr>
          <w:p>
            <w:pPr>
              <w:ind w:left="20"/>
              <w:spacing w:after="0"/>
              <w:rPr>
                <w:sz w:val="20"/>
                <w:szCs w:val="20"/>
                <w:color w:val="auto"/>
              </w:rPr>
            </w:pPr>
            <w:r>
              <w:rPr>
                <w:rFonts w:ascii="Arial" w:cs="Arial" w:eastAsia="Arial" w:hAnsi="Arial"/>
                <w:sz w:val="14"/>
                <w:szCs w:val="14"/>
                <w:color w:val="auto"/>
              </w:rPr>
              <w:t>Delaware, USA</w:t>
            </w:r>
          </w:p>
        </w:tc>
      </w:tr>
      <w:tr>
        <w:trPr>
          <w:trHeight w:val="189"/>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Norvax, LLC</w:t>
            </w:r>
          </w:p>
        </w:tc>
        <w:tc>
          <w:tcPr>
            <w:tcW w:w="3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 USA</w:t>
            </w:r>
          </w:p>
        </w:tc>
      </w:tr>
      <w:tr>
        <w:trPr>
          <w:trHeight w:val="189"/>
        </w:trPr>
        <w:tc>
          <w:tcPr>
            <w:tcW w:w="3060" w:type="dxa"/>
            <w:vAlign w:val="bottom"/>
          </w:tcPr>
          <w:p>
            <w:pPr>
              <w:ind w:left="20"/>
              <w:spacing w:after="0"/>
              <w:rPr>
                <w:sz w:val="20"/>
                <w:szCs w:val="20"/>
                <w:color w:val="auto"/>
              </w:rPr>
            </w:pPr>
            <w:r>
              <w:rPr>
                <w:rFonts w:ascii="Arial" w:cs="Arial" w:eastAsia="Arial" w:hAnsi="Arial"/>
                <w:sz w:val="14"/>
                <w:szCs w:val="14"/>
                <w:color w:val="auto"/>
              </w:rPr>
              <w:t>GoHealth, LLC</w:t>
            </w:r>
          </w:p>
        </w:tc>
        <w:tc>
          <w:tcPr>
            <w:tcW w:w="3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80" w:type="dxa"/>
            <w:vAlign w:val="bottom"/>
          </w:tcPr>
          <w:p>
            <w:pPr>
              <w:ind w:left="20"/>
              <w:spacing w:after="0"/>
              <w:rPr>
                <w:sz w:val="20"/>
                <w:szCs w:val="20"/>
                <w:color w:val="auto"/>
              </w:rPr>
            </w:pPr>
            <w:r>
              <w:rPr>
                <w:rFonts w:ascii="Arial" w:cs="Arial" w:eastAsia="Arial" w:hAnsi="Arial"/>
                <w:sz w:val="14"/>
                <w:szCs w:val="14"/>
                <w:color w:val="auto"/>
              </w:rPr>
              <w:t>Delaware, USA</w:t>
            </w:r>
          </w:p>
        </w:tc>
      </w:tr>
      <w:tr>
        <w:trPr>
          <w:trHeight w:val="189"/>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Creatix, Inc.</w:t>
            </w:r>
          </w:p>
        </w:tc>
        <w:tc>
          <w:tcPr>
            <w:tcW w:w="3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Illinois, USA</w:t>
            </w:r>
          </w:p>
        </w:tc>
      </w:tr>
      <w:tr>
        <w:trPr>
          <w:trHeight w:val="189"/>
        </w:trPr>
        <w:tc>
          <w:tcPr>
            <w:tcW w:w="3060" w:type="dxa"/>
            <w:vAlign w:val="bottom"/>
          </w:tcPr>
          <w:p>
            <w:pPr>
              <w:ind w:left="20"/>
              <w:spacing w:after="0"/>
              <w:rPr>
                <w:sz w:val="20"/>
                <w:szCs w:val="20"/>
                <w:color w:val="auto"/>
              </w:rPr>
            </w:pPr>
            <w:r>
              <w:rPr>
                <w:rFonts w:ascii="Arial" w:cs="Arial" w:eastAsia="Arial" w:hAnsi="Arial"/>
                <w:sz w:val="14"/>
                <w:szCs w:val="14"/>
                <w:color w:val="auto"/>
              </w:rPr>
              <w:t>Connected Benefits, LLC</w:t>
            </w:r>
          </w:p>
        </w:tc>
        <w:tc>
          <w:tcPr>
            <w:tcW w:w="3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80" w:type="dxa"/>
            <w:vAlign w:val="bottom"/>
          </w:tcPr>
          <w:p>
            <w:pPr>
              <w:ind w:left="20"/>
              <w:spacing w:after="0"/>
              <w:rPr>
                <w:sz w:val="20"/>
                <w:szCs w:val="20"/>
                <w:color w:val="auto"/>
              </w:rPr>
            </w:pPr>
            <w:r>
              <w:rPr>
                <w:rFonts w:ascii="Arial" w:cs="Arial" w:eastAsia="Arial" w:hAnsi="Arial"/>
                <w:sz w:val="14"/>
                <w:szCs w:val="14"/>
                <w:color w:val="auto"/>
              </w:rPr>
              <w:t>Delaware, USA</w:t>
            </w:r>
          </w:p>
        </w:tc>
      </w:tr>
      <w:tr>
        <w:trPr>
          <w:trHeight w:val="189"/>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GoHealth, s.r.o.</w:t>
            </w:r>
          </w:p>
        </w:tc>
        <w:tc>
          <w:tcPr>
            <w:tcW w:w="3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Slovakia</w:t>
            </w:r>
          </w:p>
        </w:tc>
      </w:tr>
    </w:tbl>
    <w:p>
      <w:pPr>
        <w:sectPr>
          <w:pgSz w:w="11900" w:h="16838" w:orient="portrait"/>
          <w:cols w:equalWidth="0" w:num="1">
            <w:col w:w="11240"/>
          </w:cols>
          <w:pgMar w:left="320" w:top="1107"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6"/>
          <w:szCs w:val="16"/>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consent to the incorporation by reference in the Registration Statements (Form S-8 Nos. 333-252962 and 333-239879) pertaining to the 2020 Incentive Award Plan and 2020 Employee Stock Purchase Plan of GoHealth, Inc. of our report dated March 16, 2021, with respect to the consolidated financial statements of GoHealth, Inc. included in this Annual Report (Form 10-K) for the year ended December 31, 2020.</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Ernst &amp; Young LLP</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Chicago, Illinois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16, 2021</w:t>
      </w:r>
    </w:p>
    <w:p>
      <w:pPr>
        <w:sectPr>
          <w:pgSz w:w="11900" w:h="16838" w:orient="portrait"/>
          <w:cols w:equalWidth="0" w:num="1">
            <w:col w:w="11240"/>
          </w:cols>
          <w:pgMar w:left="320" w:top="1107"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I, Clinton P. Jones, certify that:</w:t>
      </w:r>
    </w:p>
    <w:p>
      <w:pPr>
        <w:spacing w:after="0" w:line="221" w:lineRule="exact"/>
        <w:rPr>
          <w:sz w:val="20"/>
          <w:szCs w:val="20"/>
          <w:color w:val="auto"/>
        </w:rPr>
      </w:pPr>
    </w:p>
    <w:p>
      <w:pPr>
        <w:ind w:left="980" w:hanging="486"/>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GoHealth, Inc.;</w:t>
      </w:r>
    </w:p>
    <w:p>
      <w:pPr>
        <w:spacing w:after="0" w:line="221" w:lineRule="exact"/>
        <w:rPr>
          <w:rFonts w:ascii="Arial" w:cs="Arial" w:eastAsia="Arial" w:hAnsi="Arial"/>
          <w:sz w:val="16"/>
          <w:szCs w:val="16"/>
          <w:color w:val="auto"/>
        </w:rPr>
      </w:pPr>
    </w:p>
    <w:p>
      <w:pPr>
        <w:jc w:val="both"/>
        <w:ind w:left="980" w:right="60" w:hanging="486"/>
        <w:spacing w:after="0" w:line="253"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980" w:right="180" w:hanging="486"/>
        <w:spacing w:after="0" w:line="260"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980" w:right="80" w:hanging="486"/>
        <w:spacing w:after="0" w:line="260"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95" w:lineRule="exact"/>
        <w:rPr>
          <w:rFonts w:ascii="Arial" w:cs="Arial" w:eastAsia="Arial" w:hAnsi="Arial"/>
          <w:sz w:val="16"/>
          <w:szCs w:val="16"/>
          <w:color w:val="auto"/>
        </w:rPr>
      </w:pPr>
    </w:p>
    <w:p>
      <w:pPr>
        <w:ind w:left="1460" w:right="80" w:hanging="480"/>
        <w:spacing w:after="0" w:line="253" w:lineRule="auto"/>
        <w:tabs>
          <w:tab w:leader="none" w:pos="1455"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460" w:hanging="480"/>
        <w:spacing w:after="0"/>
        <w:tabs>
          <w:tab w:leader="none" w:pos="14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[omitted];</w:t>
      </w:r>
    </w:p>
    <w:p>
      <w:pPr>
        <w:spacing w:after="0" w:line="221" w:lineRule="exact"/>
        <w:rPr>
          <w:rFonts w:ascii="Arial" w:cs="Arial" w:eastAsia="Arial" w:hAnsi="Arial"/>
          <w:sz w:val="16"/>
          <w:szCs w:val="16"/>
          <w:color w:val="auto"/>
        </w:rPr>
      </w:pPr>
    </w:p>
    <w:p>
      <w:pPr>
        <w:jc w:val="both"/>
        <w:ind w:left="1460" w:hanging="480"/>
        <w:spacing w:after="0" w:line="260" w:lineRule="auto"/>
        <w:tabs>
          <w:tab w:leader="none" w:pos="14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jc w:val="both"/>
        <w:ind w:left="1460" w:right="200" w:hanging="480"/>
        <w:spacing w:after="0" w:line="253" w:lineRule="auto"/>
        <w:tabs>
          <w:tab w:leader="none" w:pos="1455" w:val="left"/>
        </w:tabs>
        <w:numPr>
          <w:ilvl w:val="1"/>
          <w:numId w:val="6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980" w:right="120" w:hanging="486"/>
        <w:spacing w:after="0" w:line="260"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460" w:right="480" w:hanging="480"/>
        <w:spacing w:after="0" w:line="260" w:lineRule="auto"/>
        <w:tabs>
          <w:tab w:leader="none" w:pos="1455"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460" w:right="120" w:hanging="480"/>
        <w:spacing w:after="0" w:line="260" w:lineRule="auto"/>
        <w:tabs>
          <w:tab w:leader="none" w:pos="1455"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16, 2021</w:t>
      </w:r>
      <w:r>
        <w:rPr>
          <w:sz w:val="20"/>
          <w:szCs w:val="20"/>
          <w:color w:val="auto"/>
        </w:rPr>
        <w:tab/>
      </w:r>
      <w:r>
        <w:rPr>
          <w:rFonts w:ascii="Arial" w:cs="Arial" w:eastAsia="Arial" w:hAnsi="Arial"/>
          <w:sz w:val="16"/>
          <w:szCs w:val="16"/>
          <w:color w:val="auto"/>
        </w:rPr>
        <w:t>By:</w:t>
        <w:tab/>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19050</wp:posOffset>
            </wp:positionV>
            <wp:extent cx="321437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Clinton P. Jones</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07"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I, Travis J. Matthiesen, certify that:</w:t>
      </w:r>
    </w:p>
    <w:p>
      <w:pPr>
        <w:spacing w:after="0" w:line="221" w:lineRule="exact"/>
        <w:rPr>
          <w:sz w:val="20"/>
          <w:szCs w:val="20"/>
          <w:color w:val="auto"/>
        </w:rPr>
      </w:pPr>
    </w:p>
    <w:p>
      <w:pPr>
        <w:ind w:left="980" w:hanging="486"/>
        <w:spacing w:after="0"/>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GoHealth, Inc.;</w:t>
      </w:r>
    </w:p>
    <w:p>
      <w:pPr>
        <w:spacing w:after="0" w:line="221" w:lineRule="exact"/>
        <w:rPr>
          <w:rFonts w:ascii="Arial" w:cs="Arial" w:eastAsia="Arial" w:hAnsi="Arial"/>
          <w:sz w:val="16"/>
          <w:szCs w:val="16"/>
          <w:color w:val="auto"/>
        </w:rPr>
      </w:pPr>
    </w:p>
    <w:p>
      <w:pPr>
        <w:jc w:val="both"/>
        <w:ind w:left="980" w:right="60" w:hanging="486"/>
        <w:spacing w:after="0" w:line="253" w:lineRule="auto"/>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980" w:right="180" w:hanging="486"/>
        <w:spacing w:after="0" w:line="260" w:lineRule="auto"/>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980" w:right="80" w:hanging="486"/>
        <w:spacing w:after="0" w:line="260" w:lineRule="auto"/>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95" w:lineRule="exact"/>
        <w:rPr>
          <w:rFonts w:ascii="Arial" w:cs="Arial" w:eastAsia="Arial" w:hAnsi="Arial"/>
          <w:sz w:val="16"/>
          <w:szCs w:val="16"/>
          <w:color w:val="auto"/>
        </w:rPr>
      </w:pPr>
    </w:p>
    <w:p>
      <w:pPr>
        <w:ind w:left="1460" w:right="80" w:hanging="480"/>
        <w:spacing w:after="0" w:line="253" w:lineRule="auto"/>
        <w:tabs>
          <w:tab w:leader="none" w:pos="1455"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460" w:hanging="480"/>
        <w:spacing w:after="0"/>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[omitted];</w:t>
      </w:r>
    </w:p>
    <w:p>
      <w:pPr>
        <w:spacing w:after="0" w:line="221" w:lineRule="exact"/>
        <w:rPr>
          <w:rFonts w:ascii="Arial" w:cs="Arial" w:eastAsia="Arial" w:hAnsi="Arial"/>
          <w:sz w:val="16"/>
          <w:szCs w:val="16"/>
          <w:color w:val="auto"/>
        </w:rPr>
      </w:pPr>
    </w:p>
    <w:p>
      <w:pPr>
        <w:jc w:val="both"/>
        <w:ind w:left="1460" w:hanging="480"/>
        <w:spacing w:after="0" w:line="260" w:lineRule="auto"/>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jc w:val="both"/>
        <w:ind w:left="1460" w:right="200" w:hanging="480"/>
        <w:spacing w:after="0" w:line="253" w:lineRule="auto"/>
        <w:tabs>
          <w:tab w:leader="none" w:pos="1455" w:val="left"/>
        </w:tabs>
        <w:numPr>
          <w:ilvl w:val="1"/>
          <w:numId w:val="6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980" w:right="120" w:hanging="486"/>
        <w:spacing w:after="0" w:line="260" w:lineRule="auto"/>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460" w:right="480" w:hanging="480"/>
        <w:spacing w:after="0" w:line="260" w:lineRule="auto"/>
        <w:tabs>
          <w:tab w:leader="none" w:pos="1455"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460" w:right="120" w:hanging="480"/>
        <w:spacing w:after="0" w:line="260" w:lineRule="auto"/>
        <w:tabs>
          <w:tab w:leader="none" w:pos="1455" w:val="left"/>
        </w:tabs>
        <w:numPr>
          <w:ilvl w:val="1"/>
          <w:numId w:val="6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16, 2021</w:t>
      </w:r>
      <w:r>
        <w:rPr>
          <w:sz w:val="20"/>
          <w:szCs w:val="20"/>
          <w:color w:val="auto"/>
        </w:rPr>
        <w:tab/>
      </w:r>
      <w:r>
        <w:rPr>
          <w:rFonts w:ascii="Arial" w:cs="Arial" w:eastAsia="Arial" w:hAnsi="Arial"/>
          <w:sz w:val="16"/>
          <w:szCs w:val="16"/>
          <w:color w:val="auto"/>
        </w:rPr>
        <w:t>By:</w:t>
        <w:tab/>
        <w:t>/s/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19050</wp:posOffset>
            </wp:positionV>
            <wp:extent cx="321437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Travis J. Matthiesen</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40"/>
          </w:cols>
          <w:pgMar w:left="320" w:top="1107"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59"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9"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1"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In connection with the Annual Report on Form 10-K of GoHealth, Inc. (the “Company”) for the period ended December 31, 2020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980" w:hanging="567"/>
        <w:spacing w:after="0"/>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980" w:right="740" w:hanging="567"/>
        <w:spacing w:after="0" w:line="260" w:lineRule="auto"/>
        <w:tabs>
          <w:tab w:leader="none" w:pos="97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9"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16, 2021</w:t>
      </w:r>
      <w:r>
        <w:rPr>
          <w:sz w:val="20"/>
          <w:szCs w:val="20"/>
          <w:color w:val="auto"/>
        </w:rPr>
        <w:tab/>
      </w:r>
      <w:r>
        <w:rPr>
          <w:rFonts w:ascii="Arial" w:cs="Arial" w:eastAsia="Arial" w:hAnsi="Arial"/>
          <w:sz w:val="16"/>
          <w:szCs w:val="16"/>
          <w:color w:val="auto"/>
        </w:rPr>
        <w:t>By:</w:t>
        <w:tab/>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19050</wp:posOffset>
            </wp:positionV>
            <wp:extent cx="32143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Clinton P. Jones</w:t>
      </w:r>
    </w:p>
    <w:p>
      <w:pPr>
        <w:ind w:left="6200"/>
        <w:spacing w:after="0" w:line="211" w:lineRule="auto"/>
        <w:rPr>
          <w:sz w:val="20"/>
          <w:szCs w:val="20"/>
          <w:color w:val="auto"/>
        </w:rPr>
      </w:pPr>
      <w:r>
        <w:rPr>
          <w:rFonts w:ascii="Arial" w:cs="Arial" w:eastAsia="Arial" w:hAnsi="Arial"/>
          <w:sz w:val="16"/>
          <w:szCs w:val="16"/>
          <w:color w:val="auto"/>
        </w:rPr>
        <w:t>Chief Executive Officer</w:t>
      </w:r>
    </w:p>
    <w:p>
      <w:pPr>
        <w:ind w:left="62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07"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59"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9"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1"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In connection with the Annual Report on Form 10-K of GoHealth, Inc. (the “Company”) for the period ended December 31, 2020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980" w:hanging="567"/>
        <w:spacing w:after="0"/>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980" w:right="740" w:hanging="567"/>
        <w:spacing w:after="0" w:line="260" w:lineRule="auto"/>
        <w:tabs>
          <w:tab w:leader="none" w:pos="97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9"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16, 2021</w:t>
      </w:r>
      <w:r>
        <w:rPr>
          <w:sz w:val="20"/>
          <w:szCs w:val="20"/>
          <w:color w:val="auto"/>
        </w:rPr>
        <w:tab/>
      </w:r>
      <w:r>
        <w:rPr>
          <w:rFonts w:ascii="Arial" w:cs="Arial" w:eastAsia="Arial" w:hAnsi="Arial"/>
          <w:sz w:val="16"/>
          <w:szCs w:val="16"/>
          <w:color w:val="auto"/>
        </w:rPr>
        <w:t>By:</w:t>
        <w:tab/>
        <w:t>/s/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19050</wp:posOffset>
            </wp:positionV>
            <wp:extent cx="32143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Travis J. Matthiesen</w:t>
      </w:r>
    </w:p>
    <w:p>
      <w:pPr>
        <w:ind w:left="6200"/>
        <w:spacing w:after="0" w:line="211" w:lineRule="auto"/>
        <w:rPr>
          <w:sz w:val="20"/>
          <w:szCs w:val="20"/>
          <w:color w:val="auto"/>
        </w:rPr>
      </w:pPr>
      <w:r>
        <w:rPr>
          <w:rFonts w:ascii="Arial" w:cs="Arial" w:eastAsia="Arial" w:hAnsi="Arial"/>
          <w:sz w:val="16"/>
          <w:szCs w:val="16"/>
          <w:color w:val="auto"/>
        </w:rPr>
        <w:t>Chief Financial Officer</w:t>
      </w:r>
    </w:p>
    <w:p>
      <w:pPr>
        <w:ind w:left="6200"/>
        <w:spacing w:after="0"/>
        <w:rPr>
          <w:sz w:val="20"/>
          <w:szCs w:val="20"/>
          <w:color w:val="auto"/>
        </w:rPr>
      </w:pPr>
      <w:r>
        <w:rPr>
          <w:rFonts w:ascii="Arial" w:cs="Arial" w:eastAsia="Arial" w:hAnsi="Arial"/>
          <w:sz w:val="16"/>
          <w:szCs w:val="16"/>
          <w:i w:val="1"/>
          <w:iCs w:val="1"/>
          <w:color w:val="auto"/>
        </w:rPr>
        <w:t>(Principal Financial and Accounting Officer)</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1)"/>
      <w:numFmt w:val="lowerRoman"/>
      <w:start w:val="4"/>
    </w:lvl>
    <w:lvl w:ilvl="1">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1)"/>
      <w:numFmt w:val="lowerLetter"/>
      <w:start w:val="2"/>
    </w:lvl>
  </w:abstractNum>
  <w:abstractNum w:abstractNumId="28">
    <w:nsid w:val="38437FDB"/>
    <w:multiLevelType w:val="hybridMultilevel"/>
    <w:lvl w:ilvl="0">
      <w:lvlJc w:val="left"/>
      <w:lvlText w:val="(%1)"/>
      <w:numFmt w:val="decimal"/>
      <w:start w:val="3"/>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lowerRoman"/>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3"/>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1."/>
      <w:numFmt w:val="decimal"/>
      <w:start w:val="2"/>
    </w:lvl>
  </w:abstractNum>
  <w:abstractNum w:abstractNumId="47">
    <w:nsid w:val="1CF10FD8"/>
    <w:multiLevelType w:val="hybridMultilevel"/>
    <w:lvl w:ilvl="0">
      <w:lvlJc w:val="left"/>
      <w:lvlText w:val="%1."/>
      <w:numFmt w:val="decimal"/>
      <w:start w:val="5"/>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decimal"/>
      <w:start w:val="7"/>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decimal"/>
      <w:start w:val="12"/>
    </w:lvl>
  </w:abstractNum>
  <w:abstractNum w:abstractNumId="52">
    <w:nsid w:val="15B5AF5C"/>
    <w:multiLevelType w:val="hybridMultilevel"/>
    <w:lvl w:ilvl="0">
      <w:lvlJc w:val="left"/>
      <w:lvlText w:val="%1."/>
      <w:numFmt w:val="decimal"/>
      <w:start w:val="14"/>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2"/>
    </w:lvl>
  </w:abstractNum>
  <w:abstractNum w:abstractNumId="56">
    <w:nsid w:val="3F6AB60F"/>
    <w:multiLevelType w:val="hybridMultilevel"/>
    <w:lvl w:ilvl="0">
      <w:lvlJc w:val="left"/>
      <w:lvlText w:val="%1."/>
      <w:numFmt w:val="decimal"/>
      <w:start w:val="3"/>
    </w:lvl>
  </w:abstractNum>
  <w:abstractNum w:abstractNumId="57">
    <w:nsid w:val="61574095"/>
    <w:multiLevelType w:val="hybridMultilevel"/>
    <w:lvl w:ilvl="0">
      <w:lvlJc w:val="left"/>
      <w:lvlText w:val="%1"/>
      <w:numFmt w:val="upperLetter"/>
      <w:start w:val="61"/>
    </w:lvl>
  </w:abstractNum>
  <w:abstractNum w:abstractNumId="58">
    <w:nsid w:val="7E0C57B1"/>
    <w:multiLevelType w:val="hybridMultilevel"/>
    <w:lvl w:ilvl="0">
      <w:lvlJc w:val="left"/>
      <w:lvlText w:val="*"/>
      <w:numFmt w:val="bullet"/>
      <w:start w:val="1"/>
    </w:lvl>
    <w:lvl w:ilvl="1">
      <w:lvlJc w:val="left"/>
      <w:lvlText w:val="%2"/>
      <w:numFmt w:val="decimal"/>
      <w:start w:val="104"/>
    </w:lvl>
  </w:abstractNum>
  <w:abstractNum w:abstractNumId="59">
    <w:nsid w:val="77AE35EB"/>
    <w:multiLevelType w:val="hybridMultilevel"/>
    <w:lvl w:ilvl="0">
      <w:lvlJc w:val="left"/>
      <w:lvlText w:val="**"/>
      <w:numFmt w:val="bullet"/>
      <w:start w:val="1"/>
    </w:lvl>
    <w:lvl w:ilvl="1">
      <w:lvlJc w:val="left"/>
      <w:lvlText w:val="%2"/>
      <w:numFmt w:val="decimal"/>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99" Type="http://schemas.openxmlformats.org/officeDocument/2006/relationships/image" Target="media/image378.png"/><Relationship Id="rId400" Type="http://schemas.openxmlformats.org/officeDocument/2006/relationships/image" Target="media/image379.png"/><Relationship Id="rId401" Type="http://schemas.openxmlformats.org/officeDocument/2006/relationships/image" Target="media/image380.png"/><Relationship Id="rId411" Type="http://schemas.openxmlformats.org/officeDocument/2006/relationships/image" Target="media/image381.png"/><Relationship Id="rId412" Type="http://schemas.openxmlformats.org/officeDocument/2006/relationships/image" Target="media/image382.png"/><Relationship Id="rId413" Type="http://schemas.openxmlformats.org/officeDocument/2006/relationships/image" Target="media/image383.png"/><Relationship Id="rId414" Type="http://schemas.openxmlformats.org/officeDocument/2006/relationships/image" Target="media/image384.png"/><Relationship Id="rId415" Type="http://schemas.openxmlformats.org/officeDocument/2006/relationships/image" Target="media/image385.png"/><Relationship Id="rId416" Type="http://schemas.openxmlformats.org/officeDocument/2006/relationships/image" Target="media/image386.png"/><Relationship Id="rId417" Type="http://schemas.openxmlformats.org/officeDocument/2006/relationships/image" Target="media/image387.png"/><Relationship Id="rId418" Type="http://schemas.openxmlformats.org/officeDocument/2006/relationships/image" Target="media/image388.png"/><Relationship Id="rId419" Type="http://schemas.openxmlformats.org/officeDocument/2006/relationships/image" Target="media/image389.png"/><Relationship Id="rId420" Type="http://schemas.openxmlformats.org/officeDocument/2006/relationships/image" Target="media/image390.png"/><Relationship Id="rId421" Type="http://schemas.openxmlformats.org/officeDocument/2006/relationships/image" Target="media/image391.png"/><Relationship Id="rId422" Type="http://schemas.openxmlformats.org/officeDocument/2006/relationships/image" Target="media/image392.png"/><Relationship Id="rId423" Type="http://schemas.openxmlformats.org/officeDocument/2006/relationships/image" Target="media/image393.png"/><Relationship Id="rId424" Type="http://schemas.openxmlformats.org/officeDocument/2006/relationships/image" Target="media/image394.png"/><Relationship Id="rId425" Type="http://schemas.openxmlformats.org/officeDocument/2006/relationships/image" Target="media/image395.png"/><Relationship Id="rId426" Type="http://schemas.openxmlformats.org/officeDocument/2006/relationships/image" Target="media/image396.png"/><Relationship Id="rId427" Type="http://schemas.openxmlformats.org/officeDocument/2006/relationships/image" Target="media/image397.png"/><Relationship Id="rId428" Type="http://schemas.openxmlformats.org/officeDocument/2006/relationships/image" Target="media/image398.png"/><Relationship Id="rId429" Type="http://schemas.openxmlformats.org/officeDocument/2006/relationships/image" Target="media/image399.png"/><Relationship Id="rId430" Type="http://schemas.openxmlformats.org/officeDocument/2006/relationships/image" Target="media/image400.png"/><Relationship Id="rId431" Type="http://schemas.openxmlformats.org/officeDocument/2006/relationships/image" Target="media/image401.png"/><Relationship Id="rId385" Type="http://schemas.openxmlformats.org/officeDocument/2006/relationships/hyperlink" Target="https://www.sec.gov/Archives/edgar/data/1808220/000119312520224832/d935246dex31.htm" TargetMode="External"/><Relationship Id="rId386" Type="http://schemas.openxmlformats.org/officeDocument/2006/relationships/hyperlink" Target="https://www.sec.gov/Archives/edgar/data/1808220/000119312520224832/d935246dex32.htm" TargetMode="External"/><Relationship Id="rId387" Type="http://schemas.openxmlformats.org/officeDocument/2006/relationships/hyperlink" Target="https://www.sec.gov/Archives/edgar/data/1808220/000119312520173051/d797183dex41.htm" TargetMode="External"/><Relationship Id="rId388" Type="http://schemas.openxmlformats.org/officeDocument/2006/relationships/hyperlink" Target="https://www.sec.gov/Archives/edgar/data/1808220/000119312520173051/d797183dex105.htm" TargetMode="External"/><Relationship Id="rId389" Type="http://schemas.openxmlformats.org/officeDocument/2006/relationships/hyperlink" Target="https://www.sec.gov/Archives/edgar/data/1808220/000119312520224832/d935246dex102.htm" TargetMode="External"/><Relationship Id="rId390" Type="http://schemas.openxmlformats.org/officeDocument/2006/relationships/hyperlink" Target="https://www.sec.gov/Archives/edgar/data/1808220/000119312520189225/d797183dex106.htm" TargetMode="External"/><Relationship Id="rId391" Type="http://schemas.openxmlformats.org/officeDocument/2006/relationships/hyperlink" Target="https://www.sec.gov/Archives/edgar/data/1808220/000119312520189225/d797183dex107.htm" TargetMode="External"/><Relationship Id="rId392" Type="http://schemas.openxmlformats.org/officeDocument/2006/relationships/hyperlink" Target="https://www.sec.gov/Archives/edgar/data/1808220/000119312520173051/d797183dex109.htm" TargetMode="External"/><Relationship Id="rId393" Type="http://schemas.openxmlformats.org/officeDocument/2006/relationships/hyperlink" Target="https://www.sec.gov/Archives/edgar/data/1808220/000119312520187065/d797183dex109.htm" TargetMode="External"/><Relationship Id="rId394" Type="http://schemas.openxmlformats.org/officeDocument/2006/relationships/hyperlink" Target="https://www.sec.gov/Archives/edgar/data/1808220/000119312520187065/d797183dex1010.htm" TargetMode="External"/><Relationship Id="rId395" Type="http://schemas.openxmlformats.org/officeDocument/2006/relationships/hyperlink" Target="https://www.sec.gov/Archives/edgar/data/1808220/000119312520189225/d797183dex1011.htm" TargetMode="External"/><Relationship Id="rId396" Type="http://schemas.openxmlformats.org/officeDocument/2006/relationships/hyperlink" Target="https://www.sec.gov/Archives/edgar/data/1808220/000119312520189225/d797183dex1013.htm" TargetMode="External"/><Relationship Id="rId397" Type="http://schemas.openxmlformats.org/officeDocument/2006/relationships/hyperlink" Target="https://www.sec.gov/Archives/edgar/data/1808220/000119312520189225/d797183dex1014.htm" TargetMode="External"/><Relationship Id="rId398" Type="http://schemas.openxmlformats.org/officeDocument/2006/relationships/hyperlink" Target="https://www.sec.gov/Archives/edgar/data/1808220/000119312520189225/d797183dex1015.htm" TargetMode="External"/><Relationship Id="rId402" Type="http://schemas.openxmlformats.org/officeDocument/2006/relationships/hyperlink" Target="https://www.sec.gov/Archives/edgar/data/1808220/000119312520189225/d797183dex1016.htm" TargetMode="External"/><Relationship Id="rId403" Type="http://schemas.openxmlformats.org/officeDocument/2006/relationships/hyperlink" Target="https://www.sec.gov/Archives/edgar/data/1808220/000119312520189225/d797183dex1017.htm" TargetMode="External"/><Relationship Id="rId404" Type="http://schemas.openxmlformats.org/officeDocument/2006/relationships/hyperlink" Target="https://www.sec.gov/Archives/edgar/data/1808220/000119312520189225/d797183dex1018.htm" TargetMode="External"/><Relationship Id="rId405" Type="http://schemas.openxmlformats.org/officeDocument/2006/relationships/hyperlink" Target="https://www.sec.gov/Archives/edgar/data/1808220/000119312520189225/d797183dex1019.htm" TargetMode="External"/><Relationship Id="rId406" Type="http://schemas.openxmlformats.org/officeDocument/2006/relationships/hyperlink" Target="https://www.sec.gov/Archives/edgar/data/1808220/000119312520189225/d797183dex1020.htm" TargetMode="External"/><Relationship Id="rId407" Type="http://schemas.openxmlformats.org/officeDocument/2006/relationships/hyperlink" Target="https://www.sec.gov/Archives/edgar/data/1808220/000119312520194605/d924307dex101.htm" TargetMode="External"/><Relationship Id="rId408" Type="http://schemas.openxmlformats.org/officeDocument/2006/relationships/hyperlink" Target="https://www.sec.gov/Archives/edgar/data/1808220/000119312520194605/d924307dex102.htm" TargetMode="External"/><Relationship Id="rId409" Type="http://schemas.openxmlformats.org/officeDocument/2006/relationships/hyperlink" Target="https://www.sec.gov/Archives/edgar/data/1808220/000119312520194605/d924307dex103.htm" TargetMode="External"/><Relationship Id="rId410" Type="http://schemas.openxmlformats.org/officeDocument/2006/relationships/hyperlink" Target="https://www.sec.gov/Archives/edgar/data/1808220/000119312520194605/d924307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2021-03-16T16:03:41Z</dcterms:created>
  <dcterms:modified xsi:type="dcterms:W3CDTF">2021-03-16T16:03:41Z</dcterms:modified>
</cp:coreProperties>
</file>