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rPr/>
      </w:pPr>
      <w:r>
        <w:rPr/>
      </w:r>
    </w:p>
    <w:p>
      <w:pPr>
        <w:pStyle w:val="TextBody"/>
        <w:bidi w:val="0"/>
        <w:spacing w:lineRule="auto" w:line="288" w:before="120" w:after="283"/>
        <w:jc w:val="center"/>
        <w:rPr>
          <w:rFonts w:ascii="Arial;sans-serif" w:hAnsi="Arial;sans-serif"/>
          <w:b/>
          <w:color w:val="000000"/>
          <w:sz w:val="36"/>
        </w:rPr>
      </w:pPr>
      <w:r>
        <w:rPr>
          <w:rFonts w:ascii="Arial;sans-serif" w:hAnsi="Arial;sans-serif"/>
          <w:b/>
          <w:color w:val="000000"/>
          <w:sz w:val="36"/>
        </w:rPr>
        <w:t>UNITED STATES</w:t>
      </w:r>
    </w:p>
    <w:p>
      <w:pPr>
        <w:pStyle w:val="TextBody"/>
        <w:bidi w:val="0"/>
        <w:spacing w:lineRule="auto" w:line="288" w:before="120" w:after="283"/>
        <w:jc w:val="center"/>
        <w:rPr>
          <w:rFonts w:ascii="Arial;sans-serif" w:hAnsi="Arial;sans-serif"/>
          <w:b/>
          <w:color w:val="000000"/>
          <w:sz w:val="36"/>
        </w:rPr>
      </w:pPr>
      <w:r>
        <w:rPr>
          <w:rFonts w:ascii="Arial;sans-serif" w:hAnsi="Arial;sans-serif"/>
          <w:b/>
          <w:color w:val="000000"/>
          <w:sz w:val="36"/>
        </w:rPr>
        <w:t>SECURITIES AND EXCHANGE COMMISSION</w:t>
      </w:r>
    </w:p>
    <w:p>
      <w:pPr>
        <w:pStyle w:val="TextBody"/>
        <w:bidi w:val="0"/>
        <w:spacing w:lineRule="auto" w:line="288" w:before="120" w:after="283"/>
        <w:jc w:val="center"/>
        <w:rPr>
          <w:rFonts w:ascii="Arial;sans-serif" w:hAnsi="Arial;sans-serif"/>
          <w:b w:val="false"/>
          <w:color w:val="000000"/>
          <w:sz w:val="24"/>
        </w:rPr>
      </w:pPr>
      <w:r>
        <w:rPr>
          <w:rFonts w:ascii="Arial;sans-serif" w:hAnsi="Arial;sans-serif"/>
          <w:b w:val="false"/>
          <w:color w:val="000000"/>
          <w:sz w:val="24"/>
        </w:rPr>
        <w:t>WASHINGTON, DC 20549</w:t>
      </w:r>
    </w:p>
    <w:p>
      <w:pPr>
        <w:pStyle w:val="TextBody"/>
        <w:bidi w:val="0"/>
        <w:spacing w:before="120" w:after="283"/>
        <w:jc w:val="center"/>
        <w:rPr/>
      </w:pPr>
      <w:r>
        <w:rPr/>
      </w:r>
    </w:p>
    <w:p>
      <w:pPr>
        <w:pStyle w:val="TextBody"/>
        <w:bidi w:val="0"/>
        <w:spacing w:lineRule="auto" w:line="288" w:before="120" w:after="283"/>
        <w:jc w:val="center"/>
        <w:rPr>
          <w:rFonts w:ascii="Arial;sans-serif" w:hAnsi="Arial;sans-serif"/>
          <w:b/>
          <w:color w:val="000000"/>
          <w:sz w:val="48"/>
        </w:rPr>
      </w:pPr>
      <w:r>
        <w:rPr>
          <w:rFonts w:ascii="Arial;sans-serif" w:hAnsi="Arial;sans-serif"/>
          <w:b/>
          <w:color w:val="000000"/>
          <w:sz w:val="48"/>
        </w:rPr>
        <w:t>FORM 10-K</w:t>
      </w:r>
    </w:p>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(Mark One)</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4"/>
              </w:rPr>
            </w:pPr>
            <w:r>
              <w:rPr>
                <w:rFonts w:ascii="Arial;sans-serif" w:hAnsi="Arial;sans-serif"/>
                <w:b/>
                <w:color w:val="000000"/>
                <w:sz w:val="24"/>
              </w:rPr>
              <w:t>ANNUAL REPORT PURSUANT TO SECTION 13 OR 15(d) OF THE SECURITIES EXCHANGE ACT OF 1934</w:t>
            </w:r>
          </w:p>
        </w:tc>
      </w:tr>
    </w:tbl>
    <w:p>
      <w:pPr>
        <w:pStyle w:val="TextBody"/>
        <w:bidi w:val="0"/>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For the fiscal year ended December 31, 2025</w:t>
      </w:r>
    </w:p>
    <w:p>
      <w:pPr>
        <w:pStyle w:val="TextBody"/>
        <w:bidi w:val="0"/>
        <w:spacing w:lineRule="auto" w:line="288" w:before="120" w:after="283"/>
        <w:jc w:val="center"/>
        <w:rPr>
          <w:rFonts w:ascii="Arial;sans-serif" w:hAnsi="Arial;sans-serif"/>
          <w:b/>
          <w:color w:val="000000"/>
          <w:sz w:val="18"/>
        </w:rPr>
      </w:pPr>
      <w:r>
        <w:rPr>
          <w:rFonts w:ascii="Arial;sans-serif" w:hAnsi="Arial;sans-serif"/>
          <w:b/>
          <w:color w:val="000000"/>
          <w:sz w:val="18"/>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4"/>
              </w:rPr>
            </w:pPr>
            <w:r>
              <w:rPr>
                <w:rFonts w:ascii="Arial;sans-serif" w:hAnsi="Arial;sans-serif"/>
                <w:b/>
                <w:color w:val="000000"/>
                <w:sz w:val="24"/>
              </w:rPr>
              <w:t>TRANSITION REPORT PURSUANT TO SECTION 13 OR 15(d) OF THE SECURITIES EXCHANGE ACT OF 1934</w:t>
            </w:r>
          </w:p>
        </w:tc>
      </w:tr>
    </w:tbl>
    <w:p>
      <w:pPr>
        <w:pStyle w:val="TextBody"/>
        <w:bidi w:val="0"/>
        <w:spacing w:lineRule="auto" w:line="288" w:before="120" w:after="283"/>
        <w:jc w:val="center"/>
        <w:rPr/>
      </w:pPr>
      <w:r>
        <w:rPr>
          <w:rFonts w:ascii="Arial;sans-serif" w:hAnsi="Arial;sans-serif"/>
          <w:b w:val="false"/>
          <w:color w:val="000000"/>
          <w:sz w:val="18"/>
        </w:rPr>
        <w:t xml:space="preserve">For the transition period from </w:t>
      </w:r>
      <w:r>
        <w:rPr>
          <w:color w:val="000000"/>
          <w:u w:val="single"/>
        </w:rPr>
        <w:t>                    </w:t>
      </w:r>
      <w:r>
        <w:rPr>
          <w:color w:val="000000"/>
        </w:rPr>
        <w:t xml:space="preserve"> </w:t>
      </w:r>
      <w:r>
        <w:rPr>
          <w:rFonts w:ascii="Arial;sans-serif" w:hAnsi="Arial;sans-serif"/>
          <w:b w:val="false"/>
          <w:color w:val="000000"/>
          <w:sz w:val="18"/>
        </w:rPr>
        <w:t xml:space="preserve">to </w:t>
      </w:r>
      <w:r>
        <w:rPr>
          <w:color w:val="000000"/>
          <w:u w:val="single"/>
        </w:rPr>
        <w:t>                    </w:t>
      </w:r>
    </w:p>
    <w:p>
      <w:pPr>
        <w:pStyle w:val="TextBody"/>
        <w:bidi w:val="0"/>
        <w:spacing w:before="120" w:after="283"/>
        <w:jc w:val="center"/>
        <w:rPr/>
      </w:pPr>
      <w:r>
        <w:rPr/>
      </w:r>
    </w:p>
    <w:p>
      <w:pPr>
        <w:pStyle w:val="TextBody"/>
        <w:bidi w:val="0"/>
        <w:spacing w:lineRule="auto" w:line="288" w:before="120" w:after="283"/>
        <w:jc w:val="center"/>
        <w:rPr/>
      </w:pPr>
      <w:r>
        <w:rPr>
          <w:rFonts w:ascii="Arial;sans-serif" w:hAnsi="Arial;sans-serif"/>
          <w:b w:val="false"/>
          <w:color w:val="000000"/>
          <w:sz w:val="18"/>
        </w:rPr>
        <w:t xml:space="preserve">Commission File Number: </w:t>
      </w:r>
      <w:r>
        <w:rPr>
          <w:rFonts w:ascii="Arial;sans-serif" w:hAnsi="Arial;sans-serif"/>
          <w:b/>
          <w:color w:val="000000"/>
          <w:sz w:val="18"/>
        </w:rPr>
        <w:t>001-39390</w:t>
      </w:r>
    </w:p>
    <w:p>
      <w:pPr>
        <w:pStyle w:val="TextBody"/>
        <w:bidi w:val="0"/>
        <w:spacing w:before="120" w:after="283"/>
        <w:jc w:val="center"/>
        <w:rPr/>
      </w:pPr>
      <w:r>
        <w:rPr/>
        <w:drawing>
          <wp:inline distT="0" distB="0" distL="0" distR="0">
            <wp:extent cx="2381250" cy="12477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81250" cy="1247775"/>
                    </a:xfrm>
                    <a:prstGeom prst="rect">
                      <a:avLst/>
                    </a:prstGeom>
                  </pic:spPr>
                </pic:pic>
              </a:graphicData>
            </a:graphic>
          </wp:inline>
        </w:drawing>
      </w:r>
      <w:bookmarkStart w:id="0" w:name="i-1"/>
      <w:bookmarkEnd w:id="0"/>
    </w:p>
    <w:p>
      <w:pPr>
        <w:pStyle w:val="TextBody"/>
        <w:bidi w:val="0"/>
        <w:spacing w:lineRule="auto" w:line="288" w:before="120" w:after="283"/>
        <w:jc w:val="center"/>
        <w:rPr>
          <w:rFonts w:ascii="Arial;sans-serif" w:hAnsi="Arial;sans-serif"/>
          <w:b/>
          <w:color w:val="000000"/>
          <w:sz w:val="48"/>
        </w:rPr>
      </w:pPr>
      <w:r>
        <w:rPr>
          <w:rFonts w:ascii="Arial;sans-serif" w:hAnsi="Arial;sans-serif"/>
          <w:b/>
          <w:color w:val="000000"/>
          <w:sz w:val="48"/>
        </w:rPr>
        <w:t>GoHealth, Inc.</w:t>
      </w:r>
    </w:p>
    <w:p>
      <w:pPr>
        <w:pStyle w:val="TextBody"/>
        <w:bidi w:val="0"/>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(Exact name of registrant as specified in its charter)</w:t>
      </w:r>
    </w:p>
    <w:p>
      <w:pPr>
        <w:pStyle w:val="TextBody"/>
        <w:bidi w:val="0"/>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_________________________</w:t>
      </w:r>
    </w:p>
    <w:tbl>
      <w:tblPr>
        <w:tblW w:w="7799" w:type="dxa"/>
        <w:jc w:val="left"/>
        <w:tblInd w:w="0" w:type="dxa"/>
        <w:tblLayout w:type="fixed"/>
        <w:tblCellMar>
          <w:top w:w="28" w:type="dxa"/>
          <w:left w:w="28" w:type="dxa"/>
          <w:bottom w:w="28" w:type="dxa"/>
          <w:right w:w="28" w:type="dxa"/>
        </w:tblCellMar>
      </w:tblPr>
      <w:tblGrid>
        <w:gridCol w:w="1756"/>
        <w:gridCol w:w="1546"/>
        <w:gridCol w:w="1558"/>
        <w:gridCol w:w="857"/>
        <w:gridCol w:w="857"/>
        <w:gridCol w:w="1225"/>
      </w:tblGrid>
      <w:tr>
        <w:trPr/>
        <w:tc>
          <w:tcPr>
            <w:tcW w:w="175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r>
      <w:tr>
        <w:trPr/>
        <w:tc>
          <w:tcPr>
            <w:tcW w:w="48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Delaware</w:t>
            </w:r>
          </w:p>
        </w:tc>
        <w:tc>
          <w:tcPr>
            <w:tcW w:w="29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85-0563805</w:t>
            </w:r>
          </w:p>
        </w:tc>
      </w:tr>
      <w:tr>
        <w:trPr/>
        <w:tc>
          <w:tcPr>
            <w:tcW w:w="48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(State or other jurisdiction of incorporation or organization)</w:t>
            </w:r>
          </w:p>
        </w:tc>
        <w:tc>
          <w:tcPr>
            <w:tcW w:w="29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(I.R.S. Employer Identification No.)</w:t>
            </w:r>
          </w:p>
        </w:tc>
      </w:tr>
      <w:tr>
        <w:trPr/>
        <w:tc>
          <w:tcPr>
            <w:tcW w:w="4860" w:type="dxa"/>
            <w:gridSpan w:val="3"/>
            <w:tcBorders/>
            <w:vAlign w:val="center"/>
          </w:tcPr>
          <w:p>
            <w:pPr>
              <w:pStyle w:val="TableContents"/>
              <w:bidi w:val="0"/>
              <w:spacing w:before="0" w:after="283"/>
              <w:jc w:val="left"/>
              <w:rPr>
                <w:sz w:val="4"/>
                <w:szCs w:val="4"/>
              </w:rPr>
            </w:pPr>
            <w:r>
              <w:rPr>
                <w:sz w:val="4"/>
                <w:szCs w:val="4"/>
              </w:rPr>
            </w:r>
          </w:p>
        </w:tc>
        <w:tc>
          <w:tcPr>
            <w:tcW w:w="2939" w:type="dxa"/>
            <w:gridSpan w:val="3"/>
            <w:tcBorders/>
            <w:vAlign w:val="center"/>
          </w:tcPr>
          <w:p>
            <w:pPr>
              <w:pStyle w:val="TableContents"/>
              <w:bidi w:val="0"/>
              <w:spacing w:before="0" w:after="283"/>
              <w:jc w:val="left"/>
              <w:rPr>
                <w:sz w:val="4"/>
                <w:szCs w:val="4"/>
              </w:rPr>
            </w:pPr>
            <w:r>
              <w:rPr>
                <w:sz w:val="4"/>
                <w:szCs w:val="4"/>
              </w:rPr>
            </w:r>
          </w:p>
        </w:tc>
      </w:tr>
      <w:tr>
        <w:trPr/>
        <w:tc>
          <w:tcPr>
            <w:tcW w:w="4860" w:type="dxa"/>
            <w:gridSpan w:val="3"/>
            <w:tcBorders/>
            <w:vAlign w:val="center"/>
          </w:tcPr>
          <w:p>
            <w:pPr>
              <w:pStyle w:val="TableContents"/>
              <w:bidi w:val="0"/>
              <w:spacing w:before="0" w:after="283"/>
              <w:jc w:val="left"/>
              <w:rPr>
                <w:sz w:val="4"/>
                <w:szCs w:val="4"/>
              </w:rPr>
            </w:pPr>
            <w:r>
              <w:rPr>
                <w:sz w:val="4"/>
                <w:szCs w:val="4"/>
              </w:rPr>
            </w:r>
          </w:p>
        </w:tc>
        <w:tc>
          <w:tcPr>
            <w:tcW w:w="2939" w:type="dxa"/>
            <w:gridSpan w:val="3"/>
            <w:tcBorders/>
            <w:vAlign w:val="center"/>
          </w:tcPr>
          <w:p>
            <w:pPr>
              <w:pStyle w:val="TableContents"/>
              <w:bidi w:val="0"/>
              <w:spacing w:before="0" w:after="283"/>
              <w:jc w:val="left"/>
              <w:rPr>
                <w:sz w:val="4"/>
                <w:szCs w:val="4"/>
              </w:rPr>
            </w:pPr>
            <w:r>
              <w:rPr>
                <w:sz w:val="4"/>
                <w:szCs w:val="4"/>
              </w:rPr>
            </w:r>
          </w:p>
        </w:tc>
      </w:tr>
    </w:tbl>
    <w:tbl>
      <w:tblPr>
        <w:tblW w:w="4409" w:type="dxa"/>
        <w:jc w:val="left"/>
        <w:tblInd w:w="0" w:type="dxa"/>
        <w:tblLayout w:type="fixed"/>
        <w:tblCellMar>
          <w:top w:w="28" w:type="dxa"/>
          <w:left w:w="28" w:type="dxa"/>
          <w:bottom w:w="28" w:type="dxa"/>
          <w:right w:w="28" w:type="dxa"/>
        </w:tblCellMar>
      </w:tblPr>
      <w:tblGrid>
        <w:gridCol w:w="626"/>
        <w:gridCol w:w="551"/>
        <w:gridCol w:w="551"/>
        <w:gridCol w:w="551"/>
        <w:gridCol w:w="551"/>
        <w:gridCol w:w="560"/>
        <w:gridCol w:w="298"/>
        <w:gridCol w:w="298"/>
        <w:gridCol w:w="423"/>
      </w:tblGrid>
      <w:tr>
        <w:trPr/>
        <w:tc>
          <w:tcPr>
            <w:tcW w:w="626"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r>
      <w:tr>
        <w:trPr/>
        <w:tc>
          <w:tcPr>
            <w:tcW w:w="3390"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222 W Merchandise Mart Plaza, Suite 1750</w:t>
            </w:r>
          </w:p>
        </w:tc>
        <w:tc>
          <w:tcPr>
            <w:tcW w:w="10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60654</w:t>
            </w:r>
          </w:p>
        </w:tc>
      </w:tr>
      <w:tr>
        <w:trPr/>
        <w:tc>
          <w:tcPr>
            <w:tcW w:w="172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Chicago,</w:t>
            </w:r>
          </w:p>
        </w:tc>
        <w:tc>
          <w:tcPr>
            <w:tcW w:w="166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Illinois</w:t>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(Address of principal executive offices)</w:t>
            </w:r>
          </w:p>
        </w:tc>
        <w:tc>
          <w:tcPr>
            <w:tcW w:w="10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(Zip Code)</w:t>
            </w:r>
          </w:p>
        </w:tc>
      </w:tr>
    </w:tbl>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(312) 386-8200</w:t>
      </w:r>
    </w:p>
    <w:p>
      <w:pPr>
        <w:pStyle w:val="TextBody"/>
        <w:bidi w:val="0"/>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(Registrant’s telephone number, including area code)</w:t>
      </w:r>
    </w:p>
    <w:p>
      <w:pPr>
        <w:pStyle w:val="TextBody"/>
        <w:bidi w:val="0"/>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_________________________</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327660"/>
                <wp:effectExtent l="0" t="0" r="0" b="0"/>
                <wp:wrapNone/>
                <wp:docPr id="2" name="Frame1"/>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Securities registered pursuant to Section 12(b) of the Act:</w:t>
      </w:r>
    </w:p>
    <w:tbl>
      <w:tblPr>
        <w:tblW w:w="7491" w:type="dxa"/>
        <w:jc w:val="left"/>
        <w:tblInd w:w="0" w:type="dxa"/>
        <w:tblLayout w:type="fixed"/>
        <w:tblCellMar>
          <w:top w:w="28" w:type="dxa"/>
          <w:left w:w="28" w:type="dxa"/>
          <w:bottom w:w="28" w:type="dxa"/>
          <w:right w:w="28" w:type="dxa"/>
        </w:tblCellMar>
      </w:tblPr>
      <w:tblGrid>
        <w:gridCol w:w="915"/>
        <w:gridCol w:w="805"/>
        <w:gridCol w:w="814"/>
        <w:gridCol w:w="109"/>
        <w:gridCol w:w="109"/>
        <w:gridCol w:w="109"/>
        <w:gridCol w:w="609"/>
        <w:gridCol w:w="609"/>
        <w:gridCol w:w="611"/>
        <w:gridCol w:w="109"/>
        <w:gridCol w:w="109"/>
        <w:gridCol w:w="109"/>
        <w:gridCol w:w="723"/>
        <w:gridCol w:w="723"/>
        <w:gridCol w:w="1028"/>
      </w:tblGrid>
      <w:tr>
        <w:trPr/>
        <w:tc>
          <w:tcPr>
            <w:tcW w:w="915"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 xml:space="preserve">Name of each exchange </w:t>
              <w:br/>
              <w:t>on which registered</w:t>
            </w:r>
          </w:p>
        </w:tc>
      </w:tr>
      <w:tr>
        <w:trPr/>
        <w:tc>
          <w:tcPr>
            <w:tcW w:w="25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Class A Common Stock,</w:t>
              <w:br/>
              <w:t>$0.0001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GOCO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The Nasdaq Global Market</w:t>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Securities registered pursuant to section 12(g) of the Act: None</w:t>
      </w:r>
    </w:p>
    <w:p>
      <w:pPr>
        <w:pStyle w:val="TextBody"/>
        <w:bidi w:val="0"/>
        <w:spacing w:lineRule="auto" w:line="288" w:before="120" w:after="283"/>
        <w:jc w:val="left"/>
        <w:rPr/>
      </w:pPr>
      <w:r>
        <w:rPr>
          <w:rFonts w:ascii="Arial;sans-serif" w:hAnsi="Arial;sans-serif"/>
          <w:b w:val="false"/>
          <w:color w:val="000000"/>
          <w:sz w:val="20"/>
        </w:rPr>
        <w:t>Indicate by check mark if the registrant is a well-known seasoned issuer, as defined in Rule 405 of the Securities Act. Yes  </w:t>
      </w:r>
      <w:r>
        <w:rPr>
          <w:color w:val="000000"/>
        </w:rPr>
        <w:t>☐    </w:t>
      </w:r>
      <w:r>
        <w:rPr>
          <w:rFonts w:ascii="Arial;sans-serif" w:hAnsi="Arial;sans-serif"/>
          <w:b w:val="false"/>
          <w:color w:val="000000"/>
          <w:sz w:val="20"/>
        </w:rPr>
        <w:t>No  </w:t>
      </w:r>
      <w:r>
        <w:rPr>
          <w:color w:val="000000"/>
        </w:rPr>
        <w:t>☒</w:t>
      </w:r>
    </w:p>
    <w:p>
      <w:pPr>
        <w:pStyle w:val="TextBody"/>
        <w:bidi w:val="0"/>
        <w:spacing w:lineRule="auto" w:line="288" w:before="120" w:after="283"/>
        <w:jc w:val="left"/>
        <w:rPr/>
      </w:pPr>
      <w:r>
        <w:rPr>
          <w:rFonts w:ascii="Arial;sans-serif" w:hAnsi="Arial;sans-serif"/>
          <w:b w:val="false"/>
          <w:color w:val="000000"/>
          <w:sz w:val="20"/>
        </w:rPr>
        <w:t>Indicate by check mark if the registrant is not required to file reports pursuant to Section 13 or Section 15(d) of the Act. Yes  </w:t>
      </w:r>
      <w:r>
        <w:rPr>
          <w:color w:val="000000"/>
        </w:rPr>
        <w:t>☐    </w:t>
      </w:r>
      <w:r>
        <w:rPr>
          <w:rFonts w:ascii="Arial;sans-serif" w:hAnsi="Arial;sans-serif"/>
          <w:b w:val="false"/>
          <w:color w:val="000000"/>
          <w:sz w:val="20"/>
        </w:rPr>
        <w:t>No  </w:t>
      </w:r>
      <w:r>
        <w:rPr>
          <w:color w:val="000000"/>
        </w:rPr>
        <w:t>☒</w:t>
      </w:r>
    </w:p>
    <w:p>
      <w:pPr>
        <w:pStyle w:val="TextBody"/>
        <w:bidi w:val="0"/>
        <w:spacing w:lineRule="auto" w:line="288" w:before="120" w:after="283"/>
        <w:jc w:val="left"/>
        <w:rPr/>
      </w:pPr>
      <w:r>
        <w:rPr>
          <w:rFonts w:ascii="Arial;sans-serif" w:hAnsi="Arial;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Arial;sans-serif" w:hAnsi="Arial;sans-serif"/>
          <w:b w:val="false"/>
          <w:color w:val="000000"/>
          <w:sz w:val="20"/>
        </w:rPr>
        <w:t>No  </w:t>
      </w:r>
      <w:r>
        <w:rPr>
          <w:color w:val="000000"/>
        </w:rPr>
        <w:t>☐</w:t>
      </w:r>
    </w:p>
    <w:p>
      <w:pPr>
        <w:pStyle w:val="TextBody"/>
        <w:bidi w:val="0"/>
        <w:spacing w:lineRule="auto" w:line="288" w:before="120" w:after="283"/>
        <w:jc w:val="left"/>
        <w:rPr/>
      </w:pPr>
      <w:r>
        <w:rPr>
          <w:rFonts w:ascii="Arial;sans-serif" w:hAnsi="Arial;sans-serif"/>
          <w:b w:val="false"/>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rPr>
        <w:t>☒    </w:t>
      </w:r>
      <w:r>
        <w:rPr>
          <w:rFonts w:ascii="Arial;sans-serif" w:hAnsi="Arial;sans-serif"/>
          <w:b w:val="false"/>
          <w:color w:val="000000"/>
          <w:sz w:val="20"/>
        </w:rPr>
        <w:t>No  </w:t>
      </w:r>
      <w:r>
        <w:rPr>
          <w:color w:val="000000"/>
        </w:rPr>
        <w: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823" w:type="dxa"/>
        <w:jc w:val="left"/>
        <w:tblInd w:w="0" w:type="dxa"/>
        <w:tblLayout w:type="fixed"/>
        <w:tblCellMar>
          <w:top w:w="28" w:type="dxa"/>
          <w:left w:w="28" w:type="dxa"/>
          <w:bottom w:w="28" w:type="dxa"/>
          <w:right w:w="28" w:type="dxa"/>
        </w:tblCellMar>
      </w:tblPr>
      <w:tblGrid>
        <w:gridCol w:w="739"/>
        <w:gridCol w:w="648"/>
        <w:gridCol w:w="652"/>
        <w:gridCol w:w="109"/>
        <w:gridCol w:w="109"/>
        <w:gridCol w:w="109"/>
        <w:gridCol w:w="109"/>
        <w:gridCol w:w="109"/>
        <w:gridCol w:w="109"/>
        <w:gridCol w:w="810"/>
        <w:gridCol w:w="810"/>
        <w:gridCol w:w="811"/>
        <w:gridCol w:w="109"/>
        <w:gridCol w:w="109"/>
        <w:gridCol w:w="109"/>
        <w:gridCol w:w="109"/>
        <w:gridCol w:w="109"/>
        <w:gridCol w:w="154"/>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24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24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2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Arial;sans-serif" w:hAnsi="Arial;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20" w:after="283"/>
        <w:jc w:val="left"/>
        <w:rPr/>
      </w:pPr>
      <w:r>
        <w:rPr>
          <w:rFonts w:ascii="Arial;sans-serif" w:hAnsi="Arial;sans-serif"/>
          <w:b w:val="false"/>
          <w:color w:val="000000"/>
          <w:sz w:val="20"/>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color w:val="000000"/>
        </w:rPr>
        <w:t>☐</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 xml:space="preserve">If securities are registered pursuant to Section 12(b) of the Act, indicate by check mark whether the financial statements of the registrant included in the filing reflect the correction of an error to previously issued financial statements. </w:t>
      </w:r>
      <w:r>
        <w:rPr>
          <w:color w:val="000000"/>
        </w:rPr>
        <w:t>☐</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color w:val="000000"/>
        </w:rPr>
        <w:t>☐</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Indicate by check mark whether the registrant is a shell company (as defined in Rule 12b-2 of the Act).    Yes  </w:t>
      </w:r>
      <w:r>
        <w:rPr>
          <w:color w:val="000000"/>
        </w:rPr>
        <w:t>☐    </w:t>
      </w:r>
      <w:r>
        <w:rPr>
          <w:rFonts w:ascii="Arial;sans-serif" w:hAnsi="Arial;sans-serif"/>
          <w:b w:val="false"/>
          <w:color w:val="000000"/>
          <w:sz w:val="20"/>
        </w:rPr>
        <w:t>No  </w:t>
      </w:r>
      <w:r>
        <w:rPr>
          <w:color w:val="000000"/>
        </w:rPr>
        <w: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Based on the closing price of the registrant’s common stock on the last business day of the registrant’s most recently completed second fiscal quarter, which was June 30, 2025, the aggregate market value of its shares (based on a closing price of $5.55 per share) held by non-affiliates was $32.9 million.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As of March 24, 2026, the registrant had 16,225,250 shares of Class A common stock, $0.0001 par value per share, outstanding and 12,620,884 shares of Class B common stock, $0.0001 par value per share, outstanding.</w:t>
      </w:r>
    </w:p>
    <w:p>
      <w:pPr>
        <w:pStyle w:val="TextBody"/>
        <w:bidi w:val="0"/>
        <w:spacing w:before="120" w:after="283"/>
        <w:jc w:val="left"/>
        <w:rPr/>
      </w:pPr>
      <w:r>
        <w:rPr/>
      </w:r>
    </w:p>
    <w:p>
      <w:pPr>
        <w:pStyle w:val="TextBody"/>
        <w:bidi w:val="0"/>
        <w:spacing w:before="120" w:after="283"/>
        <w:jc w:val="center"/>
        <w:rPr/>
      </w:pPr>
      <w:r>
        <w:rPr/>
      </w:r>
    </w:p>
    <w:p>
      <w:pPr>
        <w:pStyle w:val="TextBody"/>
        <w:bidi w:val="0"/>
        <w:spacing w:before="12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684530"/>
                <wp:effectExtent l="0" t="0" r="0" b="0"/>
                <wp:wrapNone/>
                <wp:docPr id="3" name="Frame2"/>
                <a:graphic xmlns:a="http://schemas.openxmlformats.org/drawingml/2006/main">
                  <a:graphicData uri="http://schemas.microsoft.com/office/word/2010/wordprocessingShape">
                    <wps:wsp>
                      <wps:cNvSpPr txBox="1"/>
                      <wps:spPr>
                        <a:xfrm>
                          <a:off x="0" y="0"/>
                          <a:ext cx="6480175" cy="68453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9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120" w:after="283"/>
        <w:jc w:val="center"/>
        <w:rPr>
          <w:rFonts w:ascii="Arial;sans-serif" w:hAnsi="Arial;sans-serif"/>
          <w:b/>
          <w:color w:val="000000"/>
          <w:sz w:val="18"/>
        </w:rPr>
      </w:pPr>
      <w:r>
        <w:rPr>
          <w:rFonts w:ascii="Arial;sans-serif" w:hAnsi="Arial;sans-serif"/>
          <w:b/>
          <w:color w:val="000000"/>
          <w:sz w:val="18"/>
        </w:rPr>
        <w:t>DOCUMENTS INCORPORATED BY REFERENCE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Portions of the registrant’s Definitive Proxy Statement for the 2026 Annual Meeting of Stockholders, which is expected to be filed within 120 days after the Company’s fiscal year ended December 31, 2025, are incorporated by reference into Part III of this Annual Report on Form 10-K to the extent stated herein.</w:t>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684530"/>
                <wp:effectExtent l="0" t="0" r="0" b="0"/>
                <wp:wrapNone/>
                <wp:docPr id="4" name="Frame3"/>
                <a:graphic xmlns:a="http://schemas.openxmlformats.org/drawingml/2006/main">
                  <a:graphicData uri="http://schemas.microsoft.com/office/word/2010/wordprocessingShape">
                    <wps:wsp>
                      <wps:cNvSpPr txBox="1"/>
                      <wps:spPr>
                        <a:xfrm>
                          <a:off x="0" y="0"/>
                          <a:ext cx="6480175" cy="68453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9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center"/>
        <w:rPr>
          <w:rFonts w:ascii="Arial;sans-serif" w:hAnsi="Arial;sans-serif"/>
          <w:b/>
          <w:color w:val="000000"/>
          <w:sz w:val="18"/>
        </w:rPr>
      </w:pPr>
      <w:r>
        <w:rPr>
          <w:rFonts w:ascii="Arial;sans-serif" w:hAnsi="Arial;sans-serif"/>
          <w:b/>
          <w:color w:val="000000"/>
          <w:sz w:val="18"/>
        </w:rPr>
        <w:t>TABLE OF CONTENTS</w:t>
      </w:r>
    </w:p>
    <w:tbl>
      <w:tblPr>
        <w:tblW w:w="10205" w:type="dxa"/>
        <w:jc w:val="center"/>
        <w:tblInd w:w="0" w:type="dxa"/>
        <w:tblLayout w:type="fixed"/>
        <w:tblCellMar>
          <w:top w:w="28" w:type="dxa"/>
          <w:left w:w="28" w:type="dxa"/>
          <w:bottom w:w="28" w:type="dxa"/>
          <w:right w:w="28" w:type="dxa"/>
        </w:tblCellMar>
      </w:tblPr>
      <w:tblGrid>
        <w:gridCol w:w="310"/>
        <w:gridCol w:w="272"/>
        <w:gridCol w:w="274"/>
        <w:gridCol w:w="136"/>
        <w:gridCol w:w="136"/>
        <w:gridCol w:w="136"/>
        <w:gridCol w:w="2746"/>
        <w:gridCol w:w="2502"/>
        <w:gridCol w:w="2474"/>
        <w:gridCol w:w="136"/>
        <w:gridCol w:w="136"/>
        <w:gridCol w:w="136"/>
        <w:gridCol w:w="236"/>
        <w:gridCol w:w="236"/>
        <w:gridCol w:w="339"/>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sz w:val="4"/>
                <w:szCs w:val="4"/>
              </w:rPr>
            </w:pPr>
            <w:r>
              <w:rPr>
                <w:sz w:val="4"/>
                <w:szCs w:val="4"/>
              </w:rPr>
            </w:r>
          </w:p>
        </w:tc>
        <w:tc>
          <w:tcPr>
            <w:tcW w:w="247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PAGE</w:t>
            </w:r>
          </w:p>
        </w:tc>
      </w:tr>
      <w:tr>
        <w:trPr/>
        <w:tc>
          <w:tcPr>
            <w:tcW w:w="10205" w:type="dxa"/>
            <w:gridSpan w:val="15"/>
            <w:tcBorders/>
            <w:shd w:fill="0A2299"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PART I</w:t>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1.</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3e4a906b9a144b9b8430bf0593013fb_19">
              <w:r>
                <w:rPr>
                  <w:rStyle w:val="InternetLink"/>
                  <w:rFonts w:ascii="Arial;sans-serif" w:hAnsi="Arial;sans-serif"/>
                  <w:b w:val="false"/>
                  <w:color w:val="0000FF"/>
                  <w:sz w:val="18"/>
                  <w:u w:val="single"/>
                </w:rPr>
                <w:t>BUSINESS</w:t>
              </w:r>
            </w:hyperlink>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3e4a906b9a144b9b8430bf0593013fb_19">
              <w:r>
                <w:rPr>
                  <w:rStyle w:val="InternetLink"/>
                  <w:rFonts w:ascii="Arial;sans-serif" w:hAnsi="Arial;sans-serif"/>
                  <w:b w:val="false"/>
                  <w:color w:val="0000FF"/>
                  <w:sz w:val="18"/>
                  <w:u w:val="single"/>
                </w:rPr>
                <w:t>5</w:t>
              </w:r>
            </w:hyperlink>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1A.</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3e4a906b9a144b9b8430bf0593013fb_22">
              <w:r>
                <w:rPr>
                  <w:rStyle w:val="InternetLink"/>
                  <w:rFonts w:ascii="Arial;sans-serif" w:hAnsi="Arial;sans-serif"/>
                  <w:b w:val="false"/>
                  <w:color w:val="0000FF"/>
                  <w:sz w:val="18"/>
                  <w:u w:val="single"/>
                </w:rPr>
                <w:t>RISK FACTORS</w:t>
              </w:r>
            </w:hyperlink>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3e4a906b9a144b9b8430bf0593013fb_22">
              <w:r>
                <w:rPr>
                  <w:rStyle w:val="InternetLink"/>
                  <w:rFonts w:ascii="Arial;sans-serif" w:hAnsi="Arial;sans-serif"/>
                  <w:b w:val="false"/>
                  <w:color w:val="0000FF"/>
                  <w:sz w:val="18"/>
                  <w:u w:val="single"/>
                </w:rPr>
                <w:t>13</w:t>
              </w:r>
            </w:hyperlink>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1B.</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3e4a906b9a144b9b8430bf0593013fb_25">
              <w:r>
                <w:rPr>
                  <w:rStyle w:val="InternetLink"/>
                  <w:rFonts w:ascii="Arial;sans-serif" w:hAnsi="Arial;sans-serif"/>
                  <w:b w:val="false"/>
                  <w:color w:val="0000FF"/>
                  <w:sz w:val="18"/>
                  <w:u w:val="single"/>
                </w:rPr>
                <w:t>UNRESOLVED STAFF COMMENTS</w:t>
              </w:r>
            </w:hyperlink>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3e4a906b9a144b9b8430bf0593013fb_25">
              <w:r>
                <w:rPr>
                  <w:rStyle w:val="InternetLink"/>
                  <w:rFonts w:ascii="Arial;sans-serif" w:hAnsi="Arial;sans-serif"/>
                  <w:b w:val="false"/>
                  <w:color w:val="0000FF"/>
                  <w:sz w:val="18"/>
                  <w:u w:val="single"/>
                </w:rPr>
                <w:t>44</w:t>
              </w:r>
            </w:hyperlink>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ITEM 1C.</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3e4a906b9a144b9b8430bf0593013fb_28">
              <w:r>
                <w:rPr>
                  <w:rStyle w:val="InternetLink"/>
                  <w:rFonts w:ascii="Arial;sans-serif" w:hAnsi="Arial;sans-serif"/>
                  <w:b w:val="false"/>
                  <w:color w:val="0000FF"/>
                  <w:sz w:val="18"/>
                  <w:u w:val="single"/>
                </w:rPr>
                <w:t>CYBERSECURITY</w:t>
              </w:r>
            </w:hyperlink>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3e4a906b9a144b9b8430bf0593013fb_28">
              <w:r>
                <w:rPr>
                  <w:rStyle w:val="InternetLink"/>
                  <w:rFonts w:ascii="Arial;sans-serif" w:hAnsi="Arial;sans-serif"/>
                  <w:b w:val="false"/>
                  <w:color w:val="0000FF"/>
                  <w:sz w:val="18"/>
                  <w:u w:val="single"/>
                </w:rPr>
                <w:t>44</w:t>
              </w:r>
            </w:hyperlink>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2.</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3e4a906b9a144b9b8430bf0593013fb_31">
              <w:r>
                <w:rPr>
                  <w:rStyle w:val="InternetLink"/>
                  <w:rFonts w:ascii="Arial;sans-serif" w:hAnsi="Arial;sans-serif"/>
                  <w:b w:val="false"/>
                  <w:color w:val="0000FF"/>
                  <w:sz w:val="18"/>
                  <w:u w:val="single"/>
                </w:rPr>
                <w:t>PROPERTIES</w:t>
              </w:r>
            </w:hyperlink>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3e4a906b9a144b9b8430bf0593013fb_31">
              <w:r>
                <w:rPr>
                  <w:rStyle w:val="InternetLink"/>
                  <w:rFonts w:ascii="Arial;sans-serif" w:hAnsi="Arial;sans-serif"/>
                  <w:b w:val="false"/>
                  <w:color w:val="0000FF"/>
                  <w:sz w:val="18"/>
                  <w:u w:val="single"/>
                </w:rPr>
                <w:t>45</w:t>
              </w:r>
            </w:hyperlink>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3.</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3e4a906b9a144b9b8430bf0593013fb_34">
              <w:r>
                <w:rPr>
                  <w:rStyle w:val="InternetLink"/>
                  <w:rFonts w:ascii="Arial;sans-serif" w:hAnsi="Arial;sans-serif"/>
                  <w:b w:val="false"/>
                  <w:color w:val="0000FF"/>
                  <w:sz w:val="18"/>
                  <w:u w:val="single"/>
                </w:rPr>
                <w:t>LEGAL PROCEEDINGS</w:t>
              </w:r>
            </w:hyperlink>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3e4a906b9a144b9b8430bf0593013fb_34">
              <w:r>
                <w:rPr>
                  <w:rStyle w:val="InternetLink"/>
                  <w:rFonts w:ascii="Arial;sans-serif" w:hAnsi="Arial;sans-serif"/>
                  <w:b w:val="false"/>
                  <w:color w:val="0000FF"/>
                  <w:sz w:val="18"/>
                  <w:u w:val="single"/>
                </w:rPr>
                <w:t>45</w:t>
              </w:r>
            </w:hyperlink>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4.</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3e4a906b9a144b9b8430bf0593013fb_37">
              <w:r>
                <w:rPr>
                  <w:rStyle w:val="InternetLink"/>
                  <w:rFonts w:ascii="Arial;sans-serif" w:hAnsi="Arial;sans-serif"/>
                  <w:b w:val="false"/>
                  <w:color w:val="0000FF"/>
                  <w:sz w:val="18"/>
                  <w:u w:val="single"/>
                </w:rPr>
                <w:t>MINE SAFETY DISCLOSURES</w:t>
              </w:r>
            </w:hyperlink>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3e4a906b9a144b9b8430bf0593013fb_37">
              <w:r>
                <w:rPr>
                  <w:rStyle w:val="InternetLink"/>
                  <w:rFonts w:ascii="Arial;sans-serif" w:hAnsi="Arial;sans-serif"/>
                  <w:b w:val="false"/>
                  <w:color w:val="0000FF"/>
                  <w:sz w:val="18"/>
                  <w:u w:val="single"/>
                </w:rPr>
                <w:t>45</w:t>
              </w:r>
            </w:hyperlink>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3e4a906b9a144b9b8430bf0593013fb_40">
              <w:r>
                <w:rPr>
                  <w:rStyle w:val="InternetLink"/>
                  <w:rFonts w:ascii="Arial;sans-serif" w:hAnsi="Arial;sans-serif"/>
                  <w:b w:val="false"/>
                  <w:color w:val="0000FF"/>
                  <w:sz w:val="18"/>
                  <w:u w:val="single"/>
                </w:rPr>
                <w:t>INFORMATION ABOUT OUR EXECUTIVE OFFICERS</w:t>
              </w:r>
            </w:hyperlink>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3e4a906b9a144b9b8430bf0593013fb_40">
              <w:r>
                <w:rPr>
                  <w:rStyle w:val="InternetLink"/>
                  <w:rFonts w:ascii="Arial;sans-serif" w:hAnsi="Arial;sans-serif"/>
                  <w:b w:val="false"/>
                  <w:color w:val="0000FF"/>
                  <w:sz w:val="18"/>
                  <w:u w:val="single"/>
                </w:rPr>
                <w:t>45</w:t>
              </w:r>
            </w:hyperlink>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shd w:fill="0A2299"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PART II</w:t>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5.</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3e4a906b9a144b9b8430bf0593013fb_46">
              <w:r>
                <w:rPr>
                  <w:rStyle w:val="InternetLink"/>
                  <w:rFonts w:ascii="Arial;sans-serif" w:hAnsi="Arial;sans-serif"/>
                  <w:b w:val="false"/>
                  <w:color w:val="0000FF"/>
                  <w:sz w:val="18"/>
                  <w:u w:val="single"/>
                </w:rPr>
                <w:t>MARKET FOR REGISTRANT’S COMMON EQUITY, RELATED STOCKHOLDER MATTERS AND ISSUER PURCHASES OF EQUITY SECURITIES</w:t>
              </w:r>
            </w:hyperlink>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3e4a906b9a144b9b8430bf0593013fb_46">
              <w:r>
                <w:rPr>
                  <w:rStyle w:val="InternetLink"/>
                  <w:rFonts w:ascii="Arial;sans-serif" w:hAnsi="Arial;sans-serif"/>
                  <w:b w:val="false"/>
                  <w:color w:val="0000FF"/>
                  <w:sz w:val="18"/>
                  <w:u w:val="single"/>
                </w:rPr>
                <w:t>47</w:t>
              </w:r>
            </w:hyperlink>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6.</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3e4a906b9a144b9b8430bf0593013fb_49">
              <w:r>
                <w:rPr>
                  <w:rStyle w:val="InternetLink"/>
                  <w:rFonts w:ascii="Arial;sans-serif" w:hAnsi="Arial;sans-serif"/>
                  <w:b w:val="false"/>
                  <w:color w:val="0000FF"/>
                  <w:sz w:val="18"/>
                  <w:u w:val="single"/>
                </w:rPr>
                <w:t>[RESERVED]</w:t>
              </w:r>
            </w:hyperlink>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3e4a906b9a144b9b8430bf0593013fb_49">
              <w:r>
                <w:rPr>
                  <w:rStyle w:val="InternetLink"/>
                  <w:rFonts w:ascii="Arial;sans-serif" w:hAnsi="Arial;sans-serif"/>
                  <w:b w:val="false"/>
                  <w:color w:val="0000FF"/>
                  <w:sz w:val="18"/>
                  <w:u w:val="single"/>
                </w:rPr>
                <w:t>47</w:t>
              </w:r>
            </w:hyperlink>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7.</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3e4a906b9a144b9b8430bf0593013fb_52">
              <w:r>
                <w:rPr>
                  <w:rStyle w:val="InternetLink"/>
                  <w:rFonts w:ascii="Arial;sans-serif" w:hAnsi="Arial;sans-serif"/>
                  <w:b w:val="false"/>
                  <w:color w:val="0000FF"/>
                  <w:sz w:val="18"/>
                  <w:u w:val="single"/>
                </w:rPr>
                <w:t>MANAGEMENT’S DISCUSSION AND ANALYSIS OF FINANCIAL CONDITION AND RESULTS OF OPERATIONS</w:t>
              </w:r>
            </w:hyperlink>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3e4a906b9a144b9b8430bf0593013fb_52">
              <w:r>
                <w:rPr>
                  <w:rStyle w:val="InternetLink"/>
                  <w:rFonts w:ascii="Arial;sans-serif" w:hAnsi="Arial;sans-serif"/>
                  <w:b w:val="false"/>
                  <w:color w:val="0000FF"/>
                  <w:sz w:val="18"/>
                  <w:u w:val="single"/>
                </w:rPr>
                <w:t>47</w:t>
              </w:r>
            </w:hyperlink>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7A.</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3e4a906b9a144b9b8430bf0593013fb_85">
              <w:r>
                <w:rPr>
                  <w:rStyle w:val="InternetLink"/>
                  <w:rFonts w:ascii="Arial;sans-serif" w:hAnsi="Arial;sans-serif"/>
                  <w:b w:val="false"/>
                  <w:color w:val="0000FF"/>
                  <w:sz w:val="18"/>
                  <w:u w:val="single"/>
                </w:rPr>
                <w:t>QUANTITATIVE AND QUALITATIVE DISCLOSURES ABOUT MARKET RISK</w:t>
              </w:r>
            </w:hyperlink>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3e4a906b9a144b9b8430bf0593013fb_85">
              <w:r>
                <w:rPr>
                  <w:rStyle w:val="InternetLink"/>
                  <w:rFonts w:ascii="Arial;sans-serif" w:hAnsi="Arial;sans-serif"/>
                  <w:b w:val="false"/>
                  <w:color w:val="0000FF"/>
                  <w:sz w:val="18"/>
                  <w:u w:val="single"/>
                </w:rPr>
                <w:t>61</w:t>
              </w:r>
            </w:hyperlink>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8.</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3e4a906b9a144b9b8430bf0593013fb_88">
              <w:r>
                <w:rPr>
                  <w:rStyle w:val="InternetLink"/>
                  <w:rFonts w:ascii="Arial;sans-serif" w:hAnsi="Arial;sans-serif"/>
                  <w:b w:val="false"/>
                  <w:color w:val="0000FF"/>
                  <w:sz w:val="18"/>
                  <w:u w:val="single"/>
                </w:rPr>
                <w:t>FINANCIAL STATEMENTS AND SUPPLEMENTARY DATA</w:t>
              </w:r>
            </w:hyperlink>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3e4a906b9a144b9b8430bf0593013fb_88">
              <w:r>
                <w:rPr>
                  <w:rStyle w:val="InternetLink"/>
                  <w:rFonts w:ascii="Arial;sans-serif" w:hAnsi="Arial;sans-serif"/>
                  <w:b w:val="false"/>
                  <w:color w:val="0000FF"/>
                  <w:sz w:val="18"/>
                  <w:u w:val="single"/>
                </w:rPr>
                <w:t>62</w:t>
              </w:r>
            </w:hyperlink>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3e4a906b9a144b9b8430bf0593013fb_97">
              <w:r>
                <w:rPr>
                  <w:rStyle w:val="InternetLink"/>
                  <w:rFonts w:ascii="Arial;sans-serif" w:hAnsi="Arial;sans-serif"/>
                  <w:b w:val="false"/>
                  <w:color w:val="0000FF"/>
                  <w:sz w:val="18"/>
                  <w:u w:val="single"/>
                </w:rPr>
                <w:t>CONSOLIDATED STATEMENTS OF OPERATIONS</w:t>
              </w:r>
            </w:hyperlink>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3e4a906b9a144b9b8430bf0593013fb_97">
              <w:r>
                <w:rPr>
                  <w:rStyle w:val="InternetLink"/>
                  <w:rFonts w:ascii="Arial;sans-serif" w:hAnsi="Arial;sans-serif"/>
                  <w:b w:val="false"/>
                  <w:color w:val="0000FF"/>
                  <w:sz w:val="18"/>
                  <w:u w:val="single"/>
                </w:rPr>
                <w:t>64</w:t>
              </w:r>
            </w:hyperlink>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3e4a906b9a144b9b8430bf0593013fb_100">
              <w:r>
                <w:rPr>
                  <w:rStyle w:val="InternetLink"/>
                  <w:rFonts w:ascii="Arial;sans-serif" w:hAnsi="Arial;sans-serif"/>
                  <w:b w:val="false"/>
                  <w:color w:val="0000FF"/>
                  <w:sz w:val="18"/>
                  <w:u w:val="single"/>
                </w:rPr>
                <w:t>CONSOLIDATED STATEMENTS OF COMPREHENSIVE INCOME (LOSS)</w:t>
              </w:r>
            </w:hyperlink>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3e4a906b9a144b9b8430bf0593013fb_100">
              <w:r>
                <w:rPr>
                  <w:rStyle w:val="InternetLink"/>
                  <w:rFonts w:ascii="Arial;sans-serif" w:hAnsi="Arial;sans-serif"/>
                  <w:b w:val="false"/>
                  <w:color w:val="0000FF"/>
                  <w:sz w:val="18"/>
                  <w:u w:val="single"/>
                </w:rPr>
                <w:t>65</w:t>
              </w:r>
            </w:hyperlink>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3e4a906b9a144b9b8430bf0593013fb_103">
              <w:r>
                <w:rPr>
                  <w:rStyle w:val="InternetLink"/>
                  <w:rFonts w:ascii="Arial;sans-serif" w:hAnsi="Arial;sans-serif"/>
                  <w:b w:val="false"/>
                  <w:color w:val="0000FF"/>
                  <w:sz w:val="18"/>
                  <w:u w:val="single"/>
                </w:rPr>
                <w:t>CONSOLIDATED BALANCE SHEETS</w:t>
              </w:r>
            </w:hyperlink>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3e4a906b9a144b9b8430bf0593013fb_103">
              <w:r>
                <w:rPr>
                  <w:rStyle w:val="InternetLink"/>
                  <w:rFonts w:ascii="Arial;sans-serif" w:hAnsi="Arial;sans-serif"/>
                  <w:b w:val="false"/>
                  <w:color w:val="0000FF"/>
                  <w:sz w:val="18"/>
                  <w:u w:val="single"/>
                </w:rPr>
                <w:t>66</w:t>
              </w:r>
            </w:hyperlink>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3e4a906b9a144b9b8430bf0593013fb_106">
              <w:r>
                <w:rPr>
                  <w:rStyle w:val="InternetLink"/>
                  <w:rFonts w:ascii="Arial;sans-serif" w:hAnsi="Arial;sans-serif"/>
                  <w:b w:val="false"/>
                  <w:color w:val="0000FF"/>
                  <w:sz w:val="18"/>
                  <w:u w:val="single"/>
                </w:rPr>
                <w:t>CONSOLIDATED STATEMENTS OF CHANGES IN STOCKHOLDERS’ EQUITY</w:t>
              </w:r>
            </w:hyperlink>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3e4a906b9a144b9b8430bf0593013fb_106">
              <w:r>
                <w:rPr>
                  <w:rStyle w:val="InternetLink"/>
                  <w:rFonts w:ascii="Arial;sans-serif" w:hAnsi="Arial;sans-serif"/>
                  <w:b w:val="false"/>
                  <w:color w:val="0000FF"/>
                  <w:sz w:val="18"/>
                  <w:u w:val="single"/>
                </w:rPr>
                <w:t>67</w:t>
              </w:r>
            </w:hyperlink>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3e4a906b9a144b9b8430bf0593013fb_109">
              <w:r>
                <w:rPr>
                  <w:rStyle w:val="InternetLink"/>
                  <w:rFonts w:ascii="Arial;sans-serif" w:hAnsi="Arial;sans-serif"/>
                  <w:b w:val="false"/>
                  <w:color w:val="0000FF"/>
                  <w:sz w:val="18"/>
                  <w:u w:val="single"/>
                </w:rPr>
                <w:t>CONSOLIDATED STATEMENTS OF CASH FLOWS</w:t>
              </w:r>
            </w:hyperlink>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3e4a906b9a144b9b8430bf0593013fb_109">
              <w:r>
                <w:rPr>
                  <w:rStyle w:val="InternetLink"/>
                  <w:rFonts w:ascii="Arial;sans-serif" w:hAnsi="Arial;sans-serif"/>
                  <w:b w:val="false"/>
                  <w:color w:val="0000FF"/>
                  <w:sz w:val="18"/>
                  <w:u w:val="single"/>
                </w:rPr>
                <w:t>69</w:t>
              </w:r>
            </w:hyperlink>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3e4a906b9a144b9b8430bf0593013fb_112">
              <w:r>
                <w:rPr>
                  <w:rStyle w:val="InternetLink"/>
                  <w:rFonts w:ascii="Arial;sans-serif" w:hAnsi="Arial;sans-serif"/>
                  <w:b w:val="false"/>
                  <w:color w:val="0000FF"/>
                  <w:sz w:val="18"/>
                  <w:u w:val="single"/>
                </w:rPr>
                <w:t>NOTES TO CONSOLIDATED FINANCIAL STATEMENTS</w:t>
              </w:r>
            </w:hyperlink>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3e4a906b9a144b9b8430bf0593013fb_112">
              <w:r>
                <w:rPr>
                  <w:rStyle w:val="InternetLink"/>
                  <w:rFonts w:ascii="Arial;sans-serif" w:hAnsi="Arial;sans-serif"/>
                  <w:b w:val="false"/>
                  <w:color w:val="0000FF"/>
                  <w:sz w:val="18"/>
                  <w:u w:val="single"/>
                </w:rPr>
                <w:t>70</w:t>
              </w:r>
            </w:hyperlink>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 xml:space="preserve">The report of GoHealth Inc.’s independent registered public accounting firm (PCAOB ID:42) with respect to the above-referenced financial statements are included in Item 8 of this Annual Report on Form 10-K at the page number referenced herein. Their consent appears as Exhibit 23.1 of this Annual Report on Form 10-K. </w:t>
            </w:r>
          </w:p>
          <w:p>
            <w:pPr>
              <w:pStyle w:val="TableContents"/>
              <w:bidi w:val="0"/>
              <w:spacing w:before="0" w:after="0"/>
              <w:jc w:val="left"/>
              <w:rPr/>
            </w:pPr>
            <w:r>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9.</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3e4a906b9a144b9b8430bf0593013fb_175">
              <w:r>
                <w:rPr>
                  <w:rStyle w:val="InternetLink"/>
                  <w:rFonts w:ascii="Arial;sans-serif" w:hAnsi="Arial;sans-serif"/>
                  <w:b w:val="false"/>
                  <w:color w:val="0000FF"/>
                  <w:sz w:val="18"/>
                  <w:u w:val="single"/>
                </w:rPr>
                <w:t>CHANGES IN AND DISAGREEMENTS WITH ACCOUNTANTS ON ACCOUNTING AND FINANCIAL DISCLOSURE</w:t>
              </w:r>
            </w:hyperlink>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3e4a906b9a144b9b8430bf0593013fb_175">
              <w:r>
                <w:rPr>
                  <w:rStyle w:val="InternetLink"/>
                  <w:rFonts w:ascii="Arial;sans-serif" w:hAnsi="Arial;sans-serif"/>
                  <w:b w:val="false"/>
                  <w:color w:val="0000FF"/>
                  <w:sz w:val="18"/>
                  <w:u w:val="single"/>
                </w:rPr>
                <w:t>99</w:t>
              </w:r>
            </w:hyperlink>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9A.</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3e4a906b9a144b9b8430bf0593013fb_178">
              <w:r>
                <w:rPr>
                  <w:rStyle w:val="InternetLink"/>
                  <w:rFonts w:ascii="Arial;sans-serif" w:hAnsi="Arial;sans-serif"/>
                  <w:b w:val="false"/>
                  <w:color w:val="0000FF"/>
                  <w:sz w:val="18"/>
                  <w:u w:val="single"/>
                </w:rPr>
                <w:t>CONTROLS AND PROCEDURES</w:t>
              </w:r>
            </w:hyperlink>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3e4a906b9a144b9b8430bf0593013fb_178">
              <w:r>
                <w:rPr>
                  <w:rStyle w:val="InternetLink"/>
                  <w:rFonts w:ascii="Arial;sans-serif" w:hAnsi="Arial;sans-serif"/>
                  <w:b w:val="false"/>
                  <w:color w:val="0000FF"/>
                  <w:sz w:val="18"/>
                  <w:u w:val="single"/>
                </w:rPr>
                <w:t>99</w:t>
              </w:r>
            </w:hyperlink>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9B.</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3e4a906b9a144b9b8430bf0593013fb_184">
              <w:r>
                <w:rPr>
                  <w:rStyle w:val="InternetLink"/>
                  <w:rFonts w:ascii="Arial;sans-serif" w:hAnsi="Arial;sans-serif"/>
                  <w:b w:val="false"/>
                  <w:color w:val="0000FF"/>
                  <w:sz w:val="18"/>
                  <w:u w:val="single"/>
                </w:rPr>
                <w:t>OTHER INFORMATION</w:t>
              </w:r>
            </w:hyperlink>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3e4a906b9a144b9b8430bf0593013fb_184">
              <w:r>
                <w:rPr>
                  <w:rStyle w:val="InternetLink"/>
                  <w:rFonts w:ascii="Arial;sans-serif" w:hAnsi="Arial;sans-serif"/>
                  <w:b w:val="false"/>
                  <w:color w:val="0000FF"/>
                  <w:sz w:val="18"/>
                  <w:u w:val="single"/>
                </w:rPr>
                <w:t>99</w:t>
              </w:r>
            </w:hyperlink>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9C.</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3e4a906b9a144b9b8430bf0593013fb_187">
              <w:r>
                <w:rPr>
                  <w:rStyle w:val="InternetLink"/>
                  <w:rFonts w:ascii="Arial;sans-serif" w:hAnsi="Arial;sans-serif"/>
                  <w:b w:val="false"/>
                  <w:color w:val="0000FF"/>
                  <w:sz w:val="18"/>
                  <w:u w:val="single"/>
                </w:rPr>
                <w:t>DISCLOSURE REGARDING FOREIGN JURISDICTIONS THAT PREVENT INSPECTIONS</w:t>
              </w:r>
            </w:hyperlink>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3e4a906b9a144b9b8430bf0593013fb_187">
              <w:r>
                <w:rPr>
                  <w:rStyle w:val="InternetLink"/>
                  <w:rFonts w:ascii="Arial;sans-serif" w:hAnsi="Arial;sans-serif"/>
                  <w:b w:val="false"/>
                  <w:color w:val="0000FF"/>
                  <w:sz w:val="18"/>
                  <w:u w:val="single"/>
                </w:rPr>
                <w:t>99</w:t>
              </w:r>
            </w:hyperlink>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shd w:fill="0A2299"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PART III</w:t>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10.</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3e4a906b9a144b9b8430bf0593013fb_193">
              <w:r>
                <w:rPr>
                  <w:rStyle w:val="InternetLink"/>
                  <w:rFonts w:ascii="Arial;sans-serif" w:hAnsi="Arial;sans-serif"/>
                  <w:b w:val="false"/>
                  <w:color w:val="0000FF"/>
                  <w:sz w:val="18"/>
                  <w:u w:val="single"/>
                </w:rPr>
                <w:t>DIRECTORS, EXECUTIVE OFFICERS AND CORPORATE GOVERNANCE</w:t>
              </w:r>
            </w:hyperlink>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3e4a906b9a144b9b8430bf0593013fb_193">
              <w:r>
                <w:rPr>
                  <w:rStyle w:val="InternetLink"/>
                  <w:rFonts w:ascii="Arial;sans-serif" w:hAnsi="Arial;sans-serif"/>
                  <w:b w:val="false"/>
                  <w:color w:val="0000FF"/>
                  <w:sz w:val="18"/>
                  <w:u w:val="single"/>
                </w:rPr>
                <w:t>100</w:t>
              </w:r>
            </w:hyperlink>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11.</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3e4a906b9a144b9b8430bf0593013fb_196">
              <w:r>
                <w:rPr>
                  <w:rStyle w:val="InternetLink"/>
                  <w:rFonts w:ascii="Arial;sans-serif" w:hAnsi="Arial;sans-serif"/>
                  <w:b w:val="false"/>
                  <w:color w:val="0000FF"/>
                  <w:sz w:val="18"/>
                  <w:u w:val="single"/>
                </w:rPr>
                <w:t>EXECUTIVE COMPENSATION</w:t>
              </w:r>
            </w:hyperlink>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3e4a906b9a144b9b8430bf0593013fb_196">
              <w:r>
                <w:rPr>
                  <w:rStyle w:val="InternetLink"/>
                  <w:rFonts w:ascii="Arial;sans-serif" w:hAnsi="Arial;sans-serif"/>
                  <w:b w:val="false"/>
                  <w:color w:val="0000FF"/>
                  <w:sz w:val="18"/>
                  <w:u w:val="single"/>
                </w:rPr>
                <w:t>100</w:t>
              </w:r>
            </w:hyperlink>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12.</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3e4a906b9a144b9b8430bf0593013fb_199">
              <w:r>
                <w:rPr>
                  <w:rStyle w:val="InternetLink"/>
                  <w:rFonts w:ascii="Arial;sans-serif" w:hAnsi="Arial;sans-serif"/>
                  <w:b w:val="false"/>
                  <w:color w:val="0000FF"/>
                  <w:sz w:val="18"/>
                  <w:u w:val="single"/>
                </w:rPr>
                <w:t>SECURITY OWNERSHIP OF CERTAIN BENEFICIAL OWNERS AND MANAGEMENT AND RELATED STOCKHOLDERS MATTERS</w:t>
              </w:r>
            </w:hyperlink>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3e4a906b9a144b9b8430bf0593013fb_199">
              <w:r>
                <w:rPr>
                  <w:rStyle w:val="InternetLink"/>
                  <w:rFonts w:ascii="Arial;sans-serif" w:hAnsi="Arial;sans-serif"/>
                  <w:b w:val="false"/>
                  <w:color w:val="0000FF"/>
                  <w:sz w:val="18"/>
                  <w:u w:val="single"/>
                </w:rPr>
                <w:t>100</w:t>
              </w:r>
            </w:hyperlink>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13.</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3e4a906b9a144b9b8430bf0593013fb_202">
              <w:r>
                <w:rPr>
                  <w:rStyle w:val="InternetLink"/>
                  <w:rFonts w:ascii="Arial;sans-serif" w:hAnsi="Arial;sans-serif"/>
                  <w:b w:val="false"/>
                  <w:color w:val="0000FF"/>
                  <w:sz w:val="18"/>
                  <w:u w:val="single"/>
                </w:rPr>
                <w:t>CERTAIN RELATIONSHIPS AND RELATED TRANSACTIONS, AND DIRECTOR INDEPENDENCE.</w:t>
              </w:r>
            </w:hyperlink>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3e4a906b9a144b9b8430bf0593013fb_202">
              <w:r>
                <w:rPr>
                  <w:rStyle w:val="InternetLink"/>
                  <w:rFonts w:ascii="Arial;sans-serif" w:hAnsi="Arial;sans-serif"/>
                  <w:b w:val="false"/>
                  <w:color w:val="0000FF"/>
                  <w:sz w:val="18"/>
                  <w:u w:val="single"/>
                </w:rPr>
                <w:t>100</w:t>
              </w:r>
            </w:hyperlink>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14.</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3e4a906b9a144b9b8430bf0593013fb_205">
              <w:r>
                <w:rPr>
                  <w:rStyle w:val="InternetLink"/>
                  <w:rFonts w:ascii="Arial;sans-serif" w:hAnsi="Arial;sans-serif"/>
                  <w:b w:val="false"/>
                  <w:color w:val="0000FF"/>
                  <w:sz w:val="18"/>
                  <w:u w:val="single"/>
                </w:rPr>
                <w:t>PRINCIPAL ACCOUNTANT FEES AND SERVICES</w:t>
              </w:r>
            </w:hyperlink>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3e4a906b9a144b9b8430bf0593013fb_205">
              <w:r>
                <w:rPr>
                  <w:rStyle w:val="InternetLink"/>
                  <w:rFonts w:ascii="Arial;sans-serif" w:hAnsi="Arial;sans-serif"/>
                  <w:b w:val="false"/>
                  <w:color w:val="0000FF"/>
                  <w:sz w:val="18"/>
                  <w:u w:val="single"/>
                </w:rPr>
                <w:t>100</w:t>
              </w:r>
            </w:hyperlink>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shd w:fill="0A2299"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PART IV</w:t>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15.</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3e4a906b9a144b9b8430bf0593013fb_211">
              <w:r>
                <w:rPr>
                  <w:rStyle w:val="InternetLink"/>
                  <w:rFonts w:ascii="Arial;sans-serif" w:hAnsi="Arial;sans-serif"/>
                  <w:b w:val="false"/>
                  <w:color w:val="0000FF"/>
                  <w:sz w:val="18"/>
                  <w:u w:val="single"/>
                </w:rPr>
                <w:t>EXHIBIT AND FINANCIAL STATEMENT SCHEDULES</w:t>
              </w:r>
            </w:hyperlink>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3e4a906b9a144b9b8430bf0593013fb_211">
              <w:r>
                <w:rPr>
                  <w:rStyle w:val="InternetLink"/>
                  <w:rFonts w:ascii="Arial;sans-serif" w:hAnsi="Arial;sans-serif"/>
                  <w:b w:val="false"/>
                  <w:color w:val="0000FF"/>
                  <w:sz w:val="18"/>
                  <w:u w:val="single"/>
                </w:rPr>
                <w:t>101</w:t>
              </w:r>
            </w:hyperlink>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16.</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3e4a906b9a144b9b8430bf0593013fb_214">
              <w:r>
                <w:rPr>
                  <w:rStyle w:val="InternetLink"/>
                  <w:rFonts w:ascii="Arial;sans-serif" w:hAnsi="Arial;sans-serif"/>
                  <w:b w:val="false"/>
                  <w:color w:val="0000FF"/>
                  <w:sz w:val="18"/>
                  <w:u w:val="single"/>
                </w:rPr>
                <w:t>FORM 10-K SUMMARY</w:t>
              </w:r>
            </w:hyperlink>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3e4a906b9a144b9b8430bf0593013fb_214">
              <w:r>
                <w:rPr>
                  <w:rStyle w:val="InternetLink"/>
                  <w:rFonts w:ascii="Arial;sans-serif" w:hAnsi="Arial;sans-serif"/>
                  <w:b w:val="false"/>
                  <w:color w:val="0000FF"/>
                  <w:sz w:val="18"/>
                  <w:u w:val="single"/>
                </w:rPr>
                <w:t>104</w:t>
              </w:r>
            </w:hyperlink>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3e4a906b9a144b9b8430bf0593013fb_217">
              <w:r>
                <w:rPr>
                  <w:rStyle w:val="InternetLink"/>
                  <w:rFonts w:ascii="Arial;sans-serif" w:hAnsi="Arial;sans-serif"/>
                  <w:b w:val="false"/>
                  <w:color w:val="0000FF"/>
                  <w:sz w:val="18"/>
                  <w:u w:val="single"/>
                </w:rPr>
                <w:t>SIGNATURES</w:t>
              </w:r>
            </w:hyperlink>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3e4a906b9a144b9b8430bf0593013fb_217">
              <w:r>
                <w:rPr>
                  <w:rStyle w:val="InternetLink"/>
                  <w:rFonts w:ascii="Arial;sans-serif" w:hAnsi="Arial;sans-serif"/>
                  <w:b w:val="false"/>
                  <w:color w:val="0000FF"/>
                  <w:sz w:val="18"/>
                  <w:u w:val="single"/>
                </w:rPr>
                <w:t>105</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27660"/>
                <wp:effectExtent l="0" t="0" r="0" b="0"/>
                <wp:wrapNone/>
                <wp:docPr id="5" name="Frame4"/>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center"/>
        <w:rPr>
          <w:rFonts w:ascii="Arial;sans-serif" w:hAnsi="Arial;sans-serif"/>
          <w:b/>
          <w:color w:val="000000"/>
          <w:sz w:val="18"/>
        </w:rPr>
      </w:pPr>
      <w:r>
        <w:rPr>
          <w:rFonts w:ascii="Arial;sans-serif" w:hAnsi="Arial;sans-serif"/>
          <w:b/>
          <w:color w:val="000000"/>
          <w:sz w:val="18"/>
        </w:rPr>
        <w:t>CAUTIONARY NOTE REGARDING FORWARD-LOOKING STATEMENTS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This Annual Report on Form 10-K contains forward-looking statements within the meaning of Section 27A of the Securities Act of 1933, as amended, (the “Securities Act”) and Section 21E of the Securities Exchange Act of 1934, as amended (the “Exchange Act”). These forward-looking statements are made in reliance upon the safe harbor provision of the Private Securities Litigation Reform Act of 1995. All statements other than statements of historical facts contained in this Annual Report on Form 10-K may be forward-looking statements. Statements regarding our liquidity, future results of operations and financial position, business strategy and plans and objectives of management for future operations, including, among others, our pursuit of strategic alternatives and other shifts in our strategy, health plans’ respective decisions related to plan offerings and associated compensation for broker services, our expected growth, future capital expenditures, debt service obligations, future ability to continue as a going concern, adoption and use of artificial intelligence technologies, and the impact on our business from regulatory changes, are forward-looking statements.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In some cases, you can identify forward-looking statements by terms such as “may,” “will,” “should,” “aims,” “expects,” “plans,” “anticipates,” “could,” “intends,” “targets,” “projects,” “contemplates,” “believes,” “estimates,” “predicts,” “potential,” “likely,” “future” or “continue” or the negative of these terms or other similar expressions. The forward-looking statements in this Annual Report on Form 10-K are only predictions, projections and other statements about future events that are based on current expectations and assumptions. Accordingly, we caution you that any such forward-looking statements are not guarantees of future performance and are subject to risks, assumptions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These forward-looking statements speak only as of the date of this Annual Report on Form 10-K and are subject to a number of important factors that could cause actual results to differ materially from those in the forward-looking statements, including the factors described in the sections in this Annual Report on Form 10-K titled “Summary Risk Factors,” “Risk Factors” and “Management’s Discussion and Analysis of Financial Condition and Results of Operations.”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You should read this Annual Report on Form 10-K and the documents that we reference in this Annual Report on Form 10-K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pStyle w:val="TextBody"/>
        <w:bidi w:val="0"/>
        <w:spacing w:lineRule="auto" w:line="288" w:before="240" w:after="283"/>
        <w:jc w:val="center"/>
        <w:rPr>
          <w:rFonts w:ascii="Arial;sans-serif" w:hAnsi="Arial;sans-serif"/>
          <w:b/>
          <w:color w:val="000000"/>
          <w:sz w:val="18"/>
        </w:rPr>
      </w:pPr>
      <w:r>
        <w:rPr>
          <w:rFonts w:ascii="Arial;sans-serif" w:hAnsi="Arial;sans-serif"/>
          <w:b/>
          <w:color w:val="000000"/>
          <w:sz w:val="18"/>
        </w:rPr>
        <w:t>CERTAIN DEFINITIONS AND KEY TERMS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As used in this Annual Report on Form 10-K, unless the context otherwise requires:</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W</w:t>
      </w:r>
      <w:r>
        <w:rPr>
          <w:rFonts w:ascii="Arial;sans-serif" w:hAnsi="Arial;sans-serif"/>
          <w:b w:val="false"/>
          <w:i/>
          <w:color w:val="000000"/>
          <w:sz w:val="18"/>
        </w:rPr>
        <w:t>e</w:t>
      </w:r>
      <w:r>
        <w:rPr>
          <w:rFonts w:ascii="Arial;sans-serif" w:hAnsi="Arial;sans-serif"/>
          <w:b w:val="false"/>
          <w:color w:val="000000"/>
          <w:sz w:val="18"/>
        </w:rPr>
        <w:t>,” “</w:t>
      </w:r>
      <w:r>
        <w:rPr>
          <w:rFonts w:ascii="Arial;sans-serif" w:hAnsi="Arial;sans-serif"/>
          <w:b w:val="false"/>
          <w:i/>
          <w:color w:val="000000"/>
          <w:sz w:val="18"/>
        </w:rPr>
        <w:t>us</w:t>
      </w:r>
      <w:r>
        <w:rPr>
          <w:rFonts w:ascii="Arial;sans-serif" w:hAnsi="Arial;sans-serif"/>
          <w:b w:val="false"/>
          <w:color w:val="000000"/>
          <w:sz w:val="18"/>
        </w:rPr>
        <w:t>,” “</w:t>
      </w:r>
      <w:r>
        <w:rPr>
          <w:rFonts w:ascii="Arial;sans-serif" w:hAnsi="Arial;sans-serif"/>
          <w:b w:val="false"/>
          <w:i/>
          <w:color w:val="000000"/>
          <w:sz w:val="18"/>
        </w:rPr>
        <w:t>our</w:t>
      </w:r>
      <w:r>
        <w:rPr>
          <w:rFonts w:ascii="Arial;sans-serif" w:hAnsi="Arial;sans-serif"/>
          <w:b w:val="false"/>
          <w:color w:val="000000"/>
          <w:sz w:val="18"/>
        </w:rPr>
        <w:t>,” the “</w:t>
      </w:r>
      <w:r>
        <w:rPr>
          <w:rFonts w:ascii="Arial;sans-serif" w:hAnsi="Arial;sans-serif"/>
          <w:b w:val="false"/>
          <w:i/>
          <w:color w:val="000000"/>
          <w:sz w:val="18"/>
        </w:rPr>
        <w:t>Company</w:t>
      </w:r>
      <w:r>
        <w:rPr>
          <w:rFonts w:ascii="Arial;sans-serif" w:hAnsi="Arial;sans-serif"/>
          <w:b w:val="false"/>
          <w:color w:val="000000"/>
          <w:sz w:val="18"/>
        </w:rPr>
        <w:t>,” “</w:t>
      </w:r>
      <w:r>
        <w:rPr>
          <w:rFonts w:ascii="Arial;sans-serif" w:hAnsi="Arial;sans-serif"/>
          <w:b w:val="false"/>
          <w:i/>
          <w:color w:val="000000"/>
          <w:sz w:val="18"/>
        </w:rPr>
        <w:t>GoHealth</w:t>
      </w:r>
      <w:r>
        <w:rPr>
          <w:color w:val="000000"/>
        </w:rPr>
        <w:t xml:space="preserve">” </w:t>
      </w:r>
      <w:r>
        <w:rPr>
          <w:rFonts w:ascii="Arial;sans-serif" w:hAnsi="Arial;sans-serif"/>
          <w:b w:val="false"/>
          <w:color w:val="000000"/>
          <w:sz w:val="18"/>
        </w:rPr>
        <w:t>and similar references refer to GoHealth, Inc., and unless otherwise stated, all of its direct and indirect subsidiaries, including GoHealth Holdings, LLC (“GHH, LLC”).</w:t>
      </w:r>
    </w:p>
    <w:p>
      <w:pPr>
        <w:pStyle w:val="TextBody"/>
        <w:bidi w:val="0"/>
        <w:spacing w:lineRule="auto" w:line="288" w:before="240" w:after="283"/>
        <w:ind w:left="0" w:right="0" w:hanging="360"/>
        <w:jc w:val="left"/>
        <w:rPr/>
      </w:pPr>
      <w:r>
        <w:rPr>
          <w:color w:val="000000"/>
        </w:rPr>
        <w:t>•“</w:t>
      </w:r>
      <w:r>
        <w:rPr>
          <w:rFonts w:ascii="Arial;sans-serif" w:hAnsi="Arial;sans-serif"/>
          <w:b w:val="false"/>
          <w:i/>
          <w:color w:val="000000"/>
          <w:sz w:val="18"/>
        </w:rPr>
        <w:t>Blocker Company</w:t>
      </w:r>
      <w:r>
        <w:rPr>
          <w:color w:val="000000"/>
        </w:rPr>
        <w:t xml:space="preserve">” </w:t>
      </w:r>
      <w:r>
        <w:rPr>
          <w:rFonts w:ascii="Arial;sans-serif" w:hAnsi="Arial;sans-serif"/>
          <w:b w:val="false"/>
          <w:color w:val="000000"/>
          <w:sz w:val="18"/>
        </w:rPr>
        <w:t>refers to an entity affiliated with Centerbridge that was an indirect owner of LLC Interests in GHH, LLC prior to the Transactions and is taxable as a corporation for U.S. federal income tax purposes.</w:t>
      </w:r>
    </w:p>
    <w:p>
      <w:pPr>
        <w:pStyle w:val="TextBody"/>
        <w:bidi w:val="0"/>
        <w:spacing w:lineRule="auto" w:line="288" w:before="240" w:after="283"/>
        <w:ind w:left="0" w:right="0" w:hanging="360"/>
        <w:jc w:val="left"/>
        <w:rPr/>
      </w:pPr>
      <w:r>
        <w:rPr>
          <w:color w:val="000000"/>
        </w:rPr>
        <w:t>•“</w:t>
      </w:r>
      <w:r>
        <w:rPr>
          <w:rFonts w:ascii="Arial;sans-serif" w:hAnsi="Arial;sans-serif"/>
          <w:b w:val="false"/>
          <w:i/>
          <w:color w:val="000000"/>
          <w:sz w:val="18"/>
        </w:rPr>
        <w:t>Blocker Shareholders</w:t>
      </w:r>
      <w:r>
        <w:rPr>
          <w:color w:val="000000"/>
        </w:rPr>
        <w:t xml:space="preserve">” </w:t>
      </w:r>
      <w:r>
        <w:rPr>
          <w:rFonts w:ascii="Arial;sans-serif" w:hAnsi="Arial;sans-serif"/>
          <w:b w:val="false"/>
          <w:color w:val="000000"/>
          <w:sz w:val="18"/>
        </w:rPr>
        <w:t>refer to entities affiliated with Centerbridge, the owners of the Blocker Company prior to the Transactions, who exchanged their interests in the Blocker Company for shares of our Class A common stock and cash in connection with the consummation of the Transactions.</w:t>
      </w:r>
    </w:p>
    <w:p>
      <w:pPr>
        <w:pStyle w:val="TextBody"/>
        <w:bidi w:val="0"/>
        <w:spacing w:lineRule="auto" w:line="288" w:before="240" w:after="283"/>
        <w:ind w:left="0" w:right="0" w:hanging="360"/>
        <w:jc w:val="left"/>
        <w:rPr/>
      </w:pPr>
      <w:r>
        <w:rPr>
          <w:color w:val="000000"/>
        </w:rPr>
        <w:t>•“</w:t>
      </w:r>
      <w:r>
        <w:rPr>
          <w:rFonts w:ascii="Arial;sans-serif" w:hAnsi="Arial;sans-serif"/>
          <w:b w:val="false"/>
          <w:i/>
          <w:color w:val="000000"/>
          <w:sz w:val="18"/>
        </w:rPr>
        <w:t>Centerbridge</w:t>
      </w:r>
      <w:r>
        <w:rPr>
          <w:color w:val="000000"/>
        </w:rPr>
        <w:t xml:space="preserve">” </w:t>
      </w:r>
      <w:r>
        <w:rPr>
          <w:rFonts w:ascii="Arial;sans-serif" w:hAnsi="Arial;sans-serif"/>
          <w:b w:val="false"/>
          <w:color w:val="000000"/>
          <w:sz w:val="18"/>
        </w:rPr>
        <w:t>refers to certain investment funds and other entities affiliated with CCP III Cayman GP Ltd., a Cayman Islands exempted company over which CCP III Cayman GP Ltd. has voting control (including any such fund or entity formed to hold shares of Class A common stock for the Blocker Shareholders).</w:t>
      </w:r>
    </w:p>
    <w:p>
      <w:pPr>
        <w:pStyle w:val="TextBody"/>
        <w:bidi w:val="0"/>
        <w:spacing w:lineRule="auto" w:line="288" w:before="240" w:after="283"/>
        <w:ind w:left="0" w:right="0" w:hanging="360"/>
        <w:jc w:val="left"/>
        <w:rPr/>
      </w:pPr>
      <w:r>
        <w:rPr>
          <w:color w:val="000000"/>
        </w:rPr>
        <w:t>•“</w:t>
      </w:r>
      <w:r>
        <w:rPr>
          <w:rFonts w:ascii="Arial;sans-serif" w:hAnsi="Arial;sans-serif"/>
          <w:b w:val="false"/>
          <w:i/>
          <w:color w:val="000000"/>
          <w:sz w:val="18"/>
        </w:rPr>
        <w:t>Continuing Equity Owners</w:t>
      </w:r>
      <w:r>
        <w:rPr>
          <w:color w:val="000000"/>
        </w:rPr>
        <w:t xml:space="preserve">” </w:t>
      </w:r>
      <w:r>
        <w:rPr>
          <w:rFonts w:ascii="Arial;sans-serif" w:hAnsi="Arial;sans-serif"/>
          <w:b w:val="false"/>
          <w:color w:val="000000"/>
          <w:sz w:val="18"/>
        </w:rPr>
        <w:t>refer collectively to direct or indirect holders of LLC Interests and our Class B common stock immediately following consummation of the Transactions, including Centerbridge, NVX Holdings, our Founders, the Former Profits Unit Holders and certain executive officers, employees and other minority investors and their respective permitted transferees who may, following the consummation of our IPO, exchange at each of their respective options (subject in certain circumstances to time-based vesting requirements and certain other restrictions), in whole or in part from time to time, their LLC Interests (along with an equal number of shares of Class B common stock (and such shares shall be immediately cancelled)) for, at our election (determined solely by our independent directors (within the meaning of the listing rules of The Nasdaq Global Market (the “Nasdaq Rules”) who are disinterested)), cash or newly-issued shares of our Class A common stock.</w:t>
      </w:r>
    </w:p>
    <w:p>
      <w:pPr>
        <w:pStyle w:val="TextBody"/>
        <w:bidi w:val="0"/>
        <w:spacing w:lineRule="auto" w:line="288" w:before="240" w:after="283"/>
        <w:ind w:left="0" w:right="0" w:hanging="360"/>
        <w:jc w:val="left"/>
        <w:rPr/>
      </w:pPr>
      <w:r>
        <w:rPr>
          <w:color w:val="000000"/>
        </w:rPr>
        <w:t>•“</w:t>
      </w:r>
      <w:r>
        <w:rPr>
          <w:rFonts w:ascii="Arial;sans-serif" w:hAnsi="Arial;sans-serif"/>
          <w:b w:val="false"/>
          <w:i/>
          <w:color w:val="000000"/>
          <w:sz w:val="18"/>
        </w:rPr>
        <w:t>Founders</w:t>
      </w:r>
      <w:r>
        <w:rPr>
          <w:color w:val="000000"/>
        </w:rPr>
        <w:t xml:space="preserve">” </w:t>
      </w:r>
      <w:r>
        <w:rPr>
          <w:rFonts w:ascii="Arial;sans-serif" w:hAnsi="Arial;sans-serif"/>
          <w:b w:val="false"/>
          <w:color w:val="000000"/>
          <w:sz w:val="18"/>
        </w:rPr>
        <w:t>refer to Brandon Cruz, our Co-Founder and Co-Chairman of the Board of Directors and Clinton Jones, our Co-Founder and Co-Chairman of the Board of Directors.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716280"/>
                <wp:effectExtent l="0" t="0" r="0" b="0"/>
                <wp:wrapNone/>
                <wp:docPr id="6" name="Frame5"/>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832"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09"/>
                              <w:gridCol w:w="109"/>
                              <w:gridCol w:w="154"/>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37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832"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09"/>
                        <w:gridCol w:w="109"/>
                        <w:gridCol w:w="154"/>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37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1</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ind w:left="0" w:right="0" w:hanging="360"/>
        <w:jc w:val="left"/>
        <w:rPr/>
      </w:pPr>
      <w:r>
        <w:rPr>
          <w:color w:val="000000"/>
        </w:rPr>
        <w:t>•“</w:t>
      </w:r>
      <w:r>
        <w:rPr>
          <w:rFonts w:ascii="Arial;sans-serif" w:hAnsi="Arial;sans-serif"/>
          <w:b w:val="false"/>
          <w:i/>
          <w:color w:val="000000"/>
          <w:sz w:val="18"/>
        </w:rPr>
        <w:t>Former Profits Unit Holders</w:t>
      </w:r>
      <w:r>
        <w:rPr>
          <w:color w:val="000000"/>
        </w:rPr>
        <w:t xml:space="preserve">” </w:t>
      </w:r>
      <w:r>
        <w:rPr>
          <w:rFonts w:ascii="Arial;sans-serif" w:hAnsi="Arial;sans-serif"/>
          <w:b w:val="false"/>
          <w:color w:val="000000"/>
          <w:sz w:val="18"/>
        </w:rPr>
        <w:t>refer collectively to certain of our directors and certain current and former officers and employees, in each case, who directly or indirectly held existing vested and unvested profits units, which were comprised of profits units that have time-based vesting conditions and profits units that have performance-based vesting conditions, of GHH, LLC pursuant to GHH, LLC’s existing profits unit plan and who received LLC Interests in exchange for their profits units in connection with the Transactions. LLC Interests received in exchange for unvested profits units remain subject to their existing time-based vesting requirements. Profits units with performance-based vesting conditions fully vested as such conditions were met in connection with our IPO.</w:t>
      </w:r>
    </w:p>
    <w:p>
      <w:pPr>
        <w:pStyle w:val="TextBody"/>
        <w:bidi w:val="0"/>
        <w:spacing w:lineRule="auto" w:line="288" w:before="240" w:after="283"/>
        <w:ind w:left="0" w:right="0" w:hanging="360"/>
        <w:jc w:val="left"/>
        <w:rPr/>
      </w:pPr>
      <w:r>
        <w:rPr>
          <w:color w:val="000000"/>
        </w:rPr>
        <w:t>•“</w:t>
      </w:r>
      <w:r>
        <w:rPr>
          <w:rFonts w:ascii="Arial;sans-serif" w:hAnsi="Arial;sans-serif"/>
          <w:b w:val="false"/>
          <w:i/>
          <w:color w:val="000000"/>
          <w:sz w:val="18"/>
        </w:rPr>
        <w:t>GHH, LLC Agreement”</w:t>
      </w:r>
      <w:r>
        <w:rPr>
          <w:color w:val="000000"/>
        </w:rPr>
        <w:t xml:space="preserve"> </w:t>
      </w:r>
      <w:r>
        <w:rPr>
          <w:rFonts w:ascii="Arial;sans-serif" w:hAnsi="Arial;sans-serif"/>
          <w:b w:val="false"/>
          <w:color w:val="000000"/>
          <w:sz w:val="18"/>
        </w:rPr>
        <w:t>refers to GHH, LLC’s amended and restated limited liability company agreement, as further amended, which became effective substantially concurrently with or prior to the consummation of our IPO.</w:t>
      </w:r>
    </w:p>
    <w:p>
      <w:pPr>
        <w:pStyle w:val="TextBody"/>
        <w:bidi w:val="0"/>
        <w:spacing w:lineRule="auto" w:line="288" w:before="240" w:after="283"/>
        <w:ind w:left="0" w:right="0" w:hanging="360"/>
        <w:jc w:val="left"/>
        <w:rPr/>
      </w:pPr>
      <w:r>
        <w:rPr>
          <w:color w:val="000000"/>
        </w:rPr>
        <w:t>•“</w:t>
      </w:r>
      <w:r>
        <w:rPr>
          <w:rFonts w:ascii="Arial;sans-serif" w:hAnsi="Arial;sans-serif"/>
          <w:b w:val="false"/>
          <w:i/>
          <w:color w:val="000000"/>
          <w:sz w:val="18"/>
        </w:rPr>
        <w:t>LLC Interests</w:t>
      </w:r>
      <w:r>
        <w:rPr>
          <w:color w:val="000000"/>
        </w:rPr>
        <w:t xml:space="preserve">” </w:t>
      </w:r>
      <w:r>
        <w:rPr>
          <w:rFonts w:ascii="Arial;sans-serif" w:hAnsi="Arial;sans-serif"/>
          <w:b w:val="false"/>
          <w:color w:val="000000"/>
          <w:sz w:val="18"/>
        </w:rPr>
        <w:t>refer to the common units of GHH, LLC, including those that we purchased with a portion of the net proceeds from our IPO.</w:t>
      </w:r>
    </w:p>
    <w:p>
      <w:pPr>
        <w:pStyle w:val="TextBody"/>
        <w:bidi w:val="0"/>
        <w:spacing w:lineRule="auto" w:line="288" w:before="240" w:after="283"/>
        <w:ind w:left="0" w:right="0" w:hanging="360"/>
        <w:jc w:val="left"/>
        <w:rPr/>
      </w:pPr>
      <w:r>
        <w:rPr>
          <w:color w:val="000000"/>
        </w:rPr>
        <w:t>•“</w:t>
      </w:r>
      <w:r>
        <w:rPr>
          <w:rFonts w:ascii="Arial;sans-serif" w:hAnsi="Arial;sans-serif"/>
          <w:b w:val="false"/>
          <w:i/>
          <w:color w:val="000000"/>
          <w:sz w:val="18"/>
        </w:rPr>
        <w:t>LTV”</w:t>
      </w:r>
      <w:r>
        <w:rPr>
          <w:color w:val="000000"/>
        </w:rPr>
        <w:t xml:space="preserve"> </w:t>
      </w:r>
      <w:r>
        <w:rPr>
          <w:rFonts w:ascii="Arial;sans-serif" w:hAnsi="Arial;sans-serif"/>
          <w:b w:val="false"/>
          <w:color w:val="000000"/>
          <w:sz w:val="18"/>
        </w:rPr>
        <w:t>refers to the Lifetime Value of Commissions, which we define as aggregate commissions estimated to be collected over the estimated life of all commissionable Submissions for the relevant period based on multiple factors, including but not limited to, contracted commission rates, health plan partner mix and expected policy persistency with applied constraints.</w:t>
      </w:r>
    </w:p>
    <w:p>
      <w:pPr>
        <w:pStyle w:val="TextBody"/>
        <w:bidi w:val="0"/>
        <w:spacing w:lineRule="auto" w:line="288" w:before="240" w:after="283"/>
        <w:ind w:left="0" w:right="0" w:hanging="360"/>
        <w:jc w:val="left"/>
        <w:rPr/>
      </w:pPr>
      <w:r>
        <w:rPr>
          <w:color w:val="000000"/>
        </w:rPr>
        <w:t>•“</w:t>
      </w:r>
      <w:r>
        <w:rPr>
          <w:rFonts w:ascii="Arial;sans-serif" w:hAnsi="Arial;sans-serif"/>
          <w:b w:val="false"/>
          <w:i/>
          <w:color w:val="000000"/>
          <w:sz w:val="18"/>
        </w:rPr>
        <w:t>Non-Encompass BPO Services”</w:t>
      </w:r>
      <w:r>
        <w:rPr>
          <w:color w:val="000000"/>
        </w:rPr>
        <w:t xml:space="preserve"> </w:t>
      </w:r>
      <w:r>
        <w:rPr>
          <w:rFonts w:ascii="Arial;sans-serif" w:hAnsi="Arial;sans-serif"/>
          <w:b w:val="false"/>
          <w:color w:val="000000"/>
          <w:sz w:val="18"/>
        </w:rPr>
        <w:t>refer to programs in which GoHealth-employed agents are dedicated to certain health plans and agencies we partner with outside of the Encompass operating model.</w:t>
      </w:r>
    </w:p>
    <w:p>
      <w:pPr>
        <w:pStyle w:val="TextBody"/>
        <w:bidi w:val="0"/>
        <w:spacing w:lineRule="auto" w:line="288" w:before="240" w:after="283"/>
        <w:ind w:left="0" w:right="0" w:hanging="360"/>
        <w:jc w:val="left"/>
        <w:rPr/>
      </w:pPr>
      <w:r>
        <w:rPr>
          <w:color w:val="000000"/>
        </w:rPr>
        <w:t>•“</w:t>
      </w:r>
      <w:r>
        <w:rPr>
          <w:rFonts w:ascii="Arial;sans-serif" w:hAnsi="Arial;sans-serif"/>
          <w:b w:val="false"/>
          <w:i/>
          <w:color w:val="000000"/>
          <w:sz w:val="18"/>
        </w:rPr>
        <w:t>Norvax</w:t>
      </w:r>
      <w:r>
        <w:rPr>
          <w:color w:val="000000"/>
        </w:rPr>
        <w:t xml:space="preserve">” </w:t>
      </w:r>
      <w:r>
        <w:rPr>
          <w:rFonts w:ascii="Arial;sans-serif" w:hAnsi="Arial;sans-serif"/>
          <w:b w:val="false"/>
          <w:color w:val="000000"/>
          <w:sz w:val="18"/>
        </w:rPr>
        <w:t>refers to Norvax, LLC, a Delaware limited liability company and a subsidiary of GHH, LLC.</w:t>
      </w:r>
    </w:p>
    <w:p>
      <w:pPr>
        <w:pStyle w:val="TextBody"/>
        <w:bidi w:val="0"/>
        <w:spacing w:lineRule="auto" w:line="288" w:before="240" w:after="283"/>
        <w:ind w:left="0" w:right="0" w:hanging="360"/>
        <w:jc w:val="left"/>
        <w:rPr/>
      </w:pPr>
      <w:r>
        <w:rPr>
          <w:color w:val="000000"/>
        </w:rPr>
        <w:t>•“</w:t>
      </w:r>
      <w:r>
        <w:rPr>
          <w:rFonts w:ascii="Arial;sans-serif" w:hAnsi="Arial;sans-serif"/>
          <w:b w:val="false"/>
          <w:i/>
          <w:color w:val="000000"/>
          <w:sz w:val="18"/>
        </w:rPr>
        <w:t>NVX Holdings</w:t>
      </w:r>
      <w:r>
        <w:rPr>
          <w:color w:val="000000"/>
        </w:rPr>
        <w:t xml:space="preserve">” </w:t>
      </w:r>
      <w:r>
        <w:rPr>
          <w:rFonts w:ascii="Arial;sans-serif" w:hAnsi="Arial;sans-serif"/>
          <w:b w:val="false"/>
          <w:color w:val="000000"/>
          <w:sz w:val="18"/>
        </w:rPr>
        <w:t>refers to NVX Holdings, Inc., a Delaware corporation that is controlled by the Founders.</w:t>
      </w:r>
    </w:p>
    <w:p>
      <w:pPr>
        <w:pStyle w:val="TextBody"/>
        <w:bidi w:val="0"/>
        <w:spacing w:lineRule="auto" w:line="288" w:before="240" w:after="283"/>
        <w:ind w:left="0" w:right="0" w:hanging="360"/>
        <w:jc w:val="left"/>
        <w:rPr/>
      </w:pPr>
      <w:r>
        <w:rPr>
          <w:color w:val="000000"/>
        </w:rPr>
        <w:t>•“</w:t>
      </w:r>
      <w:r>
        <w:rPr>
          <w:rFonts w:ascii="Arial;sans-serif" w:hAnsi="Arial;sans-serif"/>
          <w:b w:val="false"/>
          <w:i/>
          <w:color w:val="000000"/>
          <w:sz w:val="18"/>
        </w:rPr>
        <w:t>Transactions</w:t>
      </w:r>
      <w:r>
        <w:rPr>
          <w:color w:val="000000"/>
        </w:rPr>
        <w:t xml:space="preserve">” </w:t>
      </w:r>
      <w:r>
        <w:rPr>
          <w:rFonts w:ascii="Arial;sans-serif" w:hAnsi="Arial;sans-serif"/>
          <w:b w:val="false"/>
          <w:color w:val="000000"/>
          <w:sz w:val="18"/>
        </w:rPr>
        <w:t>refer to our IPO and certain organizational transactions that were effected in connection with our IPO, and the application of the net proceeds therefrom.</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GoHealth, Inc. is a holding company and the sole managing member of GHH, LLC, and its principal asset consists of LLC Interests.</w:t>
      </w:r>
    </w:p>
    <w:p>
      <w:pPr>
        <w:pStyle w:val="TextBody"/>
        <w:bidi w:val="0"/>
        <w:spacing w:lineRule="auto" w:line="288" w:before="240" w:after="283"/>
        <w:jc w:val="center"/>
        <w:rPr>
          <w:rFonts w:ascii="Arial;sans-serif" w:hAnsi="Arial;sans-serif"/>
          <w:b/>
          <w:color w:val="000000"/>
          <w:sz w:val="18"/>
        </w:rPr>
      </w:pPr>
      <w:r>
        <w:rPr>
          <w:rFonts w:ascii="Arial;sans-serif" w:hAnsi="Arial;sans-serif"/>
          <w:b/>
          <w:color w:val="000000"/>
          <w:sz w:val="18"/>
        </w:rPr>
        <w:t>SUMMARY RISK FACTORS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Our business is subject to numerous risks and uncertainties, including those described in Part I, Item 1A. “Risk Factors” in this Annual Report on Form 10-K. You should carefully consider these risks and uncertainties when investing in our Class A common stock. The principal risks and uncertainties affecting our business include the following:</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Our business may be harmed if we lose our relationships with health plan partners or if our relationships with health plan partners change;</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Health plan partners may reduce the commissions paid to us and change their underwriting practices in ways that reduce the number of, or impact the renewal or approval rates of, insurance policies sold through our platform;</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We currently depend on a small group of health plan partners for a substantial portion of our revenue;</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The marketing and sale of private Medicare plans are subject to numerous, complex and frequently changing laws, regulations and guidelines;</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Changes and developments in the health insurance system and laws and regulations governing the health insurance markets in the U.S. could materially adversely affect our business, operating results, financial condition and qualified prospects;</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Our liquidity position previously raised, and may in the future raise, substantial doubt about our ability to continue as a going concern;</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The amount of our indebtedness and our limited liquidity may materially limit our ability to operate our business and finance our future operations or capital needs;</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Restrictions contained in our Credit Facilities impact our business and expose us to risks that could materially adversely affect our liquidity and financial condition;</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Our operating results may be adversely impacted by factors that impact our estimate of LTV;</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716280"/>
                <wp:effectExtent l="0" t="0" r="0" b="0"/>
                <wp:wrapNone/>
                <wp:docPr id="7" name="Frame6"/>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832"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09"/>
                              <w:gridCol w:w="109"/>
                              <w:gridCol w:w="154"/>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37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832"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09"/>
                        <w:gridCol w:w="109"/>
                        <w:gridCol w:w="154"/>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37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2</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We rely on data provided to us by health plan partners and, to the extent that health plan partners inaccurately or belatedly report the amount of commissions due to us, we may not be able to collect and recognize revenue to which we are entitled, which would harm our business, operating results and financial condition;</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We may not realize the benefits we expect from our strategic cash flow optimization and other cash management initiatives;</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We may lose key employees or fail to attract qualified employees;</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Our ability to sell Medicare-related health insurance plans is largely dependent on our licensed health insurance agents;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18"/>
        </w:rPr>
        <w:t>Acquisitions of other businesses or technologies could disrupt and harm our business, operating results and financial condition;</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18"/>
        </w:rPr>
        <w:t xml:space="preserve">Our business is subject to security risks and, if we are subject to cyber-attacks, security breaches or are otherwise unable to safeguard the security and privacy of confidential data, including personal health information, our business will be harmed; </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Information technology system failures could interrupt our operations;</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Our growing use of artificial intelligence and machine learning may present additional risks, including risks associated with algorithm development or use, the tools and data sets used, and an uncertain regulatory environment;</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Our failure to grow our consumer base or retain our existing consumers;</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Volatility in general economic conditions, including inflation, interest rates, and other commodity prices and exchange rates may impact our financial position and performance;</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Operating and growing our business may require additional capital; and</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The Founders and Centerbridge have significant influence over us, including control over decisions that require the approval of stockholders.</w:t>
      </w:r>
    </w:p>
    <w:p>
      <w:pPr>
        <w:pStyle w:val="TextBody"/>
        <w:bidi w:val="0"/>
        <w:spacing w:lineRule="auto" w:line="288" w:before="240" w:after="283"/>
        <w:jc w:val="center"/>
        <w:rPr>
          <w:rFonts w:ascii="Arial;sans-serif" w:hAnsi="Arial;sans-serif"/>
          <w:b/>
          <w:color w:val="000000"/>
          <w:sz w:val="18"/>
        </w:rPr>
      </w:pPr>
      <w:r>
        <w:rPr>
          <w:rFonts w:ascii="Arial;sans-serif" w:hAnsi="Arial;sans-serif"/>
          <w:b/>
          <w:color w:val="000000"/>
          <w:sz w:val="18"/>
        </w:rPr>
        <w:t>NON-GAAP FINANCIAL MEASURES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Throughout this Annual Report on Form 10-K, we use a number of non-GAAP financial measures. Non-GAAP financial measures are supplemental measures of our performance that are derived from our consolidated financial information, but which are not presented in our Consolidated Financial Statements prepared in accordance with U.S. generally accepted accounting principles (“GAAP”). We define these non-GAAP financial measures as follows:</w:t>
      </w:r>
    </w:p>
    <w:p>
      <w:pPr>
        <w:pStyle w:val="TextBody"/>
        <w:bidi w:val="0"/>
        <w:spacing w:lineRule="auto" w:line="288" w:before="240" w:after="283"/>
        <w:ind w:left="0" w:right="0" w:hanging="360"/>
        <w:jc w:val="left"/>
        <w:rPr/>
      </w:pPr>
      <w:r>
        <w:rPr>
          <w:color w:val="000000"/>
        </w:rPr>
        <w:t>•“</w:t>
      </w:r>
      <w:r>
        <w:rPr>
          <w:rFonts w:ascii="Arial;sans-serif" w:hAnsi="Arial;sans-serif"/>
          <w:b w:val="false"/>
          <w:i/>
          <w:color w:val="000000"/>
          <w:sz w:val="18"/>
        </w:rPr>
        <w:t>Adjusted EBITDA”</w:t>
      </w:r>
      <w:r>
        <w:rPr>
          <w:color w:val="000000"/>
        </w:rPr>
        <w:t xml:space="preserve"> </w:t>
      </w:r>
      <w:r>
        <w:rPr>
          <w:rFonts w:ascii="Arial;sans-serif" w:hAnsi="Arial;sans-serif"/>
          <w:b w:val="false"/>
          <w:color w:val="000000"/>
          <w:sz w:val="18"/>
        </w:rPr>
        <w:t xml:space="preserve">represents, as applicable for the period, EBITDA as further adjusted for certain items discussed in Item 7. “Management’s Discussion and Analysis of Financial Condition and Results of Operations.” </w:t>
      </w:r>
    </w:p>
    <w:p>
      <w:pPr>
        <w:pStyle w:val="TextBody"/>
        <w:bidi w:val="0"/>
        <w:spacing w:lineRule="auto" w:line="288" w:before="240" w:after="283"/>
        <w:ind w:left="0" w:right="0" w:hanging="360"/>
        <w:jc w:val="left"/>
        <w:rPr/>
      </w:pPr>
      <w:r>
        <w:rPr>
          <w:color w:val="000000"/>
        </w:rPr>
        <w:t>•“</w:t>
      </w:r>
      <w:r>
        <w:rPr>
          <w:rFonts w:ascii="Arial;sans-serif" w:hAnsi="Arial;sans-serif"/>
          <w:b w:val="false"/>
          <w:i/>
          <w:color w:val="000000"/>
          <w:sz w:val="18"/>
        </w:rPr>
        <w:t>Adjusted EBITDA Margin”</w:t>
      </w:r>
      <w:r>
        <w:rPr>
          <w:color w:val="000000"/>
        </w:rPr>
        <w:t xml:space="preserve"> </w:t>
      </w:r>
      <w:r>
        <w:rPr>
          <w:rFonts w:ascii="Arial;sans-serif" w:hAnsi="Arial;sans-serif"/>
          <w:b w:val="false"/>
          <w:color w:val="000000"/>
          <w:sz w:val="18"/>
        </w:rPr>
        <w:t>refers to Adjusted EBITDA divided by net revenues.</w:t>
      </w:r>
    </w:p>
    <w:p>
      <w:pPr>
        <w:pStyle w:val="TextBody"/>
        <w:bidi w:val="0"/>
        <w:spacing w:lineRule="auto" w:line="288" w:before="240" w:after="283"/>
        <w:ind w:left="0" w:right="0" w:hanging="360"/>
        <w:jc w:val="left"/>
        <w:rPr/>
      </w:pPr>
      <w:r>
        <w:rPr>
          <w:color w:val="000000"/>
        </w:rPr>
        <w:t>•“</w:t>
      </w:r>
      <w:r>
        <w:rPr>
          <w:rFonts w:ascii="Arial;sans-serif" w:hAnsi="Arial;sans-serif"/>
          <w:b w:val="false"/>
          <w:i/>
          <w:color w:val="000000"/>
          <w:sz w:val="18"/>
        </w:rPr>
        <w:t>EBITDA”</w:t>
      </w:r>
      <w:r>
        <w:rPr>
          <w:color w:val="000000"/>
        </w:rPr>
        <w:t xml:space="preserve"> </w:t>
      </w:r>
      <w:r>
        <w:rPr>
          <w:rFonts w:ascii="Arial;sans-serif" w:hAnsi="Arial;sans-serif"/>
          <w:b w:val="false"/>
          <w:color w:val="000000"/>
          <w:sz w:val="18"/>
        </w:rPr>
        <w:t>represents net income (loss) before interest expense, income tax expense (benefit) and depreciation and amortization expense.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believe that excluding certain items from our GAAP results allows management to better understand our consolidated financial performance from period to period and better project our future consolidated financial performance as forecasts are developed at a level of detail different from that used to prepare GAAP-based financial measures. Moreover, we believe these non-GAAP financial measures provide our stakeholders with useful information to help them evaluate our operating results by facilitating an enhanced understanding of our operating performance and enabling them to make more meaningful period to period comparisons. Adjusted EBITDA is the primary financial performance measure used by management to evaluate the business and monitor the results of operations, as well as a basis for certain compensation programs sponsored by the Company. There are limitations to the use of the non-GAAP financial measures presented in this Annual Report on Form 10-K. For example, our non-GAAP financial measures may not be comparable to similarly titled measures of other companies. Other companies, including companies in our industry, may calculate non-GAAP financial measures differently than we do, limiting the usefulness of those measures for comparative purposes.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The non-GAAP financial measures are not meant to be considered as indicators of performance in isolation from or as a substitute for the most directly comparable financial measures prepared in accordance with GAAP and should be read only in conjunction with financial information presented on a GAAP basis. Reconciliations of each of EBITDA, Adjusted EBITDA and Adjusted EBITDA Margin to its most directly comparable GAAP financial measure are presented in the tables within Item 7.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716280"/>
                <wp:effectExtent l="0" t="0" r="0" b="0"/>
                <wp:wrapNone/>
                <wp:docPr id="8" name="Frame7"/>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832"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09"/>
                              <w:gridCol w:w="109"/>
                              <w:gridCol w:w="154"/>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37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832"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09"/>
                        <w:gridCol w:w="109"/>
                        <w:gridCol w:w="154"/>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37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3</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color w:val="000000"/>
        </w:rPr>
      </w:pPr>
      <w:r>
        <w:rPr>
          <w:color w:val="000000"/>
        </w:rPr>
        <w:t>“</w:t>
      </w:r>
      <w:r>
        <w:rPr>
          <w:rFonts w:ascii="Arial;sans-serif" w:hAnsi="Arial;sans-serif"/>
          <w:b w:val="false"/>
          <w:color w:val="000000"/>
          <w:sz w:val="18"/>
        </w:rPr>
        <w:t>Management’s Discussion and Analysis of Financial Condition and Results of Operations” of this Annual Report on Form 10-K. We encourage you to review the reconciliations in conjunction with the presentation of the non-GAAP financial measures for each of the periods presented. In future periods, we may exclude similar items, may incur income and expenses similar to these excluded items and may include other expenses, costs and non-routine items.</w:t>
      </w:r>
    </w:p>
    <w:p>
      <w:pPr>
        <w:pStyle w:val="TextBody"/>
        <w:bidi w:val="0"/>
        <w:spacing w:lineRule="auto" w:line="288" w:before="240" w:after="283"/>
        <w:jc w:val="center"/>
        <w:rPr>
          <w:rFonts w:ascii="Arial;sans-serif" w:hAnsi="Arial;sans-serif"/>
          <w:b/>
          <w:color w:val="000000"/>
          <w:sz w:val="18"/>
        </w:rPr>
      </w:pPr>
      <w:r>
        <w:rPr>
          <w:rFonts w:ascii="Arial;sans-serif" w:hAnsi="Arial;sans-serif"/>
          <w:b/>
          <w:color w:val="000000"/>
          <w:sz w:val="18"/>
        </w:rPr>
        <w:t>KEY BUSINESS PERFORMANCE AND OPERATING METRICS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Throughout this Annual Report on Form 10-K, use a number of business and operating metrics to evaluate our business performance and facilitate our operations. The most relevant business and operating metrics are as follows:</w:t>
      </w:r>
    </w:p>
    <w:p>
      <w:pPr>
        <w:pStyle w:val="TextBody"/>
        <w:bidi w:val="0"/>
        <w:spacing w:before="240" w:after="283"/>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18"/>
        </w:rPr>
        <w:t>Direct Operating Cost of Submission”</w:t>
      </w:r>
      <w:r>
        <w:rPr>
          <w:color w:val="000000"/>
        </w:rPr>
        <w:t xml:space="preserve"> </w:t>
      </w:r>
      <w:r>
        <w:rPr>
          <w:rFonts w:ascii="Arial;sans-serif" w:hAnsi="Arial;sans-serif"/>
          <w:b w:val="false"/>
          <w:color w:val="000000"/>
          <w:sz w:val="18"/>
        </w:rPr>
        <w:t xml:space="preserve">is an operating metric that represents costs directly attributable to Submissions generated during a reporting period and excludes costs that are indirect or fixed. Direct Operating Cost of Submission is comprised of the portion of the respective operating expenses for revenue share, marketing and advertising and consumer care and enrollment that are directly related to the Submissions generated in the reporting period.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18"/>
        </w:rPr>
        <w:t>Direct Operating Cost per Submission”</w:t>
      </w:r>
      <w:r>
        <w:rPr>
          <w:color w:val="000000"/>
        </w:rPr>
        <w:t xml:space="preserve"> </w:t>
      </w:r>
      <w:r>
        <w:rPr>
          <w:rFonts w:ascii="Arial;sans-serif" w:hAnsi="Arial;sans-serif"/>
          <w:b w:val="false"/>
          <w:color w:val="000000"/>
          <w:sz w:val="18"/>
        </w:rPr>
        <w:t xml:space="preserve">is an operating metric that represents the average performance of Submissions generated during a reporting period. Direct Operating Cost per Submission refers to (x) Direct Operating Cost of Submission for a reporting period divided by (y) the number of Submissions generated for such period. </w:t>
      </w:r>
    </w:p>
    <w:p>
      <w:pPr>
        <w:pStyle w:val="TextBody"/>
        <w:bidi w:val="0"/>
        <w:spacing w:lineRule="auto" w:line="288" w:before="240" w:after="283"/>
        <w:ind w:left="0" w:right="0" w:hanging="360"/>
        <w:jc w:val="left"/>
        <w:rPr/>
      </w:pPr>
      <w:r>
        <w:rPr>
          <w:color w:val="000000"/>
        </w:rPr>
        <w:t>◦“</w:t>
      </w:r>
      <w:r>
        <w:rPr>
          <w:rFonts w:ascii="Arial;sans-serif" w:hAnsi="Arial;sans-serif"/>
          <w:b w:val="false"/>
          <w:i/>
          <w:color w:val="000000"/>
          <w:sz w:val="18"/>
        </w:rPr>
        <w:t>Sales/Direct Operating Cost of Submission”</w:t>
      </w:r>
      <w:r>
        <w:rPr>
          <w:color w:val="000000"/>
        </w:rPr>
        <w:t xml:space="preserve"> </w:t>
      </w:r>
      <w:r>
        <w:rPr>
          <w:rFonts w:ascii="Arial;sans-serif" w:hAnsi="Arial;sans-serif"/>
          <w:b w:val="false"/>
          <w:color w:val="000000"/>
          <w:sz w:val="18"/>
        </w:rPr>
        <w:t xml:space="preserve">represents (x) the numerator of Sales per Submission, as defined below, divided by (y) Direct Operating Cost of Submission. </w:t>
      </w:r>
    </w:p>
    <w:p>
      <w:pPr>
        <w:pStyle w:val="TextBody"/>
        <w:bidi w:val="0"/>
        <w:spacing w:lineRule="auto" w:line="288" w:before="240" w:after="283"/>
        <w:ind w:left="0" w:right="0" w:hanging="360"/>
        <w:jc w:val="left"/>
        <w:rPr/>
      </w:pPr>
      <w:r>
        <w:rPr>
          <w:color w:val="000000"/>
        </w:rPr>
        <w:t>◦“</w:t>
      </w:r>
      <w:r>
        <w:rPr>
          <w:rFonts w:ascii="Arial;sans-serif" w:hAnsi="Arial;sans-serif"/>
          <w:b w:val="false"/>
          <w:i/>
          <w:color w:val="000000"/>
          <w:sz w:val="18"/>
        </w:rPr>
        <w:t xml:space="preserve">Sales per Submission” </w:t>
      </w:r>
      <w:r>
        <w:rPr>
          <w:rFonts w:ascii="Arial;sans-serif" w:hAnsi="Arial;sans-serif"/>
          <w:b w:val="false"/>
          <w:color w:val="000000"/>
          <w:sz w:val="18"/>
        </w:rPr>
        <w:t>is an operating metric that represents the average performance of Submissions generated during a reporting period. Sales per Submission measures revenues only from the Submissions generated in the period and excludes items that are unrelated to such Submissions, including any impact of revenue adjustments recorded in the period, but relating to performance obligations satisfied in prior periods. Sales per Submission equals (x) the sum of (i) Medicare agency revenues, comprised of the expected amount of initial commission revenue and any renewal commissions to be paid from the health plan partners on such placement as long as the policyholder remains with the same insurance product, as well as partner marketing and other revenue and (ii) Medicare non-agency revenues, comprised of the enrollment and engagement services for which cash is collected in advance or in close proximity to the point in time revenue is recognized, and (iii) revenues from GoHealth Protect, divided by (y) the number of Submissions generated for such period.</w:t>
      </w:r>
    </w:p>
    <w:p>
      <w:pPr>
        <w:pStyle w:val="TextBody"/>
        <w:bidi w:val="0"/>
        <w:spacing w:lineRule="auto" w:line="288" w:before="240" w:after="283"/>
        <w:ind w:left="0" w:right="0" w:hanging="360"/>
        <w:jc w:val="left"/>
        <w:rPr/>
      </w:pPr>
      <w:r>
        <w:rPr>
          <w:color w:val="000000"/>
        </w:rPr>
        <w:t>◦“</w:t>
      </w:r>
      <w:r>
        <w:rPr>
          <w:rFonts w:ascii="Arial;sans-serif" w:hAnsi="Arial;sans-serif"/>
          <w:b w:val="false"/>
          <w:i/>
          <w:color w:val="000000"/>
          <w:sz w:val="18"/>
        </w:rPr>
        <w:t>Submission”</w:t>
      </w:r>
      <w:r>
        <w:rPr>
          <w:color w:val="000000"/>
        </w:rPr>
        <w:t xml:space="preserve"> </w:t>
      </w:r>
      <w:r>
        <w:rPr>
          <w:rFonts w:ascii="Arial;sans-serif" w:hAnsi="Arial;sans-serif"/>
          <w:b w:val="false"/>
          <w:color w:val="000000"/>
          <w:sz w:val="18"/>
        </w:rPr>
        <w:t>refers to either (i) a completed Medicare application with our licensed agent that is submitted to the health plan partner and subsequently approved by the health plan partner during the indicated period, (ii) a transfer by our agent to the health plan partner through the Encompass operating model during the indicated period, or (iii) a completed GoHealth Protect application with our licensed agent that is submitted, approved by the health plan partner, and for which the payment information was received by the health plan partner during the indicated period.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Sales per Submission and Direct Operating Cost per Submission are key operating metrics used by management to understand the Company’s underlying financial performance and trends. For further discussion, see Item 7, “Management’s Discussion and Analysis of Financial Condition and Results of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716280"/>
                <wp:effectExtent l="0" t="0" r="0" b="0"/>
                <wp:wrapNone/>
                <wp:docPr id="9" name="Frame8"/>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832"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09"/>
                              <w:gridCol w:w="109"/>
                              <w:gridCol w:w="154"/>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37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832"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09"/>
                        <w:gridCol w:w="109"/>
                        <w:gridCol w:w="154"/>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37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4</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tbl>
      <w:tblPr>
        <w:tblW w:w="569" w:type="dxa"/>
        <w:jc w:val="center"/>
        <w:tblInd w:w="0" w:type="dxa"/>
        <w:tblLayout w:type="fixed"/>
        <w:tblCellMar>
          <w:top w:w="28" w:type="dxa"/>
          <w:left w:w="28" w:type="dxa"/>
          <w:bottom w:w="28" w:type="dxa"/>
          <w:right w:w="28" w:type="dxa"/>
        </w:tblCellMar>
      </w:tblPr>
      <w:tblGrid>
        <w:gridCol w:w="182"/>
        <w:gridCol w:w="160"/>
        <w:gridCol w:w="227"/>
      </w:tblGrid>
      <w:tr>
        <w:trPr/>
        <w:tc>
          <w:tcPr>
            <w:tcW w:w="18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569" w:type="dxa"/>
            <w:gridSpan w:val="3"/>
            <w:tcBorders/>
            <w:shd w:fill="0A2299"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Part I</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0A2299"/>
          <w:sz w:val="18"/>
        </w:rPr>
      </w:pPr>
      <w:r>
        <w:rPr>
          <w:rFonts w:ascii="Arial;sans-serif" w:hAnsi="Arial;sans-serif"/>
          <w:b/>
          <w:color w:val="0A2299"/>
          <w:sz w:val="18"/>
        </w:rPr>
        <w:t>ITEM 1. BUSINESS</w:t>
      </w:r>
    </w:p>
    <w:p>
      <w:pPr>
        <w:pStyle w:val="TextBody"/>
        <w:bidi w:val="0"/>
        <w:spacing w:lineRule="auto" w:line="288" w:before="180" w:after="283"/>
        <w:jc w:val="left"/>
        <w:rPr>
          <w:rFonts w:ascii="Arial;sans-serif" w:hAnsi="Arial;sans-serif"/>
          <w:b/>
          <w:color w:val="000000"/>
          <w:sz w:val="18"/>
        </w:rPr>
      </w:pPr>
      <w:r>
        <w:rPr>
          <w:rFonts w:ascii="Arial;sans-serif" w:hAnsi="Arial;sans-serif"/>
          <w:b/>
          <w:color w:val="000000"/>
          <w:sz w:val="18"/>
        </w:rPr>
        <w:t>Overview</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GoHealth is a leading health insurance marketplace and Medicare-focused digital health company whose purpose is to compassionately ensure consumers’ peace of mind when making healthcare decisions so they can focus on living life. With a widely scalable end-to-end platform and substantial presence in the Medicare landscape, we believe we are uniquely positioned as a trusted partner to the 68.0 million Medicare-eligible Americans, as well as the 11,000 Americans becoming eligible each day, as they navigate one of life's most important purchasing decisions. For many of these consumers, enrolling in a health insurance plan is confusing and difficult, and seemingly small differences between health plans may lead to significant out-of-pocket costs or lack of access to critical providers and medicines. We aim to simplify the process by offering education, comparison guidance, transparency and choice. This includes providing a large selection of leading health plan choices, advice informed by consumers’ specific needs, transparency of health plan benefits and fit, assistance accessing available government subsidies and a high-touch consumer care team. GoHealth partners with health plans that provide access to high-quality health plans across all 50 states and the District of Columbia.</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GoHealth offers Medicare plans, including, but not limited to, Medicare Advantage, Medicare Supplement and prescription drug plans. Our proprietary technology platform integrates artificial intelligence and modern machine-learning algorithms, powered by over two decades of insurance purchasing behavior, to reimagine the process of matching a health plan to a consumer’s specific needs. GoHealth’s unbiased, technology-driven marketplace coupled with highly skilled licensed agents has facilitated the enrollment of millions of consumers in Medicare plans since our inception. Health plan partners benefit from the GoHealth platform by gaining access to the large and rapidly growing Medicare-eligible population. GoHealth believes health plan partners utilize its large-scale data, technology and efficient marketing processes to maximize scale and reduce their cost of submission, compared to health plan partner-employed agent workforces.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GoHealth believes our streamlined, consumer-centric Encompass operating model drives both high-quality enrollments and a strong consumer experience. We strive to be a trusted, high-quality enrollment partner for both consumers and health plan partners.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GoHealth’s focus is on Medicare products, which enables us to capitalize on:</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18"/>
        </w:rPr>
        <w:t>Strong demographic trends, with Medicare enrollment expected to grow from approximately 63 million individuals in 2020 to just over 93 million individuals in 2060;</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18"/>
        </w:rPr>
        <w:t>The increasing proportion of the Medicare-eligible population that is choosing commercial insurance solutions, with 54% of Medicare beneficiaries, or approximately 34.0 million people, enrolled in Medicare Advantage plans in 2025, up from 42% in 2020.</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18"/>
        </w:rPr>
        <w:t xml:space="preserve">Health plan partners’ historic reliance on a traditional field agent driven sales process, which lacks transparency, choice and convenience. Digitally-enabled and technology-driven marketplaces like GoHealth's are disrupting this outdated approach. In 2022, only about one in three Medicare beneficiaries, regardless of coverage, used traditional insurance brokers or agents to choose a plan. </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18"/>
        </w:rPr>
        <w:t>The increasing proportion of the Medicare-eligible population adopting digitally-enabled solutions, with 90% of adults ages 65 and older using the internet in 2025 compared to 57% in 2014.</w:t>
      </w:r>
    </w:p>
    <w:p>
      <w:pPr>
        <w:pStyle w:val="TextBody"/>
        <w:bidi w:val="0"/>
        <w:spacing w:before="180" w:after="283"/>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In 2025, insurers offering Medicare Advantage plans faced ongoing disruptions affecting their financial performance, driven by rising medical costs and regulatory pressures. These disruptions led carriers to scale back on Medicare Advantage by implementing significant changes to their plans, including benefit modifications, premium adjustments, plan cancellations, and market exits.Carriers are increasingly prioritizing profitability over membership growth, focusing on plan quality, member retention, and overall consumer experience. We believe this retrenchment will continue into 2026. We see our choice model as a valuable tool for matching consumers with appropriate coverage through our carrier-agnostic platform, supported by the strength of our brand and strong relationships with carrier partners.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GoHealth also offers enrollment related services through GoHealth Protect, a suite of products to cover unexpected life events, including guaranteed acceptance life insurance.</w:t>
      </w:r>
    </w:p>
    <w:p>
      <w:pPr>
        <w:pStyle w:val="TextBody"/>
        <w:bidi w:val="0"/>
        <w:spacing w:lineRule="auto" w:line="288" w:before="180" w:after="283"/>
        <w:jc w:val="left"/>
        <w:rPr>
          <w:rFonts w:ascii="Arial;sans-serif" w:hAnsi="Arial;sans-serif"/>
          <w:b/>
          <w:color w:val="000000"/>
          <w:sz w:val="18"/>
        </w:rPr>
      </w:pPr>
      <w:r>
        <w:rPr>
          <w:rFonts w:ascii="Arial;sans-serif" w:hAnsi="Arial;sans-serif"/>
          <w:b/>
          <w:color w:val="000000"/>
          <w:sz w:val="18"/>
        </w:rPr>
        <w:t>Our Business Model</w:t>
      </w:r>
    </w:p>
    <w:p>
      <w:pPr>
        <w:pStyle w:val="TextBody"/>
        <w:bidi w:val="0"/>
        <w:spacing w:lineRule="auto" w:line="288" w:before="180" w:after="283"/>
        <w:jc w:val="left"/>
        <w:rPr>
          <w:rFonts w:ascii="Arial;sans-serif" w:hAnsi="Arial;sans-serif"/>
          <w:b w:val="false"/>
          <w:i/>
          <w:color w:val="000000"/>
          <w:sz w:val="18"/>
        </w:rPr>
      </w:pPr>
      <w:r>
        <w:rPr>
          <w:rFonts w:ascii="Arial;sans-serif" w:hAnsi="Arial;sans-serif"/>
          <w:b w:val="false"/>
          <w:i/>
          <w:color w:val="000000"/>
          <w:sz w:val="18"/>
        </w:rPr>
        <w:t>Our Process</w:t>
      </w:r>
    </w:p>
    <w:p>
      <w:pPr>
        <w:pStyle w:val="TextBody"/>
        <w:bidi w:val="0"/>
        <w:spacing w:lineRule="auto" w:line="288" w:before="180" w:after="283"/>
        <w:jc w:val="left"/>
        <w:rPr>
          <w:rFonts w:ascii="Arial;sans-serif" w:hAnsi="Arial;sans-serif"/>
          <w:b w:val="false"/>
          <w:color w:val="000000"/>
          <w:sz w:val="18"/>
        </w:rPr>
      </w:pPr>
      <w:r>
        <w:rPr>
          <w:rFonts w:ascii="Arial;sans-serif" w:hAnsi="Arial;sans-serif"/>
          <w:b w:val="false"/>
          <w:color w:val="000000"/>
          <w:sz w:val="18"/>
        </w:rPr>
        <w:t>Our Encompass operating model drives a high-quality enrollment experience: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716280"/>
                <wp:effectExtent l="0" t="0" r="0" b="0"/>
                <wp:wrapNone/>
                <wp:docPr id="10" name="Frame9"/>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832"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09"/>
                              <w:gridCol w:w="109"/>
                              <w:gridCol w:w="154"/>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37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832"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09"/>
                        <w:gridCol w:w="109"/>
                        <w:gridCol w:w="154"/>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37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5</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180" w:after="283"/>
        <w:ind w:left="0" w:right="0" w:hanging="360"/>
        <w:jc w:val="left"/>
        <w:rPr/>
      </w:pPr>
      <w:r>
        <w:rPr>
          <w:color w:val="000000"/>
        </w:rPr>
        <w:t>•</w:t>
      </w:r>
      <w:r>
        <w:rPr>
          <w:rFonts w:ascii="Arial;sans-serif" w:hAnsi="Arial;sans-serif"/>
          <w:b/>
          <w:color w:val="000000"/>
          <w:sz w:val="18"/>
        </w:rPr>
        <w:t xml:space="preserve">Shop: </w:t>
      </w:r>
      <w:r>
        <w:rPr>
          <w:rFonts w:ascii="Arial;sans-serif" w:hAnsi="Arial;sans-serif"/>
          <w:b w:val="false"/>
          <w:color w:val="000000"/>
          <w:sz w:val="18"/>
        </w:rPr>
        <w:t xml:space="preserve">Eligible consumers shop for a Medicare plan with us annually based on their evolving needs. Proprietary consumer-agent matching technology identifies and dynamically routes calls to the agent best-equipped to meet consumer needs. Initial contact is supported by our </w:t>
      </w:r>
      <w:r>
        <w:rPr>
          <w:rFonts w:ascii="Arial;sans-serif" w:hAnsi="Arial;sans-serif"/>
          <w:b w:val="false"/>
          <w:i/>
          <w:color w:val="000000"/>
          <w:sz w:val="18"/>
        </w:rPr>
        <w:t xml:space="preserve">Connect </w:t>
      </w:r>
      <w:r>
        <w:rPr>
          <w:rFonts w:ascii="Arial;sans-serif" w:hAnsi="Arial;sans-serif"/>
          <w:b w:val="false"/>
          <w:color w:val="000000"/>
          <w:sz w:val="18"/>
        </w:rPr>
        <w:t xml:space="preserve">Team. </w:t>
      </w:r>
    </w:p>
    <w:p>
      <w:pPr>
        <w:pStyle w:val="TextBody"/>
        <w:bidi w:val="0"/>
        <w:spacing w:lineRule="auto" w:line="288" w:before="180" w:after="283"/>
        <w:ind w:left="0" w:right="0" w:hanging="360"/>
        <w:jc w:val="left"/>
        <w:rPr/>
      </w:pPr>
      <w:r>
        <w:rPr>
          <w:color w:val="000000"/>
        </w:rPr>
        <w:t>•</w:t>
      </w:r>
      <w:r>
        <w:rPr>
          <w:rFonts w:ascii="Arial;sans-serif" w:hAnsi="Arial;sans-serif"/>
          <w:b/>
          <w:color w:val="000000"/>
          <w:sz w:val="18"/>
        </w:rPr>
        <w:t xml:space="preserve">Match: </w:t>
      </w:r>
      <w:r>
        <w:rPr>
          <w:rFonts w:ascii="Arial;sans-serif" w:hAnsi="Arial;sans-serif"/>
          <w:b w:val="false"/>
          <w:color w:val="000000"/>
          <w:sz w:val="18"/>
        </w:rPr>
        <w:t xml:space="preserve">Our </w:t>
      </w:r>
      <w:r>
        <w:rPr>
          <w:rFonts w:ascii="Arial;sans-serif" w:hAnsi="Arial;sans-serif"/>
          <w:b w:val="false"/>
          <w:i/>
          <w:color w:val="000000"/>
          <w:sz w:val="18"/>
        </w:rPr>
        <w:t>Advocate</w:t>
      </w:r>
      <w:r>
        <w:rPr>
          <w:color w:val="000000"/>
        </w:rPr>
        <w:t xml:space="preserve"> </w:t>
      </w:r>
      <w:r>
        <w:rPr>
          <w:rFonts w:ascii="Arial;sans-serif" w:hAnsi="Arial;sans-serif"/>
          <w:b w:val="false"/>
          <w:color w:val="000000"/>
          <w:sz w:val="18"/>
        </w:rPr>
        <w:t>team empowers consumers to match with the right plan for their needs - even if it’s the same plan they already have - using our proprietary PlanFit technology. The PlanFit tool evaluates over 180 factors to determine the Medicare Advantage plan that best fits the beneficiary’s profile and unique needs.</w:t>
      </w:r>
    </w:p>
    <w:p>
      <w:pPr>
        <w:pStyle w:val="TextBody"/>
        <w:bidi w:val="0"/>
        <w:spacing w:lineRule="auto" w:line="288" w:before="180" w:after="283"/>
        <w:ind w:left="0" w:right="0" w:hanging="360"/>
        <w:jc w:val="left"/>
        <w:rPr/>
      </w:pPr>
      <w:r>
        <w:rPr>
          <w:color w:val="000000"/>
        </w:rPr>
        <w:t>•</w:t>
      </w:r>
      <w:r>
        <w:rPr>
          <w:rFonts w:ascii="Arial;sans-serif" w:hAnsi="Arial;sans-serif"/>
          <w:b/>
          <w:color w:val="000000"/>
          <w:sz w:val="18"/>
        </w:rPr>
        <w:t xml:space="preserve">Confirm: </w:t>
      </w:r>
      <w:r>
        <w:rPr>
          <w:rFonts w:ascii="Arial;sans-serif" w:hAnsi="Arial;sans-serif"/>
          <w:b w:val="false"/>
          <w:color w:val="000000"/>
          <w:sz w:val="18"/>
        </w:rPr>
        <w:t xml:space="preserve">Consumers confirm that they have selected the right plan with education and reassurance from our health plan dedicated </w:t>
      </w:r>
      <w:r>
        <w:rPr>
          <w:rFonts w:ascii="Arial;sans-serif" w:hAnsi="Arial;sans-serif"/>
          <w:b w:val="false"/>
          <w:i/>
          <w:color w:val="000000"/>
          <w:sz w:val="18"/>
        </w:rPr>
        <w:t>Resolve</w:t>
      </w:r>
      <w:r>
        <w:rPr>
          <w:color w:val="000000"/>
        </w:rPr>
        <w:t xml:space="preserve"> </w:t>
      </w:r>
      <w:r>
        <w:rPr>
          <w:rFonts w:ascii="Arial;sans-serif" w:hAnsi="Arial;sans-serif"/>
          <w:b w:val="false"/>
          <w:color w:val="000000"/>
          <w:sz w:val="18"/>
        </w:rPr>
        <w:t>team.</w:t>
      </w:r>
    </w:p>
    <w:p>
      <w:pPr>
        <w:pStyle w:val="TextBody"/>
        <w:bidi w:val="0"/>
        <w:spacing w:lineRule="auto" w:line="288" w:before="180" w:after="283"/>
        <w:ind w:left="0" w:right="0" w:hanging="360"/>
        <w:jc w:val="left"/>
        <w:rPr/>
      </w:pPr>
      <w:r>
        <w:rPr>
          <w:color w:val="000000"/>
        </w:rPr>
        <w:t>•</w:t>
      </w:r>
      <w:r>
        <w:rPr>
          <w:rFonts w:ascii="Arial;sans-serif" w:hAnsi="Arial;sans-serif"/>
          <w:b/>
          <w:color w:val="000000"/>
          <w:sz w:val="18"/>
        </w:rPr>
        <w:t xml:space="preserve">Activate: </w:t>
      </w:r>
      <w:r>
        <w:rPr>
          <w:rFonts w:ascii="Arial;sans-serif" w:hAnsi="Arial;sans-serif"/>
          <w:b w:val="false"/>
          <w:color w:val="000000"/>
          <w:sz w:val="18"/>
        </w:rPr>
        <w:t xml:space="preserve">Consumers activate benefits in the first 90 days of their plan with the help of our </w:t>
      </w:r>
      <w:r>
        <w:rPr>
          <w:rFonts w:ascii="Arial;sans-serif" w:hAnsi="Arial;sans-serif"/>
          <w:b w:val="false"/>
          <w:i/>
          <w:color w:val="000000"/>
          <w:sz w:val="18"/>
        </w:rPr>
        <w:t>Engage</w:t>
      </w:r>
      <w:r>
        <w:rPr>
          <w:color w:val="000000"/>
        </w:rPr>
        <w:t xml:space="preserve"> </w:t>
      </w:r>
      <w:r>
        <w:rPr>
          <w:rFonts w:ascii="Arial;sans-serif" w:hAnsi="Arial;sans-serif"/>
          <w:b w:val="false"/>
          <w:color w:val="000000"/>
          <w:sz w:val="18"/>
        </w:rPr>
        <w:t>team, who provides personalized onboarding for each consumer.</w:t>
      </w:r>
    </w:p>
    <w:p>
      <w:pPr>
        <w:pStyle w:val="TextBody"/>
        <w:bidi w:val="0"/>
        <w:spacing w:lineRule="auto" w:line="288" w:before="180" w:after="283"/>
        <w:ind w:left="0" w:right="0" w:hanging="360"/>
        <w:jc w:val="left"/>
        <w:rPr/>
      </w:pPr>
      <w:r>
        <w:rPr>
          <w:color w:val="000000"/>
        </w:rPr>
        <w:t>•</w:t>
      </w:r>
      <w:r>
        <w:rPr>
          <w:rFonts w:ascii="Arial;sans-serif" w:hAnsi="Arial;sans-serif"/>
          <w:b/>
          <w:color w:val="000000"/>
          <w:sz w:val="18"/>
        </w:rPr>
        <w:t xml:space="preserve">Access: </w:t>
      </w:r>
      <w:r>
        <w:rPr>
          <w:rFonts w:ascii="Arial;sans-serif" w:hAnsi="Arial;sans-serif"/>
          <w:b w:val="false"/>
          <w:color w:val="000000"/>
          <w:sz w:val="18"/>
        </w:rPr>
        <w:t xml:space="preserve">As consumers access their benefits throughout the year, our </w:t>
      </w:r>
      <w:r>
        <w:rPr>
          <w:rFonts w:ascii="Arial;sans-serif" w:hAnsi="Arial;sans-serif"/>
          <w:b w:val="false"/>
          <w:i/>
          <w:color w:val="000000"/>
          <w:sz w:val="18"/>
        </w:rPr>
        <w:t>Engage</w:t>
      </w:r>
      <w:r>
        <w:rPr>
          <w:color w:val="000000"/>
        </w:rPr>
        <w:t xml:space="preserve"> </w:t>
      </w:r>
      <w:r>
        <w:rPr>
          <w:rFonts w:ascii="Arial;sans-serif" w:hAnsi="Arial;sans-serif"/>
          <w:b w:val="false"/>
          <w:color w:val="000000"/>
          <w:sz w:val="18"/>
        </w:rPr>
        <w:t>team is on standby to answer key questions, enable plan usage, and monitor evolving consumer needs. Our Customer 360 technology provides a unified view of the consumer across every touchpoint, every year to ensure personalized service at every point in the consumer journey.</w:t>
      </w:r>
    </w:p>
    <w:p>
      <w:pPr>
        <w:pStyle w:val="TextBody"/>
        <w:bidi w:val="0"/>
        <w:spacing w:lineRule="auto" w:line="288" w:before="180" w:after="283"/>
        <w:jc w:val="left"/>
        <w:rPr>
          <w:rFonts w:ascii="Arial;sans-serif" w:hAnsi="Arial;sans-serif"/>
          <w:b w:val="false"/>
          <w:i/>
          <w:color w:val="000000"/>
          <w:sz w:val="18"/>
        </w:rPr>
      </w:pPr>
      <w:r>
        <w:rPr>
          <w:rFonts w:ascii="Arial;sans-serif" w:hAnsi="Arial;sans-serif"/>
          <w:b w:val="false"/>
          <w:i/>
          <w:color w:val="000000"/>
          <w:sz w:val="18"/>
        </w:rPr>
        <w:t>Our Platform</w:t>
      </w:r>
    </w:p>
    <w:p>
      <w:pPr>
        <w:pStyle w:val="TextBody"/>
        <w:bidi w:val="0"/>
        <w:spacing w:lineRule="auto" w:line="288" w:before="180" w:after="283"/>
        <w:jc w:val="left"/>
        <w:rPr>
          <w:rFonts w:ascii="Arial;sans-serif" w:hAnsi="Arial;sans-serif"/>
          <w:b w:val="false"/>
          <w:color w:val="000000"/>
          <w:sz w:val="18"/>
        </w:rPr>
      </w:pPr>
      <w:r>
        <w:rPr>
          <w:rFonts w:ascii="Arial;sans-serif" w:hAnsi="Arial;sans-serif"/>
          <w:b w:val="false"/>
          <w:color w:val="000000"/>
          <w:sz w:val="18"/>
        </w:rPr>
        <w:t>The key components of our platform are:</w:t>
      </w:r>
    </w:p>
    <w:p>
      <w:pPr>
        <w:pStyle w:val="TextBody"/>
        <w:bidi w:val="0"/>
        <w:spacing w:lineRule="auto" w:line="288" w:before="240" w:after="283"/>
        <w:ind w:left="0" w:right="0" w:hanging="360"/>
        <w:jc w:val="left"/>
        <w:rPr/>
      </w:pPr>
      <w:r>
        <w:rPr>
          <w:color w:val="000000"/>
        </w:rPr>
        <w:t>•</w:t>
      </w:r>
      <w:r>
        <w:rPr>
          <w:rFonts w:ascii="Arial;sans-serif" w:hAnsi="Arial;sans-serif"/>
          <w:b/>
          <w:color w:val="000000"/>
          <w:sz w:val="18"/>
        </w:rPr>
        <w:t>Data-Driven, Omnichannel Marketing:</w:t>
      </w:r>
      <w:r>
        <w:rPr>
          <w:color w:val="000000"/>
        </w:rPr>
        <w:t xml:space="preserve"> </w:t>
      </w:r>
      <w:r>
        <w:rPr>
          <w:rFonts w:ascii="Arial;sans-serif" w:hAnsi="Arial;sans-serif"/>
          <w:b w:val="false"/>
          <w:color w:val="000000"/>
          <w:sz w:val="18"/>
        </w:rPr>
        <w:t>Based on predictive consumer lead targeting and a high cadence of multivariate testing on consumer lead generation properties, our data-driven, omnichannel marketing drives increased impressions and qualified prospects with a target return on marketing spend.</w:t>
      </w:r>
    </w:p>
    <w:p>
      <w:pPr>
        <w:pStyle w:val="TextBody"/>
        <w:bidi w:val="0"/>
        <w:spacing w:lineRule="auto" w:line="288" w:before="240" w:after="283"/>
        <w:ind w:left="0" w:right="0" w:hanging="360"/>
        <w:jc w:val="left"/>
        <w:rPr/>
      </w:pPr>
      <w:r>
        <w:rPr>
          <w:color w:val="000000"/>
        </w:rPr>
        <w:t>•</w:t>
      </w:r>
      <w:r>
        <w:rPr>
          <w:rFonts w:ascii="Arial;sans-serif" w:hAnsi="Arial;sans-serif"/>
          <w:b/>
          <w:color w:val="000000"/>
          <w:sz w:val="18"/>
        </w:rPr>
        <w:t>Proprietary LeadScore Technology:</w:t>
      </w:r>
      <w:r>
        <w:rPr>
          <w:color w:val="000000"/>
        </w:rPr>
        <w:t xml:space="preserve"> </w:t>
      </w:r>
      <w:r>
        <w:rPr>
          <w:rFonts w:ascii="Arial;sans-serif" w:hAnsi="Arial;sans-serif"/>
          <w:b w:val="false"/>
          <w:color w:val="000000"/>
          <w:sz w:val="18"/>
        </w:rPr>
        <w:t>LeadScore, one of our proprietary machine-learning technologies, is built on large-scale, end-to-end sales data, predicts the LTV and conversion probability of consumer leads, and is utilized to optimize routing of the consumer leads in real-time regardless of their source.</w:t>
      </w:r>
    </w:p>
    <w:p>
      <w:pPr>
        <w:pStyle w:val="TextBody"/>
        <w:bidi w:val="0"/>
        <w:spacing w:lineRule="auto" w:line="288" w:before="240" w:after="283"/>
        <w:ind w:left="0" w:right="0" w:hanging="360"/>
        <w:jc w:val="left"/>
        <w:rPr/>
      </w:pPr>
      <w:r>
        <w:rPr>
          <w:color w:val="000000"/>
        </w:rPr>
        <w:t>•</w:t>
      </w:r>
      <w:r>
        <w:rPr>
          <w:rFonts w:ascii="Arial;sans-serif" w:hAnsi="Arial;sans-serif"/>
          <w:b/>
          <w:color w:val="000000"/>
          <w:sz w:val="18"/>
        </w:rPr>
        <w:t>Sophisticated Matching Technology:</w:t>
      </w:r>
      <w:r>
        <w:rPr>
          <w:color w:val="000000"/>
        </w:rPr>
        <w:t xml:space="preserve"> </w:t>
      </w:r>
      <w:r>
        <w:rPr>
          <w:rFonts w:ascii="Arial;sans-serif" w:hAnsi="Arial;sans-serif"/>
          <w:b w:val="false"/>
          <w:color w:val="000000"/>
          <w:sz w:val="18"/>
        </w:rPr>
        <w:t>Our proprietary qualified prospect distribution, routing, and priority queuing technology based on LeadScore and agent performance data models help us to optimally match qualified prospects to those agents best suited to help them achieve their objective.</w:t>
      </w:r>
    </w:p>
    <w:p>
      <w:pPr>
        <w:pStyle w:val="TextBody"/>
        <w:bidi w:val="0"/>
        <w:spacing w:lineRule="auto" w:line="288" w:before="240" w:after="283"/>
        <w:ind w:left="0" w:right="0" w:hanging="360"/>
        <w:jc w:val="left"/>
        <w:rPr/>
      </w:pPr>
      <w:r>
        <w:rPr>
          <w:color w:val="000000"/>
        </w:rPr>
        <w:t>•</w:t>
      </w:r>
      <w:r>
        <w:rPr>
          <w:rFonts w:ascii="Arial;sans-serif" w:hAnsi="Arial;sans-serif"/>
          <w:b/>
          <w:color w:val="000000"/>
          <w:sz w:val="18"/>
        </w:rPr>
        <w:t>The Marketplace:</w:t>
      </w:r>
      <w:r>
        <w:rPr>
          <w:color w:val="000000"/>
        </w:rPr>
        <w:t xml:space="preserve"> </w:t>
      </w:r>
      <w:r>
        <w:rPr>
          <w:rFonts w:ascii="Arial;sans-serif" w:hAnsi="Arial;sans-serif"/>
          <w:b w:val="false"/>
          <w:color w:val="000000"/>
          <w:sz w:val="18"/>
        </w:rPr>
        <w:t>Our proprietary Marketplace technology features decision support tools and seamlessly integrates with health plan partner enterprise systems, empowering our highly skilled and trained agents to quickly and efficiently select the right health insurance plan for each consumer based on their specific needs and enroll them in those plans.</w:t>
      </w:r>
    </w:p>
    <w:p>
      <w:pPr>
        <w:pStyle w:val="TextBody"/>
        <w:bidi w:val="0"/>
        <w:spacing w:lineRule="auto" w:line="288" w:before="240" w:after="283"/>
        <w:ind w:left="0" w:right="0" w:hanging="360"/>
        <w:jc w:val="left"/>
        <w:rPr/>
      </w:pPr>
      <w:r>
        <w:rPr>
          <w:color w:val="000000"/>
        </w:rPr>
        <w:t>•</w:t>
      </w:r>
      <w:r>
        <w:rPr>
          <w:rFonts w:ascii="Arial;sans-serif" w:hAnsi="Arial;sans-serif"/>
          <w:b/>
          <w:color w:val="000000"/>
          <w:sz w:val="18"/>
        </w:rPr>
        <w:t>CARES Team:</w:t>
      </w:r>
      <w:r>
        <w:rPr>
          <w:color w:val="000000"/>
        </w:rPr>
        <w:t xml:space="preserve"> </w:t>
      </w:r>
      <w:r>
        <w:rPr>
          <w:rFonts w:ascii="Arial;sans-serif" w:hAnsi="Arial;sans-serif"/>
          <w:b w:val="false"/>
          <w:color w:val="000000"/>
          <w:sz w:val="18"/>
        </w:rPr>
        <w:t>Our high-touch consumer care team is focused on increasing consumer engagement with the GoHealth brand and helping consumers access their health plan benefits.</w:t>
      </w:r>
    </w:p>
    <w:p>
      <w:pPr>
        <w:pStyle w:val="TextBody"/>
        <w:bidi w:val="0"/>
        <w:spacing w:lineRule="auto" w:line="288" w:before="240" w:after="283"/>
        <w:ind w:left="0" w:right="0" w:hanging="360"/>
        <w:jc w:val="left"/>
        <w:rPr/>
      </w:pPr>
      <w:r>
        <w:rPr>
          <w:color w:val="000000"/>
        </w:rPr>
        <w:t>•</w:t>
      </w:r>
      <w:r>
        <w:rPr>
          <w:rFonts w:ascii="Arial;sans-serif" w:hAnsi="Arial;sans-serif"/>
          <w:b/>
          <w:color w:val="000000"/>
          <w:sz w:val="18"/>
        </w:rPr>
        <w:t>Scalable and Compliant Infrastructure:</w:t>
      </w:r>
      <w:r>
        <w:rPr>
          <w:color w:val="000000"/>
        </w:rPr>
        <w:t xml:space="preserve"> </w:t>
      </w:r>
      <w:r>
        <w:rPr>
          <w:rFonts w:ascii="Arial;sans-serif" w:hAnsi="Arial;sans-serif"/>
          <w:b w:val="false"/>
          <w:color w:val="000000"/>
          <w:sz w:val="18"/>
        </w:rPr>
        <w:t>Our cloud infrastructure and compliance-by-design technology ensures scalability and compliance across our platform, essential in a highly regulated industry and crucial from a health plan partner perspective.</w:t>
      </w:r>
    </w:p>
    <w:p>
      <w:pPr>
        <w:pStyle w:val="TextBody"/>
        <w:bidi w:val="0"/>
        <w:spacing w:lineRule="auto" w:line="288" w:before="180" w:after="283"/>
        <w:jc w:val="left"/>
        <w:rPr>
          <w:rFonts w:ascii="Arial;sans-serif" w:hAnsi="Arial;sans-serif"/>
          <w:b w:val="false"/>
          <w:i/>
          <w:color w:val="000000"/>
          <w:sz w:val="18"/>
        </w:rPr>
      </w:pPr>
      <w:r>
        <w:rPr>
          <w:rFonts w:ascii="Arial;sans-serif" w:hAnsi="Arial;sans-serif"/>
          <w:b w:val="false"/>
          <w:i/>
          <w:color w:val="000000"/>
          <w:sz w:val="18"/>
        </w:rPr>
        <w:t>Our Products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GoHealth primarily offers Medicare Advantage plans through its platform but also provides a variety of other health plans, including, but not limited to, Medicare Supplement and prescription drug plans. The primary services provided by the Company relate to the sale and administration of Medicare insurance products through our preferred Encompass operating model. The Encompass operating model supports all Medicare services, including agency and non-agency revenue. Agency revenue refers to the commission revenue and partner marketing and other revenue the Company receives when GoHealth agents or the Company’s independent network of outsourced agents enroll the consumer and submit the policy application to the health plan partner, becoming the agent of record. Non-agency revenue refers to services provided by the Company that support enrollment and engagement activities in which the Company is not the agent of record.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GoHealth’s Medicare Advantage offerings include Special Needs Plans (“SNPs”). SNPs are special kinds of Medicare Advantage plans that have benefits covering special health care or financial needs. Dual Special Needs Plans are special needs plans for consumers who have both Medicare and Medicaid.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GoHealth, through GoHealth Protect, also offers products that cover unexpected life events, including guaranteed acceptance life insurance.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Our Market and Trends Impacting the Industry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716280"/>
                <wp:effectExtent l="0" t="0" r="0" b="0"/>
                <wp:wrapNone/>
                <wp:docPr id="11" name="Frame10"/>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832"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09"/>
                              <w:gridCol w:w="109"/>
                              <w:gridCol w:w="154"/>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37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832"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09"/>
                        <w:gridCol w:w="109"/>
                        <w:gridCol w:w="154"/>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37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6</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180" w:after="283"/>
        <w:jc w:val="left"/>
        <w:rPr>
          <w:rFonts w:ascii="Arial;sans-serif" w:hAnsi="Arial;sans-serif"/>
          <w:b w:val="false"/>
          <w:color w:val="000000"/>
          <w:sz w:val="18"/>
        </w:rPr>
      </w:pPr>
      <w:r>
        <w:rPr>
          <w:rFonts w:ascii="Arial;sans-serif" w:hAnsi="Arial;sans-serif"/>
          <w:b w:val="false"/>
          <w:color w:val="000000"/>
          <w:sz w:val="18"/>
        </w:rPr>
        <w:t xml:space="preserve">Our focus on Medicare Advantage products has enabled us to disrupt the traditional Medicare Advantage broker model and capitalize on Medicare market trends. We believe the growth of the number of Medicare-eligible consumers and increased penetration of Medicare Advantage will lead to increased Submissions for marketplaces such as ours in the future.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Consistent with our expectation, we continue to observe significant changes to the Medicare Advantage landscape. Specifically, health plans have tightened plan economics by reducing or eliminating prefunded marketing spend, adjusting broker compensation structures, and eliminating or consolidating low-margin plans. In some cases, consumer preferred plans have been designated as non-commissionable. We believe that these actions reflect a clear industry shift toward retention and stability rather than broad enrollment growth. We believe this shift will persist into 2026, though the long-term growth outlook of the Medicare Advantage market remains strong.</w:t>
      </w:r>
    </w:p>
    <w:p>
      <w:pPr>
        <w:pStyle w:val="TextBody"/>
        <w:bidi w:val="0"/>
        <w:spacing w:lineRule="auto" w:line="288" w:before="180" w:after="283"/>
        <w:jc w:val="left"/>
        <w:rPr>
          <w:rFonts w:ascii="Arial;sans-serif" w:hAnsi="Arial;sans-serif"/>
          <w:b w:val="false"/>
          <w:color w:val="000000"/>
          <w:sz w:val="18"/>
        </w:rPr>
      </w:pPr>
      <w:r>
        <w:rPr>
          <w:rFonts w:ascii="Arial;sans-serif" w:hAnsi="Arial;sans-serif"/>
          <w:b w:val="false"/>
          <w:color w:val="000000"/>
          <w:sz w:val="18"/>
        </w:rPr>
        <w:t>With the aging of the U.S. population, the Medicare-eligible population has increased over time and will continue to increase in the coming decades. Based on data from the U.S. Census Bureau, the population of the U.S. ages 65 and older is projected to grow from 17% in 2020 (56 million people) to nearly a quarter of the nation’s total population in 2060 (95 million people). An aging population means more people will be enrolled in the Medicare program. Medicare enrollment is expected to increase from approximately 63 million individuals in 2020 to approximately 93 million individuals by 2060. This growth in Medicare enrollment will increase the numbers of qualified prospects for our marketing efforts.</w:t>
      </w:r>
    </w:p>
    <w:p>
      <w:pPr>
        <w:pStyle w:val="TextBody"/>
        <w:bidi w:val="0"/>
        <w:spacing w:lineRule="auto" w:line="288" w:before="180" w:after="283"/>
        <w:jc w:val="left"/>
        <w:rPr>
          <w:rFonts w:ascii="Arial;sans-serif" w:hAnsi="Arial;sans-serif"/>
          <w:b w:val="false"/>
          <w:color w:val="000000"/>
          <w:sz w:val="18"/>
        </w:rPr>
      </w:pPr>
      <w:r>
        <w:rPr>
          <w:rFonts w:ascii="Arial;sans-serif" w:hAnsi="Arial;sans-serif"/>
          <w:b w:val="false"/>
          <w:color w:val="000000"/>
          <w:sz w:val="18"/>
        </w:rPr>
        <w:t>In addition to the growth in Medicare enrollment, we expect the interest of Medicare-eligible consumers in private Medicare plans will continue to increase. In 2025, approximately 34 million Medicare beneficiaries were enrolled in a Medicare Advantage plan, representing more than half, or 54%, of the eligible Medicare population. The Congressional Budget Office had projected that the share of Medicare beneficiaries enrolled in Medicare Advantage plans will rise to 64% by 2034. Compared to traditional Medicare, Medicare Advantage enrollees typically have lower annual healthcare costs and access to greater benefits. Consumers are choosing Medicare Advantage plans given their greater ability to cover total out-of-pocket expenses and their rich supplemental benefits (such as dental, vision, hearing and more).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growth in Medicare-eligible seniors and growing interest in private Medicare plans has led to an increase in plan choices. In addition to the increase in plan choices, the differences between health insurance plans have increased significantly. In 2019, the Centers for Medicare and Medicaid Services (“CMS”) eliminated the meaningful difference requirement to improve competition, innovation and available benefit offerings and provide consumers with affordable health insurance plans that are tailored to a consumer’s specific healthcare needs and financial situation. The types of supplemental benefits that health plans cover increased in recent years and now cover transportation assistance, meal benefits, in-home support, telemonitoring, and caregiver support, among others. This growth in plan choices makes education and assistance with plan selection more important for consumers and allows health plan partners to target specific Medicare Advantage plans with packages of benefits designed to be attractive to different segments of Medicare consumers. Marketplaces such as ours help educate consumers, and assist them in making informed plan choices. In addition, we micro-target our marketing to specific audiences with the most to gain, enabling growth for the most differentiated health insurance plans. This precise marketing is more difficult for traditional radio or television-based marketing channels.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 xml:space="preserve">Given these factors, during the third quarter of 2025, we reduced our Medicare Advantage activities for the 2025 AEP season and continued to focus on GoHealth Protect. To maintain strategic flexibility, we have adopted and will continue to operate under a disciplined approach that prioritizes cash preservation and emphasizes retaining existing customers rather than increasing new sales. This reduction continued through the fourth quarter of the 2025 AEP season contributing to lower revenues compared to the prior year. During this period, we focused our efforts on implementing initiatives to reduce costs, boost efficiency, and optimize cash flow. As part of these efforts, our focus has been on reducing infrastructure expenses, including costs related to our technology platform and underlying network infrastructure, a workforce reduction and pursuing cash management initiatives to further lower operating expenses and enhance cash flow.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In addition to these operational measures, the Company undertook several strategic capital and governance measures aimed at improving the Company’s financial flexibility, long-term positioning, and shareholder value, while also enabling the exploration of strategic alternatives, such as consolidation, in a fragmented broker industry. To support this strategy, the Board of Directors created a new committee called the “Transformation Committee,” which has exclusive power and authority to review, develop, negotiate, and recommend to the Board of Directors for approval, various strategic alternatives, including among others, refinancings, securitizations, mergers, acquisitions, and restructurings.</w:t>
      </w:r>
    </w:p>
    <w:p>
      <w:pPr>
        <w:pStyle w:val="TextBody"/>
        <w:bidi w:val="0"/>
        <w:spacing w:lineRule="auto" w:line="288" w:before="180" w:after="283"/>
        <w:jc w:val="left"/>
        <w:rPr>
          <w:rFonts w:ascii="Arial;sans-serif" w:hAnsi="Arial;sans-serif"/>
          <w:b/>
          <w:color w:val="000000"/>
          <w:sz w:val="18"/>
        </w:rPr>
      </w:pPr>
      <w:r>
        <w:rPr>
          <w:rFonts w:ascii="Arial;sans-serif" w:hAnsi="Arial;sans-serif"/>
          <w:b/>
          <w:color w:val="000000"/>
          <w:sz w:val="18"/>
        </w:rPr>
        <w:t>Our Health Plan Partner Relationships</w:t>
      </w:r>
    </w:p>
    <w:p>
      <w:pPr>
        <w:pStyle w:val="TextBody"/>
        <w:bidi w:val="0"/>
        <w:spacing w:lineRule="auto" w:line="288" w:before="180" w:after="283"/>
        <w:jc w:val="left"/>
        <w:rPr>
          <w:rFonts w:ascii="Arial;sans-serif" w:hAnsi="Arial;sans-serif"/>
          <w:b w:val="false"/>
          <w:color w:val="000000"/>
          <w:sz w:val="18"/>
        </w:rPr>
      </w:pPr>
      <w:r>
        <w:rPr>
          <w:rFonts w:ascii="Arial;sans-serif" w:hAnsi="Arial;sans-serif"/>
          <w:b w:val="false"/>
          <w:color w:val="000000"/>
          <w:sz w:val="18"/>
        </w:rPr>
        <w:t>We maintain longstanding integrated relationships with several leading health plan partners in the U.S., who have some of the industry’s most widely recognizable brands. For the twelve months ended December 31, 2025, 2024, and 2023, the primary health plan partners that we served were United, Humana, Elevance, Aetna and Centene. These relationships have resulted in strong health plan retention rates. We typically enter into contractual agency relationships with health plan partners that are non-exclusive and terminable on short notice by either party for any reason. Health plan partners often have the ability to terminate or amend our agreements unilaterally on short notice, including provisions in our agreements relating to our commission rates.</w:t>
      </w:r>
    </w:p>
    <w:p>
      <w:pPr>
        <w:pStyle w:val="TextBody"/>
        <w:bidi w:val="0"/>
        <w:spacing w:lineRule="auto" w:line="288" w:before="180" w:after="283"/>
        <w:jc w:val="left"/>
        <w:rPr>
          <w:rFonts w:ascii="Arial;sans-serif" w:hAnsi="Arial;sans-serif"/>
          <w:b w:val="false"/>
          <w:color w:val="000000"/>
          <w:sz w:val="18"/>
        </w:rPr>
      </w:pPr>
      <w:r>
        <w:rPr>
          <w:rFonts w:ascii="Arial;sans-serif" w:hAnsi="Arial;sans-serif"/>
          <w:b w:val="false"/>
          <w:color w:val="000000"/>
          <w:sz w:val="18"/>
        </w:rPr>
        <w:t xml:space="preserve">We believe health plan partners see our method of acquiring consumers as scalable and efficient and, ultimately, as cost-advantageous compared to their own models, and provide us, in some cases, with marketing development funding. The health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716280"/>
                <wp:effectExtent l="0" t="0" r="0" b="0"/>
                <wp:wrapNone/>
                <wp:docPr id="12" name="Frame11"/>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832"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09"/>
                              <w:gridCol w:w="109"/>
                              <w:gridCol w:w="154"/>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37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832"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09"/>
                        <w:gridCol w:w="109"/>
                        <w:gridCol w:w="154"/>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37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7</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180" w:after="283"/>
        <w:jc w:val="left"/>
        <w:rPr>
          <w:rFonts w:ascii="Arial;sans-serif" w:hAnsi="Arial;sans-serif"/>
          <w:b w:val="false"/>
          <w:color w:val="000000"/>
          <w:sz w:val="18"/>
        </w:rPr>
      </w:pPr>
      <w:r>
        <w:rPr>
          <w:rFonts w:ascii="Arial;sans-serif" w:hAnsi="Arial;sans-serif"/>
          <w:b w:val="false"/>
          <w:color w:val="000000"/>
          <w:sz w:val="18"/>
        </w:rPr>
        <w:t>plan partners are responsible for paying our commissions and, for these purposes, act as our customers. We do not currently generate revenues directly from the consumers to whom we sell insurance policies on behalf of health plan partners.</w:t>
      </w:r>
    </w:p>
    <w:p>
      <w:pPr>
        <w:pStyle w:val="TextBody"/>
        <w:bidi w:val="0"/>
        <w:spacing w:lineRule="auto" w:line="288" w:before="180" w:after="283"/>
        <w:jc w:val="left"/>
        <w:rPr>
          <w:rFonts w:ascii="Arial;sans-serif" w:hAnsi="Arial;sans-serif"/>
          <w:b w:val="false"/>
          <w:color w:val="000000"/>
          <w:sz w:val="18"/>
        </w:rPr>
      </w:pPr>
      <w:r>
        <w:rPr>
          <w:rFonts w:ascii="Arial;sans-serif" w:hAnsi="Arial;sans-serif"/>
          <w:b w:val="false"/>
          <w:color w:val="000000"/>
          <w:sz w:val="18"/>
        </w:rPr>
        <w:t>A core element of our value proposition to health plan partners relates to our ability to reliably place policies in compliance with applicable regulations and health plan-specific requirements. As such, we work closely with health plan partners to develop approved scripts and to undertake regular audits of our compliance with health plan partner requirements. In addition, our agents operate under compensation structures established to fully align their incentives with our compliance objectives.</w:t>
      </w:r>
    </w:p>
    <w:p>
      <w:pPr>
        <w:pStyle w:val="TextBody"/>
        <w:bidi w:val="0"/>
        <w:spacing w:lineRule="auto" w:line="288" w:before="180" w:after="283"/>
        <w:jc w:val="left"/>
        <w:rPr>
          <w:rFonts w:ascii="Arial;sans-serif" w:hAnsi="Arial;sans-serif"/>
          <w:b/>
          <w:color w:val="000000"/>
          <w:sz w:val="18"/>
        </w:rPr>
      </w:pPr>
      <w:r>
        <w:rPr>
          <w:rFonts w:ascii="Arial;sans-serif" w:hAnsi="Arial;sans-serif"/>
          <w:b/>
          <w:color w:val="000000"/>
          <w:sz w:val="18"/>
        </w:rPr>
        <w:t>Our Technology</w:t>
      </w:r>
    </w:p>
    <w:p>
      <w:pPr>
        <w:pStyle w:val="TextBody"/>
        <w:bidi w:val="0"/>
        <w:spacing w:lineRule="auto" w:line="288" w:before="180" w:after="283"/>
        <w:jc w:val="left"/>
        <w:rPr>
          <w:rFonts w:ascii="Arial;sans-serif" w:hAnsi="Arial;sans-serif"/>
          <w:b w:val="false"/>
          <w:color w:val="000000"/>
          <w:sz w:val="18"/>
        </w:rPr>
      </w:pPr>
      <w:r>
        <w:rPr>
          <w:rFonts w:ascii="Arial;sans-serif" w:hAnsi="Arial;sans-serif"/>
          <w:b w:val="false"/>
          <w:color w:val="000000"/>
          <w:sz w:val="18"/>
        </w:rPr>
        <w:t xml:space="preserve">Throughout the past two decades, we have consistently invested in our technology, artificial intelligence (“AI”) and business processes to enroll consumers in health plans while helping health plan partners scale their product and plan offerings. Our platform utilizes proprietary technologies, AI capabilities, data feedback, efficient business processes and highly skilled and trained agents to connect consumers with health plan partners through multiple channels. </w:t>
      </w:r>
    </w:p>
    <w:p>
      <w:pPr>
        <w:pStyle w:val="TextBody"/>
        <w:bidi w:val="0"/>
        <w:spacing w:lineRule="auto" w:line="288" w:before="180" w:after="283"/>
        <w:jc w:val="left"/>
        <w:rPr>
          <w:rFonts w:ascii="Arial;sans-serif" w:hAnsi="Arial;sans-serif"/>
          <w:b w:val="false"/>
          <w:color w:val="000000"/>
          <w:sz w:val="18"/>
        </w:rPr>
      </w:pPr>
      <w:r>
        <w:rPr>
          <w:rFonts w:ascii="Arial;sans-serif" w:hAnsi="Arial;sans-serif"/>
          <w:b w:val="false"/>
          <w:color w:val="000000"/>
          <w:sz w:val="18"/>
        </w:rPr>
        <w:t>We have a technology culture that incentivizes the relentless improvement of every measurable point of the consumer experience. We harness our data, in unison with a deep investment in data expertise, to power key decision engines that scrutinize every step of the consumer journey and identify areas where technology and process-improvement investment will most impact our unit economics, including driving improvements in Sales/Cost of Submission. We operate dozens of proprietary technology systems, which support a data-driven consumer acquisition, service, and retention lifecycle within the health insurance market.</w:t>
      </w:r>
    </w:p>
    <w:p>
      <w:pPr>
        <w:pStyle w:val="TextBody"/>
        <w:bidi w:val="0"/>
        <w:spacing w:lineRule="auto" w:line="288" w:before="180" w:after="283"/>
        <w:jc w:val="left"/>
        <w:rPr>
          <w:rFonts w:ascii="Arial;sans-serif" w:hAnsi="Arial;sans-serif"/>
          <w:b w:val="false"/>
          <w:color w:val="000000"/>
          <w:sz w:val="18"/>
        </w:rPr>
      </w:pPr>
      <w:r>
        <w:rPr>
          <w:rFonts w:ascii="Arial;sans-serif" w:hAnsi="Arial;sans-serif"/>
          <w:b w:val="false"/>
          <w:color w:val="000000"/>
          <w:sz w:val="18"/>
        </w:rPr>
        <w:t>As a technology-enabled distributor of scale in our end markets, we believe we are well-positioned to capitalize on the growing trend of digital transformation in the insurance distribution space. Traditionally, consumers often lack awareness of their coverage options and risk receiving vague, “one size fits all” advice that prioritizes agent commissions over their needs. Now, the insurance landscape is changing as consumers seek more options, transparency in pricing, and use the internet to research policies independently. Advances in technology, increased demand for price comparison, and the rise of AI applications are transforming the industry. As the U.S. shifts toward a mobile-first approach, with consumers becoming more tech-savvy and comfortable shopping online, our ability to provide policies from multiple carriers, leverage our proprietary platform, utilize extensive data, and apply AI in key areas positions us to leverage these evolving consumer preferences.</w:t>
      </w:r>
    </w:p>
    <w:p>
      <w:pPr>
        <w:pStyle w:val="TextBody"/>
        <w:bidi w:val="0"/>
        <w:spacing w:lineRule="auto" w:line="288" w:before="240" w:after="283"/>
        <w:ind w:left="0" w:right="0" w:hanging="360"/>
        <w:jc w:val="left"/>
        <w:rPr/>
      </w:pPr>
      <w:r>
        <w:rPr>
          <w:color w:val="000000"/>
        </w:rPr>
        <w:t>•</w:t>
      </w:r>
      <w:r>
        <w:rPr>
          <w:rFonts w:ascii="Arial;sans-serif" w:hAnsi="Arial;sans-serif"/>
          <w:b/>
          <w:color w:val="000000"/>
          <w:sz w:val="18"/>
        </w:rPr>
        <w:t>Consumer Lead Acquisition:</w:t>
      </w:r>
      <w:r>
        <w:rPr>
          <w:color w:val="000000"/>
        </w:rPr>
        <w:t xml:space="preserve"> </w:t>
      </w:r>
      <w:r>
        <w:rPr>
          <w:rFonts w:ascii="Arial;sans-serif" w:hAnsi="Arial;sans-serif"/>
          <w:b w:val="false"/>
          <w:color w:val="000000"/>
          <w:sz w:val="18"/>
        </w:rPr>
        <w:t>We acquire consumer leads through many channels, including paid Internet searches, television advertising, direct mail, affiliate sources, organic traffic from GoHealth.com and other channels. We use our streaming data systems to monitor Cost of Submission, the attributes and volume of consumer leads, the efficiency of the sales process, and historical performance benchmarks on a real-time basis. These systems allow our marketing team and automated marketing systems to make informed consumer lead acquisition decisions, resulting in lower Cost of Submission. Further, we have engineered our online lead generation forms that capture consumer leads to conduct high-volume testing of our consumer lead systems. Finally, our Consent Manager system ensures the capture of verifiable consent to call or text each consumer lead in compliance with the Telephone Consumer Protection Act (“TCPA”).</w:t>
      </w:r>
    </w:p>
    <w:p>
      <w:pPr>
        <w:pStyle w:val="TextBody"/>
        <w:bidi w:val="0"/>
        <w:spacing w:lineRule="auto" w:line="288" w:before="240" w:after="283"/>
        <w:ind w:left="0" w:right="0" w:hanging="360"/>
        <w:jc w:val="left"/>
        <w:rPr/>
      </w:pPr>
      <w:r>
        <w:rPr>
          <w:color w:val="000000"/>
        </w:rPr>
        <w:t>•</w:t>
      </w:r>
      <w:r>
        <w:rPr>
          <w:rFonts w:ascii="Arial;sans-serif" w:hAnsi="Arial;sans-serif"/>
          <w:b/>
          <w:color w:val="000000"/>
          <w:sz w:val="18"/>
        </w:rPr>
        <w:t>Lead Scoring:</w:t>
      </w:r>
      <w:r>
        <w:rPr>
          <w:color w:val="000000"/>
        </w:rPr>
        <w:t xml:space="preserve"> </w:t>
      </w:r>
      <w:r>
        <w:rPr>
          <w:rFonts w:ascii="Arial;sans-serif" w:hAnsi="Arial;sans-serif"/>
          <w:b w:val="false"/>
          <w:color w:val="000000"/>
          <w:sz w:val="18"/>
        </w:rPr>
        <w:t>When consumers engage with us through the telephone or our website, our data systems capture attributes about the consumer, including the specific advertisement and channel that precipitated the consumer’s engagement. Our proprietary LeadScore technology applies a machine-learning model to years of historical consumer lead data we have gathered and their measured long-term outcomes to predict the expected LTV of all incoming consumer leads from the moment they connect with us. We use LeadScore to make several decisions throughout the sales process about how to optimize the routing of the consumer lead and what agents or agencies are best suited to serve each consumer.</w:t>
      </w:r>
    </w:p>
    <w:p>
      <w:pPr>
        <w:pStyle w:val="TextBody"/>
        <w:bidi w:val="0"/>
        <w:spacing w:lineRule="auto" w:line="288" w:before="240" w:after="283"/>
        <w:ind w:left="0" w:right="0" w:hanging="360"/>
        <w:jc w:val="left"/>
        <w:rPr/>
      </w:pPr>
      <w:r>
        <w:rPr>
          <w:color w:val="000000"/>
        </w:rPr>
        <w:t>•</w:t>
      </w:r>
      <w:r>
        <w:rPr>
          <w:rFonts w:ascii="Arial;sans-serif" w:hAnsi="Arial;sans-serif"/>
          <w:b/>
          <w:color w:val="000000"/>
          <w:sz w:val="18"/>
        </w:rPr>
        <w:t>Contact Queuing:</w:t>
      </w:r>
      <w:r>
        <w:rPr>
          <w:color w:val="000000"/>
        </w:rPr>
        <w:t xml:space="preserve"> </w:t>
      </w:r>
      <w:r>
        <w:rPr>
          <w:rFonts w:ascii="Arial;sans-serif" w:hAnsi="Arial;sans-serif"/>
          <w:b w:val="false"/>
          <w:color w:val="000000"/>
          <w:sz w:val="18"/>
        </w:rPr>
        <w:t>We utilize our Automated Call Routing system (“ACR”), a proprietary contact queue prioritized by LTV and throttled by an integrated monitor of agent capacity, to optimize outreach to our most valuable online consumer leads at a point in time when they can be connected to our agents with minimal wait time.</w:t>
      </w:r>
    </w:p>
    <w:p>
      <w:pPr>
        <w:pStyle w:val="TextBody"/>
        <w:bidi w:val="0"/>
        <w:spacing w:lineRule="auto" w:line="288" w:before="240" w:after="283"/>
        <w:ind w:left="0" w:right="0" w:hanging="360"/>
        <w:jc w:val="left"/>
        <w:rPr/>
      </w:pPr>
      <w:r>
        <w:rPr>
          <w:color w:val="000000"/>
        </w:rPr>
        <w:t>•</w:t>
      </w:r>
      <w:r>
        <w:rPr>
          <w:rFonts w:ascii="Arial;sans-serif" w:hAnsi="Arial;sans-serif"/>
          <w:b/>
          <w:color w:val="000000"/>
          <w:sz w:val="18"/>
        </w:rPr>
        <w:t>Outbound Contact and Qualification:</w:t>
      </w:r>
      <w:r>
        <w:rPr>
          <w:color w:val="000000"/>
        </w:rPr>
        <w:t xml:space="preserve"> </w:t>
      </w:r>
      <w:r>
        <w:rPr>
          <w:rFonts w:ascii="Arial;sans-serif" w:hAnsi="Arial;sans-serif"/>
          <w:b w:val="false"/>
          <w:color w:val="000000"/>
          <w:sz w:val="18"/>
        </w:rPr>
        <w:t>Following ACR’s automated decision for consumer outreach, our automatic telephony system contacts the consumer and immediately places them on the phone with an AI-powered voice Connect agent, who gathers information to qualify the consumer and personalize their sales experience. We also use the data gathered by our Connectors to improve the sales process by testing the questions our Connectors ask and building data models of how consumers’ answers affect agent-consumer fit, consumer-product fit, Cost of Submission, LTV, and long-term consumer satisfaction.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color w:val="000000"/>
          <w:sz w:val="18"/>
        </w:rPr>
        <w:t>Lead Distribution:</w:t>
      </w:r>
      <w:r>
        <w:rPr>
          <w:color w:val="000000"/>
        </w:rPr>
        <w:t xml:space="preserve"> </w:t>
      </w:r>
      <w:r>
        <w:rPr>
          <w:rFonts w:ascii="Arial;sans-serif" w:hAnsi="Arial;sans-serif"/>
          <w:b w:val="false"/>
          <w:color w:val="000000"/>
          <w:sz w:val="18"/>
        </w:rPr>
        <w:t xml:space="preserve">At the conclusion of the information-gathering process, and while the consumer is still on the phone, we use our proprietary platform to match consumers to health, wellness and quality of life offerings based on a comprehensive needs assessment. External parties, along with our internal agency and programs, present offerings based on the consumer lead’s profile. Our Assisted Live Transfer technology connects the call to the relevant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716280"/>
                <wp:effectExtent l="0" t="0" r="0" b="0"/>
                <wp:wrapNone/>
                <wp:docPr id="13" name="Frame12"/>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832"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09"/>
                              <w:gridCol w:w="109"/>
                              <w:gridCol w:w="154"/>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37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832"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09"/>
                        <w:gridCol w:w="109"/>
                        <w:gridCol w:w="154"/>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37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8</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representative, via either warm (attended) transfer or cold (blind) transfer, dynamically chosen based on the availability of agents.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color w:val="000000"/>
          <w:sz w:val="18"/>
        </w:rPr>
        <w:t>Optimized Call Routing:</w:t>
      </w:r>
      <w:r>
        <w:rPr>
          <w:color w:val="000000"/>
        </w:rPr>
        <w:t xml:space="preserve"> </w:t>
      </w:r>
      <w:r>
        <w:rPr>
          <w:rFonts w:ascii="Arial;sans-serif" w:hAnsi="Arial;sans-serif"/>
          <w:b w:val="false"/>
          <w:color w:val="000000"/>
          <w:sz w:val="18"/>
        </w:rPr>
        <w:t>If the consumer lead is distributed from a Connector further into our internal sales process to our licensed sales agents, or Advocates, our CallRouter technology matches qualified consumers to those agents best suited to help them achieve their objective using a myriad of consumer and agent attributes. Consumer-to-agent matching is driven by licensing, training, experience and performance characteristics that best align with the needs of the consumer. Performance data is continuously gathered and continually retrained to ensure optimal call-routing based on current market dynamics.</w:t>
      </w:r>
    </w:p>
    <w:p>
      <w:pPr>
        <w:pStyle w:val="TextBody"/>
        <w:bidi w:val="0"/>
        <w:spacing w:lineRule="auto" w:line="288" w:before="240" w:after="283"/>
        <w:ind w:left="0" w:right="0" w:hanging="360"/>
        <w:jc w:val="left"/>
        <w:rPr/>
      </w:pPr>
      <w:r>
        <w:rPr>
          <w:color w:val="000000"/>
        </w:rPr>
        <w:t>•</w:t>
      </w:r>
      <w:r>
        <w:rPr>
          <w:rFonts w:ascii="Arial;sans-serif" w:hAnsi="Arial;sans-serif"/>
          <w:b/>
          <w:color w:val="000000"/>
          <w:sz w:val="18"/>
        </w:rPr>
        <w:t>Consumer Lead Management:</w:t>
      </w:r>
      <w:r>
        <w:rPr>
          <w:color w:val="000000"/>
        </w:rPr>
        <w:t xml:space="preserve"> </w:t>
      </w:r>
      <w:r>
        <w:rPr>
          <w:rFonts w:ascii="Arial;sans-serif" w:hAnsi="Arial;sans-serif"/>
          <w:b w:val="false"/>
          <w:color w:val="000000"/>
          <w:sz w:val="18"/>
        </w:rPr>
        <w:t>As consumer leads are assigned and connected to agents, our Customer360 CRM technology provides guidance to the agents on the most appealing value proposition to the consumer based on the information previously collected about the consumer.</w:t>
      </w:r>
    </w:p>
    <w:p>
      <w:pPr>
        <w:pStyle w:val="TextBody"/>
        <w:bidi w:val="0"/>
        <w:spacing w:lineRule="auto" w:line="288" w:before="240" w:after="283"/>
        <w:ind w:left="0" w:right="0" w:hanging="360"/>
        <w:jc w:val="left"/>
        <w:rPr/>
      </w:pPr>
      <w:r>
        <w:rPr>
          <w:color w:val="000000"/>
        </w:rPr>
        <w:t>•</w:t>
      </w:r>
      <w:r>
        <w:rPr>
          <w:rFonts w:ascii="Arial;sans-serif" w:hAnsi="Arial;sans-serif"/>
          <w:b/>
          <w:color w:val="000000"/>
          <w:sz w:val="18"/>
        </w:rPr>
        <w:t>Marketplace:</w:t>
      </w:r>
      <w:r>
        <w:rPr>
          <w:color w:val="000000"/>
        </w:rPr>
        <w:t xml:space="preserve"> </w:t>
      </w:r>
      <w:r>
        <w:rPr>
          <w:rFonts w:ascii="Arial;sans-serif" w:hAnsi="Arial;sans-serif"/>
          <w:b w:val="false"/>
          <w:color w:val="000000"/>
          <w:sz w:val="18"/>
        </w:rPr>
        <w:t>After reviewing the consumer’s profile in Customer360 CRM, the agent launches our Marketplace technology. Our Marketplace technology provides comparative shopping capabilities for all products available to the consumer in their geography and across health plan partners. It also ensures that while the agent has access to, and is able to compare, all products in the market, they only sell products for which they are appointed and licensed. The Marketplace has a growing set of decision support capabilities to guide the agent to the consumer’s ideal plan. For example, agents have the ability to look up each consumer’s providers and prescription drugs to compare their coverage inclusion and cost across plans. When the agent is ready to apply for a specific plan with the consumer, they may do so directly through the Marketplace. If the consumer requires time to consider the plan, the agent can send a personalized plan proposal either by email or SMS text message. Consumers can review proposals and enroll on their own directly from their phone, tablet, or computer.</w:t>
      </w:r>
    </w:p>
    <w:p>
      <w:pPr>
        <w:pStyle w:val="TextBody"/>
        <w:bidi w:val="0"/>
        <w:spacing w:lineRule="auto" w:line="288" w:before="240" w:after="283"/>
        <w:ind w:left="0" w:right="0" w:hanging="360"/>
        <w:jc w:val="left"/>
        <w:rPr/>
      </w:pPr>
      <w:r>
        <w:rPr>
          <w:color w:val="000000"/>
        </w:rPr>
        <w:t>•</w:t>
      </w:r>
      <w:r>
        <w:rPr>
          <w:rFonts w:ascii="Arial;sans-serif" w:hAnsi="Arial;sans-serif"/>
          <w:b/>
          <w:color w:val="000000"/>
          <w:sz w:val="18"/>
        </w:rPr>
        <w:t>Electronic Applications:</w:t>
      </w:r>
      <w:r>
        <w:rPr>
          <w:color w:val="000000"/>
        </w:rPr>
        <w:t xml:space="preserve"> </w:t>
      </w:r>
      <w:r>
        <w:rPr>
          <w:rFonts w:ascii="Arial;sans-serif" w:hAnsi="Arial;sans-serif"/>
          <w:b w:val="false"/>
          <w:color w:val="000000"/>
          <w:sz w:val="18"/>
        </w:rPr>
        <w:t>We utilize proprietary domain-specific language for the rapid development and deployment of compliant electronic insurance applications. We ensure that insurance applications can be built and validated using standard, reusable modules wherever appropriate, while still being able to seamlessly integrate custom components as necessary. Completed applications are delivered directly to the corresponding health plan partners through custom integration partnerships.</w:t>
      </w:r>
    </w:p>
    <w:p>
      <w:pPr>
        <w:pStyle w:val="TextBody"/>
        <w:bidi w:val="0"/>
        <w:spacing w:lineRule="auto" w:line="288" w:before="240" w:after="283"/>
        <w:ind w:left="0" w:right="0" w:hanging="360"/>
        <w:jc w:val="left"/>
        <w:rPr/>
      </w:pPr>
      <w:r>
        <w:rPr>
          <w:color w:val="000000"/>
        </w:rPr>
        <w:t>•</w:t>
      </w:r>
      <w:r>
        <w:rPr>
          <w:rFonts w:ascii="Arial;sans-serif" w:hAnsi="Arial;sans-serif"/>
          <w:b/>
          <w:color w:val="000000"/>
          <w:sz w:val="18"/>
        </w:rPr>
        <w:t>Consumer Lifecycle Management:</w:t>
      </w:r>
      <w:r>
        <w:rPr>
          <w:color w:val="000000"/>
        </w:rPr>
        <w:t xml:space="preserve"> </w:t>
      </w:r>
      <w:r>
        <w:rPr>
          <w:rFonts w:ascii="Arial;sans-serif" w:hAnsi="Arial;sans-serif"/>
          <w:b w:val="false"/>
          <w:color w:val="000000"/>
          <w:sz w:val="18"/>
        </w:rPr>
        <w:t>We receive application submission, commission, and book of business data regularly from each integrated health plan partner. We integrate this data with the other consumer data gathered throughout the consumer lifecycle to build a Retention Model using our machine-learning technology, which identifies consumers in need of engagement. Similar to many of our other systems, the Retention Model is continuously tested to increase performance and capability. We also use post-sale data from health plan partners to model how retention outcomes relate to consumer, marketing, and consumer journey attributes so that every piece of our technology can be further optimized to maximize consumer satisfaction and improve the sales process.</w:t>
      </w:r>
    </w:p>
    <w:p>
      <w:pPr>
        <w:pStyle w:val="TextBody"/>
        <w:bidi w:val="0"/>
        <w:spacing w:lineRule="auto" w:line="288" w:before="240" w:after="283"/>
        <w:ind w:left="0" w:right="0" w:hanging="360"/>
        <w:jc w:val="left"/>
        <w:rPr/>
      </w:pPr>
      <w:r>
        <w:rPr>
          <w:color w:val="000000"/>
        </w:rPr>
        <w:t>•</w:t>
      </w:r>
      <w:r>
        <w:rPr>
          <w:rFonts w:ascii="Arial;sans-serif" w:hAnsi="Arial;sans-serif"/>
          <w:b/>
          <w:color w:val="000000"/>
          <w:sz w:val="18"/>
        </w:rPr>
        <w:t>Monitoring:</w:t>
      </w:r>
      <w:r>
        <w:rPr>
          <w:color w:val="000000"/>
        </w:rPr>
        <w:t xml:space="preserve"> </w:t>
      </w:r>
      <w:r>
        <w:rPr>
          <w:rFonts w:ascii="Arial;sans-serif" w:hAnsi="Arial;sans-serif"/>
          <w:b w:val="false"/>
          <w:color w:val="000000"/>
          <w:sz w:val="18"/>
        </w:rPr>
        <w:t>We have also developed several enabling and monitoring technologies to detect and automatically address anomalies and inefficiencies in our operations based on deviations from baseline norms, and to ensure that our operations are fully compliant. Various network and agent performance metrics are tracked so that we can exert control over our advertising and sales operations.</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Our Agents</w:t>
      </w:r>
    </w:p>
    <w:p>
      <w:pPr>
        <w:pStyle w:val="TextBody"/>
        <w:bidi w:val="0"/>
        <w:spacing w:lineRule="auto" w:line="288" w:before="180" w:after="283"/>
        <w:jc w:val="left"/>
        <w:rPr>
          <w:rFonts w:ascii="Arial;sans-serif" w:hAnsi="Arial;sans-serif"/>
          <w:b w:val="false"/>
          <w:color w:val="000000"/>
          <w:sz w:val="18"/>
        </w:rPr>
      </w:pPr>
      <w:r>
        <w:rPr>
          <w:rFonts w:ascii="Arial;sans-serif" w:hAnsi="Arial;sans-serif"/>
          <w:b w:val="false"/>
          <w:color w:val="000000"/>
          <w:sz w:val="18"/>
        </w:rPr>
        <w:t>Since our inception, our highly skilled and trained agents have enrolled over 10 million people in Medicare plans. Our technology, lead distribution and workflow allow agents to work remotely at home, providing us with a sustainable avenue for growth. Our team reflects GoHealth’s commitment to demonstrating care at every level of consumer interaction.</w:t>
      </w:r>
    </w:p>
    <w:p>
      <w:pPr>
        <w:pStyle w:val="TextBody"/>
        <w:bidi w:val="0"/>
        <w:spacing w:lineRule="auto" w:line="288" w:before="240" w:after="283"/>
        <w:jc w:val="left"/>
        <w:rPr/>
      </w:pPr>
      <w:r>
        <w:rPr>
          <w:rFonts w:ascii="Arial;sans-serif" w:hAnsi="Arial;sans-serif"/>
          <w:b w:val="false"/>
          <w:color w:val="000000"/>
          <w:sz w:val="18"/>
        </w:rPr>
        <w:t xml:space="preserve">Our agent base consists of both licensed and support agents who assist in guiding consumers through their healthcare journey. Our licensed </w:t>
      </w:r>
      <w:r>
        <w:rPr>
          <w:rFonts w:ascii="Arial;sans-serif" w:hAnsi="Arial;sans-serif"/>
          <w:b w:val="false"/>
          <w:i/>
          <w:color w:val="000000"/>
          <w:sz w:val="18"/>
        </w:rPr>
        <w:t>Advocate</w:t>
      </w:r>
      <w:r>
        <w:rPr>
          <w:color w:val="000000"/>
        </w:rPr>
        <w:t xml:space="preserve"> </w:t>
      </w:r>
      <w:r>
        <w:rPr>
          <w:rFonts w:ascii="Arial;sans-serif" w:hAnsi="Arial;sans-serif"/>
          <w:b w:val="false"/>
          <w:color w:val="000000"/>
          <w:sz w:val="18"/>
        </w:rPr>
        <w:t xml:space="preserve">team helps consumers choose the best plan for them through our comprehensive member needs assessment utilizing our PlanFit technology and enroll them into policies. With quality as our driving measure, our </w:t>
      </w:r>
      <w:r>
        <w:rPr>
          <w:rFonts w:ascii="Arial;sans-serif" w:hAnsi="Arial;sans-serif"/>
          <w:b w:val="false"/>
          <w:i/>
          <w:color w:val="000000"/>
          <w:sz w:val="18"/>
        </w:rPr>
        <w:t>Engage</w:t>
      </w:r>
      <w:r>
        <w:rPr>
          <w:color w:val="000000"/>
        </w:rPr>
        <w:t xml:space="preserve"> </w:t>
      </w:r>
      <w:r>
        <w:rPr>
          <w:rFonts w:ascii="Arial;sans-serif" w:hAnsi="Arial;sans-serif"/>
          <w:b w:val="false"/>
          <w:color w:val="000000"/>
          <w:sz w:val="18"/>
        </w:rPr>
        <w:t>team partners with our members to help utilize their benefits and better engage consumers, helping drive higher satisfaction and persistency. Our agents benefit from a rigorous training program consisting of four-to-eight weeks of group instruction prior to engaging with consumers. Our training courses cover insurance licensing, compliance requirements, customer service interactions, live role playing, and systems use. We competitively compensate agents to incentivize their productivity, increase member retention and improve consumer satisfaction. In addition to an hourly wage, we also compensate our agents through a structured bonus program. Our bonus program is designed to compensate agents based on the quality and quantity of their enrollments.</w:t>
      </w:r>
    </w:p>
    <w:p>
      <w:pPr>
        <w:pStyle w:val="TextBody"/>
        <w:bidi w:val="0"/>
        <w:spacing w:lineRule="auto" w:line="288" w:before="180" w:after="283"/>
        <w:jc w:val="left"/>
        <w:rPr>
          <w:rFonts w:ascii="Arial;sans-serif" w:hAnsi="Arial;sans-serif"/>
          <w:b/>
          <w:color w:val="000000"/>
          <w:sz w:val="18"/>
        </w:rPr>
      </w:pPr>
      <w:r>
        <w:rPr>
          <w:rFonts w:ascii="Arial;sans-serif" w:hAnsi="Arial;sans-serif"/>
          <w:b/>
          <w:color w:val="000000"/>
          <w:sz w:val="18"/>
        </w:rPr>
        <w:t>Our Marketing</w:t>
      </w:r>
    </w:p>
    <w:p>
      <w:pPr>
        <w:pStyle w:val="TextBody"/>
        <w:bidi w:val="0"/>
        <w:spacing w:lineRule="auto" w:line="288" w:before="180" w:after="283"/>
        <w:jc w:val="left"/>
        <w:rPr>
          <w:rFonts w:ascii="Arial;sans-serif" w:hAnsi="Arial;sans-serif"/>
          <w:b w:val="false"/>
          <w:color w:val="000000"/>
          <w:sz w:val="18"/>
        </w:rPr>
      </w:pPr>
      <w:r>
        <w:rPr>
          <w:rFonts w:ascii="Arial;sans-serif" w:hAnsi="Arial;sans-serif"/>
          <w:b w:val="false"/>
          <w:color w:val="000000"/>
          <w:sz w:val="18"/>
        </w:rPr>
        <w:t>We employ data-driven, omnichannel marketing efforts to increase consumer phone calls and visits to our website and convert those calls and visits into high-quality consumer interactions. Our marketing initiatives include: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716280"/>
                <wp:effectExtent l="0" t="0" r="0" b="0"/>
                <wp:wrapNone/>
                <wp:docPr id="14" name="Frame13"/>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832"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09"/>
                              <w:gridCol w:w="109"/>
                              <w:gridCol w:w="154"/>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37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832"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09"/>
                        <w:gridCol w:w="109"/>
                        <w:gridCol w:w="154"/>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37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9</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180" w:after="283"/>
        <w:ind w:left="0" w:right="0" w:hanging="360"/>
        <w:jc w:val="left"/>
        <w:rPr/>
      </w:pPr>
      <w:r>
        <w:rPr>
          <w:color w:val="000000"/>
        </w:rPr>
        <w:t>•</w:t>
      </w:r>
      <w:r>
        <w:rPr>
          <w:rFonts w:ascii="Arial;sans-serif" w:hAnsi="Arial;sans-serif"/>
          <w:b/>
          <w:color w:val="000000"/>
          <w:sz w:val="18"/>
        </w:rPr>
        <w:t>Offline Media Marketing:</w:t>
      </w:r>
      <w:r>
        <w:rPr>
          <w:color w:val="000000"/>
        </w:rPr>
        <w:t xml:space="preserve"> </w:t>
      </w:r>
      <w:r>
        <w:rPr>
          <w:rFonts w:ascii="Arial;sans-serif" w:hAnsi="Arial;sans-serif"/>
          <w:b w:val="false"/>
          <w:color w:val="000000"/>
          <w:sz w:val="18"/>
        </w:rPr>
        <w:t>Our offline media channel consists of branded advertisements run on television (both linear and over-the-top) and radio, as well as targeted direct mail campaigns.</w:t>
      </w:r>
    </w:p>
    <w:p>
      <w:pPr>
        <w:pStyle w:val="TextBody"/>
        <w:bidi w:val="0"/>
        <w:spacing w:lineRule="auto" w:line="288" w:before="180" w:after="283"/>
        <w:ind w:left="0" w:right="0" w:hanging="360"/>
        <w:jc w:val="left"/>
        <w:rPr/>
      </w:pPr>
      <w:r>
        <w:rPr>
          <w:color w:val="000000"/>
        </w:rPr>
        <w:t>•</w:t>
      </w:r>
      <w:r>
        <w:rPr>
          <w:rFonts w:ascii="Arial;sans-serif" w:hAnsi="Arial;sans-serif"/>
          <w:b/>
          <w:color w:val="000000"/>
          <w:sz w:val="18"/>
        </w:rPr>
        <w:t>Digital (Online) Media:</w:t>
      </w:r>
      <w:r>
        <w:rPr>
          <w:color w:val="000000"/>
        </w:rPr>
        <w:t xml:space="preserve"> </w:t>
      </w:r>
      <w:r>
        <w:rPr>
          <w:rFonts w:ascii="Arial;sans-serif" w:hAnsi="Arial;sans-serif"/>
          <w:b w:val="false"/>
          <w:color w:val="000000"/>
          <w:sz w:val="18"/>
        </w:rPr>
        <w:t>Our digital media channel consists of branded advertisements run on paid search, display, native and social media platforms. These paid media efforts are supported by unpaid email and organic search campaigns. Our online advertising programs are delivered across all Internet-enabled devices, including desktop computers, tablet computers and smart phones.</w:t>
      </w:r>
    </w:p>
    <w:p>
      <w:pPr>
        <w:pStyle w:val="TextBody"/>
        <w:bidi w:val="0"/>
        <w:spacing w:lineRule="auto" w:line="288" w:before="180" w:after="283"/>
        <w:ind w:left="0" w:right="0" w:hanging="360"/>
        <w:jc w:val="left"/>
        <w:rPr/>
      </w:pPr>
      <w:r>
        <w:rPr>
          <w:color w:val="000000"/>
        </w:rPr>
        <w:t>•</w:t>
      </w:r>
      <w:r>
        <w:rPr>
          <w:rFonts w:ascii="Arial;sans-serif" w:hAnsi="Arial;sans-serif"/>
          <w:b/>
          <w:color w:val="000000"/>
          <w:sz w:val="18"/>
        </w:rPr>
        <w:t>Marketing Partners:</w:t>
      </w:r>
      <w:r>
        <w:rPr>
          <w:color w:val="000000"/>
        </w:rPr>
        <w:t xml:space="preserve"> </w:t>
      </w:r>
      <w:r>
        <w:rPr>
          <w:rFonts w:ascii="Arial;sans-serif" w:hAnsi="Arial;sans-serif"/>
          <w:b w:val="false"/>
          <w:color w:val="000000"/>
          <w:sz w:val="18"/>
        </w:rPr>
        <w:t>Our marketing partner consumer acquisition channel consists of a broad network of partners that drive consumers to our platform. These partners include healthcare industry participants, such as health plan partners, financial and online services partners in industries such as banking and insurance, as well as affiliate organizations.</w:t>
      </w:r>
    </w:p>
    <w:p>
      <w:pPr>
        <w:pStyle w:val="TextBody"/>
        <w:bidi w:val="0"/>
        <w:spacing w:lineRule="auto" w:line="288" w:before="180" w:after="283"/>
        <w:jc w:val="left"/>
        <w:rPr>
          <w:rFonts w:ascii="Arial;sans-serif" w:hAnsi="Arial;sans-serif"/>
          <w:b/>
          <w:color w:val="000000"/>
          <w:sz w:val="18"/>
        </w:rPr>
      </w:pPr>
      <w:r>
        <w:rPr>
          <w:rFonts w:ascii="Arial;sans-serif" w:hAnsi="Arial;sans-serif"/>
          <w:b/>
          <w:color w:val="000000"/>
          <w:sz w:val="18"/>
        </w:rPr>
        <w:t>Government Regulation and Compliance</w:t>
      </w:r>
    </w:p>
    <w:p>
      <w:pPr>
        <w:pStyle w:val="TextBody"/>
        <w:bidi w:val="0"/>
        <w:spacing w:lineRule="auto" w:line="288" w:before="180" w:after="283"/>
        <w:jc w:val="left"/>
        <w:rPr>
          <w:rFonts w:ascii="Arial;sans-serif" w:hAnsi="Arial;sans-serif"/>
          <w:b w:val="false"/>
          <w:color w:val="000000"/>
          <w:sz w:val="18"/>
        </w:rPr>
      </w:pPr>
      <w:r>
        <w:rPr>
          <w:rFonts w:ascii="Arial;sans-serif" w:hAnsi="Arial;sans-serif"/>
          <w:b w:val="false"/>
          <w:color w:val="000000"/>
          <w:sz w:val="18"/>
        </w:rPr>
        <w:t>The marketing and sale of insurance products and plans is a heavily regulated industry. Various aspects of our business are, may become, or may be viewed by regulators from time to time as subject, directly or indirectly, to U.S. federal, state and foreign laws and regulations. We are affected by laws and regulations that apply to businesses in general, the healthcare industry and the insurance industry, as well as to businesses operating on the Internet. This includes a continually expanding and evolving range of laws, regulations and standards that address financial services, information security, data protection, privacy and data collection and destruction, marketing of Medicare Advantage and other Medicare plans, healthcare compliance and fraud and abuse, among other things. We are also subject to laws governing marketing and advertising activities conducted by telephone, email, mobile devices and the Internet. In addition, we are a licensed insurance producer in all 50 U.S. states and the District of Columbia. Insurance is highly regulated by the states in which we do business, and we are required to comply with and maintain various licenses and approvals. Regulatory authorities often have the discretion to grant, renew and revoke the various licenses and approvals we need to conduct our activities and, should we fail to retain our licenses, our business and results of operations could be adversely affected.</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The Medicare segments are subject to regulations and guidelines issued by CMS that place a number of requirements on health plan partners, agents and brokers in connection with the marketing and sale of Medicare Advantage and Medicare Part D prescription drug plans. CMS regulations also impose specific requirements on third-party marketing organizations, a category that includes many agents, brokers, and other entities involved in the marketing and sale of Medicare Advantage and Medicare Part D plans. These requirements include, among other things, mandated consumer disclosures and expanded oversight of marketing activities and materials. State insurance departments also regulate the marketing and sale of Medicare Supplement plans. CMS and state insurance department regulations and guidelines include a number of prohibitions regarding the ability to contact Medicare-eligible individuals and place many restrictions on the marketing of Medicare-related plans. For example, our health plan partners are required to file with CMS and state departments of insurance certain of our platforms, our call center scripts and other marketing materials we use to market Medicare-related plans. In some instances, CMS or state departments of insurance must approve the material before we use it. In addition, the laws and regulations applicable to the marketing and sale of Medicare-related plans are ambiguous, complex and, with respect to regulations and guidance issued by CMS for Medicare Advantage and Medicare Part D prescription drug plans, change frequently.</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There are also numerous state and federal laws and regulations related to the privacy and security of health information. Laws in all 50 states require businesses to provide notices to affected individuals whose personal information has been disclosed as a result of a data breach, and certain states require notifications for data breaches involving individually-identifiable health information. Most states require businesses that own, license, maintain or process personal information holders of personal information to implement reasonable administrative, technical and physical safeguards and take certain actions in response to a data breach, such as maintaining reasonable security measures and providing prompt notification of the breach to affected individuals and the state’s attorney general. In particular, regulations promulgated pursuant to the Health Insurance Portability and Accountability Act of 1996 (“HIPAA”) require us to maintain the privacy of individually-identifiable health information that we collect on behalf of health plan partners, implement measures to safeguard such information and provide notification in the event of a breach in the privacy or confidentiality of such information. If we were to be found to have breached our obligations under HIPAA, we could be subject to enforcement actions by the U.S. Department of Health and Human Services Office for Civil Rights (“OCR”) and state health regulators and lawsuits, including class action lawsuits, by private plaintiffs. In addition, OCR performs compliance audits in order to proactively enforce the HIPAA privacy and security standards. OCR continues to actively enforce HIPAA rules through investigations, compliance reviews, corrective action requirements and settlements. OCR has the discretion to impose penalties without being required to attempt to resolve violations through informal means; further OCR may require companies to enter into resolution agreements and corrective action plans which impose ongoing compliance requirements. OCR enforcement activity can result in financial liability and reputational harm, and responses to such enforcement activity can consume significant internal resources. In addition to enforcement by OCR, state attorneys general are authorized to bring civil actions under either HIPAA or relevant state laws seeking either injunctions or damages in response to violations that threaten the privacy of state residents. Although we have implemented and maintained policies, processes and a compliance program infrastructure to assist us in complying with these laws and regulations and our contractual obligations, we cannot provide assurance regarding how these laws and regulations will be interpreted, enforced or applied to our operations. In addition to the risks associated with enforcement activities and potential contractual liabilities, our ongoing efforts to comply with evolving laws and regulations at the federal and state levels also might require us to make costly system purchases and/or modifications or otherwise divert significant resources to privacy-related compliance initiatives from time to time.</w:t>
      </w:r>
    </w:p>
    <w:p>
      <w:pPr>
        <w:pStyle w:val="TextBody"/>
        <w:bidi w:val="0"/>
        <w:spacing w:lineRule="auto" w:line="288" w:before="180" w:after="283"/>
        <w:jc w:val="left"/>
        <w:rPr>
          <w:rFonts w:ascii="Arial;sans-serif" w:hAnsi="Arial;sans-serif"/>
          <w:b w:val="false"/>
          <w:color w:val="000000"/>
          <w:sz w:val="18"/>
        </w:rPr>
      </w:pPr>
      <w:r>
        <w:rPr>
          <w:rFonts w:ascii="Arial;sans-serif" w:hAnsi="Arial;sans-serif"/>
          <w:b w:val="false"/>
          <w:color w:val="000000"/>
          <w:sz w:val="18"/>
        </w:rPr>
        <w:t xml:space="preserve">In addition, we have entered into contracts with health plan partners and others regarding the collection, maintenance, protection, use, transmission, disclosure or disposal of sensitive personal information. The use and disclosure of certain data that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716280"/>
                <wp:effectExtent l="0" t="0" r="0" b="0"/>
                <wp:wrapNone/>
                <wp:docPr id="15" name="Frame14"/>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10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10</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180" w:after="283"/>
        <w:jc w:val="left"/>
        <w:rPr>
          <w:rFonts w:ascii="Arial;sans-serif" w:hAnsi="Arial;sans-serif"/>
          <w:b w:val="false"/>
          <w:color w:val="000000"/>
          <w:sz w:val="18"/>
        </w:rPr>
      </w:pPr>
      <w:r>
        <w:rPr>
          <w:rFonts w:ascii="Arial;sans-serif" w:hAnsi="Arial;sans-serif"/>
          <w:b w:val="false"/>
          <w:color w:val="000000"/>
          <w:sz w:val="18"/>
        </w:rPr>
        <w:t>we collect from consumers are also regulated in some instances by other federal laws, including the Gramm-Leach-Bliley Act (“GLBA”), and state statutes implementing GLBA, which generally require brokers to provide consumers with notice regarding how their non-public personal health and financial information is used and the opportunity to “opt out” of certain disclosures before sharing such information with a third party, and which generally require safeguards for the protection of personal information. We regularly assess our compliance with privacy and security requirements.</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color w:val="000000"/>
          <w:sz w:val="18"/>
        </w:rPr>
        <w:t xml:space="preserve">These requirements are evolving, and a growing number of states have enacted comprehensive consumer privacy laws and related regulations. For example, the California Consumer Privacy Act of 2018 (“CCPA”), as amended by </w:t>
      </w:r>
      <w:r>
        <w:rPr>
          <w:rFonts w:ascii="Arial;sans-serif" w:hAnsi="Arial;sans-serif"/>
          <w:b w:val="false"/>
          <w:color w:val="000000"/>
          <w:sz w:val="18"/>
          <w:shd w:fill="FFFFFF" w:val="clear"/>
        </w:rPr>
        <w:t xml:space="preserve">the California Privacy Rights Act, </w:t>
      </w:r>
      <w:r>
        <w:rPr>
          <w:rFonts w:ascii="Arial;sans-serif" w:hAnsi="Arial;sans-serif"/>
          <w:b w:val="false"/>
          <w:color w:val="000000"/>
          <w:sz w:val="18"/>
        </w:rPr>
        <w:t>imposes obligations on covered businesses and provides California residents with specified rights regarding their personal information, such as expanded rights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that is expected to increase data breach litigation. In addition to government action, health plan partner expectations relating to privacy and security protections are increasing and evolving. We have incurred significant costs to develop new processes and procedures and to adopt new technology in an effort to comply with privacy and security laws and regulations and health plan partner expectations and to protect against cybersecurity risks and security breaches. We expect to continue to do so in the future. Violations of federal and state privacy and security laws and other contractual requirements may result in significant liability and expense, damage to our reputation or the termination of relationships with government-run health insurance exchanges and our members, marketing partners and health plan partners.</w:t>
      </w:r>
    </w:p>
    <w:p>
      <w:pPr>
        <w:pStyle w:val="TextBody"/>
        <w:bidi w:val="0"/>
        <w:spacing w:lineRule="auto" w:line="288" w:before="180" w:after="283"/>
        <w:jc w:val="left"/>
        <w:rPr>
          <w:rFonts w:ascii="Arial;sans-serif" w:hAnsi="Arial;sans-serif"/>
          <w:b w:val="false"/>
          <w:color w:val="000000"/>
          <w:sz w:val="18"/>
        </w:rPr>
      </w:pPr>
      <w:r>
        <w:rPr>
          <w:rFonts w:ascii="Arial;sans-serif" w:hAnsi="Arial;sans-serif"/>
          <w:b w:val="false"/>
          <w:color w:val="000000"/>
          <w:sz w:val="18"/>
        </w:rPr>
        <w:t>Federal and state consumer protection laws are being applied increasingly by the Federal Trade Commission (“FTC”), Federal Communications Commission (“FCC”), and states’ attorneys general to regulate the collection, use, storage and disclosure of personal or health information, through websites or otherwise, and to regulate the presentation of website content. Courts may also adopt the standards for fair information practices promulgated by the FTC, which concern consumer notice, choice, security and access. Consumer protection laws require us to publish statements to our members and other users that describe how we handle personal information and choices members and other users may have about the way we handle personal information. If such information that we publish is considered untrue, we may be subject to government claims of unfair or deceptive trade practices, which could lead to significant liabilities and consequences.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New York’s cybersecurity regulation for financial services companies requires entities under the jurisdiction of the New York Department of Financial Services (“NYDFS”), including insurance entities, to establish and maintain a cybersecurity program designed to protect private consumer data. These requirements, as amended, impose additional governance requirements, controls to prevent unauthorized access to information systems and slow the spread of attacks, more regular risk and vulnerability assessments, updated notification requirements and additional training standards. In October 2017, the National Association of Insurance Commissioners (“NAIC”) adopted the Insurance Data Security Model Law (the “Cybersecurity Model Law”), which is intended to establish the standards for data security and for the investigation and notification of data breaches applicable to insurance licensees in states adopting such law. It is functionally similar to the original NYDFS rule and has been enacted in a number of states.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In addition, the U.S. regulates marketing and certain other communications by telephone and email, and individual states also impose restrictions on telephone marketing. The laws and regulations governing the use of emails and telephone calls for such purposes continue to evolve, and changes in technology, the marketplace or consumer preferences may lead to the adoption of additional laws or regulations or changes in interpretation of existing laws or regulations. Recent FCC rulemakings have increased consent requirements for certain telemarketing calls and text messages, including rules affecting online lead-generation and comparison-shopping websites that may require more specific consumer consent before marketing calls or texts are made. The TCPA and other federal and state laws prohibit companies from making telemarketing calls to numbers listed in the Federal Do-Not-Call Registry and impose other obligations and limitations on making phone calls and sending text messages to consumers. The CAN-SPAM Act regulates commercial email messages and specifies penalties for the transmission of commercial email messages that do not comply with certain requirements, such as providing an opt-out mechanism for stopping future emails from senders. We are required to comply with these and similar laws, rules and regulations.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In 2025, we launched GoHealth Protect, a product line designed to expand our offerings beyond Medicare-related insurance products, including through the marketing of certain life insurance products. The marketing and sale of life insurance and similar products are primarily regulated by state insurance departments and are subject to a variety of state licensing, advertising, disclosure, consumer protection and suitability requirements. As a result, our activities relating to GoHealth Protect may subject us to additional regulatory oversight, including state insurance regulatory review of our marketing materials, sales practices and agent licensing and appointment requirements. In addition, insurance carriers that underwrite products offered through GoHealth Protect are subject to state regulatory oversight and may impose contractual compliance obligations on us relating to the marketing and distribution of these products.</w:t>
      </w:r>
    </w:p>
    <w:p>
      <w:pPr>
        <w:pStyle w:val="TextBody"/>
        <w:bidi w:val="0"/>
        <w:spacing w:lineRule="auto" w:line="288" w:before="180" w:after="283"/>
        <w:jc w:val="left"/>
        <w:rPr>
          <w:rFonts w:ascii="Arial;sans-serif" w:hAnsi="Arial;sans-serif"/>
          <w:b/>
          <w:color w:val="000000"/>
          <w:sz w:val="18"/>
        </w:rPr>
      </w:pPr>
      <w:r>
        <w:rPr>
          <w:rFonts w:ascii="Arial;sans-serif" w:hAnsi="Arial;sans-serif"/>
          <w:b/>
          <w:color w:val="000000"/>
          <w:sz w:val="18"/>
        </w:rPr>
        <w:t>Patents, Trademarks and Other Intellectual Property</w:t>
      </w:r>
    </w:p>
    <w:p>
      <w:pPr>
        <w:pStyle w:val="TextBody"/>
        <w:bidi w:val="0"/>
        <w:spacing w:lineRule="auto" w:line="288" w:before="180" w:after="283"/>
        <w:jc w:val="left"/>
        <w:rPr>
          <w:rFonts w:ascii="Arial;sans-serif" w:hAnsi="Arial;sans-serif"/>
          <w:b w:val="false"/>
          <w:color w:val="000000"/>
          <w:sz w:val="18"/>
        </w:rPr>
      </w:pPr>
      <w:r>
        <w:rPr>
          <w:rFonts w:ascii="Arial;sans-serif" w:hAnsi="Arial;sans-serif"/>
          <w:b w:val="false"/>
          <w:color w:val="000000"/>
          <w:sz w:val="18"/>
        </w:rPr>
        <w:t xml:space="preserve">We rely on a combination of copyright, trademark and trade secret laws as well as confidentiality procedures and contractual provisions to protect our proprietary software, including Marketplace, and our brands. We have registered or applied to register certain of our trademarks in the U.S. and several other countries. Our registered trademarks have an original duration between 10 and 20 years. We also license intellectual property from third parties, including software that is incorporated in or bundled with our proprietary software applications. We generally control access to and use of our proprietary software and other confidential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716280"/>
                <wp:effectExtent l="0" t="0" r="0" b="0"/>
                <wp:wrapNone/>
                <wp:docPr id="16" name="Frame15"/>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11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11</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180" w:after="283"/>
        <w:jc w:val="left"/>
        <w:rPr>
          <w:rFonts w:ascii="Arial;sans-serif" w:hAnsi="Arial;sans-serif"/>
          <w:b w:val="false"/>
          <w:color w:val="000000"/>
          <w:sz w:val="18"/>
        </w:rPr>
      </w:pPr>
      <w:r>
        <w:rPr>
          <w:rFonts w:ascii="Arial;sans-serif" w:hAnsi="Arial;sans-serif"/>
          <w:b w:val="false"/>
          <w:color w:val="000000"/>
          <w:sz w:val="18"/>
        </w:rPr>
        <w:t>information through the use of internal and external controls, including entering into non-disclosure and confidentiality agreements with both our employees and third parties.</w:t>
      </w:r>
    </w:p>
    <w:p>
      <w:pPr>
        <w:pStyle w:val="TextBody"/>
        <w:bidi w:val="0"/>
        <w:spacing w:lineRule="auto" w:line="288" w:before="180" w:after="283"/>
        <w:jc w:val="left"/>
        <w:rPr>
          <w:rFonts w:ascii="Arial;sans-serif" w:hAnsi="Arial;sans-serif"/>
          <w:b/>
          <w:color w:val="000000"/>
          <w:sz w:val="18"/>
        </w:rPr>
      </w:pPr>
      <w:r>
        <w:rPr>
          <w:rFonts w:ascii="Arial;sans-serif" w:hAnsi="Arial;sans-serif"/>
          <w:b/>
          <w:color w:val="000000"/>
          <w:sz w:val="18"/>
        </w:rPr>
        <w:t>Competition</w:t>
      </w:r>
    </w:p>
    <w:p>
      <w:pPr>
        <w:pStyle w:val="TextBody"/>
        <w:bidi w:val="0"/>
        <w:spacing w:before="180" w:after="283"/>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market for distributing health insurance products is highly competitive, fragmented, and undergoing rapid change as consumer purchasing shifts from traditional field-based agents toward digital and telephonic channels. Competitors operate through a range of distribution models, including government-run exchanges, health plan partner-employed agents, independent agents and brokers, and digital or telephonic direct-to-consumer platforms. Our key competitors include eHealth, Inc. and SelectQuote, Inc. We seek to differentiate ourselves through proprietary technology, artificial intelligence and data capabilities, efficient operating processes, and highly trained agents, enabling us to more effectively match consumers with insurance products that best meet their needs.</w:t>
      </w:r>
    </w:p>
    <w:p>
      <w:pPr>
        <w:pStyle w:val="TextBody"/>
        <w:bidi w:val="0"/>
        <w:spacing w:lineRule="auto" w:line="288" w:before="180" w:after="283"/>
        <w:ind w:left="0" w:right="0" w:hanging="360"/>
        <w:jc w:val="left"/>
        <w:rPr/>
      </w:pPr>
      <w:r>
        <w:rPr>
          <w:color w:val="000000"/>
        </w:rPr>
        <w:t>•</w:t>
      </w:r>
      <w:r>
        <w:rPr>
          <w:rFonts w:ascii="Arial;sans-serif" w:hAnsi="Arial;sans-serif"/>
          <w:b/>
          <w:color w:val="000000"/>
          <w:sz w:val="18"/>
        </w:rPr>
        <w:t>Internet Marketers and Telesales Distribution Platforms:</w:t>
      </w:r>
      <w:r>
        <w:rPr>
          <w:color w:val="000000"/>
        </w:rPr>
        <w:t xml:space="preserve"> </w:t>
      </w:r>
      <w:r>
        <w:rPr>
          <w:rFonts w:ascii="Arial;sans-serif" w:hAnsi="Arial;sans-serif"/>
          <w:b w:val="false"/>
          <w:color w:val="000000"/>
          <w:sz w:val="18"/>
        </w:rPr>
        <w:t>There are many marketing companies and distribution platforms that use the Internet or telesales models to find consumers interested in purchasing health insurance and are compensated for referring those consumers to agents and health plan partners. We compete with these companies using similar business models to ours, for qualified prospects, sales, and health plan partner relationships.</w:t>
      </w:r>
    </w:p>
    <w:p>
      <w:pPr>
        <w:pStyle w:val="TextBody"/>
        <w:bidi w:val="0"/>
        <w:spacing w:lineRule="auto" w:line="288" w:before="180" w:after="283"/>
        <w:ind w:left="0" w:right="0" w:hanging="360"/>
        <w:jc w:val="left"/>
        <w:rPr/>
      </w:pPr>
      <w:r>
        <w:rPr>
          <w:color w:val="000000"/>
        </w:rPr>
        <w:t>•</w:t>
      </w:r>
      <w:r>
        <w:rPr>
          <w:rFonts w:ascii="Arial;sans-serif" w:hAnsi="Arial;sans-serif"/>
          <w:b/>
          <w:color w:val="000000"/>
          <w:sz w:val="18"/>
        </w:rPr>
        <w:t xml:space="preserve">Health Plan Partner-Employed Agents: </w:t>
      </w:r>
      <w:r>
        <w:rPr>
          <w:rFonts w:ascii="Arial;sans-serif" w:hAnsi="Arial;sans-serif"/>
          <w:b w:val="false"/>
          <w:color w:val="000000"/>
          <w:sz w:val="18"/>
        </w:rPr>
        <w:t>Some health plan partners directly market and sell their plans to consumers through their own agents, call centers and websites. Although we offer health insurance plans for many of these health plan partners, they also compete with us by offering their plans directly to consumers. Most of these health plan partners have brand recognition, significant financial resources, and have become experienced in marketing their products to consumers through traditional and emerging channels.</w:t>
      </w:r>
    </w:p>
    <w:p>
      <w:pPr>
        <w:pStyle w:val="TextBody"/>
        <w:bidi w:val="0"/>
        <w:spacing w:lineRule="auto" w:line="288" w:before="120" w:after="283"/>
        <w:ind w:left="0" w:right="0" w:hanging="360"/>
        <w:jc w:val="left"/>
        <w:rPr/>
      </w:pPr>
      <w:r>
        <w:rPr>
          <w:color w:val="000000"/>
        </w:rPr>
        <w:t>•</w:t>
      </w:r>
      <w:r>
        <w:rPr>
          <w:rFonts w:ascii="Arial;sans-serif" w:hAnsi="Arial;sans-serif"/>
          <w:b/>
          <w:color w:val="000000"/>
          <w:sz w:val="18"/>
        </w:rPr>
        <w:t>Independent Agents and Brokers:</w:t>
      </w:r>
      <w:r>
        <w:rPr>
          <w:color w:val="000000"/>
        </w:rPr>
        <w:t xml:space="preserve"> </w:t>
      </w:r>
      <w:r>
        <w:rPr>
          <w:rFonts w:ascii="Arial;sans-serif" w:hAnsi="Arial;sans-serif"/>
          <w:b w:val="false"/>
          <w:color w:val="000000"/>
          <w:sz w:val="18"/>
        </w:rPr>
        <w:t>We compete with thousands of local insurance agents and brokers across the U.S. who sell insurance products in their communities. While many of these agents offer health insurance products without significant utilization of advanced technology or the Internet, a number have embraced telesales or established websites providing an online shopping experience for consumers.</w:t>
      </w:r>
    </w:p>
    <w:p>
      <w:pPr>
        <w:pStyle w:val="TextBody"/>
        <w:bidi w:val="0"/>
        <w:spacing w:lineRule="auto" w:line="288" w:before="240" w:after="283"/>
        <w:ind w:left="0" w:right="0" w:hanging="360"/>
        <w:jc w:val="left"/>
        <w:rPr/>
      </w:pPr>
      <w:r>
        <w:rPr>
          <w:color w:val="000000"/>
        </w:rPr>
        <w:t>•</w:t>
      </w:r>
      <w:r>
        <w:rPr>
          <w:rFonts w:ascii="Arial;sans-serif" w:hAnsi="Arial;sans-serif"/>
          <w:b/>
          <w:color w:val="000000"/>
          <w:sz w:val="18"/>
        </w:rPr>
        <w:t>Government:</w:t>
      </w:r>
      <w:r>
        <w:rPr>
          <w:color w:val="000000"/>
        </w:rPr>
        <w:t xml:space="preserve"> </w:t>
      </w:r>
      <w:r>
        <w:rPr>
          <w:rFonts w:ascii="Arial;sans-serif" w:hAnsi="Arial;sans-serif"/>
          <w:b w:val="false"/>
          <w:color w:val="000000"/>
          <w:sz w:val="18"/>
        </w:rPr>
        <w:t>We compete with the federal government’s original Medicare program in marketing Medicare insurance plans. CMS also offers Medicare-plan online enrollment, information and comparison tools, and has established call centers for the sale of Medicare Advantage and Medicare Part D prescription drug plans (collectively, “Medicare Plans”). CMS has regulatory authority over Medicare Plans and can influence the competitiveness of Medicare Plans compared to the original Medicare program, as well as the compensation that health plan partners are allowed to pay to us.</w:t>
      </w:r>
    </w:p>
    <w:p>
      <w:pPr>
        <w:pStyle w:val="TextBody"/>
        <w:bidi w:val="0"/>
        <w:spacing w:lineRule="auto" w:line="288" w:before="180" w:after="283"/>
        <w:jc w:val="left"/>
        <w:rPr>
          <w:rFonts w:ascii="Arial;sans-serif" w:hAnsi="Arial;sans-serif"/>
          <w:b/>
          <w:color w:val="000000"/>
          <w:sz w:val="18"/>
        </w:rPr>
      </w:pPr>
      <w:r>
        <w:rPr>
          <w:rFonts w:ascii="Arial;sans-serif" w:hAnsi="Arial;sans-serif"/>
          <w:b/>
          <w:color w:val="000000"/>
          <w:sz w:val="18"/>
        </w:rPr>
        <w:t>Seasonality</w:t>
      </w:r>
    </w:p>
    <w:p>
      <w:pPr>
        <w:pStyle w:val="TextBody"/>
        <w:bidi w:val="0"/>
        <w:spacing w:lineRule="auto" w:line="288" w:before="180" w:after="283"/>
        <w:jc w:val="left"/>
        <w:rPr/>
      </w:pPr>
      <w:r>
        <w:rPr>
          <w:rFonts w:ascii="Arial;sans-serif" w:hAnsi="Arial;sans-serif"/>
          <w:b w:val="false"/>
          <w:color w:val="000000"/>
          <w:sz w:val="18"/>
        </w:rPr>
        <w:t>The Medicare annual enrollment period (“AEP”) occurs from October 15</w:t>
      </w:r>
      <w:r>
        <w:rPr>
          <w:rFonts w:ascii="Arial;sans-serif" w:hAnsi="Arial;sans-serif"/>
          <w:b w:val="false"/>
          <w:color w:val="000000"/>
          <w:sz w:val="12"/>
        </w:rPr>
        <w:t>th</w:t>
      </w:r>
      <w:r>
        <w:rPr>
          <w:color w:val="000000"/>
        </w:rPr>
        <w:t xml:space="preserve"> </w:t>
      </w:r>
      <w:r>
        <w:rPr>
          <w:rFonts w:ascii="Arial;sans-serif" w:hAnsi="Arial;sans-serif"/>
          <w:b w:val="false"/>
          <w:color w:val="000000"/>
          <w:sz w:val="18"/>
        </w:rPr>
        <w:t>to December 7</w:t>
      </w:r>
      <w:r>
        <w:rPr>
          <w:rFonts w:ascii="Arial;sans-serif" w:hAnsi="Arial;sans-serif"/>
          <w:b w:val="false"/>
          <w:color w:val="000000"/>
          <w:sz w:val="12"/>
        </w:rPr>
        <w:t>th</w:t>
      </w:r>
      <w:r>
        <w:rPr>
          <w:rFonts w:ascii="Arial;sans-serif" w:hAnsi="Arial;sans-serif"/>
          <w:b w:val="false"/>
          <w:color w:val="000000"/>
          <w:sz w:val="18"/>
        </w:rPr>
        <w:t>. As a result, we experience an increase in the number of Submissions during the fourth quarter and an increase in expense related to the Medicare Submissions during the third and fourth quarters. Additionally, as a result of the annual Medicare Advantage open enrollment period that occurs from January 1</w:t>
      </w:r>
      <w:r>
        <w:rPr>
          <w:rFonts w:ascii="Arial;sans-serif" w:hAnsi="Arial;sans-serif"/>
          <w:b w:val="false"/>
          <w:color w:val="000000"/>
          <w:sz w:val="12"/>
        </w:rPr>
        <w:t>st</w:t>
      </w:r>
      <w:r>
        <w:rPr>
          <w:color w:val="000000"/>
        </w:rPr>
        <w:t xml:space="preserve"> </w:t>
      </w:r>
      <w:r>
        <w:rPr>
          <w:rFonts w:ascii="Arial;sans-serif" w:hAnsi="Arial;sans-serif"/>
          <w:b w:val="false"/>
          <w:color w:val="000000"/>
          <w:sz w:val="18"/>
        </w:rPr>
        <w:t>to March 31</w:t>
      </w:r>
      <w:r>
        <w:rPr>
          <w:rFonts w:ascii="Arial;sans-serif" w:hAnsi="Arial;sans-serif"/>
          <w:b w:val="false"/>
          <w:color w:val="000000"/>
          <w:sz w:val="12"/>
        </w:rPr>
        <w:t>st</w:t>
      </w:r>
      <w:r>
        <w:rPr>
          <w:rFonts w:ascii="Arial;sans-serif" w:hAnsi="Arial;sans-serif"/>
          <w:b w:val="false"/>
          <w:color w:val="000000"/>
          <w:sz w:val="18"/>
        </w:rPr>
        <w:t>, Medicare Submissions are typically second-highest in our first quarter. The second and third quarters are known as special election periods, during which Medicare Submissions are typically lowest. A significant portion of our marketing and advertising expenses is driven by the number of health insurance applications submitted through us. Marketing and advertising expenses are generally higher in the fourth quarter during AEP, but because commissions from approved consumers are paid to us over time, our operating cash flows could be adversely impacted by a substantial increase in marketing and advertising expenses as a result of a higher volume of Submissions during the fourth quarter or positively impacted by a substantial decline in marketing and advertising expenses as a result of lower volume of Submissions during the fourth quarter.</w:t>
      </w:r>
    </w:p>
    <w:p>
      <w:pPr>
        <w:pStyle w:val="TextBody"/>
        <w:bidi w:val="0"/>
        <w:spacing w:lineRule="auto" w:line="288" w:before="180" w:after="283"/>
        <w:jc w:val="left"/>
        <w:rPr>
          <w:rFonts w:ascii="Arial;sans-serif" w:hAnsi="Arial;sans-serif"/>
          <w:b w:val="false"/>
          <w:color w:val="000000"/>
          <w:sz w:val="18"/>
        </w:rPr>
      </w:pPr>
      <w:r>
        <w:rPr>
          <w:rFonts w:ascii="Arial;sans-serif" w:hAnsi="Arial;sans-serif"/>
          <w:b w:val="false"/>
          <w:color w:val="000000"/>
          <w:sz w:val="18"/>
        </w:rPr>
        <w:t>Starting in 2025, the usual Medicare enrollment seasonality became more pronounced mainly due to regulatory changes affecting enrollment rules for dual-eligible beneficiaries and those receiving Medicare Part D Low Income Subsidies (“LIS”). In 2025, CMS eliminated the special enrollment period that allowed dual-eligible and LIS beneficiaries to enroll in Medicare Advantage plans quarterly. These regulatory changes restricted eligibility to enroll in or switch between Medicare Advantage plans outside of AEP for this group, contributing to the decrease in our Medicare plan submissions in the second and third quarters of 2025 compared to the same periods in 2024.</w:t>
      </w:r>
    </w:p>
    <w:p>
      <w:pPr>
        <w:pStyle w:val="TextBody"/>
        <w:bidi w:val="0"/>
        <w:spacing w:lineRule="auto" w:line="288" w:before="180" w:after="283"/>
        <w:jc w:val="left"/>
        <w:rPr>
          <w:rFonts w:ascii="Arial;sans-serif" w:hAnsi="Arial;sans-serif"/>
          <w:b/>
          <w:color w:val="000000"/>
          <w:sz w:val="18"/>
        </w:rPr>
      </w:pPr>
      <w:r>
        <w:rPr>
          <w:rFonts w:ascii="Arial;sans-serif" w:hAnsi="Arial;sans-serif"/>
          <w:b/>
          <w:color w:val="000000"/>
          <w:sz w:val="18"/>
        </w:rPr>
        <w:t>Human Capital Resources</w:t>
      </w:r>
    </w:p>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As of December 31, 2025, we employed 850 employees. We employed 756 people in the U.S. and 94 people in Slovakia. None of our employees are represented by a labor union or are party to a collective bargaining agreement, and we have had no labor-related work stoppages. We consider our employee relations to be good. In November 2025, we issued Worker Adjustment and Retraining Notification (WARN) Act notices to approximately 487 employees in relation to a reduction in force (“RIF”) at the Company's Chicago headquarters and remote workforce around the country. This decision was made after a thorough review of market conditions, favoring conservation of capital in the near-term amidst widespread pullback in benefits and offerings across Medicare Advantage health plans.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716280"/>
                <wp:effectExtent l="0" t="0" r="0" b="0"/>
                <wp:wrapNone/>
                <wp:docPr id="17" name="Frame16"/>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12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12</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While our employee base is smaller, our culture of belonging continues to be a key driver to our success. Creating and maintaining an environment where our employees feel appreciated for their talent and contributions enhances our ability to attract and retain our best talent and to provide a work environment that allows all employees to perform at a high level. Our teams positively impacts our relationships with our consumers, health plan partners and the communities we serve. We will continue to use the strength of our purpose - keeping our consumers at the center of all we do - and our dedicated employees will continue to make a valued difference in the lives of the people we serve with our diversified product line. Our ICARE company values, defined as Integrity, Collaboration, Accountability, Resilience and Empathy, drive our purpose. We regularly recognize employees who emulate these values.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Our success is also rooted in the passion of our employees, including sales professionals, entrepreneurs, analysts, marketers, engineers and more – all of whom believe in our mission. We are proud of our committed, employee-driven culture and aim to offer our team the benefits and support they need to thrive. We offer comprehensive benefit programs to our employees, including major medical, dental and vision benefits, life insurance coverage, a flexible spending or health savings account, 401(k) retirement plan with a company match, an employee stock purchase plan offering, along with numerous other offers aimed at supporting our employees both personally and professionally.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recognize and support the growth and development of our employees and offer opportunities to participate in internal as well as external learning and engagement programs. Every month we highlight for our employees both cultural and healthcare focus areas (e.g., Black History Month, International Women’s Day, and American Heart Association) and provide opportunities to both enrich cultural understanding and give back to our community (e.g., food drives, clothing drives, and blood drives). Every year we require all employees to complete a series of compliance training courses including but not limited to security awareness, code of conduct, regulations, and workplace harassment to ensure full understanding of our commitment to a safe, integrity- based, environment free of discrimination and harassment. Additionally, we offer employee led Employee Resource Groups (“ERGs”): GoWISE (Women in Solidarity Empowered), GoBOLD (Black Originators, Leaders and Doers), GoWIT (Women in Technology) and GoPRIDE (LGBTQ+ community and allies) which are open to employees of all cultures and backgrounds to further support our culture of belonging.</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Available Information</w:t>
      </w:r>
    </w:p>
    <w:p>
      <w:pPr>
        <w:pStyle w:val="TextBody"/>
        <w:bidi w:val="0"/>
        <w:spacing w:lineRule="auto" w:line="288" w:before="180" w:after="283"/>
        <w:jc w:val="left"/>
        <w:rPr/>
      </w:pPr>
      <w:r>
        <w:rPr>
          <w:rFonts w:ascii="Arial;sans-serif" w:hAnsi="Arial;sans-serif"/>
          <w:b w:val="false"/>
          <w:color w:val="000000"/>
          <w:sz w:val="18"/>
        </w:rPr>
        <w:t>The U.S. Securities and Exchange Commission (“SEC”) maintains an Internet site that contains reports, proxy and information statements, and other information regarding issuers that file electronically with the SEC (</w:t>
      </w:r>
      <w:r>
        <w:rPr>
          <w:rFonts w:ascii="Arial;sans-serif" w:hAnsi="Arial;sans-serif"/>
          <w:b w:val="false"/>
          <w:i/>
          <w:color w:val="000000"/>
          <w:sz w:val="18"/>
        </w:rPr>
        <w:t>www.sec.gov</w:t>
      </w:r>
      <w:r>
        <w:rPr>
          <w:rFonts w:ascii="Arial;sans-serif" w:hAnsi="Arial;sans-serif"/>
          <w:b w:val="false"/>
          <w:color w:val="000000"/>
          <w:sz w:val="18"/>
        </w:rPr>
        <w:t>). Our Annual Reports on Form 10-K, Quarterly Reports on Form 10-Q, Current Reports on Form 8-K and amendments to reports filed or furnished pursuant to Sections 13(a) and 15(d) of the Exchange Act are also available free of charge on our investor relations website as soon as reasonably practicable after we electronically file such material with, or furnish it to, the SEC (</w:t>
      </w:r>
      <w:r>
        <w:rPr>
          <w:rFonts w:ascii="Arial;sans-serif" w:hAnsi="Arial;sans-serif"/>
          <w:b w:val="false"/>
          <w:i/>
          <w:color w:val="000000"/>
          <w:sz w:val="18"/>
        </w:rPr>
        <w:t>investors.gohealth.com</w:t>
      </w:r>
      <w:r>
        <w:rPr>
          <w:rFonts w:ascii="Arial;sans-serif" w:hAnsi="Arial;sans-serif"/>
          <w:b w:val="false"/>
          <w:color w:val="000000"/>
          <w:sz w:val="18"/>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A2299"/>
          <w:sz w:val="18"/>
        </w:rPr>
      </w:pPr>
      <w:r>
        <w:rPr>
          <w:rFonts w:ascii="Arial;sans-serif" w:hAnsi="Arial;sans-serif"/>
          <w:b/>
          <w:color w:val="0A2299"/>
          <w:sz w:val="18"/>
        </w:rPr>
        <w:t>ITEM 1A. RISK FACTORS</w:t>
      </w:r>
    </w:p>
    <w:p>
      <w:pPr>
        <w:pStyle w:val="TextBody"/>
        <w:bidi w:val="0"/>
        <w:spacing w:lineRule="auto" w:line="288" w:before="240" w:after="283"/>
        <w:jc w:val="left"/>
        <w:rPr>
          <w:rFonts w:ascii="Arial;sans-serif" w:hAnsi="Arial;sans-serif"/>
          <w:b w:val="false"/>
          <w:i/>
          <w:color w:val="000000"/>
          <w:sz w:val="18"/>
        </w:rPr>
      </w:pPr>
      <w:r>
        <w:rPr>
          <w:rFonts w:ascii="Arial;sans-serif" w:hAnsi="Arial;sans-serif"/>
          <w:b w:val="false"/>
          <w:i/>
          <w:color w:val="000000"/>
          <w:sz w:val="18"/>
        </w:rPr>
        <w:t>Investing in our Class A common stock involves a high degree of risk. You should carefully consider the risks and uncertainties described below, together with all of the other information in this Annual Report on Form 10-K, including our Consolidated Financial Statements and the related Notes, before deciding to invest in our Class A common stock. The occurrence of any of the events described below could harm our business, operating results and financial condition. In such an event, the market price of our Class A common stock could decline, and you may lose all or part of your investment. Additional risks and uncertainties not presently known to us or that we currently deem immaterial may also impair our business. See “Cautionary Note Regarding Forward-Looking Statements.”</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Risks Related to Our Business</w:t>
      </w:r>
    </w:p>
    <w:p>
      <w:pPr>
        <w:pStyle w:val="TextBody"/>
        <w:bidi w:val="0"/>
        <w:spacing w:lineRule="auto" w:line="288" w:before="240" w:after="283"/>
        <w:jc w:val="left"/>
        <w:rPr>
          <w:rFonts w:ascii="Arial;sans-serif" w:hAnsi="Arial;sans-serif"/>
          <w:b/>
          <w:i/>
          <w:color w:val="000000"/>
          <w:sz w:val="18"/>
        </w:rPr>
      </w:pPr>
      <w:r>
        <w:rPr>
          <w:rFonts w:ascii="Arial;sans-serif" w:hAnsi="Arial;sans-serif"/>
          <w:b/>
          <w:i/>
          <w:color w:val="000000"/>
          <w:sz w:val="18"/>
        </w:rPr>
        <w:t>Our business may be harmed if we lose our relationship with health plan partners or if our relationships with health plan partners change, particularly if we or our contracted health plan partners temporarily or permanently lose the ability to market and sell Medicare plans.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Our contractual relationships with health plan partners, including those with whom we have health plan partner-branded sales arrangements, are typically non-exclusive and terminable on short notice by either party for any reason. Health plan partners have been and may in the future be unwilling to allow us to sell their insurance products for a variety of reasons, including competitive or regulatory reasons, dissatisfaction with the insureds that we place with them or because they do not want to be associated with our brand. Additionally, an increasing number of health plan partners have and may decide to rely on their own internal distribution channels, including traditional in-house agents and their own websites, to sell their own products, which could limit or prohibit us from distributing their products. Also, because we do not have exclusive relationships with health plan partners, health plan partners can and do use our competitors to sell their products.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If a health plan partner is not satisfied with our services, it could cause us to incur additional costs and impact our profitability. For example, a health plan partner could terminate our services, decrease our commissions going forward or restrict our ability to market their products. Moreover, if we fail to meet our contractual obligations to any of our health plan partners, we could be subject to legal liability or lose our health plan partner relationships. In addition, these claims against us may produce negative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716280"/>
                <wp:effectExtent l="0" t="0" r="0" b="0"/>
                <wp:wrapNone/>
                <wp:docPr id="18" name="Frame17"/>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13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13</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publicity that could hurt our reputation and business and adversely affect our ability to retain business, find new consumers to sell products to or secure new business with other health plan partners.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In addition, with respect to the Medicare Supplement plans we sell, health plan partners periodically change the criteria they use for determining whether they are willing to insure individuals. Future changes in health plan partners’ underwriting criteria could negatively impact sales of, or the renewal or approval rates of, insurance policies on our platform, which could negatively impact our revenue. Health plan partners may also change benefit offerings or increase premiums on certain products to a significant degree which could result in the loss of beneficiaries for which we are the broker of record.</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In the ordinary course of business, the set of health plan partners represented on our platform fluctuates, with health plan partners regularly being added or removed based on various factors such as consumer preferences, market conditions, health plan partner performance, distribution strategies or decisions to exit certain products or markets, the costs of supporting certain health plan partners and the health plan partners’ willingness or desire to work with us. We may decide to terminate our relationship with a health plan partner for a number of reasons and the termination of our relationship with a health plan partner could reduce the variety of insurance products we distribute. In connection with such a termination, we would lose a source of commissions for future sales, and, in a limited number of cases, future commissions for past sales. Our business could also be harmed if we fail to develop new health plan partner relationships or offer consumers a wide variety of insurance products. We and our health plan partners continuously reassess our partnerships and business objectives, and health plan partners that are removed from our platform may be added back in the future, which has in the past and may in the future impact our revenue and financial condition.</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We may also lose the ability to market and sell Medicare plans for one or more Medicare health plan partners. The regulations for selling Medicare health insurance are complex and can change frequently. If we, our agents or a health plan partner violate any of the requirements imposed by CMS, or federal or state laws or regulations, a health plan partner may terminate our relationship or take other corrective action against us, or CMS may penalize a health plan partner by suspending, limiting or terminating that health plan partners’ ability to market and sell Medicare plans. Moreover, if any of our health plan partners terminates their relationship with us for cause, we may have to disclose such termination to other health plan partners, which may result in termination of additional health plan partner relationships. Because the Medicare products we sell are sourced from a relatively small number of health plan partners, if we lose the ability to market one of those health plan partners’ Medicare plans, even temporarily, or if one of those health plan partners loses its Medicare product membership, our business, operating results and financial condition could be harmed.</w:t>
      </w:r>
    </w:p>
    <w:p>
      <w:pPr>
        <w:pStyle w:val="TextBody"/>
        <w:bidi w:val="0"/>
        <w:spacing w:lineRule="auto" w:line="288" w:before="240" w:after="283"/>
        <w:jc w:val="left"/>
        <w:rPr>
          <w:rFonts w:ascii="Arial;sans-serif" w:hAnsi="Arial;sans-serif"/>
          <w:b/>
          <w:i/>
          <w:color w:val="000000"/>
          <w:sz w:val="18"/>
        </w:rPr>
      </w:pPr>
      <w:r>
        <w:rPr>
          <w:rFonts w:ascii="Arial;sans-serif" w:hAnsi="Arial;sans-serif"/>
          <w:b/>
          <w:i/>
          <w:color w:val="000000"/>
          <w:sz w:val="18"/>
        </w:rPr>
        <w:t>We currently depend on a small group of health plan partners for a substantial portion of our revenue, and further consolidation in the health insurance industry could exacerbate this risk.</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We derive a large portion of our revenue from a limited number of health plan partners. For the twelve months ended December 31, 2025, 2024, and 2023, the primary health plan partners that we served were United, Humana, Elevance, Aetna and Centene.</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health insurance industry in the U.S. has experienced a substantial amount of consolidation, resulting in a decrease in the number of health plan partners. Further consolidation in the health insurance industry, particularly involving one of our key health plan partners, could cause a loss of, or changes in, our relationship with that health plan partner and may reduce our commission or other revenue from that health plan partner. In the future, due to this consolidation, we may be forced to offer health insurance from a reduced number of health plan partners or to derive a greater portion of our revenue from a more concentrated number of health plan partners as our business and the health insurance industry evolve.</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Our agreements with health plan partners to sell policies are typically terminable by our health plan partners without cause. Should we become and as we are dependent on fewer health plan partner relationships (whether as a result of the termination of health plan partner relationships, health plan partner consolidation or otherwise), we may become more vulnerable to adverse changes in our relationships with health plan partners, particularly in states where we distribute insurance from a relatively smaller number of health plan partners or where a small number of health plan partners dominate the market, and our business, operating results and financial condition could be harmed.</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Additionally, mergers among health plan partners or an acquisition of one health plan partner by another health plan partner may trigger changes to our agreements with such health plan partners. For example, health plan partners have and may in the future unilaterally amend or terminate our agreements on short notice, which could adversely impact or terminate the commission payments that we receive from these health plan partners. Our revenue could be adversely impacted if we are unable to maintain currently existing levels of business with any of our significant health plan partners or if we are unable to offset any loss of business with alternative health plan partners. We expect that a small number of health plan partners will account for a significant portion of our revenue for the foreseeable future and any impairment of our relationship with, or the material financial impairment of, these health plan partners could adversely affect our business, operating results and financial condition. </w:t>
      </w:r>
    </w:p>
    <w:p>
      <w:pPr>
        <w:pStyle w:val="TextBody"/>
        <w:bidi w:val="0"/>
        <w:spacing w:lineRule="auto" w:line="288" w:before="240" w:after="283"/>
        <w:jc w:val="left"/>
        <w:rPr>
          <w:rFonts w:ascii="Arial;sans-serif" w:hAnsi="Arial;sans-serif"/>
          <w:b/>
          <w:i/>
          <w:color w:val="000000"/>
          <w:sz w:val="18"/>
        </w:rPr>
      </w:pPr>
      <w:r>
        <w:rPr>
          <w:rFonts w:ascii="Arial;sans-serif" w:hAnsi="Arial;sans-serif"/>
          <w:b/>
          <w:i/>
          <w:color w:val="000000"/>
          <w:sz w:val="18"/>
        </w:rPr>
        <w:t>Health plan partners may reduce the commissions paid to us and change their underwriting practices in ways that reduce the number of, or impact the renewal or approval rates of, insurance policies sold through our platform, which could harm our business, operating results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716280"/>
                <wp:effectExtent l="0" t="0" r="0" b="0"/>
                <wp:wrapNone/>
                <wp:docPr id="19" name="Frame18"/>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14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14</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Our commission rates from health plan partners are either set by each health plan partner or negotiated between us and each health plan partner. The commission rates we are paid are, for any given plan for a given consumer, based on a number of factors, including the health plan partners offering those plans, the state of residence of consumers, the laws and regulations in the jurisdictions where the consumer is located and the consumer’s previous Medicare enrollment history (if any). Health plan partners have the right to alter these commission rates with relatively short notice and have altered, and may in the future alter, the commissions paid on certain plans (if at all) or the contractual relationships we have with them, including in certain instances by unilateral amendment of our contracts relating to commission rates or otherwise. CMS may again in the future directly or indirectly implement rules designed to reduce or eliminate agent and broker compensation. For example, CMS could reduce the amount paid by CMS to Medicare Advantage plans or change the regulations and/or timelines applicable to the Medicare Advantage program, which could result in decreased commission rates or reduce health plan partner participation in the Medicare Advantage program. Changes of this nature could result in reduced commissions or could impact our relationships with such health plan partners and potentially lead to contract termination. In addition, health plan partners have and may in the future render certain plans non-commissionable, which could harm our business, operating results and financial condition. Because revenue in the Medicare segments is concentrated in a relatively small number of health plan partners, we are particularly vulnerable to changes in commission rates and changes in the competitiveness of our health plan partners’ Medicare products.</w:t>
      </w:r>
    </w:p>
    <w:p>
      <w:pPr>
        <w:pStyle w:val="TextBody"/>
        <w:bidi w:val="0"/>
        <w:spacing w:lineRule="auto" w:line="288" w:before="240" w:after="283"/>
        <w:jc w:val="left"/>
        <w:rPr>
          <w:rFonts w:ascii="Arial;sans-serif" w:hAnsi="Arial;sans-serif"/>
          <w:b/>
          <w:i/>
          <w:color w:val="000000"/>
          <w:sz w:val="18"/>
        </w:rPr>
      </w:pPr>
      <w:r>
        <w:rPr>
          <w:rFonts w:ascii="Arial;sans-serif" w:hAnsi="Arial;sans-serif"/>
          <w:b/>
          <w:i/>
          <w:color w:val="000000"/>
          <w:sz w:val="18"/>
        </w:rPr>
        <w:t>If we are unable to maintain effective relationships with our existing third-party marketing companies or if we do not establish successful relationships with new marketing companies, our business, operating results and financial condition could be harmed.</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We frequently enter into contractual marketing relationships with online and offline businesses that help us acquire consumer leads. These marketing partners include television advertisers, online advertising companies, call referral programs, and other marketing vendors. We compensate some marketing companies on a fee-per-service model and some on a submitted health insurance application basis. The success of our relationship with each marketing company is dependent on a number of factors, including but not limited to: the continued positive market presence, reputation and growth of the marketing company, the effectiveness of the marketing company’s advertisements, the compliance of each marketing company with applicable laws, regulations and guidelines and the contractual terms we negotiate with the marketing company, including the marketing fees we agree to pay.</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While we have relationships with a large number of marketing companies, we depend upon services and/or referrals from only a limited number for a significant portion of the submitted applications we receive. Given our reliance on various marketing companies, our business operating results and financial condition would be harmed if (i) we are unable to maintain successful relationships with these companies; (ii) we fail to establish successful relationships with new marketing companies; (iii) we experience competition in our provision of services from key marketing companies; and (iv) if we are required to pay increased amounts to these marketing companies.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Competition for referrals from third-party lead referral companies has increased, particularly during the enrollment periods for Medicare-related health insurance. We may lose referrals if our competitors pay these companies more than we do or be forced to pay increased fees, which could harm our business, operating results and financial condition. In addition, the promulgation of laws, regulations or guidelines, or the interpretation of existing laws, regulations and guidelines, by state departments of insurance or by federal agencies such as CMS or the FCC could cause our relationships with third-party referral companies to be in non-compliance with those laws, regulations and guidelines. If federal agencies or state departments of insurance were to change existing laws, regulations or guidelines, or interpret existing laws, regulations or guidelines, to prohibit these arrangements or materially modify the manner in which these third-party lead referral companies operate, we could experience a significant decline in the number of Medicare-eligible individuals who are referred to our platforms and Benefits Center, which would harm our business, operating results and financial condition.</w:t>
      </w:r>
    </w:p>
    <w:p>
      <w:pPr>
        <w:pStyle w:val="TextBody"/>
        <w:bidi w:val="0"/>
        <w:spacing w:lineRule="auto" w:line="288" w:before="240" w:after="283"/>
        <w:jc w:val="left"/>
        <w:rPr>
          <w:rFonts w:ascii="Arial;sans-serif" w:hAnsi="Arial;sans-serif"/>
          <w:b/>
          <w:i/>
          <w:color w:val="000000"/>
          <w:sz w:val="18"/>
        </w:rPr>
      </w:pPr>
      <w:r>
        <w:rPr>
          <w:rFonts w:ascii="Arial;sans-serif" w:hAnsi="Arial;sans-serif"/>
          <w:b/>
          <w:i/>
          <w:color w:val="000000"/>
          <w:sz w:val="18"/>
        </w:rPr>
        <w:t>The marketing and sale of private Medicare plans are subject to numerous, complex and frequently changing laws, regulations and guidelines, and non-compliance with or changes in laws, regulations and guidelines could harm our business, operating results and financial condition.</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Our business and operating results are heavily dependent on marketing and selling private Medicare plans. The marketing and sale of Medicare Advantage and Medicare Part D prescription drug plans are principally regulated by the Center for Medicare &amp; Medicaid Services (“CMS”) but are also subject to state laws. The marketing and sale of Medicare Supplement plans are principally regulated on a state-by-state basis by state departments of insurance or equivalent state departments. The laws and regulations applicable to the marketing and sale of Medicare plans are numerous, ambiguous and complex, and regulations and guidance issued by CMS for Medicare Advantage and Medicare Part D prescription drug plans are frequently changing. Many aspects of our online platforms and our marketing material and processes, as well as changes to these platforms, materials and processes, including call center scripts, must be filed with CMS and reviewed and approved by health plan partners in light of CMS requirements. In addition, certain aspects of our Medicare plan marketing partner relationships have been in the past, and will be in the future, subjected to CMS review and health plan partner review. Future CMS rulemaking or guidance could impose additional restrictions on marketing activities, lead generation practices, broker compensation arrangements or other aspects of the Medicare plan distribution system. Changes to the laws, regulations and guidelines relating to the sale and marketing of Medicare plans, their interpretation or the manner in which they are enforced have been occurring with increased frequency with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716280"/>
                <wp:effectExtent l="0" t="0" r="0" b="0"/>
                <wp:wrapNone/>
                <wp:docPr id="20" name="Frame19"/>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15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15</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expectation that changes to existing requirements and the imposition of new requirements will continue, and could be incompatible with these relationships, the manner in which we conduct our business, our platforms or our sale of Medicare plans, which could harm our business, operating results and financial condition.</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Due to potential changes in CMS guidance, enforcement, interpretation, changes in CMS leadership or federal administrative priorities, as a result of new laws, regulations and guidelines, CMS, state departments of insurance or health plan partners may object to or not approve aspects of our online platforms or marketing materials and processes and determine that certain existing aspects of our Medicare-related business are not in compliance with the applicable laws, regulations and guidance. As a result, the progress of our Medicare operations could be slowed or we could be prevented from operating aspects of our Medicare revenue generating activities altogether, which would harm our business, operating results and financial condition, particularly if it occurred during the Medicare annual enrollment period.</w:t>
      </w:r>
    </w:p>
    <w:p>
      <w:pPr>
        <w:pStyle w:val="TextBody"/>
        <w:bidi w:val="0"/>
        <w:spacing w:lineRule="auto" w:line="288" w:before="240" w:after="283"/>
        <w:jc w:val="left"/>
        <w:rPr>
          <w:rFonts w:ascii="Arial;sans-serif" w:hAnsi="Arial;sans-serif"/>
          <w:b/>
          <w:i/>
          <w:color w:val="000000"/>
          <w:sz w:val="18"/>
        </w:rPr>
      </w:pPr>
      <w:r>
        <w:rPr>
          <w:rFonts w:ascii="Arial;sans-serif" w:hAnsi="Arial;sans-serif"/>
          <w:b/>
          <w:i/>
          <w:color w:val="000000"/>
          <w:sz w:val="18"/>
        </w:rPr>
        <w:t>Changes and developments in the health insurance system and laws and regulations governing the health insurance markets in the U.S. could materially adversely affect our business, operating results, financial condition and qualified prospects.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Our business depends upon the public and private sector of the U.S. insurance system, which is subject to a changing regulatory environment. Accordingly, the future financial performance of our business will depend in part on our ability to adapt to regulatory developments, including changes in laws and regulations or changes to interpretations of such laws or regulations, especially laws and regulations governing Medicare. For example, the Affordable Care Act (“ACA”) substantially changed the way healthcare is financed by both commercial and government payers and contains a number of provisions that impact our business and operations, including the expansion of Medicaid eligibility to additional categories of individuals. Since its enactment, there have been judicial and Congressional challenges to certain aspects of the ACA, and the potential remains for additional challenges and amendments to the ACA in the future. In addition, changes to the Medicare marketing standards were finalized over the past several coverage years, with additional regulatory standards proposed for future coverage years that have had and will continue to have an impact on our business. These regulatory changes have increased CMS oversight of agents, brokers and third-party marketing organizations involved in the marketing and sale of Medicare plans and may impose additional compliance, operational and technology requirements on companies that distribute Medicare plans. CMS has also considered and implemented changes affecting compensation structures for agents and brokers who distribute Medicare plans. Future regulatory actions that limit or modify broker compensation arrangements or payments from health plan partners could reduce the revenue we receive from Medicare plan sales and materially adversely affect our business. </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Various aspects of healthcare reform could also cause health plan partners to discontinue certain health insurance products or prohibit us from distributing certain health insurance products in particular jurisdictions. We rely heavily on Special Needs Plans (“SNPs”) during the special enrollment periods, which allows us to utilize our agents throughout the year. If states adopt new laws and regulations or modify the existing laws and regulations governing Medicaid or CMS adopts regulatory changes to the enrollment periods applicable to such plans, such changes could decrease the number of individuals eligible for Dual Eligible SNPs, which could have a material adverse impact on our business, operating results and financial condition. For example, recent changes to CMS rules relating to the type of SNP plans that can be offered during certain special enrollment periods may have a negative effect on sales by decreasing the number of plans available and/or the number of eligible individuals during certain enrollment periods of the year. Our business, operating results, financial condition and prospects may be materially and adversely affected if we are unable to adapt to developments in healthcare reform in the U.S.</w:t>
      </w:r>
    </w:p>
    <w:p>
      <w:pPr>
        <w:pStyle w:val="TextBody"/>
        <w:bidi w:val="0"/>
        <w:spacing w:lineRule="auto" w:line="288" w:before="240" w:after="283"/>
        <w:jc w:val="left"/>
        <w:rPr>
          <w:rFonts w:ascii="Arial;sans-serif" w:hAnsi="Arial;sans-serif"/>
          <w:b/>
          <w:i/>
          <w:color w:val="000000"/>
          <w:sz w:val="18"/>
        </w:rPr>
      </w:pPr>
      <w:r>
        <w:rPr>
          <w:rFonts w:ascii="Arial;sans-serif" w:hAnsi="Arial;sans-serif"/>
          <w:b/>
          <w:i/>
          <w:color w:val="000000"/>
          <w:sz w:val="18"/>
        </w:rPr>
        <w:t>We operate in a complex state regulatory environment that is constantly changing. If we fail to comply with the numerous state laws and regulations that are applicable to the sale of health insurance, our business, operating results and financial condition could be harmed.</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offer, sale and purchase of health insurance is heavily regulated by various states and the regulatory landscape is constantly changing. States have adopted and will continue to adopt new laws and regulations, and it is difficult to predict how these new laws and regulations will impact our business. These rules and regulations could adversely impact our business because health plan partners may exit the market of selling such plans due to regulatory concerns, determine it is not profitable to sell the plans or increase plan premiums to a degree that reduces consumer demand for them.</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Additionally, a long-standing provision in almost all states’ laws provides that once health insurance premiums are set by the health plan partner and approved by state regulators, they are fixed and not generally subject to negotiation or discounting by insurance companies or agents. State regulations generally prohibit health plan partners, agents and brokers from providing financial incentives, such as rebates, to their customers in connection with the sale of health insurance. As a result, we do not currently compete with health plan partners or other agents and brokers on the price of the health insurance plans offered on our website. If these regulations change, we could be forced to reduce prices or provide rebates or other incentives for the health insurance plans sold through our platform, which would harm our business, operating results and financial condition. Although commissions generally do not have to be disclosed to the public, if commissions become more regulated and commissions paid to us have to be disclosed, it is possible that health plan partners may lower our commission rates, which could reduce our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716280"/>
                <wp:effectExtent l="0" t="0" r="0" b="0"/>
                <wp:wrapNone/>
                <wp:docPr id="21" name="Frame20"/>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16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16</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State regulators require us to maintain a valid license in each state in which we transact health insurance business and further require that we adhere to sales, documentation and administration practices specific to that state. We must maintain our health insurance licenses to continue selling plans and to continue to receive commissions from health plan partners. In addition, each employee who transacts health insurance business on our behalf must maintain a valid license in one or more states. Because we do business in all 50 states and the District of Columbia, compliance with health insurance-related laws, rules and regulations is difficult and imposes significant costs on our business. In addition, we must ensure that our agents have received and maintain all licenses, appointments and certifications required by state authorities and our health plan partners in order to transact business.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Due to the complexity, periodic modification and differing interpretations of state insurance laws and regulations, we may not have always been, and we may not always be, in compliance with them. New state insurance laws, regulations and guidelines also may not be compatible with the sale of health insurance over the Internet or with various aspects of our platform or manner of marketing or selling health insurance plans. Failure to comply with insurance laws, regulations and guidelines or other laws and regulations applicable to our business could result in significant liability, additional state department of insurance licensing requirements, required modification of our advertising and business practices, the revocation of our licenses in a particular jurisdiction, termination of our relationship with health plan partners, loss of commissions and/or our inability to sell health insurance plans, which could significantly increase our operating expenses, result in the loss of health plan partner relationships and our revenue and otherwise harm our business, operating results and financial condition. Moreover, an adverse regulatory action in one jurisdiction could result in penalties and adversely affect our license status, business or reputation in other jurisdictions due to certain requirements that dictate adverse regulatory actions in one jurisdiction be reported to other jurisdictions. We have received, and may in the future receive, inquiries from regulators regarding our marketing and business practices and compliance with laws and regulations. We may be required to modify our practices in connection with the inquiries. Failure to adequately respond to such inquiries could result in adverse regulatory action that could harm our business, operating results and financial condition. Even if the allegations in any regulatory or other action against us are proven false, any surrounding negative publicity could harm consumer, marketing partner or health plan partner confidence in us, which could significantly damage our brand.</w:t>
      </w:r>
    </w:p>
    <w:p>
      <w:pPr>
        <w:pStyle w:val="TextBody"/>
        <w:bidi w:val="0"/>
        <w:spacing w:lineRule="auto" w:line="288" w:before="240" w:after="283"/>
        <w:jc w:val="left"/>
        <w:rPr>
          <w:rFonts w:ascii="Arial;sans-serif" w:hAnsi="Arial;sans-serif"/>
          <w:b/>
          <w:i/>
          <w:color w:val="000000"/>
          <w:sz w:val="18"/>
        </w:rPr>
      </w:pPr>
      <w:r>
        <w:rPr>
          <w:rFonts w:ascii="Arial;sans-serif" w:hAnsi="Arial;sans-serif"/>
          <w:b/>
          <w:i/>
          <w:color w:val="000000"/>
          <w:sz w:val="18"/>
        </w:rPr>
        <w:t>If we fail to comply with certain healthcare and consumer protection laws, including fraud and abuse laws, we could face substantial penalties and our business, results of operations and financial condition could be adversely affected.</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Our arrangements with health plan partners, particularly those that contract with federal healthcare programs, are highly regulated and subject us to broadly applicable federal and state fraud and abuse and other federal and state healthcare and consumer protection laws and regulations. These laws may constrain the business or financial arrangements and relationships through which we conduct our operations, including the following:</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the federal Anti-Kickback Statute, which prohibits, among other things, any person or entity from knowingly and willfully soliciting, receiving, offering or paying any remuneration, directly or indirectly, overtly or covertly, in cash or in kind, to induce or reward either the referral of an individual for, or the purchase, order or recommendation of an item or service reimbursable, in whole or in part, under a federal healthcare program, such as the Medicare and Medicaid programs. The term “remuneration” has been broadly interpreted to include anything of value. There are a number of statutory exceptions and regulatory safe harbors protecting some common activities from prosecution; however, these are drawn narrowly and require strict compliance in order to offer protection. Additionally, a person or entity does not need to have actual knowledge of the statute or specific intent to violate it in order to have committed a violation;</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the federal False Claims Act, which, among other things, imposes criminal and civil penalties against individuals or entities for knowingly presenting, or causing to be presented, to the federal government, claims for payment or approval that are false or fraudulent, knowingly making, using or causing to be made or used, a false record or statement material to a false or fraudulent claim, or from knowingly making or causing to be made a false statement to avoid, decrease or conceal an obligation to pay money to the federal government. The False Claims Act can be enforced by private citizens through civil qui tam actions. A claim includes “any request or demand” for money or property presented to the U.S. government;</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the federal Civil Monetary Penalties law, which prohibits, among other things, offering or transferring remuneration to a federal healthcare beneficiary that a person knows or should know is likely to influence the beneficiary’s decision to order or receive items or services reimbursable by the government from a particular provider or supplier;</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 xml:space="preserve">HIPAA, which created additional federal criminal statutes that prohibit, among other things, knowingly and willfully executing, or attempting to execute, a scheme to defraud or to obtain, by means of false or fraudulent pretenses, representations or promises, any money or property owned by, or under the control or custody of, any healthcare benefit program, including private third-party payers, willingly obstructing a criminal investigation of a healthcare offense, and knowingly and willfully falsifying, concealing or covering up by trick, scheme or device, a material fact or making any materially false, fictitious or fraudulent statement in connection with the delivery of or payment for healthcare benefits, items or services. Like the federal Anti-Kickback Statute, a person or entity need not have actual knowledge of the statute or specific intent to violate it in order to have committed a violation;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716280"/>
                <wp:effectExtent l="0" t="0" r="0" b="0"/>
                <wp:wrapNone/>
                <wp:docPr id="22" name="Frame21"/>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17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17</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the CAN-SPAM Act, which regulates commercial e-mail messages and specifies penalties for the transmission of commercial e-mail messages that do not comply with certain requirements, such as providing an opt-out mechanism for stopping future e-mails from senders;</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TCPA, which prohibits us from using an automatic telephone dialing system to make certain telephone calls or transmit text messages to wireless telephone numbers without prior express consent or without consulting the FTC’s national “Do Not Call” registry. We have in the past and may in the future become subject to claims that we have violated the TCPA and/or other telemarketing laws. The TCPA provides for private rights of action and potential statutory damages for each violation and additional penalties for each willful violation; and</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analogous state and foreign laws and regulations, such as state anti-kickback and false claims laws, which may be more restrictive and may apply to healthcare items or services reimbursed by non-governmental third-party payers, including private insurers, or by the patients themselves.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Ensuring business arrangements with third parties comply with applicable healthcare laws and regulations is a costly endeavor. If our operations are found to be in violation of any of the federal and state healthcare laws described above or any other current or future governmental regulations that apply to us, we may be subject to penalties, including without limitation, civil, criminal and/or administrative penalties, damages, fines, disgorgement, individual imprisonment, exclusion from participation in government programs, such as Medicare and Medicaid, injunctions, private “qui tam” actions brought by individual whistleblowers in the name of the government, or refusal to allow us to enter into government contracts, contractual damages, reputational harm, administrative burdens, diminished profits and future earnings, additional reporting obligations and oversight if we become subject to a corporate integrity agreement or other agreement to resolve allegations of non-compliance with these laws, and the curtailment or restructuring of our operations, any of which could adversely affect our ability to operate our business and our results of operations.</w:t>
      </w:r>
    </w:p>
    <w:p>
      <w:pPr>
        <w:pStyle w:val="TextBody"/>
        <w:bidi w:val="0"/>
        <w:spacing w:lineRule="auto" w:line="288" w:before="240" w:after="283"/>
        <w:jc w:val="left"/>
        <w:rPr>
          <w:rFonts w:ascii="Arial;sans-serif" w:hAnsi="Arial;sans-serif"/>
          <w:b/>
          <w:i/>
          <w:color w:val="000000"/>
          <w:sz w:val="18"/>
        </w:rPr>
      </w:pPr>
      <w:r>
        <w:rPr>
          <w:rFonts w:ascii="Arial;sans-serif" w:hAnsi="Arial;sans-serif"/>
          <w:b/>
          <w:i/>
          <w:color w:val="000000"/>
          <w:sz w:val="18"/>
        </w:rPr>
        <w:t>Our operating results may be adversely impacted by factors that impact our estimate of LTV.</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We recognize agency revenue at the time a qualified prospect becomes a commissionable Submission by applying the latest estimated LTV for that product. Agency revenue refers to the commission revenue and partner marketing revenue we receive when GoHealth’s internal agents or our external agents enroll the consumer and submit the policy application to the health plan partner, becoming the agent of record. We estimate commission revenue for each product by using a portfolio approach to a group of approved consumers that are organized based on a variety of attributes, which we refer to as “vintages.” We estimate the cash commissions we expect to collect for each approved consumer vintage by evaluating various factors, including, but not limited to, commission rates, health plan partners, estimated average plan duration, the regulatory environment, and historic cancellations of health insurance plans offered by health plan partners with which we have a relationship. On a quarterly basis, we recompute LTV at a vintage level for all outstanding vintages, review and monitor changes in the data used to estimate LTV as well as the cash received for each vintage as compared to our original estimates. The fluctuations of cash received for each vintage and LTV may be and has been significant and may or may not be indicative of the need to adjust LTVs for prior period vintages. Management analyzes these fluctuations and, to the extent we see changes in our estimates of the cash commission collections that we believe are indicative of an increase or decrease to prior period LTVs, we will adjust and have adjusted LTVs for the affected vintages at the time such determination is made. Changes in LTV may result and have resulted in an increase or a decrease to revenue and a corresponding increase or decrease to net commissions receivable accordingly.</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As we continue to evaluate our LTV estimation models and the processes and controls related to the LTV estimation models, we have made and will make further changes based on a number of factors and such changes could result in significant further increases or decreases in revenue. LTVs are estimates based on a number of assumptions, which include, but are not limited to, estimates of the conversion rates of commissionable Submissions into effectuated policies, forecasted average plan duration and forecasted commission rates we expect to receive per each approved consumer’s plan. These assumptions are based on historical trends and require significant judgment by our management in interpreting those trends. Changes in our historical trends will result in changes to our LTV estimates in future periods and, therefore, could adversely affect our revenue and financial results in those future periods. As a result, negative changes in the factors upon which we estimate LTVs, such as reduced conversion of commissionable Submissions to effectuated policies, increased health plan termination or a reduction in the lifetime commission amounts we expect to receive for selling the plan to a consumer or other changes could harm our business, operating results and financial condition. We have seen in the past such negative changes which have resulted in negative revenue adjustments. In addition, if we ultimately receive commission payments that are less than the amount we estimated when we recognized commission revenues, we would need to write off the remaining commissions receivable balance, which could materially adversely impact our operating results and financial condition.</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As an example, the forecasted average plan duration is an important factor in our estimation of LTV. We receive commissions from health plan partners for policies of which we are the agent of record. When one of these plans is canceled, or if we otherwise do not remain the agent on the policy, we no longer receive the related commission payment. Our forecasted average plan duration and health plan termination rates are calculated based on our historical data by plan type and for certain products, such as our Medicare Advantage products which constitute the majority of our revenue, and if we are unable to produce an accurate forecasted average plan duration, our business, operating results and financial condition may be adversely impacted.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716280"/>
                <wp:effectExtent l="0" t="0" r="0" b="0"/>
                <wp:wrapNone/>
                <wp:docPr id="23" name="Frame22"/>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18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18</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We have seen pressure, within the industry, on plan duration based upon increased consumer churn and have made corresponding revenue adjustments. Additionally, from time to time, health plan partners may stop offering products in a geographic area. While in many cases, health plan partners will still support existing consumers in those geographic areas, because they are no longer offering new plans, the retention of those consumers may be adversely impacted, thereby impacting our expected LTVs.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Commission rates are also a factor in estimating our LTVs, which are impacted by a variety of factors, including the particular health insurance plans chosen by our consumers, the health plan partners offering those plans, our consumers’ states of residence, the laws and regulations in those jurisdictions, the average premiums of plans purchased through us and healthcare reform. Any reduction in our average commission revenue per consumer could harm our business, operating results and financial condition.</w:t>
      </w:r>
    </w:p>
    <w:p>
      <w:pPr>
        <w:pStyle w:val="TextBody"/>
        <w:bidi w:val="0"/>
        <w:spacing w:lineRule="auto" w:line="288" w:before="240" w:after="283"/>
        <w:jc w:val="left"/>
        <w:rPr>
          <w:rFonts w:ascii="Arial;sans-serif" w:hAnsi="Arial;sans-serif"/>
          <w:b/>
          <w:i/>
          <w:color w:val="000000"/>
          <w:sz w:val="18"/>
        </w:rPr>
      </w:pPr>
      <w:r>
        <w:rPr>
          <w:rFonts w:ascii="Arial;sans-serif" w:hAnsi="Arial;sans-serif"/>
          <w:b/>
          <w:i/>
          <w:color w:val="000000"/>
          <w:sz w:val="18"/>
        </w:rPr>
        <w:t>We rely on health plan partners to prepare accurate commission reports and send them to us in a timely manner.</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Our health plan partners typically pay us a specified percentage of the premium amount collected by the health plan partner or a flat rate per policy during the period that a consumer maintains coverage under a policy. We rely on health plan partners to report the amount of commissions we earn accurately and on time. We use health plan partners’ commission reports to calculate our revenue, prepare our financial reports, projections, and budgets and direct our marketing and other operating efforts. It is often difficult for us to independently determine whether health plan partners are reporting all commissions due to us, primarily because the majority of the purchasers of our insurance products who terminate their policies do so by discontinuing their premium payments to the health plan partner instead of informing us of the cancellation. For example, there have been instances where we have determined that policy cancellation data reported to us by a health plan partners has not been accurate. To the extent that health plan partners inaccurately or belatedly report the amount of commissions due to us, we may not be able to collect and recognize revenue to which we are entitled, which would harm our business, operating results and financial condition. In addition, the technological connections of our systems with the health plan partners’ systems that provide us up-to-date information about coverage and commissions could fail or health plan partners could cease providing us with access to this information, which could impede our ability to compile our operating results in a timely manner.</w:t>
      </w:r>
    </w:p>
    <w:p>
      <w:pPr>
        <w:pStyle w:val="TextBody"/>
        <w:bidi w:val="0"/>
        <w:spacing w:lineRule="auto" w:line="288" w:before="240" w:after="283"/>
        <w:jc w:val="left"/>
        <w:rPr>
          <w:rFonts w:ascii="Arial;sans-serif" w:hAnsi="Arial;sans-serif"/>
          <w:b/>
          <w:i/>
          <w:color w:val="000000"/>
          <w:sz w:val="18"/>
        </w:rPr>
      </w:pPr>
      <w:r>
        <w:rPr>
          <w:rFonts w:ascii="Arial;sans-serif" w:hAnsi="Arial;sans-serif"/>
          <w:b/>
          <w:i/>
          <w:color w:val="000000"/>
          <w:sz w:val="18"/>
        </w:rPr>
        <w:t>If we lose key management or fail to meet our need for qualified employees, our business, financial condition and results of operations could be materially adversely affected.</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We rely, in part, upon the accumulated knowledge, skills and experience of our executive officers. The loss of the services of any of our executive officers could have a material adverse effect on our business, financial condition and results of operations, as we may not be able to find suitable individuals to replace such officers on a timely basis or without incurring increased costs, or at all. We currently do not have any key person insurance covering our Chief Executive Officer. If our executive officers were to leave us or become incapacitated, it might negatively impact our planning and execution of business strategy and operations. We believe that our future success will depend on our continued ability to attract and retain highly skilled and qualified executive personnel for all areas of our organization, for which there is a high level of competition in our industry. Our inability to meet our executive staffing requirements in the future could have a material adverse effect on our business, financial condition and results of operations.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Our future success is also dependent upon our ability to attract, retain and effectively deploy qualified employees. As a result of the highly competitive labor market in the U.S., we have needed to offer higher compensation and other benefits in order to attract and retain key personnel. To attract top talent, we must offer competitive compensation packages before we have the opportunity to validate the productivity and effectiveness of new employees. Additionally, we may not be able to hire new employees quickly enough, we may not have adequate resources to meet our hiring needs, and we may not effectively deploy our workforce in order to efficiently allocate our internal resources. Stock price fluctuations could impact the value of our equity compensation, which could affect our ability to recruit and retain employees. If we fail to meet our hiring needs, successfully integrate our new hires or effectively deploy our existing personnel, our efficiency and ability to meet our forecasts, our ability to successfully execute on our strategic plan to return to revenue growth and our employee morale, productivity and retention could all suffer. Any of these factors could materially adversely affect our business, operating results and financial condition.</w:t>
      </w:r>
    </w:p>
    <w:p>
      <w:pPr>
        <w:pStyle w:val="TextBody"/>
        <w:bidi w:val="0"/>
        <w:spacing w:lineRule="auto" w:line="288" w:before="240" w:after="283"/>
        <w:jc w:val="left"/>
        <w:rPr>
          <w:rFonts w:ascii="Arial;sans-serif" w:hAnsi="Arial;sans-serif"/>
          <w:b/>
          <w:i/>
          <w:color w:val="000000"/>
          <w:sz w:val="18"/>
        </w:rPr>
      </w:pPr>
      <w:r>
        <w:rPr>
          <w:rFonts w:ascii="Arial;sans-serif" w:hAnsi="Arial;sans-serif"/>
          <w:b/>
          <w:i/>
          <w:color w:val="000000"/>
          <w:sz w:val="18"/>
        </w:rPr>
        <w:t>Our ability to sell Medicare-related health insurance plans is largely dependent on our licensed health insurance agents.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The success of our operations is largely dependent on our licensed health insurance agents, upon whom we rely to sell insurance. To sell Medicare-related health insurance plans, agents must be licensed by the states in which they are selling plans and certified and appointed with the health plan partner that offers the plans in each applicable state. Because a significant number of Medicare plans are sold in the fourth quarter each year during the Medicare annual enrollment period, we retain and train a significant number of additional employees in a limited period of time. We must also ensure that our agents are timely licensed in a significant number of states and certified and appointed with the health plan partners whose products we sell. We depend upon our employees, state departments of insurance and health plan partners for the licensing, certification and appointment of our agents. We may not be successful in timely hiring or sourcing enough additional agents or other employees needed to operate our business. Even if we are successful in hiring or sourcing a sufficient number of agents, we may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716280"/>
                <wp:effectExtent l="0" t="0" r="0" b="0"/>
                <wp:wrapNone/>
                <wp:docPr id="24" name="Frame23"/>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19</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experience temporary shortages of agents due to illness, poor weather conditions or other natural disasters, personal emergencies and other events outside our control. Recent workforce reductions implemented as part of our cash optimization initiatives may also reduce our available agent capacity or support resources, which could impair our ability to recruit, train or retain licensed agents needed to support our sales operations.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Our success in recruiting highly skilled and qualified agents can depend on factors outside of our control, including the strength of the general economy and local employment markets and the availability of alternative forms of employment. As a result of the highly competitive labor market in the U.S., along with rising inflation in recent years, our cost to hire and retain agents has increased. During periods when we face challenges recruiting high-performing agents, we tend to experience higher turnover rates. The productivity of our agents is influenced by their average tenure. Without qualified individuals to serve in consumer facing roles, we may produce less revenue, which could have a material adverse effect on our business, operating results and financial condition. Retaining tenured agents has a direct impact on our operating efficiency and, correspondingly, our financial results.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We have a work from home program for our agents. It may be more difficult for us to manage and monitor our agents in remote settings and we may have to expend more management time and incur more costs to do so. Agents may also face additional distractions working from home that may prevent them from efficiently selling plans. If our agents are not able to effectively work from home, we may not be able to sell as many plans, which would negatively impact our business, financial condition and results of operations.</w:t>
      </w:r>
    </w:p>
    <w:p>
      <w:pPr>
        <w:pStyle w:val="TextBody"/>
        <w:bidi w:val="0"/>
        <w:spacing w:lineRule="auto" w:line="288" w:before="240" w:after="283"/>
        <w:jc w:val="left"/>
        <w:rPr>
          <w:rFonts w:ascii="Arial;sans-serif" w:hAnsi="Arial;sans-serif"/>
          <w:b/>
          <w:i/>
          <w:color w:val="000000"/>
          <w:sz w:val="18"/>
        </w:rPr>
      </w:pPr>
      <w:r>
        <w:rPr>
          <w:rFonts w:ascii="Arial;sans-serif" w:hAnsi="Arial;sans-serif"/>
          <w:b/>
          <w:i/>
          <w:color w:val="000000"/>
          <w:sz w:val="18"/>
        </w:rPr>
        <w:t>We are subject to privacy and data protection laws governing the transmission, security and privacy of personal information, particularly individually identifiable health information, which may impose restrictions on the manner in which we process such information and subject us to enforcement and penalties if we are unable to fully comply with such laws.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Numerous federal, state and international laws and regulations govern the collection, use, disclosure, storage, processing, transmission and destruction of personal information, including individually identifiable health information. These laws and regulations, including their interpretation by governmental agencies and regulators, are subject to frequent change. These regulations could have a negative impact on our business, for example:</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HIPAA and its implementing regulations were enacted to ensure that employees can retain and at times transfer their health insurance when they change jobs, and to simplify healthcare administrative processes. The enactment of HIPAA also expanded protection of the privacy and security of protected health information and required the adoption of standards for the exchange of electronic health information. Among the standards that the Department of Health and Human Services has adopted pursuant to HIPAA are standards for electronic transactions and code sets, unique identifiers for providers, employers, health plans and individuals, security, electronic signatures, privacy and enforcement. Failure to comply with HIPAA could result in enforcement activity, fines, penalties and litigation that could have a material adverse effect on us;</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The Health Information Technology for Economic and Clinical Health Act (“HITECH Act”) sets forth health information security breach notification requirements and increased penalties for violation of HIPAA. The HITECH Act requires individual notification for all breaches, media notification of breaches of over 500 individuals and at least annual reporting of all breaches to the Department of Health and Human Services. The HITECH Act also replaced the prior penalty system with a four-tier system of sanctions for breaches ranging from the original $100 per violation and an annual maximum of $25,000 for the first tier to a fourth-tier minimum of $50,000 per violation and an annual maximum of $1.5 million per violation category. These penalties are required to be adjusted for inflation. Failure to comply with the HITECH Act could result in enforcement activity, fines, penalties and litigation that could have a material adverse effect on us;</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Other federal and state laws restricting the use and protecting the privacy and security of individually identifiable information may apply, many of which are not preempted by HIPAA; and</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Federal and state consumer protection laws are increasingly being applied by the FTC and states’ attorneys general to regulate the collection, use, processing, destruction, storage and disclosure of individually identifiable information, through websites or otherwise, and to regulate the presentation of website content.</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We are required to comply with federal and state laws governing the transmission, security and privacy of personal information that we may obtain or have access to in connection with the provision of our services. Our facilities and systems, and those of our third-party vendors and subcontractors, are vulnerable to security breaches, acts of vandalism or theft, computer viruses, malware, ransomware, denial-of-service attacks, misplaced or lost data, programming and human errors or other similar events. Due to the enactment of the HITECH Act, we are not able to predict the extent of the impact such incidents may have on our business. Our failure to comply may result in criminal and civil liability especially because the potential for enforcement action against business associates is now greater. Enforcement actions against us could be costly and could interrupt regular operations or the availability of data, which may adversely affect our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716280"/>
                <wp:effectExtent l="0" t="0" r="0" b="0"/>
                <wp:wrapNone/>
                <wp:docPr id="25" name="Frame24"/>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20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20</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Under the HITECH Act, as a business associate we may also be directly or independently liable for privacy and security breaches and failures of our subcontractors. We have limited control over their actions and practices, and a breach of privacy or security of individually identifiable health information by a subcontractor or other entity operating on our behalf may result in an enforcement action, including criminal and civil liability, against us or litigation by a covered entity with whom we have a contractual relationship. In addition, numerous other federal and state laws protect the confidentiality of individually identifiable information as well as employee personal information, including state medical privacy laws, state social security number protection laws, and federal and state consumer protection laws. These various laws in many cases are not preempted by HIPAA and may be subject to varying interpretations by the courts and government agencies, creating complex compliance issues for us and our consumers and potentially exposing us to additional expense, adverse publicity and liability, any of which could adversely affect our business, operating results and financial condition.</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State and federal laws may apply to our collection, use, handling, processing, destruction, disclosure, and storage as well. For example, the CCPA, which became enforceable by the California Attorney General on July 1, 2020, affords consumers expanded privacy protections and control over the collection, use and sharing of their personal information. The CCPA was recently amended, and it is possible it will be amended again by other pending legislative initiatives or by popular referendum. The Attorney General of California is promulgating implementing CCPA regulations which are undergoing successive rounds of public comment and revision. The potential effects of this legislation, including whether and how the law will be applied to the consumer health-related data we collect through our service, are far-reaching and may require us to modify our data processing practices and policies and to incur substantial costs and expenses in an effort to comply. The CCPA gives California residents expanded rights to access and require deletion of their personal information, opt out of certain personal information sharing and receive detailed information about how their personal information is used. The CCPA also provides for civil penalties for violations, as well as a private right of action for data breaches that may increase data breach litigation. The CCPA does contain an exemption for medical information governed by the California Confidentiality of Medical Information Act (“CMIA”), and for protected health information collected by a covered entity or business associate governed by the privacy, security and breach notification rule established pursuant to HIPAA and HITECH, but the precise application and scope of this exemption as well as how it would apply to our business is not yet clear. The CCPA also has encouraged “copycat” legislative proposals in other states across the country such as Nevada, Virginia, New Hampshire, Illinois and Nebraska. </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NYDFS Cybersecurity Regulation for financial services companies, including insurance entities under NYDFS jurisdiction, requires entities to establish and maintain a cybersecurity program designed to protect private consumer data, and implement a risk assessment designed to perform core cybersecurity functions. The regulation specifically provides for: (i) controls relating to the governance framework for a cybersecurity program; (ii) risk-based minimum standards for technology systems for data protection; (iii) minimum standards for cyber breach responses, including notice to the NYDFS, of material events; and (iv) identification and documentation of material deficiencies, remediation plans and annual certification of regulatory compliance with the NYDFS. The Cybersecurity Regulation also requires implementation of continuous monitoring of information technology systems or periodic penetration testing and vulnerability assessments. Similarly, the Massachusetts data protection law and the New York Stop Hacks and Improve Data Security Act (“SHIELD Act”) both require companies to implement a written information security program that contains appropriate administrative, technical, and physical safeguards as defined in the respective statute.</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In October 2017, the NAIC adopted the Cybersecurity Model Law, which is intended to establish the standards for data security and for the investigation and notification of data breaches applicable to insurance licensees in states adopting such law. To date, the Cybersecurity Model Law has been adopted by 26 states. The Cybersecurity Model Law could impose significant new regulatory burdens intended to protect the confidentiality, integrity and availability of information systems. The Cybersecurity Model Law is functionally similar to the NYDFS rule.</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We are subject to these and other complex and evolving federal, state and local laws and regulations regarding privacy, data protection and other matters. Many of these laws and regulations are subject to change and uncertain interpretation. The U.S. federal and state governments and agencies may in the future enact new legislation and promulgate new regulations governing collection, use, disclosure, storage, processing, transmission and destruction of personal information and other data. Compliance with existing and emerging privacy and cybersecurity laws and regulations could result in increased compliance costs and/or lead to changes in business practices and policies. In addition, any failure or perceived failure by us to maintain posted privacy policies which are accurate, comprehensive and fully implemented, and any violation or perceived violation of our privacy-, data protection- or information security-related obligations to consumers, users or other third parties or any of our other legal obligations relating to privacy, data protection or information security may result in governmental investigations or enforcement actions, litigation, claims or public statements against us by consumer advocacy groups or others, and could result in significant liability, loss of relationships with key third parties including health plan partners, social media networks and other data providers, or cause our consumers to lose trust in us, which could have material impacts on our revenue and operations.</w:t>
      </w:r>
    </w:p>
    <w:p>
      <w:pPr>
        <w:pStyle w:val="TextBody"/>
        <w:bidi w:val="0"/>
        <w:spacing w:lineRule="auto" w:line="288" w:before="240" w:after="283"/>
        <w:jc w:val="left"/>
        <w:rPr>
          <w:rFonts w:ascii="Arial;sans-serif" w:hAnsi="Arial;sans-serif"/>
          <w:b/>
          <w:i/>
          <w:color w:val="000000"/>
          <w:sz w:val="18"/>
        </w:rPr>
      </w:pPr>
      <w:r>
        <w:rPr>
          <w:rFonts w:ascii="Arial;sans-serif" w:hAnsi="Arial;sans-serif"/>
          <w:b/>
          <w:i/>
          <w:color w:val="000000"/>
          <w:sz w:val="18"/>
        </w:rPr>
        <w:t>Information technology system failures could interrupt our operations and have a material adverse effect on our business, financial condition and results of operations.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Our ability to sell insurance is dependent upon our information technology systems. In connection with sales of Medicare plans, CMS rules require that our health insurance agent employees utilize CMS-approved scripts and that we record and maintain the recording of telephonic interactions. We rely on telephone, call recording, consumer relationship management and other systems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716280"/>
                <wp:effectExtent l="0" t="0" r="0" b="0"/>
                <wp:wrapNone/>
                <wp:docPr id="26" name="Frame25"/>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21</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and technology in our sales operations to sell Medicare plans, and we are dependent upon third parties for some of these systems and technologies, including our telephone services, which are provided by Five9, call recording systems and other communications systems. Health plan partners often audit these recordings for compliance purposes and listen to them in connection with investigating complaints. We have had in the past, and may in the future, experience failures of certain of our systems, including our telephone and call recording systems. For example, we have experienced failures of our systems due to power outages, which have negatively impacted our ability to sell plans. The effectiveness and stability of our systems and technology are critical to our ability to sell Medicare plans, particularly during the Medicare enrollment periods, and the failure or interruption of any of these systems and technologies or any inability to handle increased business volume may have a material adverse effect on our business, operating results and financial condition and subject us to litigation or to actions by regulatory authorities.</w:t>
      </w:r>
    </w:p>
    <w:p>
      <w:pPr>
        <w:pStyle w:val="TextBody"/>
        <w:bidi w:val="0"/>
        <w:spacing w:lineRule="auto" w:line="288" w:before="240" w:after="283"/>
        <w:jc w:val="left"/>
        <w:rPr>
          <w:rFonts w:ascii="Arial;sans-serif" w:hAnsi="Arial;sans-serif"/>
          <w:b/>
          <w:i/>
          <w:color w:val="000000"/>
          <w:sz w:val="18"/>
        </w:rPr>
      </w:pPr>
      <w:r>
        <w:rPr>
          <w:rFonts w:ascii="Arial;sans-serif" w:hAnsi="Arial;sans-serif"/>
          <w:b/>
          <w:i/>
          <w:color w:val="000000"/>
          <w:sz w:val="18"/>
        </w:rPr>
        <w:t>System failures or capacity constraints could harm our business, financial condition and operating results.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performance, reliability and availability of our technology platform and underlying network infrastructures are critical to our financial results, our brand and our relationship with consumers, marketing partners and health plan partners. Our attempts to enhance our technology platform and system infrastructure may not prevent system failures and interruptions, especially if we are unable to accurately project the rate or timing of increases in our website traffic or inbound call volume or for other reasons, some of which are completely outside our control. Additionally, we are also reliant on the systems of our health plan partners to submit plan enrollment applications from potential consumers. We have in the past, and could in the future, experience significant failures and interruptions of our systems and the systems of our health plan partners, which would harm our business, operating results and financial condition. If these failures or interruptions occurred during the Medicare annual enrollment period or during the open enrollment period under healthcare reform, the negative impact on us would be particularly pronounced.</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We rely in part upon third-party vendors, including telephony and bandwidth providers, to operate our technology platform. We cannot predict whether additional network capacity will be available from these vendors as we need it, and our network or our suppliers’ networks might be unable to achieve or maintain a sufficiently high capacity of data transmission to allow us to process health insurance applications in a timely manner or effectively download data, especially if our website traffic increases. For example, a rapid expansion of our business could affect the service levels at our telephony and bandwidth providers or cause such providers and systems to fail. Any system failure or service level reduction that causes an interruption to, or decreases the responsiveness of, our services would impair our revenue-generating capabilities and damage our reputation. In addition, any loss of data could result in loss of consumers and subject us to potential liability. Our databases and systems are vulnerable to damage or interruption from human error, fire, floods, power loss, telecommunications failures, physical or electronic break-ins, computer viruses, acts of terrorism, other attempts to harm our systems and similar events. In addition, our operations are vulnerable to earthquakes, fires, severe weather, pandemics and other natural disasters in parts of the world where we, our agents and vendors operate. Global climate change is resulting in certain types of natural disasters occurring more frequently or with more intense effects.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Our third-party vendors have no obligation to renew their agreements with us on commercially reasonable terms, or at all. If we are unable to renew these agreements on commercially reasonable terms, we may be required to transfer our platform to other third-party vendors, and we may incur significant costs and possible service interruption in connection with doing so. Problems faced by our third-party vendors with the telecommunications network providers with whom we or they contract, or with the systems by which our telecommunications providers allocate capacity among their clients, including us, could adversely affect the experience of our consumers. Our third-party vendors could decide to discontinue operations without adequate notice. In addition, any financial difficulties, such as bankruptcy, faced by our third-party vendors, operators or any of the service providers with whom we or they contract may have negative effects on our business, the nature and extent of which are difficult to predict.</w:t>
      </w:r>
    </w:p>
    <w:p>
      <w:pPr>
        <w:pStyle w:val="TextBody"/>
        <w:bidi w:val="0"/>
        <w:spacing w:lineRule="auto" w:line="288" w:before="240" w:after="283"/>
        <w:jc w:val="left"/>
        <w:rPr>
          <w:rFonts w:ascii="Arial;sans-serif" w:hAnsi="Arial;sans-serif"/>
          <w:b/>
          <w:i/>
          <w:color w:val="000000"/>
          <w:sz w:val="18"/>
        </w:rPr>
      </w:pPr>
      <w:r>
        <w:rPr>
          <w:rFonts w:ascii="Arial;sans-serif" w:hAnsi="Arial;sans-serif"/>
          <w:b/>
          <w:i/>
          <w:color w:val="000000"/>
          <w:sz w:val="18"/>
        </w:rPr>
        <w:t>We rely upon third parties to operate our Marketplace technology and any disruption of or interference with our use of such third-party providers would adversely affect our business, results of operations and financial condition.</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We outsource our hosting infrastructure to Amazon Web Services (our “Hosting Provider”), which hosts our Marketplace technology. Consumers and agents must have the ability to access our Marketplace technology at any time, without interruption or degradation of performance. Our Hosting Provider runs its own infrastructure upon which our Marketplace technology and products depend, and we are, therefore, vulnerable to service interruptions to our Hosting Provider. Though very rare, we have experienced, and expect that in the future we may experience, interruptions, delays and outages in service and availability from time to time due to a variety of factors, including infrastructure changes, human or software errors, application hosting disruptions and capacity constraints. Capacity constraints could be due to a number of potential causes including technical failures, natural disasters, fraud or security attacks. In addition, if our security, or that of our Hosting Provider, is compromised, our platform or products are unavailable or our users are unable to use our products within a reasonable amount of time or at all, then our business, results of operations and financial condition could be adversely affected. We note that our ability to conduct security audits on our Hosting Provider is limited; therefore, we rely heavily on third-party security reviews, such as the Statement on Standards for Attestation Engagements No. 16 assessments. Our contracts do not contain strong indemnification terms in our favor. In some instances, we may not be able to identify and/or remedy the cause or causes of these performance problems within a period of time acceptable to our consumers. It may become increasingly difficult to maintain and improve our marketplace platform performance, especially during peak usage times, as our marketplace platform becomes more complex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716280"/>
                <wp:effectExtent l="0" t="0" r="0" b="0"/>
                <wp:wrapNone/>
                <wp:docPr id="27" name="Frame26"/>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22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22</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and the usage of the platform increases. To the extent we do not effectively address capacity constraints, either through our Hosting Provider or alternative providers of cloud infrastructure, our business, results of operations and financial condition may be adversely affected. In addition, any changes in service levels from our Hosting Provider may adversely affect our ability to meet our consumers’ requirements.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substantial majority of the services we use from our Hosting Provider are for cloud-based server capacity and managed colocation services. We access our Hosting Provider’s infrastructure through standard Internet connectivity. Our Hosting Provider provides us with computing and storage capacity, network capacity, managed colocation space, and leased computing hardware pursuant to agreements that continue until terminated by either party. If our Hosting Provider becomes unavailable to us without sufficient advance notice, we would likely experience delays in delivering our platform and products until we could migrate to an alternate hosting provider. Our disaster recovery program contemplates transitioning our platform and products to our backup center in the event of a catastrophe, but we have not yet fully tested the procedure, and our platform and products may be unavailable, in whole or in part, during any transition procedure. Although we expect that we could receive similar services from other third parties, if any of our arrangements with our Hosting Provider are terminated, we could experience interruptions on our platform and in our ability to make our products available to consumers, as well as delays and additional expenses (including research and development expenses) in arranging alternative cloud infrastructure services.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Any of the above circumstances or events may cause outages where we are unable to generate revenue, harm our reputation, cause consumers to stop using our products, impair our ability to attract new consumers and increase revenue from consumers, subject us to financial penalties and liabilities under our service level agreements and otherwise harm our revenue, business, results of operations and financial condition.</w:t>
      </w:r>
    </w:p>
    <w:p>
      <w:pPr>
        <w:pStyle w:val="TextBody"/>
        <w:bidi w:val="0"/>
        <w:spacing w:lineRule="auto" w:line="288" w:before="240" w:after="283"/>
        <w:jc w:val="left"/>
        <w:rPr>
          <w:rFonts w:ascii="Arial;sans-serif" w:hAnsi="Arial;sans-serif"/>
          <w:b/>
          <w:i/>
          <w:color w:val="000000"/>
          <w:sz w:val="18"/>
        </w:rPr>
      </w:pPr>
      <w:r>
        <w:rPr>
          <w:rFonts w:ascii="Arial;sans-serif" w:hAnsi="Arial;sans-serif"/>
          <w:b/>
          <w:i/>
          <w:color w:val="000000"/>
          <w:sz w:val="18"/>
        </w:rPr>
        <w:t>If we are unable to develop new product and service offerings and expand our business scope to penetrate new markets and opportunities, our business, operating results and financial condition would be harmed.</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Our business strategy includes expanding our existing products and services. We are investing in new opportunities to broaden our business scope to penetrate new markets and opportunities. However, we may not be able to execute on all of these investments. We may be limited by current or future laws, regulations and guidelines, health plan partners may not embrace these investments, and consumers may not appreciate these products and services. In addition, these investments often rely upon appropriate and effective relationships with third parties and we may not find suitable partners. Failure to develop new and successful product and service offerings may hinder our growth potential and adversely affect our business, operating results and financial condition. </w:t>
      </w:r>
    </w:p>
    <w:p>
      <w:pPr>
        <w:pStyle w:val="TextBody"/>
        <w:bidi w:val="0"/>
        <w:spacing w:lineRule="auto" w:line="288" w:before="240" w:after="283"/>
        <w:jc w:val="left"/>
        <w:rPr>
          <w:rFonts w:ascii="Arial;sans-serif" w:hAnsi="Arial;sans-serif"/>
          <w:b/>
          <w:i/>
          <w:color w:val="000000"/>
          <w:sz w:val="18"/>
        </w:rPr>
      </w:pPr>
      <w:r>
        <w:rPr>
          <w:rFonts w:ascii="Arial;sans-serif" w:hAnsi="Arial;sans-serif"/>
          <w:b/>
          <w:i/>
          <w:color w:val="000000"/>
          <w:sz w:val="18"/>
        </w:rPr>
        <w:t>If we are unable to successfully grow our sales of offerings through our most recently launched GoHealth Protect suite of products our business, operating results and financial condition would be harmed.</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In 2025 we launched GoHealth Protect, a product line intended to expand our offerings beyond Medicare-related insurance products, initially through the marketing of guaranteed acceptance life insurance designed to help consumers cover end-of-life expenses. The introduction of this product line exposes us to a number of new risks and uncertainties. Life insurance products are subject to regulatory frameworks that differ from those applicable to Medicare-related insurance products, including state insurance licensing, marketing and consumer protection requirements. If we are unable to comply with applicable regulatory requirements or adapt our existing sales, marketing and compliance processes to these requirements, we could be subject to regulatory scrutiny, penalties or limitations on our ability to offer these products. In addition, the success of GoHealth Protect will depend on our ability to effectively leverage our technology platform, consumer relationships and sales infrastructure to market and distribute these products. If consumer demand for these products is lower than expected, if our agents are unable to effectively market or sell these products, or if our operational processes are not able to support the expansion of additional product lines, the anticipated benefits of this initiative may not be realized. We also rely on relationships with third-party insurance carriers to underwrite and issue policies offered through GoHealth Protect, and changes in those relationships or the availability of products could adversely affect our ability to offer these products. Furthermore, while we expect GoHealth Protect to help diversify our revenue streams and reduce the seasonality associated with our Medicare Advantage business, the product line is still in the early stages of implementation. As a result, it may not generate the level of sales, commissions or profitability we anticipate, which could adversely affect our business, operating results and financial condition.</w:t>
      </w:r>
    </w:p>
    <w:p>
      <w:pPr>
        <w:pStyle w:val="TextBody"/>
        <w:bidi w:val="0"/>
        <w:spacing w:lineRule="auto" w:line="288" w:before="240" w:after="283"/>
        <w:jc w:val="left"/>
        <w:rPr>
          <w:rFonts w:ascii="Arial;sans-serif" w:hAnsi="Arial;sans-serif"/>
          <w:b/>
          <w:i/>
          <w:color w:val="000000"/>
          <w:sz w:val="18"/>
        </w:rPr>
      </w:pPr>
      <w:r>
        <w:rPr>
          <w:rFonts w:ascii="Arial;sans-serif" w:hAnsi="Arial;sans-serif"/>
          <w:b/>
          <w:i/>
          <w:color w:val="000000"/>
          <w:sz w:val="18"/>
        </w:rPr>
        <w:t>We may not realize the benefits we expect from our strategic cash flow optimization and other cash management initiatives.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We are pursuing initiatives to reduce costs, increase effectiveness and optimize cash flow. As part of those initiatives, we intend to focus our efforts on a reduction in infrastructure costs, including with respect to our technology platform and underlying network infrastructures, which could affect the reliability, performance or scalability of our technology systems or may otherwise have a negative impact on our business. In addition, certain of our cash optimization initiatives have in the past, and may in the future, include workforce reductions. Starting in the third quarter of 2025, management implemented cash management initiatives to further reduce operating expenses and improve cash flows including a reduction in force during the fourth quarter of 2025, impacting approximately 487 employees. Implementation of additional cash management initiatives may result in the loss of institutional knowledge, reduced operational capacity or disruptions to our business processes, which could adversely affect our ability to support our technology platform, service consumers and health plan partners, or pursue growth initiatives. Workforce reductions may also negatively impact employee morale, our culture and our ability to attract and retain qualified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716280"/>
                <wp:effectExtent l="0" t="0" r="0" b="0"/>
                <wp:wrapNone/>
                <wp:docPr id="28" name="Frame27"/>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23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23</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personnel in the future, may damage our reputation and brand image or may yield attrition beyond our ability to operate and grow our business effectively. Reductions in personnel or infrastructure spending could also impair our ability to maintain service levels for consumers and health plan partners or respond effectively to changes in demand.</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We may not realize all of the anticipated cost savings or other benefits from such initiatives and the initiatives have had and may continue to have other effects, such as a reduction in revenue. Other events and circumstances, such as financial or strategic difficulties, delays or unexpected costs, may also adversely impact our ability to realize all of the anticipated cost savings or other benefits, or cause us not to realize such cost savings or other benefits on the expected timetable. If we are unable to realize the anticipated benefits, our ability to fund other initiatives may be adversely affected. Finally, the complexity of the implementation of the initiatives may require a substantial amount of management and operational resources. Our management team must successfully execute the administrative and operational changes necessary to achieve the anticipated benefits of the initiatives. These and related demands on our resources may divert the organization’s attention from other business issues, have adverse effects on existing business relationships with suppliers and consumers, and impact employee morale. Any failure to implement these initiatives in accordance with our plans or on our anticipated timetable could adversely affect our business, financial condition or results of operations.</w:t>
      </w:r>
    </w:p>
    <w:p>
      <w:pPr>
        <w:pStyle w:val="TextBody"/>
        <w:bidi w:val="0"/>
        <w:spacing w:lineRule="auto" w:line="288" w:before="240" w:after="283"/>
        <w:jc w:val="left"/>
        <w:rPr>
          <w:rFonts w:ascii="Arial;sans-serif" w:hAnsi="Arial;sans-serif"/>
          <w:b/>
          <w:i/>
          <w:color w:val="000000"/>
          <w:sz w:val="18"/>
        </w:rPr>
      </w:pPr>
      <w:r>
        <w:rPr>
          <w:rFonts w:ascii="Arial;sans-serif" w:hAnsi="Arial;sans-serif"/>
          <w:b/>
          <w:i/>
          <w:color w:val="000000"/>
          <w:sz w:val="18"/>
        </w:rPr>
        <w:t>Risks from third-party products could adversely affect our businesses.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We offer third-party products, including health insurance products. Insurance involves a transfer of risk and our reputation may be harmed and we may become a target for litigation if risk is not transferred in the way expected by consumers and health plan partners. In addition, if these third party products do not provide the quality of service our consumers expect, consumers may correlate the negative experience with our service. Significant declines in the performance of these third-party products could subject us to reputational damage and litigation risk.</w:t>
      </w:r>
    </w:p>
    <w:p>
      <w:pPr>
        <w:pStyle w:val="TextBody"/>
        <w:bidi w:val="0"/>
        <w:spacing w:lineRule="auto" w:line="288" w:before="240" w:after="283"/>
        <w:jc w:val="left"/>
        <w:rPr>
          <w:rFonts w:ascii="Arial;sans-serif" w:hAnsi="Arial;sans-serif"/>
          <w:b/>
          <w:i/>
          <w:color w:val="000000"/>
          <w:sz w:val="18"/>
        </w:rPr>
      </w:pPr>
      <w:r>
        <w:rPr>
          <w:rFonts w:ascii="Arial;sans-serif" w:hAnsi="Arial;sans-serif"/>
          <w:b/>
          <w:i/>
          <w:color w:val="000000"/>
          <w:sz w:val="18"/>
        </w:rPr>
        <w:t>We receive commission payments from health plan partners over time, but incur significant upfront expenses to enroll consumers.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enrollment of consumers on our platform requires significant upfront expenses, including marketing and advertising expenses and consumer care and enrollment expenses, in order to generate qualified prospects, educate and enroll those consumers in our products and plans, and submit completed applications to health plan partners. However, the resulting commissions are generally paid to us over time, with the first payments often several weeks or months after we submit completed applications to our health plan partners. These factors cause us to require significant cash to fund our working capital needs, and our operating cash flows could be adversely impacted by a substantial increase in the volume of applications submitted by us.</w:t>
      </w:r>
    </w:p>
    <w:p>
      <w:pPr>
        <w:pStyle w:val="TextBody"/>
        <w:bidi w:val="0"/>
        <w:spacing w:lineRule="auto" w:line="288" w:before="240" w:after="283"/>
        <w:jc w:val="left"/>
        <w:rPr>
          <w:rFonts w:ascii="Arial;sans-serif" w:hAnsi="Arial;sans-serif"/>
          <w:b/>
          <w:i/>
          <w:color w:val="000000"/>
          <w:sz w:val="18"/>
        </w:rPr>
      </w:pPr>
      <w:r>
        <w:rPr>
          <w:rFonts w:ascii="Arial;sans-serif" w:hAnsi="Arial;sans-serif"/>
          <w:b/>
          <w:i/>
          <w:color w:val="000000"/>
          <w:sz w:val="18"/>
        </w:rPr>
        <w:t>Operating and growing our business may require additional capital, and if capital is not available to us, our business, operating results and financial condition may suffer.</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Operating and growing our business is expected to require further investments in our business. We may be presented with opportunities that we want to pursue, and unforeseen challenges may present themselves, any of which could cause us to require additional capital. Our business model does not require us to hold a significant amount of cash and cash equivalents at any given time and if our cash needs exceed our expectations or we experience rapid growth, we could experience strain in our cash flow, which could adversely affect our operations in the event we were unable to obtain other sources of liquidity. If we seek to raise funds through equity or debt financing, those funds may prove to be unavailable, may only be available on terms that are not acceptable to us or may result in significant dilution in your holdings of our Class A common stock or higher levels of leverage. If we are unable to obtain adequate financing or financing on terms satisfactory to us, when we require it, our ability to continue to pursue our business objectives and to respond to business opportunities, challenges or unforeseen circumstances could be significantly limited, and our business, operating results and financial condition could be materially and adversely affected.</w:t>
      </w:r>
    </w:p>
    <w:p>
      <w:pPr>
        <w:pStyle w:val="TextBody"/>
        <w:bidi w:val="0"/>
        <w:spacing w:lineRule="auto" w:line="288" w:before="240" w:after="283"/>
        <w:jc w:val="left"/>
        <w:rPr>
          <w:rFonts w:ascii="Arial;sans-serif" w:hAnsi="Arial;sans-serif"/>
          <w:b/>
          <w:i/>
          <w:color w:val="000000"/>
          <w:sz w:val="18"/>
        </w:rPr>
      </w:pPr>
      <w:r>
        <w:rPr>
          <w:rFonts w:ascii="Arial;sans-serif" w:hAnsi="Arial;sans-serif"/>
          <w:b/>
          <w:i/>
          <w:color w:val="000000"/>
          <w:sz w:val="18"/>
        </w:rPr>
        <w:t>Our failure to grow our consumer base or retain our existing consumers, including if we are unable to effectively advertise our products in a cost-effective way, could adversely impact our business, operating results and financial condition.</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We receive commissions from health plan partners for health insurance plans sold through us. When one of these plans is canceled, or if we otherwise do not remain the agent on the plan, we no longer receive the related commission payment and do not receive any commissions from renewals. Our consumers may choose to discontinue their health insurance plans for a variety of reasons. Any decrease in the amount of time we retain our consumers could adversely impact the estimated LTV we use for purposes of recognizing revenue. See “—Our operating results may be adversely impacted by factors that impact our estimate of LTV.” Moreover, if we are not able to successfully retain existing consumers and limit health insurance plan turnover, our cash flows from operations will be adversely impacted and our business, operating results and financial condition would be harmed.</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In addition, in certain circumstances, the Medicare-related commission rates that we receive may be higher in the first calendar year of a plan if the plan is the first Medicare Advantage plan issued to the consumer. After the first twelve months, they generally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716280"/>
                <wp:effectExtent l="0" t="0" r="0" b="0"/>
                <wp:wrapNone/>
                <wp:docPr id="29" name="Frame28"/>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24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24</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decline significantly. As a result, if we do not add a sufficient number of consumers to new plans, our business, operating results and financial condition would be harmed.</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We use the Internet, television, radio, mail, e-mail and the telephone, among other channels, to market our services and to communicate with qualified prospects and existing consumers. Some of our competitors have greater financial resources, which enable them to purchase significantly more advertising than we are able to purchase. Further, the cost of marketing and advertising may fluctuate significantly based on demand. If the cost of marketing and advertising increases for any reason, we may not be able to purchase as many advertisements as we typically would or would have to incur greater costs to do so. We also rely on third-party partners to generate leads on our behalf. If these third-party partners are not successful or do not provide us with quality leads, it may adversely impact our business.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Additionally, we derive a significant portion of our website traffic from potential consumers who search for health insurance through Internet search engines and through social media. A critical factor in attracting consumers to our website is whether we are prominently displayed in response to an Internet search relating to health insurance or on a social media platform. We rely primarily on paid advertisements to attract potential consumers to our websites and otherwise generate demand for our services. To the extent the competition for advertising is high, we may experience increases in the cost of paid Internet search advertising and social media advertising. Further, the competition for search engine placement and social media presence increases substantially during the enrollment periods for Medicare-related health insurance. If paid search advertising costs or social media advertising costs increase or become cost prohibitive, whether as a result of competition, algorithm changes or otherwise, our advertising expenses could rise significantly or we could reduce or discontinue our paid search advertisements or social media advertisements, in either case which would harm our ability to attract and retain consumers.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Our ability to advertise is also dependent on the laws and regulations governing the advertising and marketing of health insurance products and our other products or services, which continue to evolve and carry significant penalties for violations of law. Changes in technology, the marketplace or consumer preferences may lead to the adoption of additional laws or regulations or changes in interpretation of existing laws or regulations. If new laws or regulations are adopted, or existing laws and regulations are interpreted or enforced, to impose additional restrictions on our ability to advertise to consumers or qualified prospects, we may not be able to communicate with them in a cost-effective manner.</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For example, Internet service providers, e-mail service providers and others attempt to block the transmission of unsolicited e-mail, commonly known as “spam.” Many Internet and e-mail service providers have relationships with organizations whose purpose it is to detect and notify the Internet and e-mail service providers of entities that the organization believes are sending unsolicited e-mail. If an Internet or e-mail service provider identifies e-mail from us as “spam” as a result of reports from these organizations or otherwise, we can be placed on a restricted list that will block our e-mail to consumers or qualified prospects. </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Potential consumers also increasingly screen their incoming e-mails, telephone calls, and text messages, including by using screening tools and warnings, and, therefore, our consumers or qualified prospects may not reliably receive our communications. In addition, telephone carriers may block or put consumer warnings on calls originating from call centers. If we are unable to communicate effectively by e-mail or telephone with our consumers and qualified prospects as a result of legislation, blockage, screening technologies or otherwise, our ability to attract and retain consumers will be limited.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Prior to our shift in strategy described in the section titled “Management’s Discussion and Analysis of Financial Condition and Results of Operations—Update on Business Trends and Strategy,” our business primarily generates revenue through the sale of Medicare Advantage plans. In some instances, traditional Medicare may be more attractive than Medicare Advantage because, for example, potential provider network restrictions imposed by Medicare Advantage plans do not exist in traditional Medicare, allowing patients with traditional Medicare to visit any doctor that accepts Medicare. In those instances, consumers may opt not to purchase a Medicare Advantage plan from us.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In general, the growth in our consumer base is highly dependent upon our success in attracting new consumers during the Medicare annual enrollment period. In 2025, approximately 3.4% of our Medicare Advantage Submissions were sold during the three months ended December 31, 2025. If our ability to market and sell Medicare-related health insurance is constrained during an enrollment period for any reason, such as technology failures, reduced allocation of resources, any inability to timely employ, license, train, certify and retain our employees and our contractors and their agents to sell plans, interruptions in the operation of our website or systems, disruptions caused by other external factors or issues with government-run health insurance exchanges, we could acquire fewer consumers or suffer a reduction in our existing consumer base and our business, operating results and financial condition could be harmed.</w:t>
      </w:r>
    </w:p>
    <w:p>
      <w:pPr>
        <w:pStyle w:val="TextBody"/>
        <w:bidi w:val="0"/>
        <w:spacing w:lineRule="auto" w:line="288" w:before="240" w:after="283"/>
        <w:jc w:val="left"/>
        <w:rPr>
          <w:rFonts w:ascii="Arial;sans-serif" w:hAnsi="Arial;sans-serif"/>
          <w:b/>
          <w:i/>
          <w:color w:val="000000"/>
          <w:sz w:val="18"/>
        </w:rPr>
      </w:pPr>
      <w:r>
        <w:rPr>
          <w:rFonts w:ascii="Arial;sans-serif" w:hAnsi="Arial;sans-serif"/>
          <w:b/>
          <w:i/>
          <w:color w:val="000000"/>
          <w:sz w:val="18"/>
        </w:rPr>
        <w:t>If we are not successful in cost-effectively converting consumer leads into consumers for which we receive commissions, our business, operating results and financial condition would be harmed.</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Obtaining quality consumer leads is important to our business, but our ability to convert these consumer leads to consumers for which we receive commissions is also a key to our success. Our growth depends in large part upon growth in Submissions in a given period. The rate at which we grow our Submissions directly impacts our revenue. In addition, the rate at which qualified prospects turn into commissionable Submissions impacts the expected LTV of our consumers, which impacts the revenue that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716280"/>
                <wp:effectExtent l="0" t="0" r="0" b="0"/>
                <wp:wrapNone/>
                <wp:docPr id="30" name="Frame29"/>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25</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we are able to recognize. A number of factors have influenced, and could in the future influence, these conversion rates for any given period, some of which are outside of our control. These factors include:</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changes in consumer shopping behavior due to circumstances outside of our control, such as economic conditions, consumers’ ability or willingness to pay for health insurance, adverse weather conditions or natural disasters, the effects of pandemics, availability of unemployment benefits or proposed or enacted legislative or regulatory changes impacting our business, including healthcare reform;</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the quality of, and changes to, the consumer experience on our platform;</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regulatory requirements, including those that make the experience on our platform cumbersome or difficult to navigate or reduce the ability of consumers to purchase plans outside of enrollment periods;</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the variety, competitiveness and affordability of the health insurance plans that we offer;</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system failures or interruptions in the operation of our technology platform or call center operations;</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changes in the mix of consumers who are referred to us through our direct, marketing partner and online advertising consumer acquisition channels;</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health plan partners offering health insurance plans for which consumers have expressed interest, and the degree to which our technology is integrated with those health plan partners;</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health plan partner guidelines applicable to applications submitted by consumers, the amount of time a health plan partner takes to make a decision on that application and the percentage of submitted applications approved by health plan partners;</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the effectiveness of agents in assisting consumers; and</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our ability to enroll subsidy-eligible individuals in qualified health plans through government-run health insurance exchanges and the efficacy of the process we are required to use to do so.</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Our conversion rates can be impacted by changes in the mix of consumers referred to us through our consumer acquisition channels. We may make changes to our technology platform in response to regulatory requirements or undertake other initiatives in an attempt to improve the consumer experience or for other reasons. These changes have in the past, and may in the future have the unintended consequence of adversely impacting our conversion rates. A decline in the percentage of consumers who submit health insurance applications on our platform and are converted into approved consumers could cause an increase in our Cost of Submission and impact our revenue in any given period. To the extent our conversion rate suffers, our consumer base may decline, which would harm our business, operating results and financial condition.</w:t>
      </w:r>
    </w:p>
    <w:p>
      <w:pPr>
        <w:pStyle w:val="TextBody"/>
        <w:bidi w:val="0"/>
        <w:spacing w:lineRule="auto" w:line="288" w:before="240" w:after="283"/>
        <w:jc w:val="left"/>
        <w:rPr>
          <w:rFonts w:ascii="Arial;sans-serif" w:hAnsi="Arial;sans-serif"/>
          <w:b/>
          <w:i/>
          <w:color w:val="000000"/>
          <w:sz w:val="18"/>
        </w:rPr>
      </w:pPr>
      <w:r>
        <w:rPr>
          <w:rFonts w:ascii="Arial;sans-serif" w:hAnsi="Arial;sans-serif"/>
          <w:b/>
          <w:i/>
          <w:color w:val="000000"/>
          <w:sz w:val="18"/>
        </w:rPr>
        <w:t>Our quarterly results of operations may fluctuate significantly due to seasonality.</w:t>
      </w:r>
    </w:p>
    <w:p>
      <w:pPr>
        <w:pStyle w:val="TextBody"/>
        <w:bidi w:val="0"/>
        <w:spacing w:lineRule="auto" w:line="288" w:before="240" w:after="283"/>
        <w:jc w:val="left"/>
        <w:rPr/>
      </w:pPr>
      <w:r>
        <w:rPr>
          <w:rFonts w:ascii="Arial;sans-serif" w:hAnsi="Arial;sans-serif"/>
          <w:b w:val="false"/>
          <w:color w:val="000000"/>
          <w:sz w:val="18"/>
        </w:rPr>
        <w:t>The Medicare annual enrollment period occurs from October 15</w:t>
      </w:r>
      <w:r>
        <w:rPr>
          <w:rFonts w:ascii="Arial;sans-serif" w:hAnsi="Arial;sans-serif"/>
          <w:b w:val="false"/>
          <w:color w:val="000000"/>
          <w:sz w:val="12"/>
        </w:rPr>
        <w:t>th</w:t>
      </w:r>
      <w:r>
        <w:rPr>
          <w:color w:val="000000"/>
        </w:rPr>
        <w:t xml:space="preserve"> </w:t>
      </w:r>
      <w:r>
        <w:rPr>
          <w:rFonts w:ascii="Arial;sans-serif" w:hAnsi="Arial;sans-serif"/>
          <w:b w:val="false"/>
          <w:color w:val="000000"/>
          <w:sz w:val="18"/>
        </w:rPr>
        <w:t>to December 7</w:t>
      </w:r>
      <w:r>
        <w:rPr>
          <w:rFonts w:ascii="Arial;sans-serif" w:hAnsi="Arial;sans-serif"/>
          <w:b w:val="false"/>
          <w:color w:val="000000"/>
          <w:sz w:val="12"/>
        </w:rPr>
        <w:t>th</w:t>
      </w:r>
      <w:r>
        <w:rPr>
          <w:color w:val="000000"/>
        </w:rPr>
        <w:t xml:space="preserve"> </w:t>
      </w:r>
      <w:r>
        <w:rPr>
          <w:rFonts w:ascii="Arial;sans-serif" w:hAnsi="Arial;sans-serif"/>
          <w:b w:val="false"/>
          <w:color w:val="000000"/>
          <w:sz w:val="18"/>
        </w:rPr>
        <w:t>each year. As a result, we historically experienced an increase in the number of Medicare-related Submissions during the fourth quarter and an increase in expense related to Medicare during the third and fourth quarters. Additionally, as a result of the annual Medicare Advantage open enrollment period that occurs from January 1</w:t>
      </w:r>
      <w:r>
        <w:rPr>
          <w:rFonts w:ascii="Arial;sans-serif" w:hAnsi="Arial;sans-serif"/>
          <w:b w:val="false"/>
          <w:color w:val="000000"/>
          <w:sz w:val="12"/>
        </w:rPr>
        <w:t>st</w:t>
      </w:r>
      <w:r>
        <w:rPr>
          <w:color w:val="000000"/>
        </w:rPr>
        <w:t xml:space="preserve"> </w:t>
      </w:r>
      <w:r>
        <w:rPr>
          <w:rFonts w:ascii="Arial;sans-serif" w:hAnsi="Arial;sans-serif"/>
          <w:b w:val="false"/>
          <w:color w:val="000000"/>
          <w:sz w:val="18"/>
        </w:rPr>
        <w:t>to March 31</w:t>
      </w:r>
      <w:r>
        <w:rPr>
          <w:rFonts w:ascii="Arial;sans-serif" w:hAnsi="Arial;sans-serif"/>
          <w:b w:val="false"/>
          <w:color w:val="000000"/>
          <w:sz w:val="12"/>
        </w:rPr>
        <w:t>st</w:t>
      </w:r>
      <w:r>
        <w:rPr>
          <w:rFonts w:ascii="Arial;sans-serif" w:hAnsi="Arial;sans-serif"/>
          <w:b w:val="false"/>
          <w:color w:val="000000"/>
          <w:sz w:val="18"/>
        </w:rPr>
        <w:t>, revenue is typically second-highest in our first quarter. A significant portion of our marketing and advertising expenses is driven by the number of Submissions for which we are the agent of record. Marketing and advertising expenses are generally higher in the fourth quarter during the Medicare annual enrollment period, but because commissions from approved consumers are paid to us over time, our operating cash flows could be adversely impacted by a substantial increase in marketing and advertising expense as a result of a higher volume of Submissions during the fourth quarter or positively impacted by a substantial decline in marketing and advertising expenses as a result of lower volume of Submissions during the fourth quarter.</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Our typical Medicare enrollment seasonality was recently heightened mainly due to regulatory changes to enrollment rules for dual-eligible beneficiaries and those that receive Medicare Part D LIS. In 2025, CMS eliminated the special enrollment period that allowed dual-eligible and LIS beneficiaries to enroll in Medicare Advantage plans quarterly.</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seasonality of our business could change in the future due to other factors, including as a result of changes in timing of the Medicare health plan enrollment periods and changes in the laws and regulations that govern the sale of health insurance. We may not be able to timely adjust to changes in the seasonality of our business. If the timing of the enrollment periods for Medicare-related health insurance changes, we may not be able to timely adapt to changes in consumer demand. If we are not successful in responding to changes in the seasonality of our business, our business, operating results and financial condition could be harmed.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716280"/>
                <wp:effectExtent l="0" t="0" r="0" b="0"/>
                <wp:wrapNone/>
                <wp:docPr id="31" name="Frame30"/>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26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26</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Arial;sans-serif" w:hAnsi="Arial;sans-serif"/>
          <w:b/>
          <w:i/>
          <w:color w:val="000000"/>
          <w:sz w:val="18"/>
        </w:rPr>
      </w:pPr>
      <w:r>
        <w:rPr>
          <w:rFonts w:ascii="Arial;sans-serif" w:hAnsi="Arial;sans-serif"/>
          <w:b/>
          <w:i/>
          <w:color w:val="000000"/>
          <w:sz w:val="18"/>
        </w:rPr>
        <w:t>Pressure from existing and new competitors may adversely affect our business, operating results and financial condition.</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market for selling health insurance plans is highly competitive. We compete with government provided tools and exchanges, local insurance agents throughout the U.S., companies that advertise primarily through television, and companies that operate websites to provide services. In addition, many health plan partners also directly market and sell their own plans. Some of these competitors may be able to spend more on marketing campaigns, devote more resources to website and system developments, make more attractive offers to potential employees, and partner with more successful marketing partners and third-party providers.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In order to remain competitive against current and potential competitors, we must operate effectively and efficiently, continue to develop and improve our services and offerings and enhance our platform and system offerings. If we cannot successfully navigate this intensely competitive market, it may negatively impact our business, operating results and financial condition.</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In addition, new competitors may enter the market for the distribution of insurance products with competing insurance platforms, which could have an adverse effect on our business, operating results and financial condition. Our competitors could significantly impede our ability to maintain or increase the number of policies sold through our platform and may develop and market new technologies that render our platform less competitive or obsolete. In addition, if our competitors develop platforms with similar or superior functionality to ours and we are not able to produce certain volumes for our health plan partners, we may see a reduction in our marketing payments, our revenue would likely be reduced and our business, operating results and financial condition would be adversely affected.</w:t>
      </w:r>
    </w:p>
    <w:p>
      <w:pPr>
        <w:pStyle w:val="TextBody"/>
        <w:bidi w:val="0"/>
        <w:spacing w:lineRule="auto" w:line="288" w:before="240" w:after="283"/>
        <w:jc w:val="left"/>
        <w:rPr>
          <w:rFonts w:ascii="Arial;sans-serif" w:hAnsi="Arial;sans-serif"/>
          <w:b/>
          <w:i/>
          <w:color w:val="000000"/>
          <w:sz w:val="18"/>
        </w:rPr>
      </w:pPr>
      <w:r>
        <w:rPr>
          <w:rFonts w:ascii="Arial;sans-serif" w:hAnsi="Arial;sans-serif"/>
          <w:b/>
          <w:i/>
          <w:color w:val="000000"/>
          <w:sz w:val="18"/>
        </w:rPr>
        <w:t>If we do not successfully compete with government-run health insurance exchanges, our business may be harmed.</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Our business competes with government-run health insurance exchanges with respect to our sale of Medicare-related health insurance plans. Consumers can shop for and purchase Medicare Advantage and Medicare Part D Prescription Drug plans through a website operated by the federal government and can also obtain plan selection assistance from the federal government in connection with their purchase of a Medicare Advantage and Medicare Part D Prescription Drug plan. Competition from government-run health insurance exchanges could increase our marketing costs, reduce our revenue and could otherwise harm our business, operating results and financial condition.</w:t>
      </w:r>
    </w:p>
    <w:p>
      <w:pPr>
        <w:pStyle w:val="TextBody"/>
        <w:bidi w:val="0"/>
        <w:spacing w:lineRule="auto" w:line="288" w:before="240" w:after="283"/>
        <w:jc w:val="left"/>
        <w:rPr>
          <w:rFonts w:ascii="Arial;sans-serif" w:hAnsi="Arial;sans-serif"/>
          <w:b/>
          <w:i/>
          <w:color w:val="000000"/>
          <w:sz w:val="18"/>
        </w:rPr>
      </w:pPr>
      <w:r>
        <w:rPr>
          <w:rFonts w:ascii="Arial;sans-serif" w:hAnsi="Arial;sans-serif"/>
          <w:b/>
          <w:i/>
          <w:color w:val="000000"/>
          <w:sz w:val="18"/>
        </w:rPr>
        <w:t>Our international operations subject us to additional risks which could have an adverse effect on our business, operating results and financial condition.</w:t>
      </w:r>
    </w:p>
    <w:p>
      <w:pPr>
        <w:pStyle w:val="TextBody"/>
        <w:bidi w:val="0"/>
        <w:spacing w:lineRule="auto" w:line="288" w:before="240" w:after="283"/>
        <w:jc w:val="left"/>
        <w:rPr/>
      </w:pPr>
      <w:r>
        <w:rPr>
          <w:rFonts w:ascii="Arial;sans-serif" w:hAnsi="Arial;sans-serif"/>
          <w:b w:val="false"/>
          <w:color w:val="000000"/>
          <w:sz w:val="18"/>
        </w:rPr>
        <w:t>We have attempted to control our operating expenses by utilizing lower cost labor in foreign countries such as Slovakia and Honduras and we may in the future expand our reliance on offshore labor to other countries. As of December 31, 2025,</w:t>
      </w:r>
      <w:r>
        <w:rPr>
          <w:color w:val="000000"/>
          <w:shd w:fill="FFFFFF" w:val="clear"/>
        </w:rPr>
        <w:t xml:space="preserve"> </w:t>
      </w:r>
      <w:r>
        <w:rPr>
          <w:rFonts w:ascii="Arial;sans-serif" w:hAnsi="Arial;sans-serif"/>
          <w:b w:val="false"/>
          <w:color w:val="000000"/>
          <w:sz w:val="18"/>
        </w:rPr>
        <w:t>94</w:t>
      </w:r>
      <w:r>
        <w:rPr>
          <w:color w:val="000000"/>
          <w:shd w:fill="FFFFFF" w:val="clear"/>
        </w:rPr>
        <w:t xml:space="preserve"> </w:t>
      </w:r>
      <w:r>
        <w:rPr>
          <w:rFonts w:ascii="Arial;sans-serif" w:hAnsi="Arial;sans-serif"/>
          <w:b w:val="false"/>
          <w:color w:val="000000"/>
          <w:sz w:val="18"/>
        </w:rPr>
        <w:t>of our employees were based in Slovakia. Our employees in Slovakia help develop, test and maintain our Marketplace technology. Additionally, we outsource certain of our call center operations to companies outside the U.S. Countries outside of the U.S. may be subject to relatively higher degrees of political and social instability and may lack the infrastructure to withstand political unrest or natural disasters. The occurrence of natural disasters, pandemics or political or economic instability in these countries could interfere with work performed by these labor sources or could result in our having to replace or reduce these labor sources. Our vendors in other countries could potentially shut down suddenly for any reason, including financial problems or personnel issues. Such disruptions could decrease efficiency, increase our costs and have an adverse effect on our business or results of operations. For example, geopolitical tensions and armed conflicts in certain regions, including Russia’s military invasion of Ukraine beginning in 2022 and the resulting sanctions and other economic measures imposed by the United States, the European Union and other governments, have created regional and global economic and security uncertainty. Such conflicts and related sanctions, trade restrictions or other retaliatory actions could disrupt financial markets, supply chains, labor markets or economic conditions in the regions in which we operate or from which we source services, which could adversely affect our business, operating results and financial condition.</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practice of utilizing labor based in foreign countries has come under increased scrutiny in the U.S. Governmental authorities, including CMS, could seek to impose financial costs or restrictions on foreign companies providing services to consumers or companies in the U.S. Governmental authorities may attempt to prohibit or otherwise discourage us from sourcing services from offshore labor. In addition, health plan partners may require us to use labor based in the U.S. for regulatory or other reasons. To the extent that we are required to use labor based in the U.S., we may face increased costs as a result of higher-priced U.S.-based labor.</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Foreign Corrupt Practices Act (“FCPA”) and other applicable anti-corruption laws and regulations prohibit certain types of payments by our employees, vendors and agents. Any violation of the applicable anti-corruption laws or regulations by us, our subsidiaries or our local agents could expose us to significant penalties, fines, settlements, costs and consent orders that may curtail or restrict our business as it is currently conducted and could have an adverse effect on our business, financial condition or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716280"/>
                <wp:effectExtent l="0" t="0" r="0" b="0"/>
                <wp:wrapNone/>
                <wp:docPr id="32" name="Frame31"/>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27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27</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Arial;sans-serif" w:hAnsi="Arial;sans-serif"/>
          <w:b/>
          <w:i/>
          <w:color w:val="000000"/>
          <w:sz w:val="18"/>
        </w:rPr>
      </w:pPr>
      <w:r>
        <w:rPr>
          <w:rFonts w:ascii="Arial;sans-serif" w:hAnsi="Arial;sans-serif"/>
          <w:b/>
          <w:i/>
          <w:color w:val="000000"/>
          <w:sz w:val="18"/>
        </w:rPr>
        <w:t>If we are not able to maintain and enhance our brand, our business and operating results will be harmed. Damage to our reputation and negative publicity could have a material adverse effect on our business, financial condition and results of operations.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We believe that maintaining and enhancing our brand identity is critical to our relationships with our existing health plan partners and to our ability to attract new consumers, marketing partners and health plan partners. We also intend to grow our brand awareness among consumers, marketing partners and health plan partners in order to further expand our marketplace and attract new consumers, marketing partners and health plan partners. The promotion of our brand in these and other ways may require us to make substantial investments and we anticipate that, as our market becomes increasingly competitive, these branding initiatives may become increasingly difficult and expensive. Our brand promotion activities may not be successful or yield increased revenue, and to the extent that these activities yield increased revenue, the increased revenue may not offset the expenses we incur and our operating results could be harmed. If we do not successfully maintain and enhance our brand, our business may not grow and we could lose our relationships with health plan partners, marketing partners or consumers, which would harm our business, operating results and financial condition.</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We may be adversely affected by negative publicity relating to brand and activities. For instance, if our brand receives negative publicity, the number of consumers visiting our platforms or Benefits Center could decrease, and our cost of acquiring consumers could increase as a result of a reduction in the number of consumers coming from our direct consumer acquisition channel. Additionally, there is at least one other third party business which uses the “GoHealth” name, but is not affiliated with our business. While we agreed with the third party that our “GoHealth” marks can coexist with the third party’s use of “GoHealth” in their business without creating a likelihood of consumer confusion, we entered into a co-existence agreement with the third party that, among other things, places certain restrictions on both their use of “GoHealth,” as well as ours, in order to further mitigate any risk of confusion. Nevertheless, if our business is mistakenly confused with their business or another business, the value of our brand could be adversely impacted, which could harm our business, operating results and financial condition.</w:t>
      </w:r>
    </w:p>
    <w:p>
      <w:pPr>
        <w:pStyle w:val="TextBody"/>
        <w:bidi w:val="0"/>
        <w:spacing w:lineRule="auto" w:line="288" w:before="240" w:after="283"/>
        <w:jc w:val="left"/>
        <w:rPr>
          <w:rFonts w:ascii="Arial;sans-serif" w:hAnsi="Arial;sans-serif"/>
          <w:b/>
          <w:i/>
          <w:color w:val="000000"/>
          <w:sz w:val="18"/>
        </w:rPr>
      </w:pPr>
      <w:r>
        <w:rPr>
          <w:rFonts w:ascii="Arial;sans-serif" w:hAnsi="Arial;sans-serif"/>
          <w:b/>
          <w:i/>
          <w:color w:val="000000"/>
          <w:sz w:val="18"/>
        </w:rPr>
        <w:t>Any legal liability, regulatory penalties, or negative publicity for the information on our website or that we otherwise provide could harm our business, operating results and financial condition.</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We provide information on our website, through our Benefits Center, in our marketing materials and in other ways regarding health insurance in general and the health insurance plans we market and sell, including information relating to insurance premiums, coverage, benefits, provider networks, exclusions, limitations, availability, plan comparisons and insurance company ratings. A significant amount of both automated and manual effort is required to maintain the considerable amount of insurance plan information on our website. If the information we provide on our website, through our Benefits Center, in our marketing materials or otherwise is not accurate or is construed as misleading, or if we do not properly assist individuals and businesses in purchasing health insurance, consumers, health plan partners and others could attempt to hold us liable for damages, our relationships with health plan partners could be terminated or impaired and regulators could attempt to subject us to penalties, revoke our licenses to transact health insurance business in a particular jurisdiction, and/or compromise the status of our licenses to transact health insurance business in other jurisdictions, which could result in our loss of revenue. In the ordinary course of operating our business, we have received complaints that the information we provided was not accurate or was misleading. In the future, we may not be able to resolve these complaints without significant financial cost or impact to our brand or reputation. These types of claims could be time-consuming and expensive to defend, could divert our management’s attention and other resources, and could cause a loss of confidence in our services. As a result, whether or not we are able to successfully resolve these claims, they could harm our business, operating results and financial condition. In addition, if regulators believe our websites or marketing material are not compliant with applicable laws or regulations, we could be forced to stop using our websites, marketing material or certain aspects of them, which would harm our business, operating results and financial condition.</w:t>
      </w:r>
    </w:p>
    <w:p>
      <w:pPr>
        <w:pStyle w:val="TextBody"/>
        <w:bidi w:val="0"/>
        <w:spacing w:lineRule="auto" w:line="288" w:before="240" w:after="283"/>
        <w:jc w:val="left"/>
        <w:rPr>
          <w:rFonts w:ascii="Arial;sans-serif" w:hAnsi="Arial;sans-serif"/>
          <w:b/>
          <w:i/>
          <w:color w:val="000000"/>
          <w:sz w:val="18"/>
        </w:rPr>
      </w:pPr>
      <w:r>
        <w:rPr>
          <w:rFonts w:ascii="Arial;sans-serif" w:hAnsi="Arial;sans-serif"/>
          <w:b/>
          <w:i/>
          <w:color w:val="000000"/>
          <w:sz w:val="18"/>
        </w:rPr>
        <w:t>If we are unable to maintain a high level of service, our business, operating results and financial condition may be harmed.</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One of the key attributes of our business is providing high quality service to our health plan partners and consumers. We may be unable to sustain these levels of service, which would harm our reputation and our business. Alternatively, we may only be able to sustain high levels of service by significantly increasing our operating costs, which would materially and adversely affect our operating results. The level of service we are able to provide depends on our personnel to a significant extent. Our personnel must be well-trained in our processes and able to handle consumer calls effectively and efficiently. Any inability of our personnel to meet our demand, whether due to our recent workforce reduction, absenteeism, training, turnover, disruptions at our facilities, bad weather, power outages or other reasons, could adversely impact our business. If we are unable to maintain high levels of service performance, our reputation could suffer and our business, operating results and financial condition would be harmed.</w:t>
      </w:r>
    </w:p>
    <w:p>
      <w:pPr>
        <w:pStyle w:val="TextBody"/>
        <w:bidi w:val="0"/>
        <w:spacing w:lineRule="auto" w:line="288" w:before="240" w:after="283"/>
        <w:jc w:val="left"/>
        <w:rPr>
          <w:rFonts w:ascii="Arial;sans-serif" w:hAnsi="Arial;sans-serif"/>
          <w:b/>
          <w:i/>
          <w:color w:val="000000"/>
          <w:sz w:val="18"/>
        </w:rPr>
      </w:pPr>
      <w:r>
        <w:rPr>
          <w:rFonts w:ascii="Arial;sans-serif" w:hAnsi="Arial;sans-serif"/>
          <w:b/>
          <w:i/>
          <w:color w:val="000000"/>
          <w:sz w:val="18"/>
        </w:rPr>
        <w:t>Global economic conditions could materially and adversely affect our revenue and results of operations.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Our business has been and may continue to be affected by a number of factors that are beyond our control, such as general geopolitical, economic and business conditions, pandemics, and conditions in the financial markets. A severe or prolonged economic downturn could adversely affect consumers’ financial condition and the demand for insurance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716280"/>
                <wp:effectExtent l="0" t="0" r="0" b="0"/>
                <wp:wrapNone/>
                <wp:docPr id="33" name="Frame32"/>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28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28</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We are also exposed to risks associated with the potential financial instability of our health plan partners and consumers, many of whom may be adversely affected by volatile conditions in the financial markets or an economic slowdown. As a result of uncertainties with respect to financial institutions and the global credit markets and other macroeconomic challenges currently or potentially affecting the economy of the U.S. and other parts of the world, consumers may experience serious cash flow problems and other financial difficulties, decreasing demand for the products of our health plan partners. In addition, events in the U.S. or foreign markets, such as the U.K.’s exit from the European Union, the worldwide effects from the COVID-19 pandemic and political and social unrest in various countries around the world, can impact the global economy and capital markets. Our health plan partners may modify, delay, or cancel plans to offer new products or may make changes in the mix of products purchased that are unfavorable to us. Additionally, if health plan partners are not successful in generating sufficient revenue or are precluded from securing financing, their businesses will suffer, which may materially and adversely affect our business, operating results and financial condition.</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In addition, we are susceptible to risks associated with the potential financial instability of the vendors on which we rely to provide services or to whom we delegate certain functions. The same conditions that may affect health plan partners and consumers also could adversely affect our vendors, causing them to significantly and quickly increase their prices or reduce their output. Our business depends on our ability to perform, in an efficient and uninterrupted fashion, our necessary business functions, and any interruption in the services provided by third parties could also adversely affect our business, operating results and financial condition.</w:t>
      </w:r>
    </w:p>
    <w:p>
      <w:pPr>
        <w:pStyle w:val="TextBody"/>
        <w:bidi w:val="0"/>
        <w:spacing w:lineRule="auto" w:line="288" w:before="240" w:after="283"/>
        <w:jc w:val="left"/>
        <w:rPr>
          <w:rFonts w:ascii="Arial;sans-serif" w:hAnsi="Arial;sans-serif"/>
          <w:b/>
          <w:i/>
          <w:color w:val="000000"/>
          <w:sz w:val="18"/>
        </w:rPr>
      </w:pPr>
      <w:r>
        <w:rPr>
          <w:rFonts w:ascii="Arial;sans-serif" w:hAnsi="Arial;sans-serif"/>
          <w:b/>
          <w:i/>
          <w:color w:val="000000"/>
          <w:sz w:val="18"/>
        </w:rPr>
        <w:t>Acquisitions of other businesses or technologies could disrupt and harm our business, operating results and financial condition.</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We have in the past acquired businesses and in the future may decide to acquire other businesses, products and technologies. Our ability as an organization to successfully make and integrate acquisitions is unproven. Further, as announced on August 6, 2025, the Company entered into a number of strategic capital and governance actions intended to enhance the Company’s financial flexibility, long-term positioning, and value for stockholders, as well as allowing for the pursuit of potential strategic alternatives, which may include, among others, refinancings, securitizations, mergers, acquisitions or restructurings.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Mergers, acquisitions or other potential strategic alternatives could require significant capital infusions and could involve many risks, including the following:</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a strategic alternative may negatively impact our results of operations because it will require us to incur transaction expenses, and after the transaction, may require us to incur charges and substantial debt or liabilities, may require the amortization, write down or impairment of amounts related to goodwill and other intangible assets, or may cause adverse tax consequences or substantial depreciation charges;</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a strategic alternative undertaken for strategic business purposes may negatively impact our results of operations;</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we may encounter difficulties in assimilating and integrating the business, technologies, products, personnel or operations of companies that we acquire, particularly if key personnel of the acquired company decide not to work for us;</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an acquisition</w:t>
      </w:r>
      <w:r>
        <w:rPr>
          <w:color w:val="000000"/>
        </w:rPr>
        <w:t xml:space="preserve"> </w:t>
      </w:r>
      <w:r>
        <w:rPr>
          <w:rFonts w:ascii="Arial;sans-serif" w:hAnsi="Arial;sans-serif"/>
          <w:b w:val="false"/>
          <w:color w:val="000000"/>
          <w:sz w:val="18"/>
        </w:rPr>
        <w:t>or other potential strategic alternative may disrupt our ongoing business, divert resources, increase our expenses and distract our management;</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we may be required to implement or improve internal controls, procedures and policies appropriate for a public company at a business that prior to the strategic alternative lacked these controls, procedures and policies;</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the acquired businesses may have unexpected liabilities that we will be forced to assume;</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the acquired businesses, products or technologies may not generate sufficient revenue to offset acquisition costs or to maintain our financial results; and</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acquisitions or other potential strategic alternatives may involve the entry into geographic or business markets in which we have little or no prior experience, such as our acquisition of Creatix, which had operations in Slovakia.</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We may not be able to identify or consummate any future potential strategic alternative on favorable terms, or at all. If we do pursue an acquisition or other potential strategic alternative, it is possible that we may not realize the anticipated benefits from the transaction or that the financial markets or investors will negatively view the transaction. Even if we successfully complete an acquisition or strategic alternative, it could harm our business, operating results and financial condition.</w:t>
      </w:r>
    </w:p>
    <w:p>
      <w:pPr>
        <w:pStyle w:val="TextBody"/>
        <w:bidi w:val="0"/>
        <w:spacing w:lineRule="auto" w:line="288" w:before="240" w:after="283"/>
        <w:jc w:val="left"/>
        <w:rPr>
          <w:rFonts w:ascii="Arial;sans-serif" w:hAnsi="Arial;sans-serif"/>
          <w:b/>
          <w:i/>
          <w:color w:val="000000"/>
          <w:sz w:val="18"/>
        </w:rPr>
      </w:pPr>
      <w:r>
        <w:rPr>
          <w:rFonts w:ascii="Arial;sans-serif" w:hAnsi="Arial;sans-serif"/>
          <w:b/>
          <w:i/>
          <w:color w:val="000000"/>
          <w:sz w:val="18"/>
        </w:rPr>
        <w:t>Our business may not grow if consumers are not informed about the availability and accessibility of affordable health insurance.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716280"/>
                <wp:effectExtent l="0" t="0" r="0" b="0"/>
                <wp:wrapNone/>
                <wp:docPr id="34" name="Frame33"/>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29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29</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Numerous health insurance products are available to consumers in any given market. Most of these products vary by price, benefits and other policy features. Health insurance terminology and provisions are often confusing and difficult to understand. As a result, researching, selecting and purchasing health insurance can be a complex process. We believe that this complexity has contributed to a perception held by many consumers that individual health insurance is prohibitively expensive and difficult to obtain. If consumers are not informed about the availability and accessibility of affordable health insurance, our business may not grow and our business, operating results and financial condition would be harmed.</w:t>
      </w:r>
    </w:p>
    <w:p>
      <w:pPr>
        <w:pStyle w:val="TextBody"/>
        <w:bidi w:val="0"/>
        <w:spacing w:lineRule="auto" w:line="288" w:before="240" w:after="283"/>
        <w:jc w:val="left"/>
        <w:rPr>
          <w:rFonts w:ascii="Arial;sans-serif" w:hAnsi="Arial;sans-serif"/>
          <w:b/>
          <w:i/>
          <w:color w:val="000000"/>
          <w:sz w:val="18"/>
        </w:rPr>
      </w:pPr>
      <w:r>
        <w:rPr>
          <w:rFonts w:ascii="Arial;sans-serif" w:hAnsi="Arial;sans-serif"/>
          <w:b/>
          <w:i/>
          <w:color w:val="000000"/>
          <w:sz w:val="18"/>
        </w:rPr>
        <w:t>Economic sanctions laws in the U.S. and other jurisdictions may prohibit us and our affiliates from transacting with certain countries, individuals and companies, which could negatively impact our business, operating results and financial condition.</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FCPA and other anti-corruption laws and regulations, as well as anti-boycott regulations, may apply to and restrict our activities, including our software development operations in Slovakia. If we were to violate any such laws or regulations, we may face significant legal and monetary penalties. In recent years, the U.S. government has indicated that it is focused on FCPA enforcement, which may increase the risk that we become the subject of such actual or threatened enforcement. As such, a violation of the FCPA or other applicable regulations could have a material adverse effect on our business.</w:t>
      </w:r>
    </w:p>
    <w:p>
      <w:pPr>
        <w:pStyle w:val="TextBody"/>
        <w:bidi w:val="0"/>
        <w:spacing w:lineRule="auto" w:line="288" w:before="240" w:after="283"/>
        <w:jc w:val="left"/>
        <w:rPr>
          <w:rFonts w:ascii="Arial;sans-serif" w:hAnsi="Arial;sans-serif"/>
          <w:b/>
          <w:i/>
          <w:color w:val="000000"/>
          <w:sz w:val="18"/>
          <w:shd w:fill="FFFFFF" w:val="clear"/>
        </w:rPr>
      </w:pPr>
      <w:r>
        <w:rPr>
          <w:rFonts w:ascii="Arial;sans-serif" w:hAnsi="Arial;sans-serif"/>
          <w:b/>
          <w:i/>
          <w:color w:val="000000"/>
          <w:sz w:val="18"/>
          <w:shd w:fill="FFFFFF" w:val="clear"/>
        </w:rPr>
        <w:t>In prior years, our management identified a material weakness in our internal controls over financial reporting, and we may be unable to develop, implement and maintain appropriate controls in future periods, which may lead to errors or omissions in our financial statements.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We are subject to the Nasdaq Rules and the rules and regulations established from time to time by the SEC. These rules and regulations require, among other things, that we establish and periodically evaluate procedures with respect to our internal control over financial reporting. In addition, the Sarbanes-Oxley Act and related rules and regulations require that management report annually on the effectiveness of our internal control over financial reporting and assess the effectiveness of our disclosure controls and procedures on a quarterly basis. Maintaining and adapting our internal controls is expensive and is likely to place a considerable strain on our financial and management systems, processes and controls, as well as on our personnel.</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Failure to maintain effective internal controls could result in the identification of a material weakness. A material weakness is a deficiency, or a combination of deficiencies, in internal control over financial reporting such that there is a reasonable possibility that a material misstatement of our annual or interim consolidated financial statements would not be prevented or detected on a timely basis. If a material weakness in our internal control over financial reporting occurs in the future, our future consolidated financial statements or other information filed with the SEC may contain material misstatements.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In addition, our management’s review and evaluation of the sufficiency of our internal controls may not discover additional weaknesses in our internal control over financial reporting in the future. Any such additional weakness or failure to remediate the existing weakness could materially adversely affect our financial condition or ability to comply with applicable financial reporting requirements, which could result in violations of applicable securities laws and Nasdaq listing requirements, subject us to litigation and investigations, negatively affect investor confidence in our financial statements, and adversely impact our stock price and ability to access capital markets.</w:t>
      </w:r>
    </w:p>
    <w:p>
      <w:pPr>
        <w:pStyle w:val="TextBody"/>
        <w:bidi w:val="0"/>
        <w:spacing w:lineRule="auto" w:line="288" w:before="240" w:after="283"/>
        <w:jc w:val="left"/>
        <w:rPr>
          <w:rFonts w:ascii="Arial;sans-serif" w:hAnsi="Arial;sans-serif"/>
          <w:b/>
          <w:i/>
          <w:color w:val="000000"/>
          <w:sz w:val="18"/>
        </w:rPr>
      </w:pPr>
      <w:r>
        <w:rPr>
          <w:rFonts w:ascii="Arial;sans-serif" w:hAnsi="Arial;sans-serif"/>
          <w:b/>
          <w:i/>
          <w:color w:val="000000"/>
          <w:sz w:val="18"/>
        </w:rPr>
        <w:t>Our business could be adversely affected as a result of uncertainty regarding proposals or other actions taken by stockholders related to the consideration of a possible future transaction.</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From time to time, we may receive unsolicited proposals or experience actions by stockholders or third parties relating to a potential transaction involving the Company, including proposals to acquire the Company or its assets, changes in control, or other strategic alternatives. Responding to such proposals or actions, or speculation regarding the possibility of such proposals or actions, could interfere with our ability to execute our strategic plans, make it more difficult to attract and retain qualified executives and employees, cause management distraction, require us to utilize more resources than anticipated towards review of strategic alternatives and result in the loss of potential business opportunities, any of which could have a material negative impact on the Company. Such proposals or actions may also result in significant additional legal, financial advisory and other costs. In addition, our business and operations may be harmed to the extent that our consumers, health plan partners, suppliers and others believe that we cannot effectively compete in the marketplace without completing a transaction, or there is consumer, health plan partner, supplier or employee uncertainty surrounding the future direction of the product and service offerings and our strategy on a continued basis.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For example, in May 2023 our Board of Directors received an unsolicited proposal from a group of buyers that included Centerbridge and the Founders to acquire all of the outstanding shares of Class A common stock and LLC Interests not already owned by the potential buyers, which proposal was subsequently rejected by a Special Committee of the Board of Directors in August 2023 after review with its independent financial and legal advisors. Events such as these, including actual or perceived proposals, speculation regarding potential transactions or other actions by stockholders or third parties relating to a potential transaction involving the Company may cause significant fluctuations in our stock price based upon temporary or speculative market perceptions or other factors that do not necessarily reflect the Company’s underlying fundamentals and prospects.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716280"/>
                <wp:effectExtent l="0" t="0" r="0" b="0"/>
                <wp:wrapNone/>
                <wp:docPr id="35" name="Frame34"/>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30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30</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0" w:after="0"/>
        <w:jc w:val="left"/>
        <w:rPr>
          <w:rFonts w:ascii="Arial;sans-serif" w:hAnsi="Arial;sans-serif"/>
          <w:b/>
          <w:i/>
          <w:color w:val="000000"/>
          <w:sz w:val="18"/>
        </w:rPr>
      </w:pPr>
      <w:r>
        <w:rPr>
          <w:rFonts w:ascii="Arial;sans-serif" w:hAnsi="Arial;sans-serif"/>
          <w:b/>
          <w:i/>
          <w:color w:val="000000"/>
          <w:sz w:val="18"/>
        </w:rPr>
        <w:t>We rely on certain services from CMS, and a federal government shutdown that impedes our ability to use these services may materially impact our business.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A federal government shutdown could impact CMS, which is a federally-funded government agency. CMS provides a number of critical services to our business, including approval of consumer application submissions and access to certain technology platforms. A government shutdown may cause CMS and/or its vendors to conserve spending on these services, including by delaying application submissions or by pausing access to the technology platforms altogether, each of which would impact our ability to use the services in the course of our day-to-day operations and which could harm our business, operating results and financial condition.</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Even if our ability to use the services is restored and delays are resolved following the end of a government shutdown, the shutdown-related delays and technology access issues may lead to shifts in consumer behavior. For instance, a delay in approval of consumer applications or confirmation of consumer plan enrollment may cause changes in consumer shopping behavior or cause consumers to re-engage in additional plan shopping, each of which could negatively impact our business.</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Risks Related to Our Indebtedness</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18"/>
        </w:rPr>
      </w:pPr>
      <w:r>
        <w:rPr>
          <w:rFonts w:ascii="Arial;sans-serif" w:hAnsi="Arial;sans-serif"/>
          <w:b/>
          <w:i/>
          <w:color w:val="000000"/>
          <w:sz w:val="18"/>
        </w:rPr>
        <w:t>Our liquidity position previously raised, and may in the future raise, substantial doubt about our ability to continue as a going concern.</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On August 6, 2025, we entered into the Superpriority Credit Agreement and Amendment No. 14 and completed the transactions contemplated therein. Following such transactions, and based on management’s evaluation, management believes that it has mitigated the circumstances that previously led to substantial doubt about our ability to continue as a going concern. However, our liquidity condition may deteriorate and/or we may be unable to comply with the financial covenants under our debt agreements, including the minimum liquidity covenant in the Superpriority Credit Agreement. If our liquidity condition deteriorates and/or we are unable to satisfy our financial covenants, our conditions may once again raise doubt about our ability to continue as a going concern. In addition, in the event we are unable to satisfy our financial covenants, our lenders may not waive compliance and could elect to declare a default or event of default and accelerate the repayment of our borrowings.</w:t>
      </w:r>
    </w:p>
    <w:p>
      <w:pPr>
        <w:pStyle w:val="TextBody"/>
        <w:bidi w:val="0"/>
        <w:spacing w:lineRule="auto" w:line="288" w:before="240" w:after="283"/>
        <w:jc w:val="left"/>
        <w:rPr>
          <w:rFonts w:ascii="Arial;sans-serif" w:hAnsi="Arial;sans-serif"/>
          <w:b/>
          <w:i/>
          <w:color w:val="000000"/>
          <w:sz w:val="18"/>
        </w:rPr>
      </w:pPr>
      <w:r>
        <w:rPr>
          <w:rFonts w:ascii="Arial;sans-serif" w:hAnsi="Arial;sans-serif"/>
          <w:b/>
          <w:i/>
          <w:color w:val="000000"/>
          <w:sz w:val="18"/>
        </w:rPr>
        <w:t>The amount of our indebtedness and our limited liquidity may materially limit our ability to operate our business and finance our future operations or capital needs.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As of December 31, 2025, the principal amount of debt outstanding under our Credit Facilities, excluding unamortized debt discount and deferred issuance costs, was $688.5 million, and our cash and cash equivalents totaled $32.9 million. Our indebtedness and limited liquidity have significant effects on our business, including:</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limiting our ability to borrow additional amounts to fund capital expenditures, acquisitions, debt service requirements, execution of our growth strategy and other purposes;</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limiting our ability to make investments, including acquisitions, loans and advances, and to sell, transfer or otherwise dispose of assets;</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requiring us to dedicate a substantial portion of our cash flow from operations to pay principal and interest on our borrowings, reducing availability of our cash flow to fund working capital, capital expenditures, acquisitions, execution of our growth strategy and other general corporate purposes;</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making us more vulnerable to adverse changes in general economic, industry and competitive conditions, in government regulation and in our business by limiting our ability to plan for and react to changing conditions;</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placing us at a competitive disadvantage compared with our competitors that have less debt; and</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exposing us to risks inherent in interest rate fluctuations because our borrowings are at variable rates of interest, which could result and have resulted in higher interest expense with the recent increases in interest rates.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To mitigate uncertainties relating to our liquidity, management has implemented and continues to implement various operational initiatives and to explore potential strategic alternatives. Plans to implement further cost savings measures to maintain compliance with the Company’s debt covenants have also been developed and approved. In addition, we are continuing to engage in discussions with our lenders, financial advisors, and other parties regarding potential modifications to our capital structure through refinancings, mergers, acquisitions, restructurings, or other strategic alternatives. There can be no assurance that any such discussions, potential alternatives, or plans will result in any particular outcome or that we will be able to successfully implement any operational initiative, strategic alternative or plan or realize any anticipated benefits therefrom.</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In addition, we may not be able to generate sufficient cash flow from our operations to repay our indebtedness when it becomes due and to meet our other cash needs. If we are not able to pay our borrowings as they become due or are unable to satisfy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716280"/>
                <wp:effectExtent l="0" t="0" r="0" b="0"/>
                <wp:wrapNone/>
                <wp:docPr id="36" name="Frame35"/>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31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31</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pPr>
      <w:r>
        <w:rPr>
          <w:rFonts w:ascii="Arial;sans-serif" w:hAnsi="Arial;sans-serif"/>
          <w:b w:val="false"/>
          <w:color w:val="000000"/>
          <w:sz w:val="18"/>
        </w:rPr>
        <w:t>financial covenants and our lenders do not waive compliance and elect to declare a default or event of default and accelerate the repayment of our borrowings, we will be required to pursue one or more alternative strategies, such as selling assets, refinancing or restructuring our indebtedness or selling additional debt or equity securities. We may not be able to refinance our debt or sell additional debt or equity securities or our assets on favorable terms, if at all, and if we must sell our assets, it may negatively affect our business, financial condition and results of operations.</w:t>
      </w:r>
      <w:r>
        <w:rPr>
          <w:color w:val="000000"/>
        </w:rPr>
        <w:t xml:space="preserve"> </w:t>
      </w:r>
      <w:r>
        <w:rPr>
          <w:rFonts w:ascii="Arial;sans-serif" w:hAnsi="Arial;sans-serif"/>
          <w:b w:val="false"/>
          <w:color w:val="000000"/>
          <w:sz w:val="18"/>
        </w:rPr>
        <w:t>In such cases, stockholders could lose all or part of their investment.</w:t>
      </w:r>
    </w:p>
    <w:p>
      <w:pPr>
        <w:pStyle w:val="TextBody"/>
        <w:bidi w:val="0"/>
        <w:spacing w:lineRule="auto" w:line="288" w:before="240" w:after="283"/>
        <w:jc w:val="left"/>
        <w:rPr>
          <w:rFonts w:ascii="Arial;sans-serif" w:hAnsi="Arial;sans-serif"/>
          <w:b/>
          <w:i/>
          <w:color w:val="000000"/>
          <w:sz w:val="18"/>
        </w:rPr>
      </w:pPr>
      <w:r>
        <w:rPr>
          <w:rFonts w:ascii="Arial;sans-serif" w:hAnsi="Arial;sans-serif"/>
          <w:b/>
          <w:i/>
          <w:color w:val="000000"/>
          <w:sz w:val="18"/>
        </w:rPr>
        <w:t>Restrictions contained in our Credit Facilities impact our business and expose us to risks that could materially adversely affect our liquidity and financial condition.</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terms of our Credit Facilities restrict us and our restricted subsidiaries from engaging in specified types of transactions. These covenants restrict our ability, and that of our restricted subsidiaries, to, among other things:</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incur indebtedness;</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incur certain liens;</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consolidate, merge or sell or otherwise dispose of assets;</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make investments, loans, advances, guarantees and acquisitions;</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pay dividends or make other distributions on equity interests, or redeem, repurchase or retire equity interests;</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enter into transactions with affiliates;</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alter the business conducted by us and our subsidiaries;</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change their fiscal year; and</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amend or modify governing documents.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A breach of any of these covenants, or any other covenant in the documents governing our Credit Facilities, could result in a default or event of default under our Credit Facilities. In the event of any event of default under our Credit Facilities, the applicable lenders or agents could elect to terminate borrowing commitments and declare all borrowings and loans outstanding thereunder, together with accrued and unpaid interest and any fees and other obligations, to be immediately due and payable. In addition, or in the alternative, the applicable lenders or agents could exercise their rights under the security documents entered into in connection with our Credit Facilities. We have pledged substantially all of our assets as collateral securing our Credit Facilities and any such exercise of remedies on any material portion of such collateral would likely materially adversely affect our business, financial condition or results of operations. Subject to certain limited exceptions, substantially all of the Company’s assets are restricted from distribution.</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If we were unable to repay or otherwise refinance these borrowings and loans when due, and the applicable lenders proceeded against the collateral granted to them to secure that indebtedness, we may be forced into bankruptcy or liquidation. In the event the applicable lenders accelerate the repayment of our borrowings, we may not have sufficient assets to repay that indebtedness. Any acceleration of amounts due under our Credit Facilities or other outstanding indebtedness would also likely have a material adverse effect on us.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Pursuant to our Superpriority Credit Agreement and Amendment No. 14 to our existing term loan, we are required to meet minimum liquidity covenants and make scheduled principal and interest payments. Events beyond our control, including changes in general economic and business conditions, may affect our ability to satisfy the financial covenant. We may not satisfy the financial covenant in the future, and our lenders may not waive any failure to satisfy the financial covenant.</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Risks Related to Our Intellectual Property and Technology</w:t>
      </w:r>
    </w:p>
    <w:p>
      <w:pPr>
        <w:pStyle w:val="TextBody"/>
        <w:bidi w:val="0"/>
        <w:spacing w:lineRule="auto" w:line="288" w:before="240" w:after="283"/>
        <w:jc w:val="left"/>
        <w:rPr>
          <w:rFonts w:ascii="Arial;sans-serif" w:hAnsi="Arial;sans-serif"/>
          <w:b/>
          <w:i/>
          <w:color w:val="000000"/>
          <w:sz w:val="18"/>
        </w:rPr>
      </w:pPr>
      <w:r>
        <w:rPr>
          <w:rFonts w:ascii="Arial;sans-serif" w:hAnsi="Arial;sans-serif"/>
          <w:b/>
          <w:i/>
          <w:color w:val="000000"/>
          <w:sz w:val="18"/>
        </w:rPr>
        <w:t>Our business is subject to security risks and, if we are subject to cyber-attacks, security breaches or are otherwise unable to safeguard the security and privacy of confidential data, including personal health information, our business will be harmed.</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 xml:space="preserve">Our services involve the collection and storage of confidential and personal information of consumers and employees, including protected health information subject to HIPAA and other individually identifiable health information, and the transmission of this information to their chosen health plan partner and to the government. Information security risks have generally increased in recent years because of the proliferation of new technologies and the increased sophistication and activities of perpetrators of cyber-attacks, including through the deployment of artificial intelligence to find and exploit vulnerabilities, "deep fakes", long-term,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716280"/>
                <wp:effectExtent l="0" t="0" r="0" b="0"/>
                <wp:wrapNone/>
                <wp:docPr id="37" name="Frame36"/>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32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32</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persistent attacks (referred to as advanced persistent threats) and the use of the IT supply chain to introduce malware through software updates or compromised supplier accounts or hardware. Hackers and data thieves are increasingly sophisticated and operating large-scale and complex automated attacks, including on companies within the healthcare industry. Recent high-profile cybersecurity incidents affecting companies in the healthcare and technology sectors have heightened awareness of the risks associated with cyber-attacks and demonstrate that even well-resourced organizations may be vulnerable to sophisticated threats. As cyber threats continue to evolve, we are required to expend additional resources to further enhance our information security measures, develop additional protocols and/or to investigate and remediate any information security vulnerabilities.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Because our services involve the collection, processing, use, storage and transmission of confidential and personal information of consumers and employees, including protected health information subject to HIPAA and other individually identifiable health information, we are subject to various laws, regulations, industry standards and contractual requirements regarding the collection, maintenance, protection, use, transmission, disclosure and disposal of personal information. We also hold a significant amount of personal information relating to our current and former employees. We cannot guarantee that our facilities and systems, and those of our third-party service providers, will be free from security breaches, cyber-attacks, acts of vandalism, computer viruses, malware, ransomware, denial-of-service attacks, misplaced or lost data, programming and/or human errors or other similar events, and we are required to expend significant amounts and other resources to protect against security breaches or to alleviate problems caused by security breaches and other threats to our information technology systems. </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Techniques used to obtain unauthorized access or to sabotage systems evolve rapidly, and as a result, we may be unable to anticipate these techniques or to implement adequate preventative measures. For example, attackers increasingly use artificial intelligence and machine learning to launch more automated, targeted and coordinated attacks. As a result, we may be unable to anticipate emerging techniques or implement adequate preventative measures in advance. Additionally, our third-party service providers who process information on our behalf may cause security breaches for which we are responsible.</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Any compromise or perceived compromise of the security of our systems or the systems of one or more of our vendors or service providers could damage our reputation, cause the termination of relationships with government-run health insurance exchanges, health plan partners and/or our consumers, result in disruption or interruption to our business operations, marketing partners and health plan partners, reduce demand for our services and subject us to significant liability and expense as well as regulatory action and lawsuits, which would harm our business, operating results and financial condition. We may not carry insurance or maintain coverage sufficient to compensate for all liability and in any event, insurance coverage would not address the reputational damage that could result from a security incident or any regulatory actions or litigation that may result. </w:t>
      </w:r>
    </w:p>
    <w:p>
      <w:pPr>
        <w:pStyle w:val="TextBody"/>
        <w:bidi w:val="0"/>
        <w:spacing w:lineRule="auto" w:line="288" w:before="240" w:after="283"/>
        <w:jc w:val="left"/>
        <w:rPr>
          <w:rFonts w:ascii="Arial;sans-serif" w:hAnsi="Arial;sans-serif"/>
          <w:b/>
          <w:i/>
          <w:color w:val="000000"/>
          <w:sz w:val="18"/>
        </w:rPr>
      </w:pPr>
      <w:r>
        <w:rPr>
          <w:rFonts w:ascii="Arial;sans-serif" w:hAnsi="Arial;sans-serif"/>
          <w:b/>
          <w:i/>
          <w:color w:val="000000"/>
          <w:sz w:val="18"/>
        </w:rPr>
        <w:t>Our growing use of artificial intelligence and machine learning may present additional risks, including risks associated with algorithm development or use, the tools and data sets used, and an uncertain regulatory environment.</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Our growing use of artificial intelligence (including machine learning) in our business and offerings presents additional risks. Artificial intelligence algorithms or automated decision-making or processing of data may be flawed and datasets may be insufficient or contain inaccurate or biased information, which can create inaccurate or discriminatory outcomes or negatively impact the effectiveness of the technology. Artificial intelligence tools and algorithms may use third-party artificial intelligence with unclear intellectual property rights or interests. Intellectual property ownership and license rights, including copyright, of generative and other artificial intelligence output, have not been fully interpreted by courts or regulations. Use or management by us or others of artificial intelligence, including certain decisions based (whether partially or solely) on automated processing or profiling, inappropriate or controversial data practices, or insufficient disclosures regarding machine learning and algorithms or generative content, have impaired and could impair the acceptance of artificial intelligence solutions or subject us to lawsuits, regulatory investigations or other harm, such as negative impacts to the value of our intellectual property or our brand. These and other deficiencies could also undermine the decisions, predictions or analysis artificial intelligence applications produce, or lead to unintentional bias and discrimination, subjecting us to competitive harm, legal liability, and brand or reputational harm. The rapid evolution of artificial intelligence may require us to allocate additional resources to help implement artificial intelligence ethically in order to minimize unintended or harmful impacts, and may also require us to make additional investments in the development of proprietary datasets, machine learning models or other systems, which may be costly. Federal, state and international regulators have enacted and may consider enacting comprehensive legal compliance frameworks, laws and regulations specifically for artificial intelligence use and applications. Any failure or perceived failure by us to comply with such requirements could have an adverse impact on our business.</w:t>
      </w:r>
    </w:p>
    <w:p>
      <w:pPr>
        <w:pStyle w:val="TextBody"/>
        <w:bidi w:val="0"/>
        <w:spacing w:before="0" w:after="0"/>
        <w:jc w:val="left"/>
        <w:rPr/>
      </w:pPr>
      <w:r>
        <w:rPr/>
      </w:r>
    </w:p>
    <w:p>
      <w:pPr>
        <w:pStyle w:val="TextBody"/>
        <w:bidi w:val="0"/>
        <w:spacing w:lineRule="auto" w:line="268" w:before="0" w:after="0"/>
        <w:jc w:val="left"/>
        <w:rPr>
          <w:rFonts w:ascii="Arial;sans-serif" w:hAnsi="Arial;sans-serif"/>
          <w:b/>
          <w:i/>
          <w:color w:val="000000"/>
          <w:sz w:val="18"/>
        </w:rPr>
      </w:pPr>
      <w:r>
        <w:rPr>
          <w:rFonts w:ascii="Arial;sans-serif" w:hAnsi="Arial;sans-serif"/>
          <w:b/>
          <w:i/>
          <w:color w:val="000000"/>
          <w:sz w:val="18"/>
        </w:rPr>
        <w:t>We rely on data provided to us by consumers, health plan partners and third-party lead suppliers to improve our technology and service offerings, and if we are unable to maintain or grow such data, we may be unable to provide consumers with an insurance shopping experience that is relevant, efficient and effective, which could adversely affect our business.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Our business relies on the data provided to us by consumers, health plan partners and third-party lead suppliers. The large amount of data that we use in operating our marketplace platform, and the accuracy of such data, is critical to our ability to provide a relevant, efficient and effective insurance shopping experience for consumers. For example, if the data provided to us by our consumers during the insurance shopping process is not accurate, our ability to match our consumers with relevant and suitable insurance products would be impaired, which could lead to an increase in rejections of policies that we submit to health plan partners. Further, if we are unable to maintain or effectively utilize the data provided to us, the value that we provide to consumers and health plan partners may be limited as well. If we do not obtain accurate data from our consumers or if we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716280"/>
                <wp:effectExtent l="0" t="0" r="0" b="0"/>
                <wp:wrapNone/>
                <wp:docPr id="38" name="Frame37"/>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33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33</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unable to maintain or effectively utilize the data provided to us, consumers who use our platform could have a negative shopping experience, which could materially and adversely affect our business, operating results and financial condition.</w:t>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Our investments in our technology systems may not be sufficient to continually collect and retain sufficient data, and we may not be able to improve our data technologies to satisfy our operating needs. For example, incorporating artificial intelligence into certain service offerings may become more important in our operations over time. If we fail to keep pace with rapidly evolving artificial intelligence technological developments, our competitive position and business results may be negatively impacted. In certain cases, we may decide, based on perceived business needs, to make investments that may be greater than we currently anticipate. If we cannot offer new technologies or data and analytic services or solutions as quickly or effectively as our competitors, or if our competitors develop more cost-effective technologies or analytic tools, it could materially and adversely affect our business, operating results and financial condition.</w:t>
      </w:r>
    </w:p>
    <w:p>
      <w:pPr>
        <w:pStyle w:val="TextBody"/>
        <w:bidi w:val="0"/>
        <w:spacing w:lineRule="auto" w:line="288" w:before="240" w:after="283"/>
        <w:jc w:val="left"/>
        <w:rPr>
          <w:rFonts w:ascii="Arial;sans-serif" w:hAnsi="Arial;sans-serif"/>
          <w:b/>
          <w:i/>
          <w:color w:val="000000"/>
          <w:sz w:val="18"/>
        </w:rPr>
      </w:pPr>
      <w:r>
        <w:rPr>
          <w:rFonts w:ascii="Arial;sans-serif" w:hAnsi="Arial;sans-serif"/>
          <w:b/>
          <w:i/>
          <w:color w:val="000000"/>
          <w:sz w:val="18"/>
        </w:rPr>
        <w:t>We may not be able to adequately protect our intellectual property, which could harm our business and operating results.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We believe that our intellectual property is an essential asset of our business and that our technology currently gives us a competitive advantage in the distribution of Medicare-related health insurance. We rely on a combination of copyright, trademark and trade secret laws as well as confidentiality procedures and contractual provisions to establish and protect our intellectual property rights in the U.S. The efforts we have taken to protect our intellectual property may not be sufficient or effective. In addition, monitoring unauthorized uses of our intellectual property and unauthorized disclosures of our trade secrets and other confidential or proprietary information can be difficult and costly, and even if we do detect violations, litigation may be necessary to enforce our intellectual property rights. Any enforcement efforts we undertake, including litigation, could be time-consuming and expensive, could divert our management’s attention and may result in a court determining that our intellectual property or other proprietary rights are unenforceable. If we are not successful in cost-effectively protecting our confidential information, trade secrets and other intellectual property rights, our business, operating results and financial condition could be harmed. Further, if a competitor lawfully obtains or independently develops the technology that we maintain as a trade secret, we would have no right to prevent such competitor from using that technology or proprietary information to compete with us, which could harm our competitive position.</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In addition, we use open-source software in connection with our proprietary software and expect to continue to use open-source software in the future. Some open-source licenses, commonly referred to as “copyleft” licenses, require licensors to provide source code to licensees upon request, or prohibit licensors from charging a fee to licensees. We try to insulate our proprietary code from the effects of such “copyleft” provisions. The policies we have in place to avoid usage of software from “copyleft” licenses, and the audits and other procedures we implement in an effort to ensure these policies are followed may not be successful. Accordingly, we may face claims from others claiming ownership of, or seeking to enforce the license terms applicable to such open-source software, including by demanding release of the open-source software, derivative works or our proprietary source code that was developed or distributed with such software. These claims could also result in litigation, require us to purchase a costly license or require us to devote additional research and development resources to change our software, any of which would have a negative effect on our business and results of operations. In addition, if the license terms for the open-source software change, we may be forced to re-engineer our software or incur additional costs. We cannot assure you that we have not incorporated open-source software into our proprietary software in a manner that may subject our proprietary software to an open-source license that requires disclosure, to consumers or the public, of the source code to such proprietary software. Any such disclosure would have a negative effect on our business and the value of our proprietary software.</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18"/>
        </w:rPr>
      </w:pPr>
      <w:r>
        <w:rPr>
          <w:rFonts w:ascii="Arial;sans-serif" w:hAnsi="Arial;sans-serif"/>
          <w:b/>
          <w:i/>
          <w:color w:val="000000"/>
          <w:sz w:val="18"/>
        </w:rPr>
        <w:t>We may become subject to intellectual property disputes, which are costly and may subject us to significant liability and increased costs of doing business.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Third parties may be able to successfully challenge, oppose, invalidate, render unenforceable, dilute, misappropriate or circumvent our trademarks, copyrights and other intellectual property rights. Our success depends, in part, on our ability to develop and commercialize our products and services without infringing, misappropriating or otherwise violating the intellectual property rights of third parties. However, we may not be aware that our products or services are infringing, misappropriating or otherwise violating third-party intellectual property rights and such third parties may bring claims alleging such infringement, misappropriation or violation.</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Actions we may take to enforce our intellectual property rights may be expensive and divert management’s attention away from the ordinary operation of our business, and our inability to secure and protect our intellectual property rights could materially and adversely affect our brand and business, operating results and financial condition. Furthermore, such enforcement actions, even if successful, may not result in an adequate remedy. In addition, many companies have the capability to dedicate greater resources to enforce their intellectual property rights and to defend claims that may be brought against them. If a third-party is able to obtain an injunction preventing us from accessing such third-party intellectual property rights, or if we cannot license or develop alternative technology for any infringing aspect of our business, we would be forced to limit or stop sales of our products and platform capabilities or cease business activities related to such intellectual property.</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Our insurance may not cover potential claims of this type and may not be adequate to indemnify us for all liability that may be imposed. We cannot predict the outcome of lawsuits and cannot ensure that the results of any such actions will not have an adverse effect on our business, financial condition or results of operations. Such claims could subject us to significant liability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716280"/>
                <wp:effectExtent l="0" t="0" r="0" b="0"/>
                <wp:wrapNone/>
                <wp:docPr id="39" name="Frame38"/>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34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34</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damages and could result in our having to stop using technology found to be in violation of a third party’s rights. Further, we might be required to seek a license for third-party intellectual property, which may not be available on reasonable royalty or other terms. Alternatively, we could be required to develop alternative non-infringing technology, which could require significant effort and expense. If we cannot license or develop technology for any infringing aspect of our business, we would be forced to limit our services, which could affect our ability to compete effectively. Any of these results would harm our business, operating results and financial condition.</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Risks Related to Our Organizational Structure</w:t>
      </w:r>
    </w:p>
    <w:p>
      <w:pPr>
        <w:pStyle w:val="TextBody"/>
        <w:bidi w:val="0"/>
        <w:spacing w:lineRule="auto" w:line="288" w:before="240" w:after="283"/>
        <w:jc w:val="left"/>
        <w:rPr>
          <w:rFonts w:ascii="Arial;sans-serif" w:hAnsi="Arial;sans-serif"/>
          <w:b/>
          <w:i/>
          <w:color w:val="000000"/>
          <w:sz w:val="18"/>
        </w:rPr>
      </w:pPr>
      <w:r>
        <w:rPr>
          <w:rFonts w:ascii="Arial;sans-serif" w:hAnsi="Arial;sans-serif"/>
          <w:b/>
          <w:i/>
          <w:color w:val="000000"/>
          <w:sz w:val="18"/>
        </w:rPr>
        <w:t>Our principal asset is our interest in GHH, LLC, and, as a result, we depend on distributions from GHH, LLC to pay our taxes and expenses, including payments under the Tax Receivable Agreement (“TRA”). GHH, LLC’s ability to make such distributions may be subject to various limitations and restrictions.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We are a holding company and have no material assets other than our ownership of LLC Interests. As such, we have no independent means of generating revenue or cash flow, and our ability to pay our taxes and operating expenses or declare and pay dividends in the future, if any, are dependent upon the financial results and cash flows of GHH, LLC and its subsidiaries and distributions we receive from GHH, LLC. GHH, LLC and its subsidiaries may not generate sufficient cash flow to distribute funds to us and applicable state law and contractual restrictions, including negative covenants in our debt instruments, may not permit such distributions. Although GHH, LLC is not currently subject to any debt instruments or other agreements that would restrict its ability to make distributions to us, the terms of our Credit Facilities and other outstanding indebtedness restrict the ability of our subsidiaries to pay dividends to GHH, LLC.</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GHH, LLC is treated as a partnership for U.S. federal income tax purposes and, as such, generally is not subject to any entity-level U.S. federal income tax. Instead, any taxable income of GHH, LLC will be allocated to holders of LLC Interests, including us. Accordingly, we incur income taxes on our allocable share of any net taxable income of GHH, LLC. Under the terms of the GHH, LLC Agreement, GHH, LLC is obligated, subject to various limitations and restrictions, including with respect to our debt agreements, to make tax distributions to holders of LLC Interests, including us. In addition to tax expenses, we also incur expenses related to our operations, including payments under the TRA, which could be significant. We intend, as its managing member, to cause GHH, LLC to make cash distributions to the holders of LLC Interests in an amount sufficient to (1) fund all or part of their tax obligations in respect of taxable income allocated to them and (2) cover our operating expenses, including payments under the TRA. However, GHH, LLC’s ability to make such distributions may be subject to various limitations and restrictions, such as restrictions on distributions that would either violate any contract or agreement to which GHH, LLC is then a party, including debt agreements, or any applicable law, or that would have the effect of rendering GHH, LLC insolvent. If we do not have sufficient funds to pay tax or other liabilities, or to fund our operations (including, if applicable, as a result of an acceleration of our obligations under the TRA), we may have to borrow funds, which could materially and adversely affect our liquidity and financial condition, and subject us to various restrictions imposed by any lenders of such funds. To the extent we are unable to make timely payments under the TRA for any reason, such payments generally will be deferred and will accrue interest until paid; provided, however, that nonpayment for a specified period may constitute a material breach of a material obligation under the TRA resulting in the acceleration of payments due under the TRA. In addition, if GHH, LLC does not have sufficient funds to make distributions, our ability to declare and pay cash dividends will also be restricted or impaired. See “—Risks Related to the Ownership of our Class A Common Stock.”</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Under the GHH, LLC Agreement, we intend to cause GHH, LLC, from time to time, to make distributions in cash to its equity holders (including us) in amounts sufficient to cover the taxes imposed on their allocable share of taxable income of GHH, LLC. As a result of (1) potential differences in the amount of net taxable income allocable to us and to GHH, LLC’s other equity holders, (2) the lower tax rate applicable to corporations as opposed to individuals, and (3) certain tax benefits that we anticipate from (a) future purchases or redemptions of LLC Interests from the Continuing Equity Owners, (b) payments under the TRA and (c) any acquisition of interests in GHH, LLC from other equity holders in connection with the consummation of the Transactions, these tax distributions may be in amounts that exceed our tax liabilities. Our board of directors will determine the appropriate uses for any excess cash so accumulated, which may include, among other uses, the payment of obligations under the TRA and the payment of other expenses. We will have no obligation to distribute such cash (or other available cash) to our stockholders. No adjustments to the exchange ratio for LLC Interests and corresponding shares of Class A common stock will be made as a result of any cash distribution by us or any retention of cash by us. To the extent we do not distribute such excess cash as dividends on our Class A common stock, we may take other actions with respect to such excess cash, for example, holding such excess cash, or lending it (or a portion thereof) to GHH, LLC, which may result in shares of our Class A common stock increasing in value relative to the value of LLC Interests. The holders of LLC Interests may benefit from any value attributable to such cash balances if they acquire shares of Class A common stock in exchange for their LLC Interests, notwithstanding that such holders may have participated previously as holders of LLC Interests in distributions that resulted in such excess cash balances.</w:t>
      </w:r>
    </w:p>
    <w:p>
      <w:pPr>
        <w:pStyle w:val="TextBody"/>
        <w:bidi w:val="0"/>
        <w:spacing w:lineRule="auto" w:line="288" w:before="240" w:after="283"/>
        <w:jc w:val="left"/>
        <w:rPr>
          <w:rFonts w:ascii="Arial;sans-serif" w:hAnsi="Arial;sans-serif"/>
          <w:b/>
          <w:i/>
          <w:color w:val="000000"/>
          <w:sz w:val="18"/>
        </w:rPr>
      </w:pPr>
      <w:r>
        <w:rPr>
          <w:rFonts w:ascii="Arial;sans-serif" w:hAnsi="Arial;sans-serif"/>
          <w:b/>
          <w:i/>
          <w:color w:val="000000"/>
          <w:sz w:val="18"/>
        </w:rPr>
        <w:t>The TRA with the Continuing Equity Owners requires us to make cash payments to them in respect of certain tax benefits to which we may become entitled, and such payments could be substantial.</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Under the TRA, we are required to make cash payments to the Continuing Equity Owners and the Blocker Shareholders equal to 85% of the tax benefits, if any, that we actually realize, or in certain circumstances are deemed to realize, as a result of (1)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716280"/>
                <wp:effectExtent l="0" t="0" r="0" b="0"/>
                <wp:wrapNone/>
                <wp:docPr id="40" name="Frame39"/>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35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35</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GoHealth, Inc.’s allocable share of existing tax basis acquired in connection with the Transactions (including the Blocker Company’s share of existing tax basis) and increases to such allocable share of existing tax basis; (2) the increases in our share of the tax basis of assets of GHH, LLC resulting from (a) the purchase of LLC Interests directly from GHH, LLC and the partial redemption of LLC Interests by GHH, LLC, (b) any future redemptions or exchanges of LLC Interests from the Continuing Equity Owners and (c) certain distributions (or deemed distributions) by GHH, LLC; and (3) certain other tax benefits arising from payments under the TRA. The amount of cash payments we are required to make under the TRA could be substantial. Any payments made by us to the Continuing Equity Owners and the Blocker Shareholders under the TRA will not be available for reinvestment in our business and will generally reduce the amount of overall cash flow that might have otherwise been available to us. To the extent that we are unable to make timely payments under the TRA for any reason, the unpaid amounts will be deferred and will accrue interest until paid by us. Payments under the TRA are not conditioned upon one or more of the Continuing Equity Owners maintaining a continued ownership interest in GHH, LLC. Furthermore, our future obligation to make payments under the TRA could make us a less attractive target for an acquisition, particularly in the case of an acquirer that cannot use some or all of the tax benefits that are the subject of the TRA. The existing tax basis acquired in connection with the Transactions, the actual increase in tax basis, and the actual utilization of any resulting tax benefits, as well as the amount and timing of any payments under the TRA, will vary depending upon a number of factors, including the timing of redemptions by the Continuing Equity Owners; the price of shares of our Class A common stock at the time of the exchange; the extent to which such exchanges are taxable; the amount of gain recognized by such Continuing Equity Owners; the amount and timing of the taxable income allocated to us or otherwise generated by us in the future; the portion of our payments under the TRA constituting imputed interest; and the federal and state tax rates then applicable.</w:t>
      </w:r>
    </w:p>
    <w:p>
      <w:pPr>
        <w:pStyle w:val="TextBody"/>
        <w:bidi w:val="0"/>
        <w:spacing w:lineRule="auto" w:line="288" w:before="240" w:after="283"/>
        <w:jc w:val="left"/>
        <w:rPr>
          <w:rFonts w:ascii="Arial;sans-serif" w:hAnsi="Arial;sans-serif"/>
          <w:b/>
          <w:i/>
          <w:color w:val="000000"/>
          <w:sz w:val="18"/>
        </w:rPr>
      </w:pPr>
      <w:r>
        <w:rPr>
          <w:rFonts w:ascii="Arial;sans-serif" w:hAnsi="Arial;sans-serif"/>
          <w:b/>
          <w:i/>
          <w:color w:val="000000"/>
          <w:sz w:val="18"/>
        </w:rPr>
        <w:t>Our organizational structure, including the TRA, confers certain benefits upon the Continuing Equity Owners that do not benefit holders of our Class A common stock to the same extent that it benefits the Continuing Equity Owners.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Our organizational structure, including the TRA, confers certain benefits upon the Continuing Equity Owners that do not benefit the holders of our Class A common stock to the same extent that it benefits the Continuing Equity Owners. The TRA provides for the payment by us to the Continuing Equity Owners and the Blocker Shareholders of 85% of the amount of tax benefits, if any, that we actually realize, or in some circumstances are deemed to realize, as a result of (1) GoHealth, Inc.’s allocable share of existing tax basis acquired in connection with the Transactions (including the Blocker Company’s share of existing tax basis) and increases to such allocable share of existing tax basis; (2) the increases in our share of the tax basis of assets of GHH, LLC resulting from (a) the purchase of LLC Interests directly from GHH, LLC and, the partial redemption of LLC Interests by GHH, LLC (b) any future redemptions or exchanges of LLC Interests from the Continuing Equity Owners and (c) certain distributions (or deemed distributions) by GHH, LLC; and (3) certain other tax benefits arising from payments under the TRA. Although we will retain 15% of the amount of such tax benefits, this and other aspects of our organizational structure may adversely impact the future trading market for the Class A common stock.</w:t>
      </w:r>
    </w:p>
    <w:p>
      <w:pPr>
        <w:pStyle w:val="TextBody"/>
        <w:bidi w:val="0"/>
        <w:spacing w:lineRule="auto" w:line="288" w:before="240" w:after="283"/>
        <w:jc w:val="left"/>
        <w:rPr>
          <w:rFonts w:ascii="Arial;sans-serif" w:hAnsi="Arial;sans-serif"/>
          <w:b/>
          <w:i/>
          <w:color w:val="000000"/>
          <w:sz w:val="18"/>
        </w:rPr>
      </w:pPr>
      <w:r>
        <w:rPr>
          <w:rFonts w:ascii="Arial;sans-serif" w:hAnsi="Arial;sans-serif"/>
          <w:b/>
          <w:i/>
          <w:color w:val="000000"/>
          <w:sz w:val="18"/>
        </w:rPr>
        <w:t>In certain cases, payments under the TRA to the Continuing Equity Owners and the Blocker Shareholders may be accelerated or significantly exceed any actual benefits we realize in respect of the tax attributes subject to the Tax Receivable Agreement.</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TRA provides that if (1) we materially breach any of our material obligations under the TRA, (2) certain mergers, asset sales, other forms of business combinations or other changes of control were to occur, or (3) we elect an early termination of the TRA, then our obligations, or our successor’s obligations, under the TRA to make payments would be based on certain assumptions, including an assumption that we would have sufficient taxable income to fully utilize all potential future tax benefits that are subject to the TRA.</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As a result of the foregoing, we would be required to make an immediate cash payment equal to the present value of the anticipated future tax benefits that are the subject of the TRA, based on certain assumptions, which payment may be made significantly in advance of the actual realization, if any, of such future tax benefits. We could also be required to make cash payments to the Continuing Equity Owners and the Blocker Shareholders that are greater than the specified percentage of any actual benefits we ultimately realize in respect of the tax benefits that are subject to the TRA. In these situations, our obligations under the TRA could have a substantial negative impact on our liquidity and could have the effect of delaying, deferring or preventing certain mergers, asset sales, other forms of business combinations or other changes of control. We may not be able to fund or finance our obligations under the TRA. We may need to incur debt to finance payments under the TRA to the extent our cash resources are insufficient to meet our obligations under the TRA as a result of timing discrepancies or otherwise.</w:t>
      </w:r>
    </w:p>
    <w:p>
      <w:pPr>
        <w:pStyle w:val="TextBody"/>
        <w:bidi w:val="0"/>
        <w:spacing w:lineRule="auto" w:line="288" w:before="240" w:after="283"/>
        <w:jc w:val="left"/>
        <w:rPr>
          <w:rFonts w:ascii="Arial;sans-serif" w:hAnsi="Arial;sans-serif"/>
          <w:b/>
          <w:i/>
          <w:color w:val="000000"/>
          <w:sz w:val="18"/>
        </w:rPr>
      </w:pPr>
      <w:r>
        <w:rPr>
          <w:rFonts w:ascii="Arial;sans-serif" w:hAnsi="Arial;sans-serif"/>
          <w:b/>
          <w:i/>
          <w:color w:val="000000"/>
          <w:sz w:val="18"/>
        </w:rPr>
        <w:t>We will not be reimbursed for any payments made to the Continuing Equity Owners and the Blocker Shareholders under the TRA in the event that any tax benefits are disallowed.</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Payments under the TRA will be based on the tax reporting positions that we determine, and the U.S. Internal Revenue Service, or the IRS, or another tax authority, may challenge all or part of the tax basis increases or other tax benefits we claim, as well as other related tax positions we take, and a court could sustain such challenge. If the outcome of any such challenge would reasonably be expected to materially and adversely affect a recipient’s payments under the TRA, then we will not be permitted to settle or fail to contest such challenge without the consent (not to be unreasonably withheld or delayed) of Centerbridge and NVX Holdings. The interests of Centerbridge or NVX Holdings in any such challenge may differ from or conflict with our interests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716280"/>
                <wp:effectExtent l="0" t="0" r="0" b="0"/>
                <wp:wrapNone/>
                <wp:docPr id="41" name="Frame40"/>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36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36</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your interests, and Centerbridge or NVX Holdings may exercise their consent rights relating to any such challenge in a manner adverse to our interests and your interests. We will not be reimbursed for any cash payments previously made to the Continuing Equity Owners and the Blocker Shareholders under the TRA in the event that any tax benefits initially claimed by us and for which payment has been made to a Continuing Equity Owner or a Blocker Shareholder are subsequently challenged by a taxing authority and are ultimately disallowed. Instead, any excess cash payments made by us to a Continuing Equity Owner and/or a Blocker Shareholder, as applicable, will be netted against any future cash payments we might otherwise be required to make to such Continuing Equity Owner and/or such Blocker Shareholder, under the terms of the TRA. However, we might not determine that we have effectively made an excess cash payment to a Continuing Equity Owner and/or a Blocker Shareholder, as applicable, for a number of years following the initial time of such payment and, if any of our tax reporting positions are challenged by a taxing authority, we will not be permitted to reduce any future cash payments under the TRA until any such challenge is finally settled or determined. Moreover, the excess cash payments we made previously under the TRA could be greater than the amount of future cash payments against which we would otherwise be permitted to net such excess. The applicable U.S. federal income tax rules for determining applicable tax benefits we may claim are complex and factual in nature, and the IRS or a court may not agree with our tax reporting positions. As a result, payments could be made under the TRA significantly in excess of any actual cash tax savings that we realize in respect of the tax attributes with respect to a Continuing Equity Owner and/or a Blocker Shareholder that are the subject of the TRA.</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Risks Related to the Ownership of our Class A Common Stock</w:t>
      </w:r>
    </w:p>
    <w:p>
      <w:pPr>
        <w:pStyle w:val="TextBody"/>
        <w:bidi w:val="0"/>
        <w:spacing w:lineRule="auto" w:line="288" w:before="240" w:after="283"/>
        <w:jc w:val="left"/>
        <w:rPr>
          <w:rFonts w:ascii="Arial;sans-serif" w:hAnsi="Arial;sans-serif"/>
          <w:b/>
          <w:i/>
          <w:color w:val="000000"/>
          <w:sz w:val="18"/>
        </w:rPr>
      </w:pPr>
      <w:r>
        <w:rPr>
          <w:rFonts w:ascii="Arial;sans-serif" w:hAnsi="Arial;sans-serif"/>
          <w:b/>
          <w:i/>
          <w:color w:val="000000"/>
          <w:sz w:val="18"/>
        </w:rPr>
        <w:t>The Founders and Centerbridge have significant influence over us, including control over decisions that require the approval of stockholders.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As of December 31, 2025, the Founders and Centerbridge control, in the aggregate, approximately 54.8% of the voting power represented by all our outstanding classes of stock. As a result, the Founders and Centerbridge exercise significant influence over all matters requiring stockholder approval, including the election and removal of directors and the size of our board, any amendment of our amended and restated certificate of incorporation or bylaws and any approval of significant corporate transactions (including a sale of all or substantially all of our assets), and will continue to have significant control over our business, affairs and policies, including the appointment of our management. The directors that the Founders and Centerbridge elect have the authority to vote to authorize the Company to incur additional debt, issue or repurchase stock, declare dividends and make other decisions that could be detrimental to stockholders.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We expect that members of our board will continue to be appointed by and/or affiliated with the Founders and Centerbridge who will have the ability to appoint the majority of directors. The Founders and Centerbridge can take actions that have the effect of delaying or preventing a change of control of us or discouraging others from making tender offers for our shares, which could prevent stockholders from receiving a premium for their shares. These actions may be taken even if other stockholders oppose them. The concentration of voting power with the Founders and Centerbridge may have an adverse effect on the price of our Class A common stock. The Founders and Centerbridge may have interests that are different from yours and may vote in a way with which you disagree and that may be adverse to your interests.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Further, our amended and restated certificate of incorporation provides that the doctrine of “corporate opportunity” does not apply with respect to any director or stockholder who is not employed by us or our subsidiaries. See “—Our amended and restated certificate of incorporation provides that the doctrine of “corporate opportunity” does not apply with respect to any director or stockholder who is not employed by us or our subsidiaries.”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Centerbridge and its affiliates engage in a broad spectrum of activities. In the ordinary course of its business activities, Centerbridge and its affiliates may engage in activities where their interests conflict with our interests or those of our other stockholders. Centerbridge or one of its affiliates may also pursue acquisition opportunities that may be complementary to our business, and, as a result, those acquisition opportunities may not be available to us. In addition, Centerbridge may have an interest in us pursuing acquisitions, divestitures and other transactions that, in its judgment, could enhance its investment, even though such transactions might involve risks to you.</w:t>
      </w:r>
    </w:p>
    <w:p>
      <w:pPr>
        <w:pStyle w:val="TextBody"/>
        <w:bidi w:val="0"/>
        <w:spacing w:lineRule="auto" w:line="288" w:before="240" w:after="283"/>
        <w:jc w:val="left"/>
        <w:rPr>
          <w:rFonts w:ascii="Arial;sans-serif" w:hAnsi="Arial;sans-serif"/>
          <w:b/>
          <w:i/>
          <w:color w:val="000000"/>
          <w:sz w:val="18"/>
        </w:rPr>
      </w:pPr>
      <w:r>
        <w:rPr>
          <w:rFonts w:ascii="Arial;sans-serif" w:hAnsi="Arial;sans-serif"/>
          <w:b/>
          <w:i/>
          <w:color w:val="000000"/>
          <w:sz w:val="18"/>
        </w:rPr>
        <w:t>We are a “controlled company” within the meaning of the Nasdaq Rules and, as a result, qualify for, and rely on, exemptions from certain corporate governance requirements. You may not have the same protections afforded to stockholders of companies that are subject to such corporate governance requirements.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NVX Holdings and Centerbridge have more than 50% of the voting power for the election of directors, and, as a result, we are considered a “controlled company” within the meaning of the Nasdaq Rules. As such, we qualify for, and rely on, exemptions from certain corporate governance requirements, including the requirements to have a majority of independent directors on our board of directors, an entirely independent nominating and corporate governance committee, an entirely independent compensation committee or to perform annual performance evaluations of the nominating and corporate governance and compensation committees.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The corporate governance requirements and, specifically, the independence standards are intended to ensure directors who are considered independent are free of any conflicting interest that could influence their actions as directors. We utilize certain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716280"/>
                <wp:effectExtent l="0" t="0" r="0" b="0"/>
                <wp:wrapNone/>
                <wp:docPr id="42" name="Frame41"/>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37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37</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exemptions afforded to a “controlled company.” As a result, we are not subject to certain corporate governance requirements, including that a majority of our board of directors consists of “independent directors,” as defined under the Nasdaq Rules. In addition, we are not required to have a nominating and corporate governance committee or compensation committee that is composed entirely of independent directors with a written charter addressing the committee’s purpose and responsibilities, or to conduct annual performance evaluations of the nominating and corporate governance and compensation committees.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Accordingly, you may not have the same protections afforded to stockholders of companies that are subject to all of the corporate governance requirements of the Nasdaq Rules. Our status as a controlled company could make our Class A common stock less attractive to some investors or otherwise harm our stock price.</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18"/>
        </w:rPr>
      </w:pPr>
      <w:r>
        <w:rPr>
          <w:rFonts w:ascii="Arial;sans-serif" w:hAnsi="Arial;sans-serif"/>
          <w:b/>
          <w:i/>
          <w:color w:val="000000"/>
          <w:sz w:val="18"/>
        </w:rPr>
        <w:t>Sales of a substantial number of shares of our Class A common stock in the public market could cause our stock price to decline.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Sales of a substantial number of shares of our Class A common stock in the public market, or the perception that the holders of a large number of shares intend to sell shares, could reduce the market price of our Class A common stock. On August 6, 2025, as consideration for, and as a condition to, the lenders’ entry into Amendment No. 14, we issued to certain of our lenders an aggregate of 4,766,219 shares of our Class A common stock, which represent an aggregate of 19.99% of the shares of our Class A common stock and Class B common stock issued and outstanding calculated as of immediately prior to the issuance of such shares, or 16.66% post-closing. The holders of these newly issued shares will be entitled to customary registration rights. Even though these shares are “restricted securities” within the meaning of Rule 144 and may be resold only pursuant to an effective registration statement or pursuant to the requirements of Rule 144 or other applicable exemption from registration under the Securities Act and as required under applicable state securities laws, when the Company files a resale registration statement covering these shares or the requirements of Rule 144 or other applicable exemption are satisfied, these shares could be sold in the market at any time along with other shares held by affiliates or issued by the Company pursuant to its equity incentive plans. If these additional shares of Class A common stock are resold, or if it is perceived that they will be resold, the trading price of our Class A common stock could decline. In addition, the issuance of these shares of Class A common stock have diluted, and any shares of Class A common stock we may in the future issue may dilute, the percentage ownership held by holders of our Class A common stock.</w:t>
      </w:r>
    </w:p>
    <w:p>
      <w:pPr>
        <w:pStyle w:val="TextBody"/>
        <w:bidi w:val="0"/>
        <w:spacing w:lineRule="auto" w:line="288" w:before="240" w:after="283"/>
        <w:jc w:val="left"/>
        <w:rPr>
          <w:rFonts w:ascii="Arial;sans-serif" w:hAnsi="Arial;sans-serif"/>
          <w:b/>
          <w:i/>
          <w:color w:val="000000"/>
          <w:sz w:val="18"/>
        </w:rPr>
      </w:pPr>
      <w:r>
        <w:rPr>
          <w:rFonts w:ascii="Arial;sans-serif" w:hAnsi="Arial;sans-serif"/>
          <w:b/>
          <w:i/>
          <w:color w:val="000000"/>
          <w:sz w:val="18"/>
        </w:rPr>
        <w:t>Certain provisions of Delaware law and anti-takeover provisions in our organizational documents could delay or prevent a change of control.</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Certain provisions of Delaware law and our amended and restated certificate of incorporation and amended and restated bylaws may have an anti-takeover effect and may delay, defer, or prevent a merger, acquisition, tender offer, takeover attempt or other change of control transaction that a stockholder might consider in its best interest, including those attempts that might result in a premium over the market price for the shares held by our stockholders. These provisions provide for, among other things:</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a classified board of directors with staggered three-year terms;</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the ability of our board of directors to issue one or more series of preferred stock;</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advance notice for nominations of directors by stockholders and for stockholders to include matters to be considered at our annual meetings;</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certain limitations on convening special stockholder meetings;</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no cumulative voting in the election of directors;</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subject to the rights of the holders of any preferred stock and the terms of the Stockholders Agreement, the number of directors shall be determined exclusively by a majority of the whole board or directors;</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the removal of directors only for cause and only upon the affirmative vote of the holders of at least 66 2/3% of the voting power represented by our then-outstanding common stock (other than directors appointed pursuant to the Stockholders Agreement, who may be removed with or without cause in accordance with the terms of the Stockholders Agreement);</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at any time when Centerbridge beneficially owns, in the aggregate, less than 40% of the voting power entitled to vote generally in the election of our directors, that stockholders may not act by written consent; and</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at any time when Centerbridge beneficially owns, in the aggregate, less than 40% of the voting power entitled to vote generally in the election of our directors, that certain provisions of our amended and restated certificate of incorporation may be amended only by the affirmative vote of at least 66 2/3% of the voting power represented by our then-outstanding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716280"/>
                <wp:effectExtent l="0" t="0" r="0" b="0"/>
                <wp:wrapNone/>
                <wp:docPr id="43" name="Frame42"/>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38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38</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These anti-takeover provisions could make it more difficult for a third party to acquire us, even if the third party’s offer may be considered beneficial by many of our stockholders. As a result, our stockholders may be limited in their ability to obtain a premium for their shares.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In addition, we have opted out of Section 203 of the General Corporation Law of the State of Delaware, which we refer to as the DGCL, but our amended and restated certificate of incorporation provides that engaging in any of a broad range of business combinations with any “interested” stockholder (any stockholder with 15% or more of our voting stock) for a period of three years following the date on which the stockholder became an “interested” stockholder is prohibited; provided, however, that, under our amended and restated certificate of incorporation, Centerbridge and NVX Holdings and any of their respective affiliates are not deemed to be interested stockholders regardless of the percentage of our outstanding voting stock owned by them, and accordingly will not be subject to such restrictions.</w:t>
      </w:r>
    </w:p>
    <w:p>
      <w:pPr>
        <w:pStyle w:val="TextBody"/>
        <w:bidi w:val="0"/>
        <w:spacing w:lineRule="auto" w:line="288" w:before="240" w:after="283"/>
        <w:jc w:val="left"/>
        <w:rPr>
          <w:rFonts w:ascii="Arial;sans-serif" w:hAnsi="Arial;sans-serif"/>
          <w:b/>
          <w:i/>
          <w:color w:val="000000"/>
          <w:sz w:val="18"/>
        </w:rPr>
      </w:pPr>
      <w:r>
        <w:rPr>
          <w:rFonts w:ascii="Arial;sans-serif" w:hAnsi="Arial;sans-serif"/>
          <w:b/>
          <w:i/>
          <w:color w:val="000000"/>
          <w:sz w:val="18"/>
        </w:rPr>
        <w:t>Because we have no current plans to pay regular cash dividends on our Class A common stock, you may not receive any return on investment unless you sell your Class A common stock for a price greater than that which you paid for it.</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We do not anticipate paying any regular cash dividends on our Class A common stock. Any decision to declare and pay dividends in the future will be made at the discretion of our board of directors and will depend on, among other things, general economic conditions, our results of operations and financial condition, our available cash and current and anticipated cash needs, capital requirements, contractual, legal, tax and regulatory restrictions, and such other factors that our board of directors may deem relevant. In addition, our ability to pay dividends is, and may be, limited by covenants of existing and any future outstanding indebtedness we or our subsidiaries incur, including under our Credit Facilities. Therefore, any return on investment in our Class A common stock is solely dependent upon the appreciation of the price of our Class A common stock on the open market, which may not occur.</w:t>
      </w:r>
    </w:p>
    <w:p>
      <w:pPr>
        <w:pStyle w:val="TextBody"/>
        <w:bidi w:val="0"/>
        <w:spacing w:lineRule="auto" w:line="288" w:before="240" w:after="283"/>
        <w:jc w:val="left"/>
        <w:rPr>
          <w:rFonts w:ascii="Arial;sans-serif" w:hAnsi="Arial;sans-serif"/>
          <w:b/>
          <w:i/>
          <w:color w:val="000000"/>
          <w:sz w:val="18"/>
        </w:rPr>
      </w:pPr>
      <w:r>
        <w:rPr>
          <w:rFonts w:ascii="Arial;sans-serif" w:hAnsi="Arial;sans-serif"/>
          <w:b/>
          <w:i/>
          <w:color w:val="000000"/>
          <w:sz w:val="18"/>
        </w:rPr>
        <w:t>Our amended and restated certificate of incorporation provides that the Court of Chancery of the State of Delaware is the sole and exclusive forum for certain stockholder litigation matters and the federal district courts of the U.S. are the exclusive forum for the resolution of any complaint asserting a cause of action arising under the Securities Act, which could limit our stockholders’ ability to obtain a favorable judicial forum for disputes with us or our directors, officers, employees or stockholders.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Our amended and restated certificate of incorporation provides (A) (i) any derivative action or proceeding brought on behalf of the Company, (ii) any action asserting a claim of breach of a fiduciary duty owed by any current or former director, officer, other employee or stockholder of the Company to the Company or the Company’s stockholders, (iii) any action asserting a claim arising pursuant to any provision of the DGCL, our amended and restated certificate of incorporation or our amended and restated bylaws (as either may be amended or restated) or as to which the DGCL confers jurisdiction on the Court of Chancery of the State of Delaware or (iv) any action asserting a claim governed by the internal affairs doctrine of the law of the State of Delaware shall, to the fullest extent permitted by law, be exclusively brought in the Court of Chancery of the State of Delaware or, if such court does not have subject matter jurisdiction thereof, the federal district court of the State of Delaware; and (B) the federal district courts of the U.S. shall be the exclusive forum for the resolution of any complaint asserting a cause of action arising under the Securities Act. Notwithstanding the foregoing, the exclusive forum provision shall not apply to claims seeking to enforce any liability or duty created by the Exchange Act.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although our stockholders will not be deemed to have waived our compliance with federal securities laws and the rules and regulations thereunder. </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harm our business, results of operations, and financial condition. Any person or entity purchasing or otherwise acquiring any interest in shares of our capital stock shall be deemed to have notice of and consented to the forum provisions in our amended and restated certificate of incorporation.</w:t>
      </w:r>
    </w:p>
    <w:p>
      <w:pPr>
        <w:pStyle w:val="TextBody"/>
        <w:bidi w:val="0"/>
        <w:spacing w:lineRule="auto" w:line="288" w:before="240" w:after="283"/>
        <w:jc w:val="left"/>
        <w:rPr>
          <w:rFonts w:ascii="Arial;sans-serif" w:hAnsi="Arial;sans-serif"/>
          <w:b/>
          <w:i/>
          <w:color w:val="000000"/>
          <w:sz w:val="18"/>
        </w:rPr>
      </w:pPr>
      <w:r>
        <w:rPr>
          <w:rFonts w:ascii="Arial;sans-serif" w:hAnsi="Arial;sans-serif"/>
          <w:b/>
          <w:i/>
          <w:color w:val="000000"/>
          <w:sz w:val="18"/>
        </w:rPr>
        <w:t>Our amended and restated certificate of incorporation provides that the doctrine of “corporate opportunity” does not apply with respect to any director or stockholder who is not employed by us or our subsidiaries.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The doctrine of corporate opportunity generally provides that a corporate fiduciary may not develop an opportunity using corporate resources, acquire an interest adverse to that of the corporation or acquire property that is reasonably incident to the present or prospective business of the corporation or in which the corporation has a present or expectancy interest, unless that opportunity is first presented to the corporation and the corporation chooses not to pursue that opportunity. The doctrine of corporate opportunity is intended to preclude officers or directors or other fiduciaries from personally benefiting from opportunities that belong to the corporation. Our amended and restated certificate of incorporation provides that the doctrine of “corporate opportunity” does not apply with respect to any director or stockholder who is not employed by us or our subsidiaries. Any director or stockholder who is not employed by us or our subsidiaries, therefore, has no duty to communicate or present corporate opportunities to us, and has the right to either hold any corporate opportunity for their (and their affiliates’) own account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716280"/>
                <wp:effectExtent l="0" t="0" r="0" b="0"/>
                <wp:wrapNone/>
                <wp:docPr id="44" name="Frame43"/>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39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39</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and benefit or to recommend, assign or otherwise transfer such corporate opportunity to persons other than us, including to any director or stockholder who is not employed by us or our subsidiaries.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As a result, certain of our stockholders, directors and their respective affiliates are not prohibited from operating or investing in competing businesses. We, therefore, may find ourselves in competition with certain of our stockholders, directors or their respective affiliates, and we may not have knowledge of, or be able to pursue, transactions that could potentially be beneficial to us. Accordingly, we may lose a corporate opportunity or suffer competitive harm, which could negatively impact our business, operating results and financial condition.</w:t>
      </w:r>
    </w:p>
    <w:p>
      <w:pPr>
        <w:pStyle w:val="TextBody"/>
        <w:bidi w:val="0"/>
        <w:spacing w:lineRule="auto" w:line="288" w:before="240" w:after="283"/>
        <w:jc w:val="left"/>
        <w:rPr>
          <w:rFonts w:ascii="Arial;sans-serif" w:hAnsi="Arial;sans-serif"/>
          <w:b/>
          <w:i/>
          <w:color w:val="000000"/>
          <w:sz w:val="18"/>
        </w:rPr>
      </w:pPr>
      <w:r>
        <w:rPr>
          <w:rFonts w:ascii="Arial;sans-serif" w:hAnsi="Arial;sans-serif"/>
          <w:b/>
          <w:i/>
          <w:color w:val="000000"/>
          <w:sz w:val="18"/>
        </w:rPr>
        <w:t>We are subject to the Nasdaq Rules and the rules and regulations established from time to time by the SEC regarding our internal control over financial reporting. If we fail to establish and maintain effective internal control over financial reporting and disclosure controls and procedures, we may not be able to accurately report our financial results, or report them in a timely manner.</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We are subject to the Nasdaq Rules and the rules and regulations established from time to time by the SEC. These rules and regulations require, among other things, that we establish and periodically evaluate procedures with respect to our internal control over financial reporting. Reporting obligations as a public company are likely to place a considerable strain on our financial and management systems, processes and controls, as well as on our personnel.</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In addition, as a public company we are required to document and test our internal control over financial reporting pursuant to Section 404 of the Sarbanes-Oxley Act so that our management can certify as to the effectiveness of our internal control over financial reporting, which requires us to document and make significant changes to our internal control over financial reporting.</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If we identify future deficiencies in our internal control over financial reporting or if we are unable to comply with the demands that are placed upon us as a public company, including the requirements of Section 404 of the Sarbanes-Oxley Act, in a timely manner, we may be unable to accurately report our financial results, or report them within the timeframes required by the SEC. We also could become subject to sanctions or investigations by the SEC or other regulatory authorities. In addition, if we are unable to assert that our internal control over financial reporting is effective, investors may lose confidence in the accuracy and completeness of our financial reports, we may face restricted access to the capital markets and our stock price may be adversely affected.</w:t>
      </w:r>
    </w:p>
    <w:p>
      <w:pPr>
        <w:pStyle w:val="TextBody"/>
        <w:bidi w:val="0"/>
        <w:spacing w:before="240" w:after="283"/>
        <w:jc w:val="left"/>
        <w:rPr/>
      </w:pPr>
      <w:r>
        <w:rPr/>
      </w:r>
    </w:p>
    <w:p>
      <w:pPr>
        <w:pStyle w:val="TextBody"/>
        <w:bidi w:val="0"/>
        <w:spacing w:lineRule="auto" w:line="288" w:before="0" w:after="0"/>
        <w:jc w:val="left"/>
        <w:rPr>
          <w:rFonts w:ascii="Arial;sans-serif" w:hAnsi="Arial;sans-serif"/>
          <w:b/>
          <w:i/>
          <w:color w:val="000000"/>
          <w:sz w:val="18"/>
        </w:rPr>
      </w:pPr>
      <w:r>
        <w:rPr>
          <w:rFonts w:ascii="Arial;sans-serif" w:hAnsi="Arial;sans-serif"/>
          <w:b/>
          <w:i/>
          <w:color w:val="000000"/>
          <w:sz w:val="18"/>
        </w:rPr>
        <w:t>We are currently not in compliance with the continued listing standards of Nasdaq, and if we are unable to regain compliance, our Class A common stock will be delisted from the exchange.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Our Class A common stock is currently listed for trading on the Nasdaq Global Market under the symbol “GOCO”. The continued listing of our Class A common stock on Nasdaq is subject to our compliance with a number of listing standards, including Nasdaq Listing Rule 5550(b)(2), which requires listed companies on The Nasdaq Global Market to maintain a minimum market value of listed securities of $35 million (the “MVLS Requirement”). On March 18, 2026, we received a written notice (the “Notice”) from the Listing Qualifications Department of Nasdaq notifying us that we are not in compliance with Nasdaq Listing Rule 5550(b)(2). The Notice also indicates that we do not meet the alternative continued listing standards set forth in Nasdaq Listing Rules 5550(b)(1) and 5550(b)(3), which require listed companies to maintain stockholders’ equity of at least $2.5 million or net income from continuing operations of $500,000 in the most recently completed fiscal year or in two of the three most recently completed fiscal years.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 accordance with Nasdaq Listing Rule 5810(c)(3)(C), we have been provided a compliance period of 180 calendar days, or until September 14, 2026 (the “Compliance Period”), to regain compliance with the MVLS Requirement. If at any time during the Compliance Period our market value of listed securities closes at $35 million or more for a minimum of 10 consecutive business days (unless Nasdaq exercises its discretion to require a longer period, but generally no more than 20 consecutive business days), Nasdaq will provide written confirmation that we have regained compliance.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If we do not regain compliance during the Compliance Period, we expect that Nasdaq will provide written notice that our securities are subject to delisting. At that time, we may appeal Nasdaq’s determination to a Nasdaq Hearings Panel, which would stay any suspension or delisting action pending the conclusion of the hearing process.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We are evaluating options to regain compliance with the MVLS Requirement; however, we may not be able to regain compliance with the applicable continued listing requirements. If we fail to regain compliance with the Nasdaq continued listing standards, after any compliance period, or we fail to comply with other continued listing requirements, Nasdaq will provide notice that our Class A common stock will be subject to delisting, which could adversely affect our ability to raise additional financing through the public or private sale of equity securities, would significantly affect the ability of investors to trade our securities and would negatively affect the value and liquidity of our Class A common stock. Delisting could also have other negative results, including the potential loss of confidence by employees, the loss of institutional investor interest and fewer business development opportunities. If our Class A common stock is delisted by Nasdaq, the price of our Class A common stock may decline and our Class A common stock may be eligible to trade on the OTC Bulletin Board, another over-the-counter quotation system, or on the pink sheets where an investor may find it more difficult to dispose of their common stock or obtain accurate quotations as to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716280"/>
                <wp:effectExtent l="0" t="0" r="0" b="0"/>
                <wp:wrapNone/>
                <wp:docPr id="45" name="Frame44"/>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40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40</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market value of our common stock. A delisting from Nasdaq and failure to obtain listing on another market or exchange would subject our Class A common stock to so-called penny stock rules that impose additional sales practice and market-making requirements on broker-dealers who sell or make a market in such securities. Further, if we are delisted, we would incur additional costs under requirements of state “blue sky” laws in connection with any sales of our securities. These requirements could severely limit the market liquidity of our Class A common stock and the ability of our stockholders to sell our Class A common stock in the secondary market.</w:t>
      </w:r>
    </w:p>
    <w:p>
      <w:pPr>
        <w:pStyle w:val="TextBody"/>
        <w:bidi w:val="0"/>
        <w:spacing w:lineRule="auto" w:line="288" w:before="240" w:after="283"/>
        <w:jc w:val="left"/>
        <w:rPr>
          <w:rFonts w:ascii="Arial;sans-serif" w:hAnsi="Arial;sans-serif"/>
          <w:b/>
          <w:i/>
          <w:color w:val="000000"/>
          <w:sz w:val="18"/>
        </w:rPr>
      </w:pPr>
      <w:r>
        <w:rPr>
          <w:rFonts w:ascii="Arial;sans-serif" w:hAnsi="Arial;sans-serif"/>
          <w:b/>
          <w:i/>
          <w:color w:val="000000"/>
          <w:sz w:val="18"/>
        </w:rPr>
        <w:t>We incur significant costs as a result of operating as a public company.</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We are subject to the reporting requirements of the Exchange Act, the Sarbanes-Oxley Act, the Dodd–Frank Wall Street Reform and Consumer Protection Act of 2010, the listing requirements of the Nasdaq and other applicable securities laws and regulations. The expenses incurred by public companies generally for reporting and corporate governance purposes have been increasing. We expect these rules and regulations to continue to increase our legal and financial compliance costs and to make some activities more difficult, time-consuming and costly, although we are currently unable to estimate these costs with any degree of certainty. Being a public company and being subject to new rules and regulations also makes it more expensive for us to obtain director and officer liability insurance, and we may be required to accept reduced coverage or incur substantially higher costs to obtain coverage. These laws and regulations could also make it more difficult for us to attract and retain qualified persons to serve on our board of directors, our board committees or as our executive officers. Furthermore, if we are unable to satisfy our obligations as a public company, we could be subject to delisting of our Class A common stock, fines, sanctions and other regulatory action and potentially civil litigation. These factors may, therefore, strain our resources, divert management’s attention and affect our ability to attract and retain qualified board members.</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General Risks</w:t>
      </w:r>
    </w:p>
    <w:p>
      <w:pPr>
        <w:pStyle w:val="TextBody"/>
        <w:bidi w:val="0"/>
        <w:spacing w:lineRule="auto" w:line="288" w:before="240" w:after="283"/>
        <w:jc w:val="left"/>
        <w:rPr>
          <w:rFonts w:ascii="Arial;sans-serif" w:hAnsi="Arial;sans-serif"/>
          <w:b/>
          <w:i/>
          <w:color w:val="000000"/>
          <w:sz w:val="18"/>
        </w:rPr>
      </w:pPr>
      <w:r>
        <w:rPr>
          <w:rFonts w:ascii="Arial;sans-serif" w:hAnsi="Arial;sans-serif"/>
          <w:b/>
          <w:i/>
          <w:color w:val="000000"/>
          <w:sz w:val="18"/>
        </w:rPr>
        <w:t>From time to time we are subject to various legal proceedings which could adversely affect our business, financial condition or results of operations.</w:t>
      </w:r>
    </w:p>
    <w:p>
      <w:pPr>
        <w:pStyle w:val="TextBody"/>
        <w:bidi w:val="0"/>
        <w:spacing w:lineRule="auto" w:line="288" w:before="240" w:after="283"/>
        <w:jc w:val="left"/>
        <w:rPr/>
      </w:pPr>
      <w:r>
        <w:rPr>
          <w:rFonts w:ascii="Arial;sans-serif" w:hAnsi="Arial;sans-serif"/>
          <w:b w:val="false"/>
          <w:color w:val="000000"/>
          <w:sz w:val="18"/>
        </w:rPr>
        <w:t xml:space="preserve">We are, and may in the future become, involved in various legal proceedings and governmental inquiries, including labor and employment-related claims, claims relating to our marketing or sale of health insurance, intellectual property claims and claims relating to our compliance with securities laws. For example, in August 2022, we received a subpoena from the U.S. Attorney’s Office for the District of Massachusetts (the “U.S. Attorney’s Office”), seeking, among other things, information relating to our arrangements with certain insurance health plan partners and, on May 1, 2025, the U.S. Attorney’s Office filed a complaint partially intervening in a </w:t>
      </w:r>
      <w:r>
        <w:rPr>
          <w:rFonts w:ascii="Arial;sans-serif" w:hAnsi="Arial;sans-serif"/>
          <w:b w:val="false"/>
          <w:i/>
          <w:color w:val="000000"/>
          <w:sz w:val="18"/>
        </w:rPr>
        <w:t xml:space="preserve">qui tam </w:t>
      </w:r>
      <w:r>
        <w:rPr>
          <w:rFonts w:ascii="Arial;sans-serif" w:hAnsi="Arial;sans-serif"/>
          <w:b w:val="false"/>
          <w:color w:val="000000"/>
          <w:sz w:val="18"/>
        </w:rPr>
        <w:t>action against the Company related to certain of our sales and marketing practices. Such matters can be time-consuming, divert management’s attention and resources and cause us to incur significant expenses, impact our working capital and cash flow, and harm our relationships of financial agreement with our health plan partners, vendors, lenders and investors. Our insurance and indemnities may not cover all claims that may be asserted against us, and any claims asserted against us, regardless of merit or eventual outcome, may harm our reputation. If we are unsuccessful in our defense in these litigation matters or any other legal proceeding, we may be forced to pay damages, fines or penalties, including revocation of our licenses to sell insurance, may be required to enter into consent decrees, stop offering our services or change our business practices, or may lose our relationships with health plan partners, any of which could adversely affect our business, financial condition or results of operations.</w:t>
      </w:r>
    </w:p>
    <w:p>
      <w:pPr>
        <w:pStyle w:val="TextBody"/>
        <w:bidi w:val="0"/>
        <w:spacing w:lineRule="auto" w:line="288" w:before="240" w:after="283"/>
        <w:jc w:val="left"/>
        <w:rPr>
          <w:rFonts w:ascii="Arial;sans-serif" w:hAnsi="Arial;sans-serif"/>
          <w:b/>
          <w:i/>
          <w:color w:val="000000"/>
          <w:sz w:val="18"/>
        </w:rPr>
      </w:pPr>
      <w:r>
        <w:rPr>
          <w:rFonts w:ascii="Arial;sans-serif" w:hAnsi="Arial;sans-serif"/>
          <w:b/>
          <w:i/>
          <w:color w:val="000000"/>
          <w:sz w:val="18"/>
        </w:rPr>
        <w:t>Unanticipated changes in effective tax rates or adverse outcomes resulting from examination of our income or other tax returns could adversely affect our results of operations and financial condition.</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We are subject to taxes by the U.S. federal, state, local and foreign tax authorities. Our future effective tax rates could be subject to volatility or adversely affected by a number of factors, including:</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allocation of expenses to and among different jurisdictions;</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changes in the valuation of our deferred tax assets and liabilities;</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expected timing and amount of the release of any tax valuation allowances;</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tax effects of stock-based compensation;</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costs related to intercompany restructurings;</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changes in tax laws, tax treaties, regulations or interpretations thereof; or</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lower than anticipated future earnings in jurisdictions where we have lower statutory tax rates and higher than anticipated future earnings in jurisdictions where we have higher statutory tax rates.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716280"/>
                <wp:effectExtent l="0" t="0" r="0" b="0"/>
                <wp:wrapNone/>
                <wp:docPr id="46" name="Frame45"/>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41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41</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In addition, we may be subject to audits of our income, sales and other taxes by U.S. federal, state, and local and foreign taxing authorities. Outcomes from these audits could have an adverse effect on our operating results and financial condition.</w:t>
      </w:r>
    </w:p>
    <w:p>
      <w:pPr>
        <w:pStyle w:val="TextBody"/>
        <w:bidi w:val="0"/>
        <w:spacing w:lineRule="auto" w:line="288" w:before="240" w:after="283"/>
        <w:jc w:val="left"/>
        <w:rPr>
          <w:rFonts w:ascii="Arial;sans-serif" w:hAnsi="Arial;sans-serif"/>
          <w:b/>
          <w:i/>
          <w:color w:val="000000"/>
          <w:sz w:val="18"/>
        </w:rPr>
      </w:pPr>
      <w:r>
        <w:rPr>
          <w:rFonts w:ascii="Arial;sans-serif" w:hAnsi="Arial;sans-serif"/>
          <w:b/>
          <w:i/>
          <w:color w:val="000000"/>
          <w:sz w:val="18"/>
        </w:rPr>
        <w:t>Our stock price may change significantly, and you may not be able to resell shares of our Class A common stock at or above the price you paid or at all, and you could lose all or part of your investment as a result.</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You may not be able to resell your shares at or above the price which you paid for them due to a number of factors included herein, including the following:</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results of operations that vary from the expectations of securities analysts and investors;</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results of operations that vary from those of our competitors;</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changes in expectations as to our future financial performance, including financial estimates and investment recommendations by securities analysts and investors;</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technology changes, changes in consumer behavior or changes in merchant relationships in our industry;</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security breaches related to our systems or those of our merchants, affiliates or strategic partners;</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changes in economic conditions for companies in our industry;</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changes in market valuations of, or earnings and other announcements by, companies in our industry;</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declines in the market prices of stocks generally, particularly those of global payment companies;</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strategic actions by us or our competitors;</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announcements by us, our competitors or our strategic partners of significant contracts, new products, acquisitions, joint marketing relationships, joint ventures, other strategic relationships, or capital commitments;</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changes in general economic or market conditions or trends in our industry or the economy as a whole and, in particular, in the consumer spending environment;</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changes in business or regulatory conditions;</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future sales of our Class A common stock or other securities;</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investor perceptions of the investment opportunity associated with our Class A common stock relative to other investment alternatives;</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the public’s response to press releases or other public announcements by us or third parties, including our filings with the SEC;</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announcements relating to litigation or governmental investigations;</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guidance, if any, that we provide to the public, any changes in this guidance, or our failure to meet this guidance;</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the development and sustainability of an active trading market for our stock;</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changes in accounting principles;</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global macroeconomic conditions, including inflation, labor shortages, supply chain shortages, or other economic, political or legal uncertainties or adverse developments;</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political tensions resulting in economic instability, such as due to military activity or civil hostilities among Russia and Ukraine and the related response, including sanctions or other restrictive actions, by the U.S. and/or other countries; and</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other events or factors, including those resulting from system failures and disruptions, natural disasters, war, acts of terrorism, an outbreak of highly infectious or contagious diseases, such as COVID-19, or responses to these events.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716280"/>
                <wp:effectExtent l="0" t="0" r="0" b="0"/>
                <wp:wrapNone/>
                <wp:docPr id="47" name="Frame46"/>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42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42</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Furthermore, the stock market may experience extreme volatility that, in some cases, may be unrelated or disproportionate to the operating performance of particular companies. These broad market and industry fluctuations may adversely affect the market price of our Class A common stock, regardless of our actual operating performance. In addition, price volatility may be greater if the public float and trading volume of our Class A common stock is low.</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In the past, following periods of market volatility, stockholders have instituted securities class action litigation. If we were involved in securities litigation, it could have a substantial cost and divert resources and the attention of management from our business regardless of the outcome of such litigation.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716280"/>
                <wp:effectExtent l="0" t="0" r="0" b="0"/>
                <wp:wrapNone/>
                <wp:docPr id="48" name="Frame47"/>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43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43</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Arial;sans-serif" w:hAnsi="Arial;sans-serif"/>
          <w:b/>
          <w:color w:val="0A2299"/>
          <w:sz w:val="18"/>
        </w:rPr>
      </w:pPr>
      <w:r>
        <w:rPr>
          <w:rFonts w:ascii="Arial;sans-serif" w:hAnsi="Arial;sans-serif"/>
          <w:b/>
          <w:color w:val="0A2299"/>
          <w:sz w:val="18"/>
        </w:rPr>
        <w:t>ITEM 1B. UNRESOLVED STAFF COMMENTS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A2299"/>
          <w:sz w:val="18"/>
        </w:rPr>
      </w:pPr>
      <w:r>
        <w:rPr>
          <w:rFonts w:ascii="Arial;sans-serif" w:hAnsi="Arial;sans-serif"/>
          <w:b/>
          <w:color w:val="0A2299"/>
          <w:sz w:val="18"/>
        </w:rPr>
        <w:t>ITEM 1C. CYBERSECURITY</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GoHealth’s services involve the collection, processing, use, storage and transmission of confidential and personal information of consumers and employees. Maintaining the integrity, confidentiality and availability of this information as well as the information technology systems in which the information resides is critical to the Company’s operations and business strategy.</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The Company takes a comprehensive, cross-functional approach to developing strategies for identifying, preventing and mitigating cybersecurity threats and effectively responding to cybersecurity incidents. The Company maintains a business continuity and disaster recovery plan as well as a cybersecurity insurance policy.</w:t>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18"/>
        </w:rPr>
      </w:pPr>
      <w:r>
        <w:rPr>
          <w:rFonts w:ascii="Arial;sans-serif" w:hAnsi="Arial;sans-serif"/>
          <w:b/>
          <w:color w:val="000000"/>
          <w:sz w:val="18"/>
        </w:rPr>
        <w:t>Risk Management and Strategy</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 xml:space="preserve">Cybersecurity risk management is integrated into the Company’s broader enterprise risk management (“ERM”) program. The ERM program, led by the Company’s Internal Audit and Legal teams, consolidates the collective input of executive management to prioritize enterprise-level risks, develop risk mitigation initiatives and establish monitoring functions. The cybersecurity program includes the development of a structured control framework and risk taxonomy that aligns with anticipated business risk. The Internal Audit and Legal teams perform an enterprise risk assessment annually and present the results to the Audit Committee of the Board of Directors. Further, our Chief Technology Officer (“CTO”) actively participates in the ERM program, including through diligence conducted as part of the broader ERM program.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 xml:space="preserve">Our CTO has direct responsibility for cybersecurity and overseeing the Company’s cybersecurity strategy, policies, standards and processes. Our CTO has more than 25 years of experience developing user-centric consumer marketplaces and artificial intelligence products and has held various leadership roles in product development, product design and data science. The CTO is supported by two senior risk, compliance, and security leaders who engage regularly with the CTO to manage cybersecurity and compliance risks. Additionally, the Company’s cybersecurity team is comprised of experienced information security professionals dedicated to protecting the company’s assets. The CTO receives regular updates on security, compliance risks and initiatives and provides a quarterly cybersecurity risk and incident review to GoHealth’s Internal Compliance Committee. This committee includes cross-functional senior leadership members, including C-suite executives and personnel from legal, compliance and internal audit.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GoHealth’s cybersecurity risk management program is based on industry standards and best practices, aligning with the Center for Internet Security and the National Institute of Standards and Technology (NIST) Cybersecurity Frameworks. The Company conducts control self-assessments and risk assessments in collaboration with assigned control owners and risk owners to evaluate the maturity and effectiveness of its cybersecurity processes. Based on prior third-party assessments, GoHealth has completed the majority of its Governance, Risk and Compliance (GRC) roadmap initiatives and is currently deploying various comprehensive security tools and programs to further strengthen its cybersecurity posture.</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 xml:space="preserve">GoHealth engages with a range of additional third-party cybersecurity service providers, assessors and auditors to evaluate and enhance the effectiveness of its cybersecurity program. Services provided by these third parties include endpoint and network monitoring, vulnerability scanning, penetration testing and security and compliance posture assessments. To mitigate risks associated with third-party sources, the Company requires third parties with access to personal, confidential or proprietary information to implement and maintain cybersecurity practices consistent with applicable legal standards and industry best practices and to enter into business associate agreements containing contractual provisions with respect to the handling of such information. GoHealth also conducts risk-based information security assessments of these third parties prior to engaging with them.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The Company has established cybersecurity and information security awareness training programs. Formal training on topics relating to the Company’s cybersecurity, data privacy and information security policies and procedures is mandatory at least annually for all employees and contractors with access to the Company’s network. In addition to the annual security training requirement, employees participate in monthly phishing tests, and where appropriate, additional security awareness follow-up training in response to such tests. Training is supplemented through periodic Company communications encouraging all employees and contractors to promptly report security events, incidents and abnormal system behavior.</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As cybersecurity incidents occur, the Company’s cybersecurity team focuses on responding to and containing the threat and minimizing any business impact, as appropriate. In the event of an incident, the cybersecurity team assesses, among other factors, safety impact, data and personal information loss, business operations disruption, projected cost and potential for reputational harm, with support from external technical, legal and law enforcement support, as appropriate.</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As of the date of this 2025 Annual Report on Form 10-K, the Company is not aware of any material risks from cybersecurity threats, including as a result of any previous cybersecurity incidents, that have materially affected the Company, its business strategy, results of operations or financial condition; however, we cannot provide assurance that these threats will not result in such an impact in the future, as discussed in the risk factors entitled “Risks Related to Our Business” and “Risks Related to Our Intellectual Property and Technology” in Part I, Item 1A. of this 2025 Annual Report on Form 10-K.</w:t>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18"/>
        </w:rPr>
      </w:pPr>
      <w:r>
        <w:rPr>
          <w:rFonts w:ascii="Arial;sans-serif" w:hAnsi="Arial;sans-serif"/>
          <w:b/>
          <w:color w:val="000000"/>
          <w:sz w:val="18"/>
        </w:rPr>
        <w:t>Governance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716280"/>
                <wp:effectExtent l="0" t="0" r="0" b="0"/>
                <wp:wrapNone/>
                <wp:docPr id="49" name="Frame48"/>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44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44</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 xml:space="preserve">The Board of Directors recognizes the importance of cybersecurity in safeguarding the Company’s sensitive data. The Board of Directors is responsible for overseeing overall risk management for the Company, including review and approval of the ERM approach and processes implemented by management to identify, assess, manage and mitigate risk. The Audit Committee is central to the Board of Director’s oversight of cybersecurity risks and bears the primary responsibility for assessing and managing the Company’s material risks from cybersecurity threats.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Cybersecurity risk oversight is also a key area of focus for management. As discussed above, the CTO is primarily responsible for the cybersecurity program, strategy, policy, standards and processes. On a quarterly basis, or more frequently if a need arises, the CTO presents a briefing to the Audit Committee regarding the Company’s cybersecurity program. The presented topics include, but are not limited to, the status of ongoing cybersecurity initiatives, incident reports and compliance with industry standards. Potentially material cybersecurity matters are escalated to the Audit Committee and/or the full Board of Directors, as appropriate, for risk oversight.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A2299"/>
          <w:sz w:val="18"/>
        </w:rPr>
      </w:pPr>
      <w:r>
        <w:rPr>
          <w:rFonts w:ascii="Arial;sans-serif" w:hAnsi="Arial;sans-serif"/>
          <w:b/>
          <w:color w:val="0A2299"/>
          <w:sz w:val="18"/>
        </w:rPr>
        <w:t>ITEM 2. PROPERTIES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Our corporate headquarters is located in Chicago, Illinois, and consists of approximately 91,297 square feet of space used to support our marketing and advertising, technology and general and administrative functions. We believe our existing properties are in good operating condition and are suitable for the conduct of our business. </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As part of our continued cost savings initiatives during the twelve months ended December 31, 2025, 2024 and 2023, we evaluated our portfolio of properties to identify where we no longer utilize the property for our business operations. As a result, we have entered into or are actively seeking sublease and termination agreements. This evaluation resulted in the complete or partial impairments of certain leased properties, including properties in Chicago, Illinois, Lindon, Utah and Charlotte, North Carolina. For additional information about the operating lease impairment charges related to our leased properties, see Note 3, “Fair Value Measurements” and Note 11, “Leases.”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A2299"/>
          <w:sz w:val="18"/>
        </w:rPr>
      </w:pPr>
      <w:r>
        <w:rPr>
          <w:rFonts w:ascii="Arial;sans-serif" w:hAnsi="Arial;sans-serif"/>
          <w:b/>
          <w:color w:val="0A2299"/>
          <w:sz w:val="18"/>
        </w:rPr>
        <w:t>ITEM 3. LEGAL PROCEEDINGS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Refer to Note 12, “Commitments and Contingencies,” of the Notes to Consolidated Financial Statements for information about legal proceedings.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A2299"/>
          <w:sz w:val="18"/>
        </w:rPr>
      </w:pPr>
      <w:r>
        <w:rPr>
          <w:rFonts w:ascii="Arial;sans-serif" w:hAnsi="Arial;sans-serif"/>
          <w:b/>
          <w:color w:val="0A2299"/>
          <w:sz w:val="18"/>
        </w:rPr>
        <w:t>ITEM 4. MINE SAFETY DISCLOSURES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A2299"/>
          <w:sz w:val="18"/>
        </w:rPr>
      </w:pPr>
      <w:r>
        <w:rPr>
          <w:rFonts w:ascii="Arial;sans-serif" w:hAnsi="Arial;sans-serif"/>
          <w:b/>
          <w:color w:val="0A2299"/>
          <w:sz w:val="18"/>
        </w:rPr>
        <w:t>INFORMATION ABOUT OUR EXECUTIVE OFFICERS AND DIRECTORS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following table provides information regarding our executive officers as of the date of this Annual Report on Form 10-K:</w:t>
      </w:r>
    </w:p>
    <w:tbl>
      <w:tblPr>
        <w:tblW w:w="5949" w:type="dxa"/>
        <w:jc w:val="left"/>
        <w:tblInd w:w="0" w:type="dxa"/>
        <w:tblLayout w:type="fixed"/>
        <w:tblCellMar>
          <w:top w:w="28" w:type="dxa"/>
          <w:left w:w="28" w:type="dxa"/>
          <w:bottom w:w="28" w:type="dxa"/>
          <w:right w:w="28" w:type="dxa"/>
        </w:tblCellMar>
      </w:tblPr>
      <w:tblGrid>
        <w:gridCol w:w="550"/>
        <w:gridCol w:w="480"/>
        <w:gridCol w:w="485"/>
        <w:gridCol w:w="109"/>
        <w:gridCol w:w="109"/>
        <w:gridCol w:w="109"/>
        <w:gridCol w:w="140"/>
        <w:gridCol w:w="140"/>
        <w:gridCol w:w="141"/>
        <w:gridCol w:w="109"/>
        <w:gridCol w:w="109"/>
        <w:gridCol w:w="109"/>
        <w:gridCol w:w="982"/>
        <w:gridCol w:w="982"/>
        <w:gridCol w:w="1395"/>
      </w:tblGrid>
      <w:tr>
        <w:trPr/>
        <w:tc>
          <w:tcPr>
            <w:tcW w:w="55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r>
      <w:tr>
        <w:trPr/>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Position(s)</w:t>
            </w:r>
          </w:p>
        </w:tc>
      </w:tr>
      <w:tr>
        <w:trPr/>
        <w:tc>
          <w:tcPr>
            <w:tcW w:w="15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Vijay Kotte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Chief Executive Officer</w:t>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Brendan Shanahan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Chief Financial Officer</w:t>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Michael Hargis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Chief Operating Officer</w:t>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Brad Burd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Chief Legal Officer and Corporate Secretary</w:t>
            </w:r>
          </w:p>
        </w:tc>
      </w:tr>
      <w:tr>
        <w:trPr/>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59" w:type="dxa"/>
            <w:gridSpan w:val="3"/>
            <w:tcBorders/>
            <w:vAlign w:val="center"/>
          </w:tcPr>
          <w:p>
            <w:pPr>
              <w:pStyle w:val="TableContents"/>
              <w:bidi w:val="0"/>
              <w:spacing w:before="0" w:after="283"/>
              <w:jc w:val="left"/>
              <w:rPr>
                <w:sz w:val="4"/>
                <w:szCs w:val="4"/>
              </w:rPr>
            </w:pPr>
            <w:r>
              <w:rPr>
                <w:sz w:val="4"/>
                <w:szCs w:val="4"/>
              </w:rPr>
            </w:r>
          </w:p>
        </w:tc>
      </w:tr>
      <w:tr>
        <w:trPr/>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59" w:type="dxa"/>
            <w:gridSpan w:val="3"/>
            <w:tcBorders/>
            <w:vAlign w:val="center"/>
          </w:tcPr>
          <w:p>
            <w:pPr>
              <w:pStyle w:val="TableContents"/>
              <w:bidi w:val="0"/>
              <w:spacing w:before="0" w:after="283"/>
              <w:jc w:val="left"/>
              <w:rPr>
                <w:sz w:val="4"/>
                <w:szCs w:val="4"/>
              </w:rPr>
            </w:pPr>
            <w:r>
              <w:rPr>
                <w:sz w:val="4"/>
                <w:szCs w:val="4"/>
              </w:rPr>
            </w:r>
          </w:p>
        </w:tc>
      </w:tr>
      <w:tr>
        <w:trPr/>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59" w:type="dxa"/>
            <w:gridSpan w:val="3"/>
            <w:tcBorders/>
            <w:vAlign w:val="center"/>
          </w:tcPr>
          <w:p>
            <w:pPr>
              <w:pStyle w:val="TableContents"/>
              <w:bidi w:val="0"/>
              <w:spacing w:before="0" w:after="283"/>
              <w:jc w:val="left"/>
              <w:rPr>
                <w:sz w:val="4"/>
                <w:szCs w:val="4"/>
              </w:rPr>
            </w:pPr>
            <w:r>
              <w:rPr>
                <w:sz w:val="4"/>
                <w:szCs w:val="4"/>
              </w:rPr>
            </w:r>
          </w:p>
        </w:tc>
      </w:tr>
      <w:tr>
        <w:trPr/>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59" w:type="dxa"/>
            <w:gridSpan w:val="3"/>
            <w:tcBorders/>
            <w:vAlign w:val="center"/>
          </w:tcPr>
          <w:p>
            <w:pPr>
              <w:pStyle w:val="TableContents"/>
              <w:bidi w:val="0"/>
              <w:spacing w:before="0" w:after="283"/>
              <w:jc w:val="left"/>
              <w:rPr>
                <w:sz w:val="4"/>
                <w:szCs w:val="4"/>
              </w:rPr>
            </w:pPr>
            <w:r>
              <w:rPr>
                <w:sz w:val="4"/>
                <w:szCs w:val="4"/>
              </w:rPr>
            </w:r>
          </w:p>
        </w:tc>
      </w:tr>
      <w:tr>
        <w:trPr/>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59" w:type="dxa"/>
            <w:gridSpan w:val="3"/>
            <w:tcBorders/>
            <w:vAlign w:val="center"/>
          </w:tcPr>
          <w:p>
            <w:pPr>
              <w:pStyle w:val="TableContents"/>
              <w:bidi w:val="0"/>
              <w:spacing w:before="0" w:after="283"/>
              <w:jc w:val="left"/>
              <w:rPr>
                <w:sz w:val="4"/>
                <w:szCs w:val="4"/>
              </w:rPr>
            </w:pPr>
            <w:r>
              <w:rPr>
                <w:sz w:val="4"/>
                <w:szCs w:val="4"/>
              </w:rPr>
            </w:r>
          </w:p>
        </w:tc>
      </w:tr>
      <w:tr>
        <w:trPr/>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5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Executive Officers</w:t>
      </w:r>
    </w:p>
    <w:p>
      <w:pPr>
        <w:pStyle w:val="TextBody"/>
        <w:bidi w:val="0"/>
        <w:spacing w:lineRule="auto" w:line="288" w:before="240" w:after="283"/>
        <w:jc w:val="left"/>
        <w:rPr/>
      </w:pPr>
      <w:r>
        <w:rPr>
          <w:rFonts w:ascii="Arial;sans-serif" w:hAnsi="Arial;sans-serif"/>
          <w:b/>
          <w:i/>
          <w:color w:val="000000"/>
          <w:sz w:val="18"/>
        </w:rPr>
        <w:t>Vijay Kotte</w:t>
      </w:r>
      <w:r>
        <w:rPr>
          <w:color w:val="000000"/>
        </w:rPr>
        <w:t xml:space="preserve"> </w:t>
      </w:r>
      <w:r>
        <w:rPr>
          <w:rFonts w:ascii="Arial;sans-serif" w:hAnsi="Arial;sans-serif"/>
          <w:b w:val="false"/>
          <w:color w:val="000000"/>
          <w:sz w:val="18"/>
        </w:rPr>
        <w:t>joined GoHealth as Chief Executive Officer in 2022 and serves on the Company’s Board of Directors. Mr. Kotte holds a Bachelor’s degree in Business Administration with a focus on Finance and Organizational Management from Emory University and a MBA from the Kellogg School of Management, Northwestern University.</w:t>
      </w:r>
    </w:p>
    <w:p>
      <w:pPr>
        <w:pStyle w:val="TextBody"/>
        <w:bidi w:val="0"/>
        <w:spacing w:lineRule="auto" w:line="288" w:before="240" w:after="283"/>
        <w:jc w:val="left"/>
        <w:rPr/>
      </w:pPr>
      <w:r>
        <w:rPr>
          <w:rFonts w:ascii="Arial;sans-serif" w:hAnsi="Arial;sans-serif"/>
          <w:b/>
          <w:i/>
          <w:color w:val="000000"/>
          <w:sz w:val="18"/>
        </w:rPr>
        <w:t xml:space="preserve">Brendan Shanahan </w:t>
      </w:r>
      <w:r>
        <w:rPr>
          <w:rFonts w:ascii="Arial;sans-serif" w:hAnsi="Arial;sans-serif"/>
          <w:b w:val="false"/>
          <w:color w:val="000000"/>
          <w:sz w:val="18"/>
        </w:rPr>
        <w:t>joined GoHealth as Chief Financial Officer in 2024. Mr. Shanahan holds a Bachelor’s degree in Business Administration from The Citadel and an MBA from Hofstra University.</w:t>
      </w:r>
    </w:p>
    <w:p>
      <w:pPr>
        <w:pStyle w:val="TextBody"/>
        <w:bidi w:val="0"/>
        <w:spacing w:lineRule="auto" w:line="288" w:before="240" w:after="283"/>
        <w:jc w:val="left"/>
        <w:rPr/>
      </w:pPr>
      <w:r>
        <w:rPr>
          <w:rFonts w:ascii="Arial;sans-serif" w:hAnsi="Arial;sans-serif"/>
          <w:b/>
          <w:i/>
          <w:color w:val="000000"/>
          <w:sz w:val="18"/>
        </w:rPr>
        <w:t xml:space="preserve">Michael Hargis </w:t>
      </w:r>
      <w:r>
        <w:rPr>
          <w:rFonts w:ascii="Arial;sans-serif" w:hAnsi="Arial;sans-serif"/>
          <w:b w:val="false"/>
          <w:color w:val="000000"/>
          <w:sz w:val="18"/>
        </w:rPr>
        <w:t>joined GoHealth in 2022 as Chief Customer Experience Officer and began his role as Chief Operating Officer in July 2023. Mr. Hargis holds a Bachelor’s degree in Business Administration from Thomas More University and an MBA from the Kellogg School of Management, Northwestern University.</w:t>
      </w:r>
    </w:p>
    <w:p>
      <w:pPr>
        <w:pStyle w:val="TextBody"/>
        <w:bidi w:val="0"/>
        <w:spacing w:lineRule="auto" w:line="268" w:before="240" w:after="283"/>
        <w:jc w:val="left"/>
        <w:rPr/>
      </w:pPr>
      <w:r>
        <w:rPr>
          <w:rFonts w:ascii="Arial;sans-serif" w:hAnsi="Arial;sans-serif"/>
          <w:b/>
          <w:i/>
          <w:color w:val="000000"/>
          <w:sz w:val="18"/>
        </w:rPr>
        <w:t xml:space="preserve">Brad Burd </w:t>
      </w:r>
      <w:r>
        <w:rPr>
          <w:rFonts w:ascii="Arial;sans-serif" w:hAnsi="Arial;sans-serif"/>
          <w:b w:val="false"/>
          <w:color w:val="000000"/>
          <w:sz w:val="18"/>
        </w:rPr>
        <w:t>has been with GoHealth since 2011 and has served as GoHealth’s Chief Legal Officer and Corporate Secretary since February 2024. Mr. Burd holds a Bachelor’s degree in finance from Miami University in Oxford, Ohio and a Juris Doctor degree from the University of Cincinnati College of Law.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716280"/>
                <wp:effectExtent l="0" t="0" r="0" b="0"/>
                <wp:wrapNone/>
                <wp:docPr id="50" name="Frame49"/>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45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45</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following table provides information regarding our members of our Board of Directors as of the date of this Annual Report on Form 10-K:</w:t>
      </w:r>
    </w:p>
    <w:p>
      <w:pPr>
        <w:pStyle w:val="TextBody"/>
        <w:bidi w:val="0"/>
        <w:spacing w:before="240" w:after="283"/>
        <w:jc w:val="left"/>
        <w:rPr/>
      </w:pPr>
      <w:r>
        <w:rPr/>
      </w:r>
    </w:p>
    <w:p>
      <w:pPr>
        <w:pStyle w:val="TextBody"/>
        <w:bidi w:val="0"/>
        <w:spacing w:before="240" w:after="283"/>
        <w:jc w:val="left"/>
        <w:rPr/>
      </w:pPr>
      <w:r>
        <w:rPr/>
      </w:r>
    </w:p>
    <w:tbl>
      <w:tblPr>
        <w:tblW w:w="6497" w:type="dxa"/>
        <w:jc w:val="left"/>
        <w:tblInd w:w="0" w:type="dxa"/>
        <w:tblLayout w:type="fixed"/>
        <w:tblCellMar>
          <w:top w:w="28" w:type="dxa"/>
          <w:left w:w="28" w:type="dxa"/>
          <w:bottom w:w="28" w:type="dxa"/>
          <w:right w:w="28" w:type="dxa"/>
        </w:tblCellMar>
      </w:tblPr>
      <w:tblGrid>
        <w:gridCol w:w="462"/>
        <w:gridCol w:w="403"/>
        <w:gridCol w:w="409"/>
        <w:gridCol w:w="109"/>
        <w:gridCol w:w="109"/>
        <w:gridCol w:w="109"/>
        <w:gridCol w:w="140"/>
        <w:gridCol w:w="140"/>
        <w:gridCol w:w="141"/>
        <w:gridCol w:w="109"/>
        <w:gridCol w:w="109"/>
        <w:gridCol w:w="109"/>
        <w:gridCol w:w="1290"/>
        <w:gridCol w:w="1290"/>
        <w:gridCol w:w="1305"/>
        <w:gridCol w:w="109"/>
        <w:gridCol w:w="154"/>
      </w:tblGrid>
      <w:tr>
        <w:trPr/>
        <w:tc>
          <w:tcPr>
            <w:tcW w:w="462"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Position(s)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Clinton Jones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Co-Founder, Co-Chairman of the Board of Directors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Brandon Cruz</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Co-Founder, Co-Chairman of the Board of Directors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Vijay Kotte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Director and Chief Executive Officer</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David Fisher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Director</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Mark Weinsten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Director</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Alan Carr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Director</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Bao Truong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Director</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Timothy Pohl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Director</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William Transier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Director</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716280"/>
                <wp:effectExtent l="0" t="0" r="0" b="0"/>
                <wp:wrapNone/>
                <wp:docPr id="51" name="Frame50"/>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46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46</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tbl>
      <w:tblPr>
        <w:tblW w:w="614" w:type="dxa"/>
        <w:jc w:val="center"/>
        <w:tblInd w:w="0" w:type="dxa"/>
        <w:tblLayout w:type="fixed"/>
        <w:tblCellMar>
          <w:top w:w="28" w:type="dxa"/>
          <w:left w:w="28" w:type="dxa"/>
          <w:bottom w:w="28" w:type="dxa"/>
          <w:right w:w="28" w:type="dxa"/>
        </w:tblCellMar>
      </w:tblPr>
      <w:tblGrid>
        <w:gridCol w:w="197"/>
        <w:gridCol w:w="172"/>
        <w:gridCol w:w="245"/>
      </w:tblGrid>
      <w:tr>
        <w:trPr/>
        <w:tc>
          <w:tcPr>
            <w:tcW w:w="19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614" w:type="dxa"/>
            <w:gridSpan w:val="3"/>
            <w:tcBorders/>
            <w:shd w:fill="0A2299"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Part II</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A2299"/>
          <w:sz w:val="18"/>
        </w:rPr>
      </w:pPr>
      <w:r>
        <w:rPr>
          <w:rFonts w:ascii="Arial;sans-serif" w:hAnsi="Arial;sans-serif"/>
          <w:b/>
          <w:color w:val="0A2299"/>
          <w:sz w:val="18"/>
        </w:rPr>
        <w:t>ITEM 5. MARKET FOR REGISTRANT’S COMMON EQUITY, RELATED STOCKHOLDER MATTERS AND ISSUER PURCHASES OF EQUITY SECURITIES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Our Class A common stock trades under the symbol “GOCO” on The Nasdaq Global Market and has been publicly traded since July 15, 2020. Prior to this time, there was no public market for our Class A common stock.</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As of March 24, 2026, there were 34 and 9 Class A and Class B common stockholders of record, respectively. The number of record holders is based upon the actual number of holders registered on our books at such date and does not include holders of shares in “street names” or persons, partnerships, associations, corporations or other entities identified in security position listings maintained by depository trust companies.</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Recent Sales of Unregistered Securities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None.</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Dividend Policy</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We currently intend to retain all available funds and any future earnings to fund the development and growth of our business and to repay indebtedness, and therefore we do not anticipate declaring or paying any cash dividends on our Class A common stock in the foreseeable future. Holders of our Class B common stock are not entitled to participate in any dividends declared by our Board of Directors. The Series A redeemable convertible preferred stock ranks senior to the shares of our Class A common stock and Class B common stock with respect to dividend rights. Dividends on each share of Series A redeemable convertible preferred stock shall accrue at an annual rate equal to 7%, whether or not declared. Holders of Series A-1 convertible preferred stock are only entitled to dividends if we declare such dividends.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Any future determination to declare and pay cash dividends on our Class A common stock, if any, will be made at the discretion of our Board of Directors and will depend on a variety of factors, including applicable laws, our financial condition, results of operations, contractual restrictions, capital requirements, business prospects, general business or financial market conditions and other factors our Board of Directors may deem relevant.</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Purchase of Equity Securities by the Issuer and Affiliated Purchaser</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A total of 471,000 shares of Class A common stock were withheld to cover the tax liability resulting from the vesting of restricted stock units during the twelve months ended December 31, 2025. These withheld shares are recorded as treasury stock on the Consolidated Balance Sheets. </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following table provides information relating to the purchases of our common stock during the three months ended December 31, 2025 in accordance with Item 703 of Regulation S-K:</w:t>
      </w:r>
    </w:p>
    <w:tbl>
      <w:tblPr>
        <w:tblW w:w="10205" w:type="dxa"/>
        <w:jc w:val="left"/>
        <w:tblInd w:w="0" w:type="dxa"/>
        <w:tblLayout w:type="fixed"/>
        <w:tblCellMar>
          <w:top w:w="28" w:type="dxa"/>
          <w:left w:w="28" w:type="dxa"/>
          <w:bottom w:w="28" w:type="dxa"/>
          <w:right w:w="28" w:type="dxa"/>
        </w:tblCellMar>
      </w:tblPr>
      <w:tblGrid>
        <w:gridCol w:w="636"/>
        <w:gridCol w:w="454"/>
        <w:gridCol w:w="461"/>
        <w:gridCol w:w="109"/>
        <w:gridCol w:w="109"/>
        <w:gridCol w:w="109"/>
        <w:gridCol w:w="626"/>
        <w:gridCol w:w="491"/>
        <w:gridCol w:w="493"/>
        <w:gridCol w:w="109"/>
        <w:gridCol w:w="109"/>
        <w:gridCol w:w="109"/>
        <w:gridCol w:w="343"/>
        <w:gridCol w:w="816"/>
        <w:gridCol w:w="190"/>
        <w:gridCol w:w="109"/>
        <w:gridCol w:w="109"/>
        <w:gridCol w:w="109"/>
        <w:gridCol w:w="852"/>
        <w:gridCol w:w="852"/>
        <w:gridCol w:w="855"/>
        <w:gridCol w:w="109"/>
        <w:gridCol w:w="109"/>
        <w:gridCol w:w="109"/>
        <w:gridCol w:w="471"/>
        <w:gridCol w:w="978"/>
        <w:gridCol w:w="379"/>
      </w:tblGrid>
      <w:tr>
        <w:trPr/>
        <w:tc>
          <w:tcPr>
            <w:tcW w:w="63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r>
      <w:tr>
        <w:trPr/>
        <w:tc>
          <w:tcPr>
            <w:tcW w:w="155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6"/>
              </w:rPr>
              <w:t xml:space="preserve">Total Number of Shares (or Units) Purchased </w:t>
            </w:r>
            <w:r>
              <w:rPr>
                <w:rFonts w:ascii="Arial;sans-serif" w:hAnsi="Arial;sans-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Average Price Paid per Share (or Unit)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Total Number of Shares (or Units) Purchased as part of 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Maximum Number (or Approximate Dollar Value) of</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Shares (or Units) that</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May Yet Be</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Purchased Under the</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Plans or Programs</w:t>
            </w:r>
          </w:p>
        </w:tc>
      </w:tr>
      <w:tr>
        <w:trPr/>
        <w:tc>
          <w:tcPr>
            <w:tcW w:w="15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October 1, 2025 - October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2,816 </w:t>
            </w:r>
          </w:p>
        </w:tc>
        <w:tc>
          <w:tcPr>
            <w:tcW w:w="49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4.75 </w:t>
            </w:r>
          </w:p>
        </w:tc>
        <w:tc>
          <w:tcPr>
            <w:tcW w:w="19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7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November 1, 2025 - November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19,563 </w:t>
            </w:r>
          </w:p>
        </w:tc>
        <w:tc>
          <w:tcPr>
            <w:tcW w:w="4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3.96 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December 1, 2025 -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22,379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4.06 </w:t>
            </w:r>
          </w:p>
        </w:tc>
        <w:tc>
          <w:tcPr>
            <w:tcW w:w="19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i/>
          <w:color w:val="000000"/>
          <w:sz w:val="14"/>
        </w:rPr>
      </w:pPr>
      <w:r>
        <w:rPr>
          <w:rFonts w:ascii="Arial;sans-serif" w:hAnsi="Arial;sans-serif"/>
          <w:b w:val="false"/>
          <w:i/>
          <w:color w:val="000000"/>
          <w:sz w:val="14"/>
        </w:rPr>
        <w:t>(1) During the three months ended December 31, 2025, 22,379 shares of common stock were withheld by the Company pursuant to provisions in agreements with recipients of restricted stock units granted under the Company’s 2020 Incentive Award Plan allowing the Company to withhold the number of shares having the fair value equal to the tax withholding due.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A2299"/>
          <w:sz w:val="18"/>
        </w:rPr>
      </w:pPr>
      <w:r>
        <w:rPr>
          <w:rFonts w:ascii="Arial;sans-serif" w:hAnsi="Arial;sans-serif"/>
          <w:b/>
          <w:color w:val="0A2299"/>
          <w:sz w:val="18"/>
        </w:rPr>
        <w:t>ITEM 6.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FFFFFF"/>
          <w:sz w:val="18"/>
          <w:shd w:fill="0A2299" w:val="clear"/>
        </w:rPr>
      </w:pPr>
      <w:r>
        <w:rPr>
          <w:rFonts w:ascii="Arial;sans-serif" w:hAnsi="Arial;sans-serif"/>
          <w:b/>
          <w:color w:val="FFFFFF"/>
          <w:sz w:val="18"/>
          <w:shd w:fill="0A2299" w:val="clear"/>
        </w:rPr>
        <w:t>ITEM 7. MANAGEMENT’S DISCUSSION AND ANALYSIS OF FINANCIAL CONDITIONS AND RESULTS OF OPERATIONS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18"/>
        </w:rPr>
      </w:pPr>
      <w:r>
        <w:rPr>
          <w:rFonts w:ascii="Arial;sans-serif" w:hAnsi="Arial;sans-serif"/>
          <w:b w:val="false"/>
          <w:i/>
          <w:color w:val="000000"/>
          <w:sz w:val="18"/>
        </w:rPr>
        <w:t xml:space="preserve">This section presents management’s perspective on our financial condition and results of operations. The following discussion and analysis is intended to highlight and supplement data and information presented elsewhere in this Annual Report on Form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716280"/>
                <wp:effectExtent l="0" t="0" r="0" b="0"/>
                <wp:wrapNone/>
                <wp:docPr id="52" name="Frame51"/>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47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47</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0" w:after="0"/>
        <w:jc w:val="left"/>
        <w:rPr/>
      </w:pPr>
      <w:r>
        <w:rPr>
          <w:rFonts w:ascii="Arial;sans-serif" w:hAnsi="Arial;sans-serif"/>
          <w:b w:val="false"/>
          <w:i/>
          <w:color w:val="000000"/>
          <w:sz w:val="18"/>
        </w:rPr>
        <w:t xml:space="preserve">10-K, including the Consolidated Financial Statements and related Notes, and should be read in conjunction with the accompanying tables. To the extent that this discussion describes prior performance, the descriptions relate only to the periods listed, which may not be indicative of our future financial outcomes. In addition to historical information, this discussion contains forward-looking statements that involve risks, uncertainties and assumptions that could cause results to differ materially from management’s expectations. Factors that could cause such differences are discussed in the sections titled “Cautionary Note Regarding Forward-Looking Statements,” “Summary Risk Factors” and “Risk Factors” in this Annual Report on Form 10-K. The risks and uncertainties described in this </w:t>
      </w:r>
      <w:r>
        <w:rPr>
          <w:rFonts w:ascii="Arial;sans-serif" w:hAnsi="Arial;sans-serif"/>
          <w:b w:val="false"/>
          <w:color w:val="000000"/>
          <w:sz w:val="18"/>
        </w:rPr>
        <w:t>2025</w:t>
      </w:r>
      <w:r>
        <w:rPr>
          <w:color w:val="000000"/>
        </w:rPr>
        <w:t xml:space="preserve"> </w:t>
      </w:r>
      <w:r>
        <w:rPr>
          <w:rFonts w:ascii="Arial;sans-serif" w:hAnsi="Arial;sans-serif"/>
          <w:b w:val="false"/>
          <w:i/>
          <w:color w:val="000000"/>
          <w:sz w:val="18"/>
        </w:rPr>
        <w:t>Annual Report on Form 10-K are not the only risks and uncertainties we face. Additional risks and uncertainties not presently known to us or that we currently deem immaterial may also materially adversely affect our business, financial condition, or results of operations. We assume no obligation to update any of these forward-looking statements.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Unless otherwise noted, all dollars are in thousands. In certain cases, numbers and percentages in the tables below may not foot due to rounding.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Overview</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are a leading health insurance marketplace and Medicare-focused digital health company whose purpose is to compassionately ensure consumers’ peace of mind when making healthcare decisions so they can focus on living life. With a widely scalable end-to-end platform and substantial presence in the Medicare landscape, we believe we are uniquely positioned as a trusted partner to the 68 million Medicare-eligible Americans, as well as the 11,000 Americans becoming eligible each day, as they navigate one of life's most important purchasing decisions. For many of these consumers, enrolling in a health insurance plan is confusing and difficult. Seemingly small differences between health plans may lead to significant out-of-pocket costs or lack of access to critical providers and medicines. We aim to simplify the process by offering education, comparison guidance, transparency and choice. This includes providing a large selection of leading health plan choices, advice informed by consumers’ specific needs, transparency of health plan benefits and fit, assistance accessing available government subsidies and a high-touch consumer care team. We partner with health plans that provide access to high quality health plans across all 50 states and the District of Columbia.</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Update on Business Trends and Strategy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GoHealth has evolved from a traditional Medicare enrollment company to a Medicare engagement and digital health marketplace focusing on forging high-quality relationships with our consumers. This shift emphasizes a more integrated and interactive approach to consumer care and reflects how our Encompass operating model puts the consumer at the center of all our activities, including how we market, support enrollment activities, provide administrative services, utilize our proprietary technology and ultimately deliver a high-quality solution to those we serve. We believe our end-to-end Encompass model offers a differentiated way for Medicare beneficiaries to navigate the complex Medicare Advantage plan selection process and begin to utilize their new plan benefits with greater confidence.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 2025, insurers offering Medicare Advantage plans faced ongoing disruptions affecting their financial performance, driven by rising medical costs and regulatory pressures. Carriers are increasingly prioritizing profitability over membership growth, focusing on plan quality, member retention, and overall consumer experience. Consistent with our expectation, we continue to observe significant changes to the Medicare Advantage landscape. Specifically, health plans have tightened plan economics by reducing or eliminating prefunded marketing spend, adjusting broker compensation structures, and eliminating or consolidating low-margin plans. In some cases, consumer preferred plans have been designated as non-commissionable. We believe this shift will persist into 2026 and that these actions reflect a clear industry shift toward retention and stability rather than broad enrollment growth. We see our choice model as a valuable tool for matching consumers with appropriate coverage through our carrier-agnostic platform, supported by the strength of our brand and strong relationships with carrier partners.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Given these factors, the Company focused on strategic and financial flexibility. During the third quarter of 2025, we reduced our Medicare Advantage activities for the 2025 AEP season and continued to focus on GoHealth Protect. To maintain strategic flexibility, we have adopted and will continue to operate under a disciplined approach that prioritizes cash preservation and emphasizes retaining existing customers rather than increasing new sales. This reduction continued through the fourth quarter of the 2025 AEP season contributing to lower revenues compared to the prior year. During this period, we focused our efforts on implementing initiatives to reduce costs, boost efficiency, and optimize cash flow. As part of these efforts, our focus has been on reducing infrastructure expenses, including costs related to our technology platform and underlying network infrastructure, a workforce reduction and pursuing cash management initiatives to further lower operating expenses and enhance cash flow. In addition, we have taken steps to enhance our financial flexibility and capital structure in order to support our strategic priorities and maintain liquidity as we navigate evolving market conditions. In August 2025, we entered into a new senior secured superpriority term loan facility totaling approximately $115 million and amended our existing credit agreement to waive near-term principal payments through 2026 and reset certain financial covenants, which we believe enhances our liquidity and financial flexibility. These actions were undertaken to support working capital needs and position the Company to pursue strategic opportunities and potential transformative transactions while maintaining operational stability. We believe these efforts position us to continue investing in our core capabilities, including our Encompass operating model and new product initiatives such as GoHealth Protect, while maintaining appropriate financial discipline.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716280"/>
                <wp:effectExtent l="0" t="0" r="0" b="0"/>
                <wp:wrapNone/>
                <wp:docPr id="53" name="Frame52"/>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48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48</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 addition to these operational measures, the Company undertook several strategic capital and governance measures aimed at improving the Company’s financial flexibility, long-term positioning, and shareholder value, while also enabling the exploration of strategic alternatives, such as consolidation, in a fragmented broker industry. To support this strategy, the Board of Directors created a new committee called the “Transformation Committee,” which has exclusive power and authority to review, develop, negotiate, and recommend to the Board of Directors for approval, various strategic alternatives, including among others, refinancings, securitizations, mergers, acquisitions, and restructurings.</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18"/>
        </w:rPr>
      </w:pPr>
      <w:r>
        <w:rPr>
          <w:rFonts w:ascii="Arial;sans-serif" w:hAnsi="Arial;sans-serif"/>
          <w:b w:val="false"/>
          <w:color w:val="000000"/>
          <w:sz w:val="18"/>
        </w:rPr>
        <w:t>In 2025, we launched GoHealth Protect, a product line designed to expand our offerings beyond Medicare-related insurance products, initially through the marketing of certain life insurance products intended to help consumers address end-of-life expenses and other financial protection needs. We believe GoHealth Protect provides an opportunity to diversify our revenue streams and generate consumer engagement outside of the Medicare annual enrollment cycle, while leveraging our existing distribution capabilities and consumer relationships. We believe GoHealth Protect also allows us to further leverage our technology platform, consumer relationships and distribution capabilities to serve consumers across a broader set of insurance needs and extend engagement with consumers beyond the Medicare enrollment process.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Encompass operating model supports all Medicare services, including agency and non-agency revenue. Agency revenue refers to the commission revenue and partner marketing revenue we receive when GoHealth’s internal agents or our external agents enroll the consumer and submit the policy application to the health plan partner, becoming the agent of record. Non-agency revenue refers to services our internal agents or our external agents provide that support enrollment and engagement activities in which GoHealth is not the agent of record. The non-agency model moves away from the agency structure in that cash is collected in advance or in close proximity to the point in time revenue is recognized.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enrollment and engagement services offered through our non-agency model are strategically designed to enhance the consumer experience, reflecting our focus on building trusted, long-term relationships with our consumers. Non-agency revenue for the twelve months ended December 31, 2025 represented 15% of Total net revenue compared to 27% of Total Net revenue for the twelve months ended December 31, 2024. The shift from non-agency to agency revenue is a result of changing carrier mix within the non-agency channel. The mix of agency and non-agency contracts is dependent on the plans most suitable for the consumers we serve and is impacted by changing market dynamics as further described below. In response to evolving dynamics in the Medicare Advantage market, we have also increased our focus on retention, quality of enrollment and long-term consumer engagement rather than solely prioritizing enrollment volume.</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This year, driven by artificial intelligence and automation, we continued our focus on streamlining processes and improving call handle times and reducing costs. As part of this effort, we continued to operate under our Encompass Express model which is an enhanced, consumer-centric operating model built on the foundation of our original Encompass workflow. Encompass Express includes streamlined scripting and hand-offs, utilizing technology-driven standardization and automation to deliver efficiency and enhance the consumer experience while maintaining quality. These initiatives also support our broader focus on improving operating leverage and capital efficiency by lowering the cost of consumer acquisition and servicing while maintaining high-quality outcomes.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 the second quarter of 2023, the Company exited its Non-Encompass BPO Services, or services in which we dedicate certain agents to specific health plan partners and agencies outside of the Encompass model, to focus on our core business. During the twelve months ended December 31, 2025, and 2024 Non-Encompass BPO Services contributed no revenues. During the twelve months ended December 31, 2023 Non-Encompass BPO Services contributed $9.3 million to net revenues.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81" w:type="dxa"/>
        <w:jc w:val="left"/>
        <w:tblInd w:w="0" w:type="dxa"/>
        <w:tblLayout w:type="fixed"/>
        <w:tblCellMar>
          <w:top w:w="28" w:type="dxa"/>
          <w:left w:w="28" w:type="dxa"/>
          <w:bottom w:w="28" w:type="dxa"/>
          <w:right w:w="28" w:type="dxa"/>
        </w:tblCellMar>
      </w:tblPr>
      <w:tblGrid>
        <w:gridCol w:w="346"/>
        <w:gridCol w:w="304"/>
        <w:gridCol w:w="431"/>
      </w:tblGrid>
      <w:tr>
        <w:trPr/>
        <w:tc>
          <w:tcPr>
            <w:tcW w:w="3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bottom w:val="single" w:sz="4" w:space="0" w:color="494949"/>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497F"/>
                <w:sz w:val="18"/>
              </w:rPr>
            </w:pPr>
            <w:r>
              <w:rPr>
                <w:rFonts w:ascii="Arial;sans-serif" w:hAnsi="Arial;sans-serif"/>
                <w:b/>
                <w:color w:val="00497F"/>
                <w:sz w:val="18"/>
              </w:rPr>
              <w:t>Ownership</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GoHealth, Inc. is the sole managing member of GHH, LLC. Although we have a minority economic interest in GHH, LLC, we have the sole voting interest in, and control of the business and affairs of, GHH, LLC and its direct and indirect subsidiaries. As a result, GoHealth, Inc. consolidates GHH, LLC and records significant non-controlling interest in a consolidated entity in GoHealth, Inc.’s Consolidated Financial Statements for the economic interest in GHH, LLC held directly or indirectly by the Continuing Equity Owners. The weighted average ownership percentages for the applicable reporting periods are used to attribute net income (loss) and other comprehensive income (loss) to the Company and the non-controlling interest holders. The non-controlling interest holders' weighted average ownership percentages for the twelve months ended December 31, 2025, 2024, and 2023 were 49.4%, 56.2% and 58.2%, respectively.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percentage ownership of total shares of Class A and Class B common stock issued and outstanding as of December 31, 2025, is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716280"/>
                <wp:effectExtent l="0" t="0" r="0" b="0"/>
                <wp:wrapNone/>
                <wp:docPr id="54" name="Frame53"/>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49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49</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before="0" w:after="0"/>
        <w:jc w:val="center"/>
        <w:rPr/>
      </w:pPr>
      <w:r>
        <w:rPr/>
        <w:drawing>
          <wp:inline distT="0" distB="0" distL="0" distR="0">
            <wp:extent cx="5715000" cy="2381250"/>
            <wp:effectExtent l="0" t="0" r="0" b="0"/>
            <wp:docPr id="5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2" descr=""/>
                    <pic:cNvPicPr>
                      <a:picLocks noChangeAspect="1" noChangeArrowheads="1"/>
                    </pic:cNvPicPr>
                  </pic:nvPicPr>
                  <pic:blipFill>
                    <a:blip r:embed="rId3"/>
                    <a:stretch>
                      <a:fillRect/>
                    </a:stretch>
                  </pic:blipFill>
                  <pic:spPr bwMode="auto">
                    <a:xfrm>
                      <a:off x="0" y="0"/>
                      <a:ext cx="5715000" cy="2381250"/>
                    </a:xfrm>
                    <a:prstGeom prst="rect">
                      <a:avLst/>
                    </a:prstGeom>
                  </pic:spPr>
                </pic:pic>
              </a:graphicData>
            </a:graphic>
          </wp:inline>
        </w:drawing>
      </w:r>
      <w:bookmarkStart w:id="1" w:name="i-2"/>
      <w:bookmarkEnd w:id="1"/>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percentage of ownership noted above is inclusive of only Class A and Class B common stock issued and outstanding. It does not include the Series A redeemable convertible preferred stock or the impact of any conversion of such, should a conversion occur. For more information on the Series A redeemable convertible preferred stock, please refer to Note 6, “Stockholders' Equity” of the Notes to Consolidated Financial Statements.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GoHealth, Inc. is subject to U.S. federal, state and local income taxes with respect to our allocable share of any taxable income of GHH, LLC and is taxed at the prevailing corporate tax rates. In addition to tax expenses, we also incur expenses related to our status as a public company, plus payment obligations under the TRA, which could be significant. We intend to cause GHH, LLC to make distributions to us in an amount sufficient to allow us to pay these expenses and fund any payments due under the TRA.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716280"/>
                <wp:effectExtent l="0" t="0" r="0" b="0"/>
                <wp:wrapNone/>
                <wp:docPr id="56" name="Frame54"/>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50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50</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tbl>
      <w:tblPr>
        <w:tblW w:w="2024" w:type="dxa"/>
        <w:jc w:val="left"/>
        <w:tblInd w:w="0" w:type="dxa"/>
        <w:tblLayout w:type="fixed"/>
        <w:tblCellMar>
          <w:top w:w="28" w:type="dxa"/>
          <w:left w:w="28" w:type="dxa"/>
          <w:bottom w:w="28" w:type="dxa"/>
          <w:right w:w="28" w:type="dxa"/>
        </w:tblCellMar>
      </w:tblPr>
      <w:tblGrid>
        <w:gridCol w:w="647"/>
        <w:gridCol w:w="568"/>
        <w:gridCol w:w="809"/>
      </w:tblGrid>
      <w:tr>
        <w:trPr/>
        <w:tc>
          <w:tcPr>
            <w:tcW w:w="647"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bottom w:val="single" w:sz="4" w:space="0" w:color="494949"/>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497F"/>
                <w:sz w:val="18"/>
              </w:rPr>
            </w:pPr>
            <w:r>
              <w:rPr>
                <w:rFonts w:ascii="Arial;sans-serif" w:hAnsi="Arial;sans-serif"/>
                <w:b/>
                <w:color w:val="00497F"/>
                <w:sz w:val="18"/>
              </w:rPr>
              <w:t>Results of Operations</w:t>
            </w:r>
          </w:p>
        </w:tc>
      </w:tr>
    </w:tbl>
    <w:p>
      <w:pPr>
        <w:pStyle w:val="TextBody"/>
        <w:bidi w:val="0"/>
        <w:spacing w:lineRule="auto" w:line="288" w:before="240" w:after="283"/>
        <w:jc w:val="left"/>
        <w:rPr>
          <w:rFonts w:ascii="Arial;sans-serif" w:hAnsi="Arial;sans-serif"/>
          <w:b w:val="false"/>
          <w:i/>
          <w:color w:val="000000"/>
          <w:sz w:val="18"/>
        </w:rPr>
      </w:pPr>
      <w:r>
        <w:rPr>
          <w:rFonts w:ascii="Arial;sans-serif" w:hAnsi="Arial;sans-serif"/>
          <w:b w:val="false"/>
          <w:i/>
          <w:color w:val="000000"/>
          <w:sz w:val="18"/>
        </w:rPr>
        <w:t>The following is a discussion and analysis of changes in the financial condition and results of operations for fiscal year 2025 compared to fiscal year 2024. A discussion and analysis regarding our results of operations for fiscal year 2024 compared to fiscal year 2023 that are not included in this Annual Report on Form 10-K can be found in our Annual Report on Form 10-K filed with the SEC on February 27, 2025.</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following table sets forth the components of our results of operations for the periods presented:</w:t>
      </w:r>
    </w:p>
    <w:tbl>
      <w:tblPr>
        <w:tblW w:w="8850" w:type="dxa"/>
        <w:jc w:val="left"/>
        <w:tblInd w:w="0" w:type="dxa"/>
        <w:tblLayout w:type="fixed"/>
        <w:tblCellMar>
          <w:top w:w="28" w:type="dxa"/>
          <w:left w:w="28" w:type="dxa"/>
          <w:bottom w:w="28" w:type="dxa"/>
          <w:right w:w="28" w:type="dxa"/>
        </w:tblCellMar>
      </w:tblPr>
      <w:tblGrid>
        <w:gridCol w:w="1508"/>
        <w:gridCol w:w="1319"/>
        <w:gridCol w:w="1328"/>
        <w:gridCol w:w="109"/>
        <w:gridCol w:w="109"/>
        <w:gridCol w:w="109"/>
        <w:gridCol w:w="196"/>
        <w:gridCol w:w="811"/>
        <w:gridCol w:w="256"/>
        <w:gridCol w:w="109"/>
        <w:gridCol w:w="109"/>
        <w:gridCol w:w="109"/>
        <w:gridCol w:w="196"/>
        <w:gridCol w:w="751"/>
        <w:gridCol w:w="256"/>
        <w:gridCol w:w="109"/>
        <w:gridCol w:w="109"/>
        <w:gridCol w:w="109"/>
        <w:gridCol w:w="196"/>
        <w:gridCol w:w="751"/>
        <w:gridCol w:w="301"/>
      </w:tblGrid>
      <w:tr>
        <w:trPr/>
        <w:tc>
          <w:tcPr>
            <w:tcW w:w="1508"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Twelve months ended Dec. 31,</w:t>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r>
      <w:tr>
        <w:trPr/>
        <w:tc>
          <w:tcPr>
            <w:tcW w:w="4155" w:type="dxa"/>
            <w:gridSpan w:val="3"/>
            <w:tcBorders>
              <w:top w:val="single" w:sz="8" w:space="0" w:color="B6B6B6"/>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revenues</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B6B6B6"/>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11" w:type="dxa"/>
            <w:tcBorders>
              <w:top w:val="single" w:sz="8" w:space="0" w:color="B6B6B6"/>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361,845</w:t>
            </w:r>
            <w:r>
              <w:rPr>
                <w:color w:val="000000"/>
              </w:rPr>
              <w:t> </w:t>
            </w:r>
          </w:p>
        </w:tc>
        <w:tc>
          <w:tcPr>
            <w:tcW w:w="256" w:type="dxa"/>
            <w:tcBorders>
              <w:top w:val="single" w:sz="8" w:space="0" w:color="B6B6B6"/>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798,894</w:t>
            </w:r>
            <w:r>
              <w:rPr>
                <w:color w:val="000000"/>
              </w:rPr>
              <w:t> </w:t>
            </w:r>
          </w:p>
        </w:tc>
        <w:tc>
          <w:tcPr>
            <w:tcW w:w="256"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734,671</w:t>
            </w:r>
            <w:r>
              <w:rPr>
                <w:color w:val="000000"/>
              </w:rPr>
              <w:t> </w:t>
            </w:r>
          </w:p>
        </w:tc>
        <w:tc>
          <w:tcPr>
            <w:tcW w:w="301"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Operating expenses:</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Revenue share</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96,126 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130,612 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158,961 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Marketing and advertising </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116,379 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235,696 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205,042 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Consumer care and enrollment</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106,045 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222,414 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209,234 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Technology </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34,904 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41,046 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43,302 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and administrative</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90,789 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82,116 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93,069 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intangible assets</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70,542 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94,057 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94,057 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r>
      <w:tr>
        <w:trPr/>
        <w:tc>
          <w:tcPr>
            <w:tcW w:w="4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r>
      <w:tr>
        <w:trPr/>
        <w:tc>
          <w:tcPr>
            <w:tcW w:w="4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Indefinite and long-lived asset impairment charges</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259,961 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12,687 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operating expenses</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774,746</w:t>
            </w:r>
            <w:r>
              <w:rPr>
                <w:color w:val="000000"/>
              </w:rPr>
              <w:t> </w:t>
            </w:r>
          </w:p>
        </w:tc>
        <w:tc>
          <w:tcPr>
            <w:tcW w:w="256"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805,941</w:t>
            </w:r>
            <w:r>
              <w:rPr>
                <w:color w:val="000000"/>
              </w:rPr>
              <w:t> </w:t>
            </w:r>
          </w:p>
        </w:tc>
        <w:tc>
          <w:tcPr>
            <w:tcW w:w="256"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816,352</w:t>
            </w:r>
            <w:r>
              <w:rPr>
                <w:color w:val="000000"/>
              </w:rPr>
              <w:t> </w:t>
            </w:r>
          </w:p>
        </w:tc>
        <w:tc>
          <w:tcPr>
            <w:tcW w:w="301"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(loss) from operations</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B6B6B6"/>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(412,901)</w:t>
            </w:r>
          </w:p>
        </w:tc>
        <w:tc>
          <w:tcPr>
            <w:tcW w:w="256" w:type="dxa"/>
            <w:tcBorders>
              <w:top w:val="single" w:sz="8" w:space="0" w:color="B6B6B6"/>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(7,047)</w:t>
            </w:r>
          </w:p>
        </w:tc>
        <w:tc>
          <w:tcPr>
            <w:tcW w:w="256"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(81,681)</w:t>
            </w:r>
          </w:p>
        </w:tc>
        <w:tc>
          <w:tcPr>
            <w:tcW w:w="301"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87,320 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72,868 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69,472 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Gain on bargain purchase</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(84,492)</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on extinguishment of debt</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1,655 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10,463 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 expense, net</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(786)</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(834)</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Income (loss) before income taxes</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B6B6B6"/>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(501,090)</w:t>
            </w:r>
          </w:p>
        </w:tc>
        <w:tc>
          <w:tcPr>
            <w:tcW w:w="256" w:type="dxa"/>
            <w:tcBorders>
              <w:top w:val="single" w:sz="8" w:space="0" w:color="B6B6B6"/>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(5,052)</w:t>
            </w:r>
          </w:p>
        </w:tc>
        <w:tc>
          <w:tcPr>
            <w:tcW w:w="256"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(151,116)</w:t>
            </w:r>
          </w:p>
        </w:tc>
        <w:tc>
          <w:tcPr>
            <w:tcW w:w="301"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expense (benefit)</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(3,335)</w:t>
            </w:r>
          </w:p>
        </w:tc>
        <w:tc>
          <w:tcPr>
            <w:tcW w:w="256"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2,267 </w:t>
            </w:r>
          </w:p>
        </w:tc>
        <w:tc>
          <w:tcPr>
            <w:tcW w:w="256"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154 </w:t>
            </w:r>
          </w:p>
        </w:tc>
        <w:tc>
          <w:tcPr>
            <w:tcW w:w="301"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(loss)</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B6B6B6"/>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(497,755)</w:t>
            </w:r>
          </w:p>
        </w:tc>
        <w:tc>
          <w:tcPr>
            <w:tcW w:w="256" w:type="dxa"/>
            <w:tcBorders>
              <w:top w:val="single" w:sz="8" w:space="0" w:color="B6B6B6"/>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(7,319)</w:t>
            </w:r>
          </w:p>
        </w:tc>
        <w:tc>
          <w:tcPr>
            <w:tcW w:w="256"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(151,270)</w:t>
            </w:r>
          </w:p>
        </w:tc>
        <w:tc>
          <w:tcPr>
            <w:tcW w:w="301"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 attributable to noncontrolling interests</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(240,629)</w:t>
            </w:r>
          </w:p>
        </w:tc>
        <w:tc>
          <w:tcPr>
            <w:tcW w:w="256"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(4,391)</w:t>
            </w:r>
          </w:p>
        </w:tc>
        <w:tc>
          <w:tcPr>
            <w:tcW w:w="256"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(88,013)</w:t>
            </w:r>
          </w:p>
        </w:tc>
        <w:tc>
          <w:tcPr>
            <w:tcW w:w="301"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(loss) attributable to GoHealth, Inc.</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B6B6B6"/>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11" w:type="dxa"/>
            <w:tcBorders>
              <w:top w:val="single" w:sz="8" w:space="0" w:color="B6B6B6"/>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(257,126)</w:t>
            </w:r>
          </w:p>
        </w:tc>
        <w:tc>
          <w:tcPr>
            <w:tcW w:w="256" w:type="dxa"/>
            <w:tcBorders>
              <w:top w:val="single" w:sz="8" w:space="0" w:color="B6B6B6"/>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(2,928)</w:t>
            </w:r>
          </w:p>
        </w:tc>
        <w:tc>
          <w:tcPr>
            <w:tcW w:w="256"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(63,257)</w:t>
            </w:r>
          </w:p>
        </w:tc>
        <w:tc>
          <w:tcPr>
            <w:tcW w:w="301"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Non-GAAP financial measures:</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doub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EBITDA</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(333,664)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173,706 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24,104 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EBITDA</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(35,109)</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120,319 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75,091 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Net income (loss) margin</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(137.6)</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(0.9)</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(20.6)</w:t>
            </w:r>
          </w:p>
        </w:tc>
        <w:tc>
          <w:tcPr>
            <w:tcW w:w="30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EBITDA margin</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10.2 </w:t>
            </w:r>
          </w:p>
        </w:tc>
        <w:tc>
          <w:tcPr>
            <w:tcW w:w="30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following is our net revenues and results thereof for the twelve months ended December 31, 2025 and 2024:</w:t>
      </w:r>
    </w:p>
    <w:tbl>
      <w:tblPr>
        <w:tblW w:w="6732" w:type="dxa"/>
        <w:jc w:val="left"/>
        <w:tblInd w:w="0" w:type="dxa"/>
        <w:tblLayout w:type="fixed"/>
        <w:tblCellMar>
          <w:top w:w="28" w:type="dxa"/>
          <w:left w:w="28" w:type="dxa"/>
          <w:bottom w:w="28" w:type="dxa"/>
          <w:right w:w="28" w:type="dxa"/>
        </w:tblCellMar>
      </w:tblPr>
      <w:tblGrid>
        <w:gridCol w:w="417"/>
        <w:gridCol w:w="368"/>
        <w:gridCol w:w="369"/>
        <w:gridCol w:w="109"/>
        <w:gridCol w:w="109"/>
        <w:gridCol w:w="109"/>
        <w:gridCol w:w="196"/>
        <w:gridCol w:w="736"/>
        <w:gridCol w:w="109"/>
        <w:gridCol w:w="109"/>
        <w:gridCol w:w="109"/>
        <w:gridCol w:w="109"/>
        <w:gridCol w:w="196"/>
        <w:gridCol w:w="736"/>
        <w:gridCol w:w="109"/>
        <w:gridCol w:w="109"/>
        <w:gridCol w:w="109"/>
        <w:gridCol w:w="109"/>
        <w:gridCol w:w="196"/>
        <w:gridCol w:w="811"/>
        <w:gridCol w:w="109"/>
        <w:gridCol w:w="109"/>
        <w:gridCol w:w="109"/>
        <w:gridCol w:w="109"/>
        <w:gridCol w:w="269"/>
        <w:gridCol w:w="271"/>
        <w:gridCol w:w="532"/>
      </w:tblGrid>
      <w:tr>
        <w:trPr/>
        <w:tc>
          <w:tcPr>
            <w:tcW w:w="41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r>
      <w:tr>
        <w:trPr/>
        <w:tc>
          <w:tcPr>
            <w:tcW w:w="1154" w:type="dxa"/>
            <w:gridSpan w:val="3"/>
            <w:vMerge w:val="restart"/>
            <w:tcBorders>
              <w:top w:val="single" w:sz="8" w:space="0" w:color="929292"/>
              <w:left w:val="single" w:sz="8" w:space="0" w:color="929292"/>
              <w:bottom w:val="single" w:sz="8" w:space="0" w:color="929292"/>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color w:val="0A2299"/>
                <w:sz w:val="16"/>
              </w:rPr>
            </w:pPr>
            <w:r>
              <w:rPr>
                <w:rFonts w:ascii="Arial;sans-serif" w:hAnsi="Arial;sans-serif"/>
                <w:b/>
                <w:color w:val="0A2299"/>
                <w:sz w:val="16"/>
              </w:rPr>
              <w:t>Net revenues</w:t>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Twelve months ended Dec.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4"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r>
      <w:tr>
        <w:trPr/>
        <w:tc>
          <w:tcPr>
            <w:tcW w:w="1154"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361,845 </w:t>
            </w:r>
          </w:p>
        </w:tc>
        <w:tc>
          <w:tcPr>
            <w:tcW w:w="10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798,894 </w:t>
            </w:r>
          </w:p>
        </w:tc>
        <w:tc>
          <w:tcPr>
            <w:tcW w:w="10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(437,049)</w:t>
            </w:r>
          </w:p>
        </w:tc>
        <w:tc>
          <w:tcPr>
            <w:tcW w:w="10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(54.7)</w:t>
            </w:r>
          </w:p>
        </w:tc>
        <w:tc>
          <w:tcPr>
            <w:tcW w:w="532"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$437.0 million, or 54.7% decrease compared to the prior year period was primarily attributable to the scale back of our Medicare Advantage activities in response to tightening health plan economics, partially offset by the launch of GoHealth Protect during the second quarter of 2025. The decrease was further driven by a lower mix of non-agency revenue due to changes in carrier mix within the non-agency channel, consumer needs and market dynamics.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following are our key components of operating expenses and results thereof for the twelve months ended December 31, 2025 and 2024:</w:t>
      </w:r>
    </w:p>
    <w:tbl>
      <w:tblPr>
        <w:tblW w:w="8573" w:type="dxa"/>
        <w:jc w:val="left"/>
        <w:tblInd w:w="0" w:type="dxa"/>
        <w:tblLayout w:type="fixed"/>
        <w:tblCellMar>
          <w:top w:w="28" w:type="dxa"/>
          <w:left w:w="28" w:type="dxa"/>
          <w:bottom w:w="28" w:type="dxa"/>
          <w:right w:w="28" w:type="dxa"/>
        </w:tblCellMar>
      </w:tblPr>
      <w:tblGrid>
        <w:gridCol w:w="468"/>
        <w:gridCol w:w="410"/>
        <w:gridCol w:w="412"/>
        <w:gridCol w:w="109"/>
        <w:gridCol w:w="109"/>
        <w:gridCol w:w="109"/>
        <w:gridCol w:w="200"/>
        <w:gridCol w:w="660"/>
        <w:gridCol w:w="111"/>
        <w:gridCol w:w="111"/>
        <w:gridCol w:w="111"/>
        <w:gridCol w:w="111"/>
        <w:gridCol w:w="200"/>
        <w:gridCol w:w="752"/>
        <w:gridCol w:w="111"/>
        <w:gridCol w:w="109"/>
        <w:gridCol w:w="109"/>
        <w:gridCol w:w="109"/>
        <w:gridCol w:w="196"/>
        <w:gridCol w:w="721"/>
        <w:gridCol w:w="109"/>
        <w:gridCol w:w="109"/>
        <w:gridCol w:w="109"/>
        <w:gridCol w:w="109"/>
        <w:gridCol w:w="269"/>
        <w:gridCol w:w="271"/>
        <w:gridCol w:w="471"/>
        <w:gridCol w:w="109"/>
        <w:gridCol w:w="109"/>
        <w:gridCol w:w="109"/>
        <w:gridCol w:w="244"/>
        <w:gridCol w:w="244"/>
        <w:gridCol w:w="244"/>
        <w:gridCol w:w="244"/>
        <w:gridCol w:w="244"/>
        <w:gridCol w:w="351"/>
      </w:tblGrid>
      <w:tr>
        <w:trPr/>
        <w:tc>
          <w:tcPr>
            <w:tcW w:w="46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r>
      <w:tr>
        <w:trPr/>
        <w:tc>
          <w:tcPr>
            <w:tcW w:w="1290" w:type="dxa"/>
            <w:gridSpan w:val="3"/>
            <w:vMerge w:val="restart"/>
            <w:tcBorders>
              <w:top w:val="single" w:sz="8" w:space="0" w:color="929292"/>
              <w:left w:val="single" w:sz="8" w:space="0" w:color="929292"/>
              <w:bottom w:val="single" w:sz="8" w:space="0" w:color="929292"/>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color w:val="0A2299"/>
                <w:sz w:val="16"/>
              </w:rPr>
            </w:pPr>
            <w:r>
              <w:rPr>
                <w:rFonts w:ascii="Arial;sans-serif" w:hAnsi="Arial;sans-serif"/>
                <w:b/>
                <w:color w:val="0A2299"/>
                <w:sz w:val="16"/>
              </w:rPr>
              <w:t>Revenue share</w:t>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Twelve months ended Dec.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6"/>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 of Net Revenues</w:t>
            </w:r>
          </w:p>
        </w:tc>
      </w:tr>
      <w:tr>
        <w:trPr/>
        <w:tc>
          <w:tcPr>
            <w:tcW w:w="1290"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2025</w:t>
            </w:r>
          </w:p>
        </w:tc>
        <w:tc>
          <w:tcPr>
            <w:tcW w:w="839" w:type="dxa"/>
            <w:gridSpan w:val="3"/>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2024</w:t>
            </w:r>
          </w:p>
        </w:tc>
      </w:tr>
      <w:tr>
        <w:trPr/>
        <w:tc>
          <w:tcPr>
            <w:tcW w:w="1290"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0"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96,126 </w:t>
            </w:r>
          </w:p>
        </w:tc>
        <w:tc>
          <w:tcPr>
            <w:tcW w:w="111"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2"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130,612 </w:t>
            </w:r>
          </w:p>
        </w:tc>
        <w:tc>
          <w:tcPr>
            <w:tcW w:w="111"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(34,486)</w:t>
            </w:r>
          </w:p>
        </w:tc>
        <w:tc>
          <w:tcPr>
            <w:tcW w:w="10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(26.4)</w:t>
            </w:r>
          </w:p>
        </w:tc>
        <w:tc>
          <w:tcPr>
            <w:tcW w:w="47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op w:val="single" w:sz="8" w:space="0" w:color="FFFFFF"/>
            </w:tcBorders>
            <w:shd w:fill="92929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26.6%</w:t>
            </w:r>
          </w:p>
        </w:tc>
        <w:tc>
          <w:tcPr>
            <w:tcW w:w="839" w:type="dxa"/>
            <w:gridSpan w:val="3"/>
            <w:tcBorders>
              <w:top w:val="single" w:sz="8" w:space="0" w:color="FFFFFF"/>
            </w:tcBorders>
            <w:shd w:fill="92929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16.3%</w:t>
            </w:r>
          </w:p>
        </w:tc>
      </w:tr>
    </w:tbl>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The $34.5 million, or 26.4% decrease was primarily driven by a decrease in Submissions generated by our external agents, which decreased the amount of expense we recognized pursuant to our revenue-sharing agreements with our external partners. During 2025, we ended our vConnect program, which enabled our external agents to support enrollment and engagement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716280"/>
                <wp:effectExtent l="0" t="0" r="0" b="0"/>
                <wp:wrapNone/>
                <wp:docPr id="57" name="Frame55"/>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51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51</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activities through the non-agency channel. As such, with the end of the vConnect program our agents enroll beneficiaries solely through the agency channel.</w:t>
      </w:r>
    </w:p>
    <w:tbl>
      <w:tblPr>
        <w:tblW w:w="9634" w:type="dxa"/>
        <w:jc w:val="left"/>
        <w:tblInd w:w="0" w:type="dxa"/>
        <w:tblLayout w:type="fixed"/>
        <w:tblCellMar>
          <w:top w:w="28" w:type="dxa"/>
          <w:left w:w="28" w:type="dxa"/>
          <w:bottom w:w="28" w:type="dxa"/>
          <w:right w:w="28" w:type="dxa"/>
        </w:tblCellMar>
      </w:tblPr>
      <w:tblGrid>
        <w:gridCol w:w="803"/>
        <w:gridCol w:w="706"/>
        <w:gridCol w:w="710"/>
        <w:gridCol w:w="109"/>
        <w:gridCol w:w="109"/>
        <w:gridCol w:w="109"/>
        <w:gridCol w:w="196"/>
        <w:gridCol w:w="736"/>
        <w:gridCol w:w="109"/>
        <w:gridCol w:w="109"/>
        <w:gridCol w:w="109"/>
        <w:gridCol w:w="109"/>
        <w:gridCol w:w="196"/>
        <w:gridCol w:w="736"/>
        <w:gridCol w:w="109"/>
        <w:gridCol w:w="109"/>
        <w:gridCol w:w="109"/>
        <w:gridCol w:w="109"/>
        <w:gridCol w:w="196"/>
        <w:gridCol w:w="811"/>
        <w:gridCol w:w="109"/>
        <w:gridCol w:w="109"/>
        <w:gridCol w:w="109"/>
        <w:gridCol w:w="109"/>
        <w:gridCol w:w="269"/>
        <w:gridCol w:w="271"/>
        <w:gridCol w:w="471"/>
        <w:gridCol w:w="109"/>
        <w:gridCol w:w="109"/>
        <w:gridCol w:w="109"/>
        <w:gridCol w:w="244"/>
        <w:gridCol w:w="244"/>
        <w:gridCol w:w="244"/>
        <w:gridCol w:w="244"/>
        <w:gridCol w:w="244"/>
        <w:gridCol w:w="351"/>
      </w:tblGrid>
      <w:tr>
        <w:trPr/>
        <w:tc>
          <w:tcPr>
            <w:tcW w:w="803"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r>
      <w:tr>
        <w:trPr/>
        <w:tc>
          <w:tcPr>
            <w:tcW w:w="2219" w:type="dxa"/>
            <w:gridSpan w:val="3"/>
            <w:vMerge w:val="restart"/>
            <w:tcBorders>
              <w:top w:val="single" w:sz="8" w:space="0" w:color="929292"/>
              <w:left w:val="single" w:sz="8" w:space="0" w:color="929292"/>
              <w:bottom w:val="single" w:sz="8" w:space="0" w:color="929292"/>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color w:val="0A2299"/>
                <w:sz w:val="16"/>
              </w:rPr>
            </w:pPr>
            <w:r>
              <w:rPr>
                <w:rFonts w:ascii="Arial;sans-serif" w:hAnsi="Arial;sans-serif"/>
                <w:b/>
                <w:color w:val="0A2299"/>
                <w:sz w:val="16"/>
              </w:rPr>
              <w:t xml:space="preserve">Marketing and advertising </w:t>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Twelve months ended Dec.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6"/>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 of Net Revenues</w:t>
            </w:r>
          </w:p>
        </w:tc>
      </w:tr>
      <w:tr>
        <w:trPr/>
        <w:tc>
          <w:tcPr>
            <w:tcW w:w="2219"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2025</w:t>
            </w:r>
          </w:p>
        </w:tc>
        <w:tc>
          <w:tcPr>
            <w:tcW w:w="839" w:type="dxa"/>
            <w:gridSpan w:val="3"/>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2024</w:t>
            </w:r>
          </w:p>
        </w:tc>
      </w:tr>
      <w:tr>
        <w:trPr/>
        <w:tc>
          <w:tcPr>
            <w:tcW w:w="2219"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116,379 </w:t>
            </w:r>
          </w:p>
        </w:tc>
        <w:tc>
          <w:tcPr>
            <w:tcW w:w="10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235,696 </w:t>
            </w:r>
          </w:p>
        </w:tc>
        <w:tc>
          <w:tcPr>
            <w:tcW w:w="10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(119,317)</w:t>
            </w:r>
          </w:p>
        </w:tc>
        <w:tc>
          <w:tcPr>
            <w:tcW w:w="10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(50.6)</w:t>
            </w:r>
          </w:p>
        </w:tc>
        <w:tc>
          <w:tcPr>
            <w:tcW w:w="47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op w:val="single" w:sz="8" w:space="0" w:color="FFFFFF"/>
            </w:tcBorders>
            <w:shd w:fill="92929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32.2%</w:t>
            </w:r>
          </w:p>
        </w:tc>
        <w:tc>
          <w:tcPr>
            <w:tcW w:w="839" w:type="dxa"/>
            <w:gridSpan w:val="3"/>
            <w:tcBorders>
              <w:top w:val="single" w:sz="8" w:space="0" w:color="FFFFFF"/>
            </w:tcBorders>
            <w:shd w:fill="92929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29.5%</w:t>
            </w:r>
          </w:p>
        </w:tc>
      </w:tr>
    </w:tbl>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$119.3 million, or 50.6% decrease was primarily attributable to our deliberate decision to scale back our Medicare Advantage activities and shift in focus to the launch of GoHealth Protect, partially offset by an increase in our marketing and advertising spend to generate more qualified prospects during the first quarter of 2025.</w:t>
      </w:r>
    </w:p>
    <w:tbl>
      <w:tblPr>
        <w:tblW w:w="9980" w:type="dxa"/>
        <w:jc w:val="left"/>
        <w:tblInd w:w="0" w:type="dxa"/>
        <w:tblLayout w:type="fixed"/>
        <w:tblCellMar>
          <w:top w:w="28" w:type="dxa"/>
          <w:left w:w="28" w:type="dxa"/>
          <w:bottom w:w="28" w:type="dxa"/>
          <w:right w:w="28" w:type="dxa"/>
        </w:tblCellMar>
      </w:tblPr>
      <w:tblGrid>
        <w:gridCol w:w="928"/>
        <w:gridCol w:w="817"/>
        <w:gridCol w:w="820"/>
        <w:gridCol w:w="109"/>
        <w:gridCol w:w="109"/>
        <w:gridCol w:w="109"/>
        <w:gridCol w:w="196"/>
        <w:gridCol w:w="736"/>
        <w:gridCol w:w="109"/>
        <w:gridCol w:w="109"/>
        <w:gridCol w:w="109"/>
        <w:gridCol w:w="109"/>
        <w:gridCol w:w="196"/>
        <w:gridCol w:w="736"/>
        <w:gridCol w:w="109"/>
        <w:gridCol w:w="109"/>
        <w:gridCol w:w="109"/>
        <w:gridCol w:w="109"/>
        <w:gridCol w:w="196"/>
        <w:gridCol w:w="811"/>
        <w:gridCol w:w="109"/>
        <w:gridCol w:w="109"/>
        <w:gridCol w:w="109"/>
        <w:gridCol w:w="109"/>
        <w:gridCol w:w="269"/>
        <w:gridCol w:w="271"/>
        <w:gridCol w:w="471"/>
        <w:gridCol w:w="109"/>
        <w:gridCol w:w="109"/>
        <w:gridCol w:w="109"/>
        <w:gridCol w:w="244"/>
        <w:gridCol w:w="244"/>
        <w:gridCol w:w="244"/>
        <w:gridCol w:w="244"/>
        <w:gridCol w:w="244"/>
        <w:gridCol w:w="351"/>
      </w:tblGrid>
      <w:tr>
        <w:trPr/>
        <w:tc>
          <w:tcPr>
            <w:tcW w:w="928"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r>
      <w:tr>
        <w:trPr/>
        <w:tc>
          <w:tcPr>
            <w:tcW w:w="2565" w:type="dxa"/>
            <w:gridSpan w:val="3"/>
            <w:vMerge w:val="restart"/>
            <w:tcBorders>
              <w:top w:val="single" w:sz="8" w:space="0" w:color="929292"/>
              <w:left w:val="single" w:sz="8" w:space="0" w:color="929292"/>
              <w:bottom w:val="single" w:sz="8" w:space="0" w:color="929292"/>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color w:val="0A2299"/>
                <w:sz w:val="16"/>
              </w:rPr>
            </w:pPr>
            <w:r>
              <w:rPr>
                <w:rFonts w:ascii="Arial;sans-serif" w:hAnsi="Arial;sans-serif"/>
                <w:b/>
                <w:color w:val="0A2299"/>
                <w:sz w:val="16"/>
              </w:rPr>
              <w:t>Consumer care and enrollment</w:t>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Twelve months ended Dec.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6"/>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 of Net Revenues</w:t>
            </w:r>
          </w:p>
        </w:tc>
      </w:tr>
      <w:tr>
        <w:trPr/>
        <w:tc>
          <w:tcPr>
            <w:tcW w:w="2565"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2025</w:t>
            </w:r>
          </w:p>
        </w:tc>
        <w:tc>
          <w:tcPr>
            <w:tcW w:w="839" w:type="dxa"/>
            <w:gridSpan w:val="3"/>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2024</w:t>
            </w:r>
          </w:p>
        </w:tc>
      </w:tr>
      <w:tr>
        <w:trPr/>
        <w:tc>
          <w:tcPr>
            <w:tcW w:w="2565"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106,045 </w:t>
            </w:r>
          </w:p>
        </w:tc>
        <w:tc>
          <w:tcPr>
            <w:tcW w:w="10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222,414 </w:t>
            </w:r>
          </w:p>
        </w:tc>
        <w:tc>
          <w:tcPr>
            <w:tcW w:w="10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(116,369)</w:t>
            </w:r>
          </w:p>
        </w:tc>
        <w:tc>
          <w:tcPr>
            <w:tcW w:w="10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(52.3)</w:t>
            </w:r>
          </w:p>
        </w:tc>
        <w:tc>
          <w:tcPr>
            <w:tcW w:w="47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op w:val="single" w:sz="8" w:space="0" w:color="FFFFFF"/>
            </w:tcBorders>
            <w:shd w:fill="92929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29.3%</w:t>
            </w:r>
          </w:p>
        </w:tc>
        <w:tc>
          <w:tcPr>
            <w:tcW w:w="839" w:type="dxa"/>
            <w:gridSpan w:val="3"/>
            <w:tcBorders>
              <w:top w:val="single" w:sz="8" w:space="0" w:color="FFFFFF"/>
            </w:tcBorders>
            <w:shd w:fill="92929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27.8%</w:t>
            </w:r>
          </w:p>
        </w:tc>
      </w:tr>
    </w:tbl>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$116.4 million, or 52.3% decrease was primarily attributable to a reduced agent headcount aligning with our scale back of Medicare Advantage activities.</w:t>
      </w:r>
    </w:p>
    <w:tbl>
      <w:tblPr>
        <w:tblW w:w="8301" w:type="dxa"/>
        <w:jc w:val="left"/>
        <w:tblInd w:w="0" w:type="dxa"/>
        <w:tblLayout w:type="fixed"/>
        <w:tblCellMar>
          <w:top w:w="28" w:type="dxa"/>
          <w:left w:w="28" w:type="dxa"/>
          <w:bottom w:w="28" w:type="dxa"/>
          <w:right w:w="28" w:type="dxa"/>
        </w:tblCellMar>
      </w:tblPr>
      <w:tblGrid>
        <w:gridCol w:w="402"/>
        <w:gridCol w:w="353"/>
        <w:gridCol w:w="355"/>
        <w:gridCol w:w="109"/>
        <w:gridCol w:w="109"/>
        <w:gridCol w:w="109"/>
        <w:gridCol w:w="208"/>
        <w:gridCol w:w="687"/>
        <w:gridCol w:w="115"/>
        <w:gridCol w:w="115"/>
        <w:gridCol w:w="115"/>
        <w:gridCol w:w="115"/>
        <w:gridCol w:w="208"/>
        <w:gridCol w:w="687"/>
        <w:gridCol w:w="115"/>
        <w:gridCol w:w="109"/>
        <w:gridCol w:w="109"/>
        <w:gridCol w:w="109"/>
        <w:gridCol w:w="196"/>
        <w:gridCol w:w="631"/>
        <w:gridCol w:w="109"/>
        <w:gridCol w:w="109"/>
        <w:gridCol w:w="109"/>
        <w:gridCol w:w="109"/>
        <w:gridCol w:w="269"/>
        <w:gridCol w:w="271"/>
        <w:gridCol w:w="471"/>
        <w:gridCol w:w="109"/>
        <w:gridCol w:w="109"/>
        <w:gridCol w:w="109"/>
        <w:gridCol w:w="244"/>
        <w:gridCol w:w="244"/>
        <w:gridCol w:w="244"/>
        <w:gridCol w:w="244"/>
        <w:gridCol w:w="244"/>
        <w:gridCol w:w="351"/>
      </w:tblGrid>
      <w:tr>
        <w:trPr/>
        <w:tc>
          <w:tcPr>
            <w:tcW w:w="402"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r>
      <w:tr>
        <w:trPr/>
        <w:tc>
          <w:tcPr>
            <w:tcW w:w="1110" w:type="dxa"/>
            <w:gridSpan w:val="3"/>
            <w:vMerge w:val="restart"/>
            <w:tcBorders>
              <w:top w:val="single" w:sz="8" w:space="0" w:color="929292"/>
              <w:left w:val="single" w:sz="8" w:space="0" w:color="929292"/>
              <w:bottom w:val="single" w:sz="8" w:space="0" w:color="929292"/>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color w:val="0A2299"/>
                <w:sz w:val="16"/>
              </w:rPr>
            </w:pPr>
            <w:r>
              <w:rPr>
                <w:rFonts w:ascii="Arial;sans-serif" w:hAnsi="Arial;sans-serif"/>
                <w:b/>
                <w:color w:val="0A2299"/>
                <w:sz w:val="16"/>
              </w:rPr>
              <w:t xml:space="preserve">Technology </w:t>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Twelve months ended Dec.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6"/>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 of Net Revenues</w:t>
            </w:r>
          </w:p>
        </w:tc>
      </w:tr>
      <w:tr>
        <w:trPr/>
        <w:tc>
          <w:tcPr>
            <w:tcW w:w="1110"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2025</w:t>
            </w:r>
          </w:p>
        </w:tc>
        <w:tc>
          <w:tcPr>
            <w:tcW w:w="839" w:type="dxa"/>
            <w:gridSpan w:val="3"/>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2024</w:t>
            </w:r>
          </w:p>
        </w:tc>
      </w:tr>
      <w:tr>
        <w:trPr/>
        <w:tc>
          <w:tcPr>
            <w:tcW w:w="1110"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7"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34,904 </w:t>
            </w:r>
          </w:p>
        </w:tc>
        <w:tc>
          <w:tcPr>
            <w:tcW w:w="115"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7"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41,046 </w:t>
            </w:r>
          </w:p>
        </w:tc>
        <w:tc>
          <w:tcPr>
            <w:tcW w:w="115"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(6,142)</w:t>
            </w:r>
          </w:p>
        </w:tc>
        <w:tc>
          <w:tcPr>
            <w:tcW w:w="10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w:t>
            </w:r>
          </w:p>
        </w:tc>
        <w:tc>
          <w:tcPr>
            <w:tcW w:w="47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op w:val="single" w:sz="8" w:space="0" w:color="FFFFFF"/>
            </w:tcBorders>
            <w:shd w:fill="92929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9.6%</w:t>
            </w:r>
          </w:p>
        </w:tc>
        <w:tc>
          <w:tcPr>
            <w:tcW w:w="839" w:type="dxa"/>
            <w:gridSpan w:val="3"/>
            <w:tcBorders>
              <w:top w:val="single" w:sz="8" w:space="0" w:color="FFFFFF"/>
            </w:tcBorders>
            <w:shd w:fill="92929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5.1%</w:t>
            </w:r>
          </w:p>
        </w:tc>
      </w:tr>
    </w:tbl>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$6.1 million, or 15.0% decrease was primarily attributable to decreased headcount in our technology support functions.</w:t>
      </w:r>
    </w:p>
    <w:tbl>
      <w:tblPr>
        <w:tblW w:w="9292" w:type="dxa"/>
        <w:jc w:val="left"/>
        <w:tblInd w:w="0" w:type="dxa"/>
        <w:tblLayout w:type="fixed"/>
        <w:tblCellMar>
          <w:top w:w="28" w:type="dxa"/>
          <w:left w:w="28" w:type="dxa"/>
          <w:bottom w:w="28" w:type="dxa"/>
          <w:right w:w="28" w:type="dxa"/>
        </w:tblCellMar>
      </w:tblPr>
      <w:tblGrid>
        <w:gridCol w:w="814"/>
        <w:gridCol w:w="717"/>
        <w:gridCol w:w="719"/>
        <w:gridCol w:w="109"/>
        <w:gridCol w:w="109"/>
        <w:gridCol w:w="109"/>
        <w:gridCol w:w="208"/>
        <w:gridCol w:w="687"/>
        <w:gridCol w:w="115"/>
        <w:gridCol w:w="115"/>
        <w:gridCol w:w="115"/>
        <w:gridCol w:w="115"/>
        <w:gridCol w:w="208"/>
        <w:gridCol w:w="687"/>
        <w:gridCol w:w="115"/>
        <w:gridCol w:w="109"/>
        <w:gridCol w:w="109"/>
        <w:gridCol w:w="109"/>
        <w:gridCol w:w="196"/>
        <w:gridCol w:w="556"/>
        <w:gridCol w:w="109"/>
        <w:gridCol w:w="109"/>
        <w:gridCol w:w="109"/>
        <w:gridCol w:w="109"/>
        <w:gridCol w:w="233"/>
        <w:gridCol w:w="233"/>
        <w:gridCol w:w="471"/>
        <w:gridCol w:w="109"/>
        <w:gridCol w:w="109"/>
        <w:gridCol w:w="109"/>
        <w:gridCol w:w="244"/>
        <w:gridCol w:w="244"/>
        <w:gridCol w:w="244"/>
        <w:gridCol w:w="244"/>
        <w:gridCol w:w="244"/>
        <w:gridCol w:w="351"/>
      </w:tblGrid>
      <w:tr>
        <w:trPr/>
        <w:tc>
          <w:tcPr>
            <w:tcW w:w="814"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r>
      <w:tr>
        <w:trPr/>
        <w:tc>
          <w:tcPr>
            <w:tcW w:w="2250" w:type="dxa"/>
            <w:gridSpan w:val="3"/>
            <w:vMerge w:val="restart"/>
            <w:tcBorders>
              <w:top w:val="single" w:sz="8" w:space="0" w:color="929292"/>
              <w:left w:val="single" w:sz="8" w:space="0" w:color="929292"/>
              <w:bottom w:val="single" w:sz="8" w:space="0" w:color="929292"/>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color w:val="0A2299"/>
                <w:sz w:val="16"/>
              </w:rPr>
            </w:pPr>
            <w:r>
              <w:rPr>
                <w:rFonts w:ascii="Arial;sans-serif" w:hAnsi="Arial;sans-serif"/>
                <w:b/>
                <w:color w:val="0A2299"/>
                <w:sz w:val="16"/>
              </w:rPr>
              <w:t>General and administrative</w:t>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Twelve months ended Dec.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6"/>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 of Net Revenues</w:t>
            </w:r>
          </w:p>
        </w:tc>
      </w:tr>
      <w:tr>
        <w:trPr/>
        <w:tc>
          <w:tcPr>
            <w:tcW w:w="2250"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2025</w:t>
            </w:r>
          </w:p>
        </w:tc>
        <w:tc>
          <w:tcPr>
            <w:tcW w:w="839" w:type="dxa"/>
            <w:gridSpan w:val="3"/>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2024</w:t>
            </w:r>
          </w:p>
        </w:tc>
      </w:tr>
      <w:tr>
        <w:trPr/>
        <w:tc>
          <w:tcPr>
            <w:tcW w:w="2250"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7"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90,789 </w:t>
            </w:r>
          </w:p>
        </w:tc>
        <w:tc>
          <w:tcPr>
            <w:tcW w:w="115"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7"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82,116 </w:t>
            </w:r>
          </w:p>
        </w:tc>
        <w:tc>
          <w:tcPr>
            <w:tcW w:w="115"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8,673 </w:t>
            </w:r>
          </w:p>
        </w:tc>
        <w:tc>
          <w:tcPr>
            <w:tcW w:w="10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10.6 </w:t>
            </w:r>
          </w:p>
        </w:tc>
        <w:tc>
          <w:tcPr>
            <w:tcW w:w="47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op w:val="single" w:sz="8" w:space="0" w:color="FFFFFF"/>
            </w:tcBorders>
            <w:shd w:fill="92929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25.1%</w:t>
            </w:r>
          </w:p>
        </w:tc>
        <w:tc>
          <w:tcPr>
            <w:tcW w:w="839" w:type="dxa"/>
            <w:gridSpan w:val="3"/>
            <w:tcBorders>
              <w:top w:val="single" w:sz="8" w:space="0" w:color="FFFFFF"/>
            </w:tcBorders>
            <w:shd w:fill="92929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10.3%</w:t>
            </w:r>
          </w:p>
        </w:tc>
      </w:tr>
    </w:tbl>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$8.7 million, or 10.6% increase was primarily attributable to an increase in expenses related to legal and professional fees.</w:t>
      </w:r>
    </w:p>
    <w:tbl>
      <w:tblPr>
        <w:tblW w:w="10040" w:type="dxa"/>
        <w:jc w:val="left"/>
        <w:tblInd w:w="0" w:type="dxa"/>
        <w:tblLayout w:type="fixed"/>
        <w:tblCellMar>
          <w:top w:w="28" w:type="dxa"/>
          <w:left w:w="28" w:type="dxa"/>
          <w:bottom w:w="28" w:type="dxa"/>
          <w:right w:w="28" w:type="dxa"/>
        </w:tblCellMar>
      </w:tblPr>
      <w:tblGrid>
        <w:gridCol w:w="1000"/>
        <w:gridCol w:w="878"/>
        <w:gridCol w:w="881"/>
        <w:gridCol w:w="109"/>
        <w:gridCol w:w="109"/>
        <w:gridCol w:w="109"/>
        <w:gridCol w:w="208"/>
        <w:gridCol w:w="687"/>
        <w:gridCol w:w="115"/>
        <w:gridCol w:w="115"/>
        <w:gridCol w:w="115"/>
        <w:gridCol w:w="115"/>
        <w:gridCol w:w="208"/>
        <w:gridCol w:w="687"/>
        <w:gridCol w:w="115"/>
        <w:gridCol w:w="109"/>
        <w:gridCol w:w="109"/>
        <w:gridCol w:w="109"/>
        <w:gridCol w:w="196"/>
        <w:gridCol w:w="721"/>
        <w:gridCol w:w="109"/>
        <w:gridCol w:w="109"/>
        <w:gridCol w:w="109"/>
        <w:gridCol w:w="109"/>
        <w:gridCol w:w="269"/>
        <w:gridCol w:w="271"/>
        <w:gridCol w:w="471"/>
        <w:gridCol w:w="109"/>
        <w:gridCol w:w="109"/>
        <w:gridCol w:w="109"/>
        <w:gridCol w:w="244"/>
        <w:gridCol w:w="244"/>
        <w:gridCol w:w="244"/>
        <w:gridCol w:w="244"/>
        <w:gridCol w:w="244"/>
        <w:gridCol w:w="351"/>
      </w:tblGrid>
      <w:tr>
        <w:trPr/>
        <w:tc>
          <w:tcPr>
            <w:tcW w:w="1000"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r>
      <w:tr>
        <w:trPr/>
        <w:tc>
          <w:tcPr>
            <w:tcW w:w="2759" w:type="dxa"/>
            <w:gridSpan w:val="3"/>
            <w:vMerge w:val="restart"/>
            <w:tcBorders>
              <w:top w:val="single" w:sz="8" w:space="0" w:color="929292"/>
              <w:left w:val="single" w:sz="8" w:space="0" w:color="929292"/>
              <w:bottom w:val="single" w:sz="8" w:space="0" w:color="929292"/>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color w:val="0A2299"/>
                <w:sz w:val="16"/>
              </w:rPr>
            </w:pPr>
            <w:r>
              <w:rPr>
                <w:rFonts w:ascii="Arial;sans-serif" w:hAnsi="Arial;sans-serif"/>
                <w:b/>
                <w:color w:val="0A2299"/>
                <w:sz w:val="16"/>
              </w:rPr>
              <w:t>Amortization of intangible assets</w:t>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Twelve months ended Dec.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6"/>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 of Net Revenues</w:t>
            </w:r>
          </w:p>
        </w:tc>
      </w:tr>
      <w:tr>
        <w:trPr/>
        <w:tc>
          <w:tcPr>
            <w:tcW w:w="2759"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2025</w:t>
            </w:r>
          </w:p>
        </w:tc>
        <w:tc>
          <w:tcPr>
            <w:tcW w:w="839" w:type="dxa"/>
            <w:gridSpan w:val="3"/>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2024</w:t>
            </w:r>
          </w:p>
        </w:tc>
      </w:tr>
      <w:tr>
        <w:trPr/>
        <w:tc>
          <w:tcPr>
            <w:tcW w:w="2759"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7"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70,542 </w:t>
            </w:r>
          </w:p>
        </w:tc>
        <w:tc>
          <w:tcPr>
            <w:tcW w:w="115"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7"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94,057 </w:t>
            </w:r>
          </w:p>
        </w:tc>
        <w:tc>
          <w:tcPr>
            <w:tcW w:w="115"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(23,515)</w:t>
            </w:r>
          </w:p>
        </w:tc>
        <w:tc>
          <w:tcPr>
            <w:tcW w:w="10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(25.0)</w:t>
            </w:r>
          </w:p>
        </w:tc>
        <w:tc>
          <w:tcPr>
            <w:tcW w:w="47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op w:val="single" w:sz="8" w:space="0" w:color="FFFFFF"/>
            </w:tcBorders>
            <w:shd w:fill="92929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19.5%</w:t>
            </w:r>
          </w:p>
        </w:tc>
        <w:tc>
          <w:tcPr>
            <w:tcW w:w="839" w:type="dxa"/>
            <w:gridSpan w:val="3"/>
            <w:tcBorders>
              <w:top w:val="single" w:sz="8" w:space="0" w:color="FFFFFF"/>
            </w:tcBorders>
            <w:shd w:fill="92929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11.8%</w:t>
            </w:r>
          </w:p>
        </w:tc>
      </w:tr>
    </w:tbl>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Amortization of intangible assets expense decreased driven by the impairment of intangible assets during 2025.</w:t>
      </w:r>
    </w:p>
    <w:tbl>
      <w:tblPr>
        <w:tblW w:w="10205" w:type="dxa"/>
        <w:jc w:val="left"/>
        <w:tblInd w:w="0" w:type="dxa"/>
        <w:tblLayout w:type="fixed"/>
        <w:tblCellMar>
          <w:top w:w="28" w:type="dxa"/>
          <w:left w:w="28" w:type="dxa"/>
          <w:bottom w:w="28" w:type="dxa"/>
          <w:right w:w="28" w:type="dxa"/>
        </w:tblCellMar>
      </w:tblPr>
      <w:tblGrid>
        <w:gridCol w:w="1147"/>
        <w:gridCol w:w="1007"/>
        <w:gridCol w:w="1010"/>
        <w:gridCol w:w="109"/>
        <w:gridCol w:w="109"/>
        <w:gridCol w:w="109"/>
        <w:gridCol w:w="214"/>
        <w:gridCol w:w="806"/>
        <w:gridCol w:w="119"/>
        <w:gridCol w:w="119"/>
        <w:gridCol w:w="119"/>
        <w:gridCol w:w="119"/>
        <w:gridCol w:w="214"/>
        <w:gridCol w:w="445"/>
        <w:gridCol w:w="119"/>
        <w:gridCol w:w="109"/>
        <w:gridCol w:w="109"/>
        <w:gridCol w:w="109"/>
        <w:gridCol w:w="196"/>
        <w:gridCol w:w="736"/>
        <w:gridCol w:w="109"/>
        <w:gridCol w:w="109"/>
        <w:gridCol w:w="109"/>
        <w:gridCol w:w="109"/>
        <w:gridCol w:w="278"/>
        <w:gridCol w:w="278"/>
        <w:gridCol w:w="471"/>
        <w:gridCol w:w="109"/>
        <w:gridCol w:w="109"/>
        <w:gridCol w:w="109"/>
        <w:gridCol w:w="225"/>
        <w:gridCol w:w="211"/>
        <w:gridCol w:w="211"/>
        <w:gridCol w:w="220"/>
        <w:gridCol w:w="211"/>
        <w:gridCol w:w="313"/>
      </w:tblGrid>
      <w:tr>
        <w:trPr/>
        <w:tc>
          <w:tcPr>
            <w:tcW w:w="1147"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3164" w:type="dxa"/>
            <w:gridSpan w:val="3"/>
            <w:vMerge w:val="restart"/>
            <w:tcBorders>
              <w:top w:val="single" w:sz="8" w:space="0" w:color="929292"/>
              <w:left w:val="single" w:sz="8" w:space="0" w:color="929292"/>
              <w:bottom w:val="single" w:sz="8" w:space="0" w:color="929292"/>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color w:val="0A2299"/>
                <w:sz w:val="16"/>
              </w:rPr>
            </w:pPr>
            <w:r>
              <w:rPr>
                <w:rFonts w:ascii="Arial;sans-serif" w:hAnsi="Arial;sans-serif"/>
                <w:b/>
                <w:color w:val="0A2299"/>
                <w:sz w:val="16"/>
              </w:rPr>
              <w:t>Indefinite and long-lived asset impairment charges</w:t>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Twelve months ended Dec.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6"/>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 of Net Revenues</w:t>
            </w:r>
          </w:p>
        </w:tc>
      </w:tr>
      <w:tr>
        <w:trPr/>
        <w:tc>
          <w:tcPr>
            <w:tcW w:w="3164"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2025</w:t>
            </w:r>
          </w:p>
        </w:tc>
        <w:tc>
          <w:tcPr>
            <w:tcW w:w="744" w:type="dxa"/>
            <w:gridSpan w:val="3"/>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2024</w:t>
            </w:r>
          </w:p>
        </w:tc>
      </w:tr>
      <w:tr>
        <w:trPr/>
        <w:tc>
          <w:tcPr>
            <w:tcW w:w="3164"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259,961 </w:t>
            </w:r>
          </w:p>
        </w:tc>
        <w:tc>
          <w:tcPr>
            <w:tcW w:w="11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45"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259,961 </w:t>
            </w:r>
          </w:p>
        </w:tc>
        <w:tc>
          <w:tcPr>
            <w:tcW w:w="10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100.0 </w:t>
            </w:r>
          </w:p>
        </w:tc>
        <w:tc>
          <w:tcPr>
            <w:tcW w:w="47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FFFFFF"/>
            </w:tcBorders>
            <w:shd w:fill="92929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71.8%</w:t>
            </w:r>
          </w:p>
        </w:tc>
        <w:tc>
          <w:tcPr>
            <w:tcW w:w="744" w:type="dxa"/>
            <w:gridSpan w:val="3"/>
            <w:tcBorders>
              <w:top w:val="single" w:sz="8" w:space="0" w:color="FFFFFF"/>
            </w:tcBorders>
            <w:shd w:fill="929292" w:val="clear"/>
            <w:tcMar>
              <w:top w:w="30" w:type="dxa"/>
              <w:left w:w="0" w:type="dxa"/>
              <w:bottom w:w="0" w:type="dxa"/>
              <w:right w:w="0" w:type="dxa"/>
            </w:tcMar>
            <w:vAlign w:val="center"/>
          </w:tcPr>
          <w:p>
            <w:pPr>
              <w:pStyle w:val="TableContents"/>
              <w:bidi w:val="0"/>
              <w:spacing w:lineRule="auto" w:line="240" w:before="0" w:after="283"/>
              <w:jc w:val="center"/>
              <w:rPr>
                <w:color w:val="FFFFFF"/>
              </w:rPr>
            </w:pPr>
            <w:r>
              <w:rPr>
                <w:color w:val="FFFFFF"/>
              </w:rPr>
              <w:t>—</w:t>
            </w:r>
            <w:r>
              <w:rPr>
                <w:rFonts w:ascii="Arial;sans-serif" w:hAnsi="Arial;sans-serif"/>
                <w:b w:val="false"/>
                <w:color w:val="FFFFFF"/>
                <w:sz w:val="16"/>
              </w:rPr>
              <w:t>%</w:t>
            </w:r>
          </w:p>
        </w:tc>
      </w:tr>
    </w:tbl>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During the twelve months ended December 31, 2025, we recorded an impairment charge of 259,961 as the Company determined that the fair value of its indefinite-lived trade names and long-lived assets were impaired because of reduced forecasted cash flows under our updated business plan. As a result the Company recorded intangible asset impairment charges of $232.0 million to write down the carrying value of the indefinite-lived trade names and definite-lived amortizable intangible assets to zero. The Company also recorded impairment charges related to capitalized equipment of $22.7 million and impairment charges related to right-of-use (“ROU”) assets of $5.3 million.</w:t>
      </w:r>
    </w:p>
    <w:tbl>
      <w:tblPr>
        <w:tblW w:w="8556" w:type="dxa"/>
        <w:jc w:val="left"/>
        <w:tblInd w:w="0" w:type="dxa"/>
        <w:tblLayout w:type="fixed"/>
        <w:tblCellMar>
          <w:top w:w="28" w:type="dxa"/>
          <w:left w:w="28" w:type="dxa"/>
          <w:bottom w:w="28" w:type="dxa"/>
          <w:right w:w="28" w:type="dxa"/>
        </w:tblCellMar>
      </w:tblPr>
      <w:tblGrid>
        <w:gridCol w:w="516"/>
        <w:gridCol w:w="452"/>
        <w:gridCol w:w="456"/>
        <w:gridCol w:w="109"/>
        <w:gridCol w:w="109"/>
        <w:gridCol w:w="109"/>
        <w:gridCol w:w="208"/>
        <w:gridCol w:w="687"/>
        <w:gridCol w:w="115"/>
        <w:gridCol w:w="115"/>
        <w:gridCol w:w="115"/>
        <w:gridCol w:w="115"/>
        <w:gridCol w:w="208"/>
        <w:gridCol w:w="687"/>
        <w:gridCol w:w="115"/>
        <w:gridCol w:w="109"/>
        <w:gridCol w:w="109"/>
        <w:gridCol w:w="109"/>
        <w:gridCol w:w="196"/>
        <w:gridCol w:w="646"/>
        <w:gridCol w:w="109"/>
        <w:gridCol w:w="109"/>
        <w:gridCol w:w="109"/>
        <w:gridCol w:w="109"/>
        <w:gridCol w:w="233"/>
        <w:gridCol w:w="233"/>
        <w:gridCol w:w="471"/>
        <w:gridCol w:w="109"/>
        <w:gridCol w:w="109"/>
        <w:gridCol w:w="109"/>
        <w:gridCol w:w="244"/>
        <w:gridCol w:w="244"/>
        <w:gridCol w:w="244"/>
        <w:gridCol w:w="244"/>
        <w:gridCol w:w="244"/>
        <w:gridCol w:w="351"/>
      </w:tblGrid>
      <w:tr>
        <w:trPr/>
        <w:tc>
          <w:tcPr>
            <w:tcW w:w="516"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r>
      <w:tr>
        <w:trPr/>
        <w:tc>
          <w:tcPr>
            <w:tcW w:w="1424" w:type="dxa"/>
            <w:gridSpan w:val="3"/>
            <w:vMerge w:val="restart"/>
            <w:tcBorders>
              <w:top w:val="single" w:sz="8" w:space="0" w:color="929292"/>
              <w:left w:val="single" w:sz="8" w:space="0" w:color="929292"/>
              <w:bottom w:val="single" w:sz="8" w:space="0" w:color="929292"/>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color w:val="0A2299"/>
                <w:sz w:val="16"/>
              </w:rPr>
            </w:pPr>
            <w:r>
              <w:rPr>
                <w:rFonts w:ascii="Arial;sans-serif" w:hAnsi="Arial;sans-serif"/>
                <w:b/>
                <w:color w:val="0A2299"/>
                <w:sz w:val="16"/>
              </w:rPr>
              <w:t>Interest expense</w:t>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Twelve months ended Dec.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6"/>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 of Net Revenues</w:t>
            </w:r>
          </w:p>
        </w:tc>
      </w:tr>
      <w:tr>
        <w:trPr/>
        <w:tc>
          <w:tcPr>
            <w:tcW w:w="1424"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2025</w:t>
            </w:r>
          </w:p>
        </w:tc>
        <w:tc>
          <w:tcPr>
            <w:tcW w:w="839" w:type="dxa"/>
            <w:gridSpan w:val="3"/>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2024</w:t>
            </w:r>
          </w:p>
        </w:tc>
      </w:tr>
      <w:tr>
        <w:trPr/>
        <w:tc>
          <w:tcPr>
            <w:tcW w:w="1424"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7"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87,320 </w:t>
            </w:r>
          </w:p>
        </w:tc>
        <w:tc>
          <w:tcPr>
            <w:tcW w:w="115"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7"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72,868 </w:t>
            </w:r>
          </w:p>
        </w:tc>
        <w:tc>
          <w:tcPr>
            <w:tcW w:w="115"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14,452 </w:t>
            </w:r>
          </w:p>
        </w:tc>
        <w:tc>
          <w:tcPr>
            <w:tcW w:w="10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19.8 </w:t>
            </w:r>
          </w:p>
        </w:tc>
        <w:tc>
          <w:tcPr>
            <w:tcW w:w="47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op w:val="single" w:sz="8" w:space="0" w:color="FFFFFF"/>
            </w:tcBorders>
            <w:shd w:fill="92929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24.1%</w:t>
            </w:r>
          </w:p>
        </w:tc>
        <w:tc>
          <w:tcPr>
            <w:tcW w:w="839" w:type="dxa"/>
            <w:gridSpan w:val="3"/>
            <w:tcBorders>
              <w:top w:val="single" w:sz="8" w:space="0" w:color="FFFFFF"/>
            </w:tcBorders>
            <w:shd w:fill="92929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9.1%</w:t>
            </w:r>
          </w:p>
        </w:tc>
      </w:tr>
    </w:tbl>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$14.5 million, or 19.8% increase was primarily attributable to an increase in interest rates as well as an increase in our outstanding borrowings pursuant to the Company’s executed Amendment No. 14 to the Existing Credit Agreement and the Superpriority Credit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716280"/>
                <wp:effectExtent l="0" t="0" r="0" b="0"/>
                <wp:wrapNone/>
                <wp:docPr id="58" name="Frame56"/>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52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52</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tbl>
      <w:tblPr>
        <w:tblW w:w="9245" w:type="dxa"/>
        <w:jc w:val="left"/>
        <w:tblInd w:w="0" w:type="dxa"/>
        <w:tblLayout w:type="fixed"/>
        <w:tblCellMar>
          <w:top w:w="28" w:type="dxa"/>
          <w:left w:w="28" w:type="dxa"/>
          <w:bottom w:w="28" w:type="dxa"/>
          <w:right w:w="28" w:type="dxa"/>
        </w:tblCellMar>
      </w:tblPr>
      <w:tblGrid>
        <w:gridCol w:w="788"/>
        <w:gridCol w:w="691"/>
        <w:gridCol w:w="696"/>
        <w:gridCol w:w="109"/>
        <w:gridCol w:w="109"/>
        <w:gridCol w:w="109"/>
        <w:gridCol w:w="225"/>
        <w:gridCol w:w="466"/>
        <w:gridCol w:w="125"/>
        <w:gridCol w:w="125"/>
        <w:gridCol w:w="125"/>
        <w:gridCol w:w="125"/>
        <w:gridCol w:w="225"/>
        <w:gridCol w:w="828"/>
        <w:gridCol w:w="125"/>
        <w:gridCol w:w="109"/>
        <w:gridCol w:w="109"/>
        <w:gridCol w:w="109"/>
        <w:gridCol w:w="196"/>
        <w:gridCol w:w="646"/>
        <w:gridCol w:w="109"/>
        <w:gridCol w:w="109"/>
        <w:gridCol w:w="109"/>
        <w:gridCol w:w="109"/>
        <w:gridCol w:w="290"/>
        <w:gridCol w:w="290"/>
        <w:gridCol w:w="291"/>
        <w:gridCol w:w="109"/>
        <w:gridCol w:w="109"/>
        <w:gridCol w:w="109"/>
        <w:gridCol w:w="244"/>
        <w:gridCol w:w="244"/>
        <w:gridCol w:w="244"/>
        <w:gridCol w:w="244"/>
        <w:gridCol w:w="244"/>
        <w:gridCol w:w="351"/>
      </w:tblGrid>
      <w:tr>
        <w:trPr/>
        <w:tc>
          <w:tcPr>
            <w:tcW w:w="788"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r>
      <w:tr>
        <w:trPr/>
        <w:tc>
          <w:tcPr>
            <w:tcW w:w="2175" w:type="dxa"/>
            <w:gridSpan w:val="3"/>
            <w:vMerge w:val="restart"/>
            <w:tcBorders>
              <w:top w:val="single" w:sz="8" w:space="0" w:color="929292"/>
              <w:left w:val="single" w:sz="8" w:space="0" w:color="929292"/>
              <w:bottom w:val="single" w:sz="8" w:space="0" w:color="929292"/>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color w:val="0A2299"/>
                <w:sz w:val="16"/>
              </w:rPr>
            </w:pPr>
            <w:r>
              <w:rPr>
                <w:rFonts w:ascii="Arial;sans-serif" w:hAnsi="Arial;sans-serif"/>
                <w:b/>
                <w:color w:val="0A2299"/>
                <w:sz w:val="16"/>
              </w:rPr>
              <w:t>Gain on bargain purchase</w:t>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Twelve months ended Dec.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6"/>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 of Net Revenues</w:t>
            </w:r>
          </w:p>
        </w:tc>
      </w:tr>
      <w:tr>
        <w:trPr/>
        <w:tc>
          <w:tcPr>
            <w:tcW w:w="2175"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2025</w:t>
            </w:r>
          </w:p>
        </w:tc>
        <w:tc>
          <w:tcPr>
            <w:tcW w:w="839" w:type="dxa"/>
            <w:gridSpan w:val="3"/>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2024</w:t>
            </w:r>
          </w:p>
        </w:tc>
      </w:tr>
      <w:tr>
        <w:trPr/>
        <w:tc>
          <w:tcPr>
            <w:tcW w:w="2175"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28"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(84,492)</w:t>
            </w:r>
          </w:p>
        </w:tc>
        <w:tc>
          <w:tcPr>
            <w:tcW w:w="125"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84,492 </w:t>
            </w:r>
          </w:p>
        </w:tc>
        <w:tc>
          <w:tcPr>
            <w:tcW w:w="10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NM</w:t>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op w:val="single" w:sz="8" w:space="0" w:color="FFFFFF"/>
            </w:tcBorders>
            <w:shd w:fill="929292" w:val="clear"/>
            <w:tcMar>
              <w:top w:w="30" w:type="dxa"/>
              <w:left w:w="0" w:type="dxa"/>
              <w:bottom w:w="0" w:type="dxa"/>
              <w:right w:w="0" w:type="dxa"/>
            </w:tcMar>
            <w:vAlign w:val="center"/>
          </w:tcPr>
          <w:p>
            <w:pPr>
              <w:pStyle w:val="TableContents"/>
              <w:bidi w:val="0"/>
              <w:spacing w:lineRule="auto" w:line="240" w:before="0" w:after="283"/>
              <w:jc w:val="center"/>
              <w:rPr>
                <w:color w:val="FFFFFF"/>
              </w:rPr>
            </w:pPr>
            <w:r>
              <w:rPr>
                <w:color w:val="FFFFFF"/>
              </w:rPr>
              <w:t>—</w:t>
            </w:r>
            <w:r>
              <w:rPr>
                <w:rFonts w:ascii="Arial;sans-serif" w:hAnsi="Arial;sans-serif"/>
                <w:b w:val="false"/>
                <w:color w:val="FFFFFF"/>
                <w:sz w:val="16"/>
              </w:rPr>
              <w:t>%</w:t>
            </w:r>
          </w:p>
        </w:tc>
        <w:tc>
          <w:tcPr>
            <w:tcW w:w="839" w:type="dxa"/>
            <w:gridSpan w:val="3"/>
            <w:tcBorders>
              <w:top w:val="single" w:sz="8" w:space="0" w:color="FFFFFF"/>
            </w:tcBorders>
            <w:shd w:fill="92929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(10.6)%</w:t>
            </w:r>
          </w:p>
        </w:tc>
      </w:tr>
    </w:tbl>
    <w:p>
      <w:pPr>
        <w:pStyle w:val="TextBody"/>
        <w:bidi w:val="0"/>
        <w:spacing w:lineRule="auto" w:line="288" w:before="240" w:after="283"/>
        <w:jc w:val="left"/>
        <w:rPr>
          <w:rFonts w:ascii="Arial;sans-serif" w:hAnsi="Arial;sans-serif"/>
          <w:b w:val="false"/>
          <w:i/>
          <w:color w:val="000000"/>
          <w:sz w:val="16"/>
        </w:rPr>
      </w:pPr>
      <w:r>
        <w:rPr>
          <w:rFonts w:ascii="Arial;sans-serif" w:hAnsi="Arial;sans-serif"/>
          <w:b w:val="false"/>
          <w:i/>
          <w:color w:val="000000"/>
          <w:sz w:val="16"/>
        </w:rPr>
        <w:t>NM = Not meaningful</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We recognized a gain on bargain purchase of $(84.5) million for the twelve months ended December 31, 2024 related to the e-TeleQuote acquisition. The gain represents the excess of the acquisition-date fair value of the net assets acquired over the acquisition-date fair value of the consideration transferred.</w:t>
      </w:r>
    </w:p>
    <w:tbl>
      <w:tblPr>
        <w:tblW w:w="9861" w:type="dxa"/>
        <w:jc w:val="left"/>
        <w:tblInd w:w="0" w:type="dxa"/>
        <w:tblLayout w:type="fixed"/>
        <w:tblCellMar>
          <w:top w:w="28" w:type="dxa"/>
          <w:left w:w="28" w:type="dxa"/>
          <w:bottom w:w="28" w:type="dxa"/>
          <w:right w:w="28" w:type="dxa"/>
        </w:tblCellMar>
      </w:tblPr>
      <w:tblGrid>
        <w:gridCol w:w="967"/>
        <w:gridCol w:w="850"/>
        <w:gridCol w:w="852"/>
        <w:gridCol w:w="109"/>
        <w:gridCol w:w="109"/>
        <w:gridCol w:w="109"/>
        <w:gridCol w:w="217"/>
        <w:gridCol w:w="616"/>
        <w:gridCol w:w="120"/>
        <w:gridCol w:w="120"/>
        <w:gridCol w:w="120"/>
        <w:gridCol w:w="120"/>
        <w:gridCol w:w="217"/>
        <w:gridCol w:w="716"/>
        <w:gridCol w:w="120"/>
        <w:gridCol w:w="109"/>
        <w:gridCol w:w="109"/>
        <w:gridCol w:w="109"/>
        <w:gridCol w:w="196"/>
        <w:gridCol w:w="631"/>
        <w:gridCol w:w="109"/>
        <w:gridCol w:w="109"/>
        <w:gridCol w:w="109"/>
        <w:gridCol w:w="109"/>
        <w:gridCol w:w="269"/>
        <w:gridCol w:w="271"/>
        <w:gridCol w:w="471"/>
        <w:gridCol w:w="109"/>
        <w:gridCol w:w="109"/>
        <w:gridCol w:w="109"/>
        <w:gridCol w:w="244"/>
        <w:gridCol w:w="244"/>
        <w:gridCol w:w="244"/>
        <w:gridCol w:w="244"/>
        <w:gridCol w:w="244"/>
        <w:gridCol w:w="351"/>
      </w:tblGrid>
      <w:tr>
        <w:trPr/>
        <w:tc>
          <w:tcPr>
            <w:tcW w:w="967"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r>
      <w:tr>
        <w:trPr/>
        <w:tc>
          <w:tcPr>
            <w:tcW w:w="2669" w:type="dxa"/>
            <w:gridSpan w:val="3"/>
            <w:vMerge w:val="restart"/>
            <w:tcBorders>
              <w:top w:val="single" w:sz="8" w:space="0" w:color="929292"/>
              <w:left w:val="single" w:sz="8" w:space="0" w:color="929292"/>
              <w:bottom w:val="single" w:sz="8" w:space="0" w:color="929292"/>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color w:val="0A2299"/>
                <w:sz w:val="16"/>
              </w:rPr>
            </w:pPr>
            <w:r>
              <w:rPr>
                <w:rFonts w:ascii="Arial;sans-serif" w:hAnsi="Arial;sans-serif"/>
                <w:b/>
                <w:color w:val="0A2299"/>
                <w:sz w:val="16"/>
              </w:rPr>
              <w:t>Loss on extinguishment of debt</w:t>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Twelve months ended Dec.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6"/>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 of Net Revenues</w:t>
            </w:r>
          </w:p>
        </w:tc>
      </w:tr>
      <w:tr>
        <w:trPr/>
        <w:tc>
          <w:tcPr>
            <w:tcW w:w="2669"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2025</w:t>
            </w:r>
          </w:p>
        </w:tc>
        <w:tc>
          <w:tcPr>
            <w:tcW w:w="839" w:type="dxa"/>
            <w:gridSpan w:val="3"/>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2024</w:t>
            </w:r>
          </w:p>
        </w:tc>
      </w:tr>
      <w:tr>
        <w:trPr/>
        <w:tc>
          <w:tcPr>
            <w:tcW w:w="2669"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1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1,655 </w:t>
            </w:r>
          </w:p>
        </w:tc>
        <w:tc>
          <w:tcPr>
            <w:tcW w:w="120"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10,463 </w:t>
            </w:r>
          </w:p>
        </w:tc>
        <w:tc>
          <w:tcPr>
            <w:tcW w:w="120"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(8,808)</w:t>
            </w:r>
          </w:p>
        </w:tc>
        <w:tc>
          <w:tcPr>
            <w:tcW w:w="10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(84.2)</w:t>
            </w:r>
          </w:p>
        </w:tc>
        <w:tc>
          <w:tcPr>
            <w:tcW w:w="47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op w:val="single" w:sz="8" w:space="0" w:color="FFFFFF"/>
            </w:tcBorders>
            <w:shd w:fill="92929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0.5%</w:t>
            </w:r>
          </w:p>
        </w:tc>
        <w:tc>
          <w:tcPr>
            <w:tcW w:w="839" w:type="dxa"/>
            <w:gridSpan w:val="3"/>
            <w:tcBorders>
              <w:top w:val="single" w:sz="8" w:space="0" w:color="FFFFFF"/>
            </w:tcBorders>
            <w:shd w:fill="92929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1.3%</w:t>
            </w:r>
          </w:p>
        </w:tc>
      </w:tr>
    </w:tbl>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We recognized a loss on extinguishment of debt of $1.7 million and $10.5 million for the twelve months ended December 31, 2025 and 2024 pursuant to the Company’s executed debt agreements.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804" w:type="dxa"/>
        <w:jc w:val="left"/>
        <w:tblInd w:w="0" w:type="dxa"/>
        <w:tblLayout w:type="fixed"/>
        <w:tblCellMar>
          <w:top w:w="28" w:type="dxa"/>
          <w:left w:w="28" w:type="dxa"/>
          <w:bottom w:w="28" w:type="dxa"/>
          <w:right w:w="28" w:type="dxa"/>
        </w:tblCellMar>
      </w:tblPr>
      <w:tblGrid>
        <w:gridCol w:w="898"/>
        <w:gridCol w:w="788"/>
        <w:gridCol w:w="1118"/>
      </w:tblGrid>
      <w:tr>
        <w:trPr/>
        <w:tc>
          <w:tcPr>
            <w:tcW w:w="898"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bottom w:val="single" w:sz="4" w:space="0" w:color="494949"/>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497F"/>
                <w:sz w:val="18"/>
              </w:rPr>
            </w:pPr>
            <w:r>
              <w:rPr>
                <w:rFonts w:ascii="Arial;sans-serif" w:hAnsi="Arial;sans-serif"/>
                <w:b/>
                <w:color w:val="00497F"/>
                <w:sz w:val="18"/>
              </w:rPr>
              <w:t>Non-GAAP Financial Measures</w:t>
            </w:r>
          </w:p>
        </w:tc>
      </w:tr>
    </w:tbl>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We use supplemental measures of our performance that are derived from our consolidated financial information, but which are not presented in our Consolidated Financial Statements prepared in accordance with GAAP. These non-GAAP financial measures include net income (loss) before interest expense, income tax (benefit) expense and depreciation and amortization expense, or EBITDA, Adjusted EBITDA and Adjusted EBITDA margin, Adjusted EBITDA is the primary financial performance measure used by management to evaluate the business and to monitor its results of operations.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Adjusted EBITDA represents, as applicable for the period, EBITDA as further adjusted for certain items summarized in the table furnished below. Adjusted EBITDA Margin represents Adjusted EBITDA divided by net revenues.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We use non-GAAP financial measures to supplement financial information presented on a GAAP basis. We believe that excluding certain items from our GAAP results allows management to better understand our consolidated financial performance from period to period and better project our future consolidated financial performance as forecasts are developed at a level of detail different from that used to prepare GAAP-based financial measures. Moreover, we believe these non-GAAP financial measures provide our stakeholders with useful information to help them evaluate our operating results by facilitating an enhanced understanding of our operating performance and enabling them to make more meaningful period to period comparisons. Adjusted EBITDA is used as a basis for certain compensation programs sponsored by the Company. There are limitations to the use of the non-GAAP financial measures presented in this Annual Report on Form 10-K. For example, our non-GAAP financial measures may not be comparable to similarly titled measures of other companies. Other companies, including companies in our industry, may calculate non-GAAP financial measures differently than we do, limiting the usefulness of those measures for comparative purposes.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non-GAAP financial measures are not meant to be considered as indicators of performance in isolation from or as a substitute for the most directly comparable measures prepared in accordance with GAAP, and should be read only in conjunction with financial information presented on a GAAP basis. Reconciliations of EBITDA, Adjusted EBITDA and Adjusted EBITDA Margin to their most directly comparable GAAP financial measures are presented in the tables furnished below in this Annual Report on Form 10-K. We encourage you to review the reconciliations in conjunction with the presentation of the non-GAAP financial measures for each of the periods presented. In future periods, we may exclude similar items, may incur income and expenses similar to these excluded items and may include other expenses, costs and non-routine items.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following table sets forth the reconciliations of GAAP net income (loss) to EBITDA and Adjusted EBITDA for the periods presented: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716280"/>
                <wp:effectExtent l="0" t="0" r="0" b="0"/>
                <wp:wrapNone/>
                <wp:docPr id="59" name="Frame57"/>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53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53</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tbl>
      <w:tblPr>
        <w:tblW w:w="10205" w:type="dxa"/>
        <w:jc w:val="left"/>
        <w:tblInd w:w="0" w:type="dxa"/>
        <w:tblLayout w:type="fixed"/>
        <w:tblCellMar>
          <w:top w:w="28" w:type="dxa"/>
          <w:left w:w="28" w:type="dxa"/>
          <w:bottom w:w="28" w:type="dxa"/>
          <w:right w:w="28" w:type="dxa"/>
        </w:tblCellMar>
      </w:tblPr>
      <w:tblGrid>
        <w:gridCol w:w="2073"/>
        <w:gridCol w:w="1757"/>
        <w:gridCol w:w="1768"/>
        <w:gridCol w:w="109"/>
        <w:gridCol w:w="109"/>
        <w:gridCol w:w="109"/>
        <w:gridCol w:w="196"/>
        <w:gridCol w:w="736"/>
        <w:gridCol w:w="256"/>
        <w:gridCol w:w="109"/>
        <w:gridCol w:w="109"/>
        <w:gridCol w:w="109"/>
        <w:gridCol w:w="196"/>
        <w:gridCol w:w="751"/>
        <w:gridCol w:w="256"/>
        <w:gridCol w:w="109"/>
        <w:gridCol w:w="109"/>
        <w:gridCol w:w="109"/>
        <w:gridCol w:w="196"/>
        <w:gridCol w:w="736"/>
        <w:gridCol w:w="303"/>
      </w:tblGrid>
      <w:tr>
        <w:trPr/>
        <w:tc>
          <w:tcPr>
            <w:tcW w:w="2073" w:type="dxa"/>
            <w:tcBorders/>
            <w:vAlign w:val="center"/>
          </w:tcPr>
          <w:p>
            <w:pPr>
              <w:pStyle w:val="TableContents"/>
              <w:bidi w:val="0"/>
              <w:spacing w:before="0" w:after="283"/>
              <w:jc w:val="left"/>
              <w:rPr>
                <w:sz w:val="4"/>
                <w:szCs w:val="4"/>
              </w:rPr>
            </w:pPr>
            <w:r>
              <w:rPr>
                <w:sz w:val="4"/>
                <w:szCs w:val="4"/>
              </w:rPr>
            </w:r>
          </w:p>
        </w:tc>
        <w:tc>
          <w:tcPr>
            <w:tcW w:w="1757"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r>
      <w:tr>
        <w:trPr/>
        <w:tc>
          <w:tcPr>
            <w:tcW w:w="5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Twelve months ended Dec. 31,</w:t>
            </w:r>
          </w:p>
        </w:tc>
      </w:tr>
      <w:tr>
        <w:trPr/>
        <w:tc>
          <w:tcPr>
            <w:tcW w:w="55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Non-GAAP Financial Measures</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r>
      <w:tr>
        <w:trPr/>
        <w:tc>
          <w:tcPr>
            <w:tcW w:w="5598" w:type="dxa"/>
            <w:gridSpan w:val="3"/>
            <w:tcBorders>
              <w:top w:val="single" w:sz="4" w:space="0" w:color="494949"/>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revenues</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361,845 </w:t>
            </w:r>
          </w:p>
        </w:tc>
        <w:tc>
          <w:tcPr>
            <w:tcW w:w="256"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798,894 </w:t>
            </w:r>
          </w:p>
        </w:tc>
        <w:tc>
          <w:tcPr>
            <w:tcW w:w="256"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734,671 </w:t>
            </w:r>
          </w:p>
        </w:tc>
        <w:tc>
          <w:tcPr>
            <w:tcW w:w="303"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(497,755)</w:t>
            </w:r>
          </w:p>
        </w:tc>
        <w:tc>
          <w:tcPr>
            <w:tcW w:w="256"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(7,319)</w:t>
            </w:r>
          </w:p>
        </w:tc>
        <w:tc>
          <w:tcPr>
            <w:tcW w:w="256"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(151,270)</w:t>
            </w:r>
          </w:p>
        </w:tc>
        <w:tc>
          <w:tcPr>
            <w:tcW w:w="303"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87,320 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72,868 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69,472 </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expense (benefit)</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(3,335)</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2,267 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154 </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 expense</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80,106 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105,890 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105,748 </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EBITDA</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(333,664)</w:t>
            </w:r>
          </w:p>
        </w:tc>
        <w:tc>
          <w:tcPr>
            <w:tcW w:w="256"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173,706 </w:t>
            </w:r>
          </w:p>
        </w:tc>
        <w:tc>
          <w:tcPr>
            <w:tcW w:w="256"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24,104 </w:t>
            </w:r>
          </w:p>
        </w:tc>
        <w:tc>
          <w:tcPr>
            <w:tcW w:w="303"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Gain on bargain purchase</w:t>
            </w:r>
            <w:r>
              <w:rPr>
                <w:rFonts w:ascii="Arial;sans-serif" w:hAnsi="Arial;sans-serif"/>
                <w:b w:val="false"/>
                <w:color w:val="000000"/>
                <w:sz w:val="10"/>
              </w:rPr>
              <w:t>1</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(84,492)</w:t>
            </w:r>
          </w:p>
        </w:tc>
        <w:tc>
          <w:tcPr>
            <w:tcW w:w="256"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3"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Share-based compensation expense</w:t>
            </w:r>
            <w:r>
              <w:rPr>
                <w:rFonts w:ascii="Arial;sans-serif" w:hAnsi="Arial;sans-serif"/>
                <w:b w:val="false"/>
                <w:color w:val="000000"/>
                <w:sz w:val="10"/>
              </w:rPr>
              <w:t>2</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9,170 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11,281 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19,564 </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Loss on extinguishment of debt</w:t>
            </w:r>
            <w:r>
              <w:rPr>
                <w:rFonts w:ascii="Arial;sans-serif" w:hAnsi="Arial;sans-serif"/>
                <w:b w:val="false"/>
                <w:color w:val="000000"/>
                <w:sz w:val="10"/>
              </w:rPr>
              <w:t>3</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1,655 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10,463 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Professional services</w:t>
            </w:r>
            <w:r>
              <w:rPr>
                <w:rFonts w:ascii="Arial;sans-serif" w:hAnsi="Arial;sans-serif"/>
                <w:b w:val="false"/>
                <w:color w:val="000000"/>
                <w:sz w:val="10"/>
              </w:rPr>
              <w:t>4</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11,463 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3,671 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1,548 </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Legal fees</w:t>
            </w:r>
            <w:r>
              <w:rPr>
                <w:rFonts w:ascii="Arial;sans-serif" w:hAnsi="Arial;sans-serif"/>
                <w:b w:val="false"/>
                <w:color w:val="000000"/>
                <w:sz w:val="10"/>
              </w:rPr>
              <w:t>5</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5,042 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2,917 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14,840 </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Severance costs</w:t>
            </w:r>
            <w:r>
              <w:rPr>
                <w:rFonts w:ascii="Arial;sans-serif" w:hAnsi="Arial;sans-serif"/>
                <w:b w:val="false"/>
                <w:color w:val="000000"/>
                <w:sz w:val="10"/>
              </w:rPr>
              <w:t>6</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11,550 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2,480 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1,920 </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Other (income) loss related to the adjustment of liabilities under the Tax Receivable Agreement</w:t>
            </w:r>
            <w:r>
              <w:rPr>
                <w:rFonts w:ascii="Arial;sans-serif" w:hAnsi="Arial;sans-serif"/>
                <w:b w:val="false"/>
                <w:color w:val="000000"/>
                <w:sz w:val="10"/>
              </w:rPr>
              <w:t>7</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293 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428 </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r>
      <w:tr>
        <w:trPr/>
        <w:tc>
          <w:tcPr>
            <w:tcW w:w="55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r>
      <w:tr>
        <w:trPr/>
        <w:tc>
          <w:tcPr>
            <w:tcW w:w="559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Indefinite and long-lived asset impairment charges</w:t>
            </w:r>
            <w:r>
              <w:rPr>
                <w:rFonts w:ascii="Arial;sans-serif" w:hAnsi="Arial;sans-serif"/>
                <w:b w:val="false"/>
                <w:color w:val="000000"/>
                <w:sz w:val="10"/>
              </w:rPr>
              <w:t>8</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259,675 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12,687 </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EBITDA</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36"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(35,109)</w:t>
            </w:r>
          </w:p>
        </w:tc>
        <w:tc>
          <w:tcPr>
            <w:tcW w:w="256"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120,319</w:t>
            </w:r>
            <w:r>
              <w:rPr>
                <w:color w:val="000000"/>
              </w:rPr>
              <w:t> </w:t>
            </w:r>
          </w:p>
        </w:tc>
        <w:tc>
          <w:tcPr>
            <w:tcW w:w="256"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36"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75,091</w:t>
            </w:r>
            <w:r>
              <w:rPr>
                <w:color w:val="000000"/>
              </w:rPr>
              <w:t> </w:t>
            </w:r>
          </w:p>
        </w:tc>
        <w:tc>
          <w:tcPr>
            <w:tcW w:w="303"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Net income (loss) margin</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(137.6)</w:t>
            </w:r>
          </w:p>
        </w:tc>
        <w:tc>
          <w:tcPr>
            <w:tcW w:w="256" w:type="dxa"/>
            <w:tcBorders>
              <w:top w:val="doub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(0.9)</w:t>
            </w:r>
          </w:p>
        </w:tc>
        <w:tc>
          <w:tcPr>
            <w:tcW w:w="256" w:type="dxa"/>
            <w:tcBorders>
              <w:top w:val="doub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(20.6)</w:t>
            </w:r>
          </w:p>
        </w:tc>
        <w:tc>
          <w:tcPr>
            <w:tcW w:w="303" w:type="dxa"/>
            <w:tcBorders>
              <w:top w:val="doub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55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EBITDA margin</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10.2 </w:t>
            </w:r>
          </w:p>
        </w:tc>
        <w:tc>
          <w:tcPr>
            <w:tcW w:w="30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i/>
          <w:color w:val="000000"/>
          <w:sz w:val="14"/>
        </w:rPr>
      </w:pPr>
      <w:r>
        <w:rPr>
          <w:rFonts w:ascii="Arial;sans-serif" w:hAnsi="Arial;sans-serif"/>
          <w:b w:val="false"/>
          <w:i/>
          <w:color w:val="000000"/>
          <w:sz w:val="14"/>
        </w:rPr>
        <w:t>(1)Represents the excess of the acquisition-date fair value of the net assets acquired over the acquisition-date fair value of the consideration transferred related to the acquisition of e-TeleQuote, as further described in Note 14, Acquisitions.</w:t>
      </w:r>
    </w:p>
    <w:p>
      <w:pPr>
        <w:pStyle w:val="TextBody"/>
        <w:bidi w:val="0"/>
        <w:spacing w:lineRule="auto" w:line="288" w:before="0" w:after="0"/>
        <w:ind w:left="0" w:right="0" w:hanging="360"/>
        <w:jc w:val="left"/>
        <w:rPr>
          <w:rFonts w:ascii="Arial;sans-serif" w:hAnsi="Arial;sans-serif"/>
          <w:b w:val="false"/>
          <w:i/>
          <w:color w:val="000000"/>
          <w:sz w:val="14"/>
        </w:rPr>
      </w:pPr>
      <w:r>
        <w:rPr>
          <w:rFonts w:ascii="Arial;sans-serif" w:hAnsi="Arial;sans-serif"/>
          <w:b w:val="false"/>
          <w:i/>
          <w:color w:val="000000"/>
          <w:sz w:val="14"/>
        </w:rPr>
        <w:t>(2)Represents non-cash share-based compensation expense relating to equity awards as well share-based compensation expense relating to liability classified awards that will be settled in cash.</w:t>
      </w:r>
    </w:p>
    <w:p>
      <w:pPr>
        <w:pStyle w:val="TextBody"/>
        <w:bidi w:val="0"/>
        <w:spacing w:lineRule="auto" w:line="288" w:before="0" w:after="0"/>
        <w:ind w:left="0" w:right="0" w:hanging="360"/>
        <w:jc w:val="left"/>
        <w:rPr>
          <w:rFonts w:ascii="Arial;sans-serif" w:hAnsi="Arial;sans-serif"/>
          <w:b w:val="false"/>
          <w:i/>
          <w:color w:val="000000"/>
          <w:sz w:val="14"/>
        </w:rPr>
      </w:pPr>
      <w:r>
        <w:rPr>
          <w:rFonts w:ascii="Arial;sans-serif" w:hAnsi="Arial;sans-serif"/>
          <w:b w:val="false"/>
          <w:i/>
          <w:color w:val="000000"/>
          <w:sz w:val="14"/>
        </w:rPr>
        <w:t>(3)Represents the loss on debt extinguishment related to the write-down of deferred debt discount and debt issuance costs in conjunction with the refinancing of the Term Loan Facilities.</w:t>
      </w:r>
    </w:p>
    <w:p>
      <w:pPr>
        <w:pStyle w:val="TextBody"/>
        <w:bidi w:val="0"/>
        <w:spacing w:lineRule="auto" w:line="288" w:before="0" w:after="0"/>
        <w:ind w:left="0" w:right="0" w:hanging="360"/>
        <w:jc w:val="left"/>
        <w:rPr>
          <w:rFonts w:ascii="Arial;sans-serif" w:hAnsi="Arial;sans-serif"/>
          <w:b w:val="false"/>
          <w:i/>
          <w:color w:val="000000"/>
          <w:sz w:val="14"/>
        </w:rPr>
      </w:pPr>
      <w:r>
        <w:rPr>
          <w:rFonts w:ascii="Arial;sans-serif" w:hAnsi="Arial;sans-serif"/>
          <w:b w:val="false"/>
          <w:i/>
          <w:color w:val="000000"/>
          <w:sz w:val="14"/>
        </w:rPr>
        <w:t>(4)Represents costs associated with non-routine consulting fees and other professional services.</w:t>
      </w:r>
    </w:p>
    <w:p>
      <w:pPr>
        <w:pStyle w:val="TextBody"/>
        <w:bidi w:val="0"/>
        <w:spacing w:lineRule="auto" w:line="288" w:before="0" w:after="0"/>
        <w:ind w:left="0" w:right="0" w:hanging="360"/>
        <w:jc w:val="left"/>
        <w:rPr>
          <w:rFonts w:ascii="Arial;sans-serif" w:hAnsi="Arial;sans-serif"/>
          <w:b w:val="false"/>
          <w:i/>
          <w:color w:val="000000"/>
          <w:sz w:val="14"/>
        </w:rPr>
      </w:pPr>
      <w:r>
        <w:rPr>
          <w:rFonts w:ascii="Arial;sans-serif" w:hAnsi="Arial;sans-serif"/>
          <w:b w:val="false"/>
          <w:i/>
          <w:color w:val="000000"/>
          <w:sz w:val="14"/>
        </w:rPr>
        <w:t>(5)Represents legal fees, settlement accruals and other expenses related to certain acquisitions, litigation, Credit Agreement amendments and other non-routine legal or regulatory matters.</w:t>
      </w:r>
    </w:p>
    <w:p>
      <w:pPr>
        <w:pStyle w:val="TextBody"/>
        <w:bidi w:val="0"/>
        <w:spacing w:lineRule="auto" w:line="288" w:before="0" w:after="0"/>
        <w:ind w:left="0" w:right="0" w:hanging="360"/>
        <w:jc w:val="left"/>
        <w:rPr>
          <w:rFonts w:ascii="Arial;sans-serif" w:hAnsi="Arial;sans-serif"/>
          <w:b w:val="false"/>
          <w:i/>
          <w:color w:val="000000"/>
          <w:sz w:val="14"/>
        </w:rPr>
      </w:pPr>
      <w:r>
        <w:rPr>
          <w:rFonts w:ascii="Arial;sans-serif" w:hAnsi="Arial;sans-serif"/>
          <w:b w:val="false"/>
          <w:i/>
          <w:color w:val="000000"/>
          <w:sz w:val="14"/>
        </w:rPr>
        <w:t>(6)Represents severance costs and other fees associated with a reduction in workforce unrelated to restructuring activities.</w:t>
      </w:r>
    </w:p>
    <w:p>
      <w:pPr>
        <w:pStyle w:val="TextBody"/>
        <w:bidi w:val="0"/>
        <w:spacing w:lineRule="auto" w:line="288" w:before="0" w:after="0"/>
        <w:ind w:left="0" w:right="0" w:hanging="360"/>
        <w:jc w:val="left"/>
        <w:rPr>
          <w:rFonts w:ascii="Arial;sans-serif" w:hAnsi="Arial;sans-serif"/>
          <w:b w:val="false"/>
          <w:i/>
          <w:color w:val="000000"/>
          <w:sz w:val="14"/>
        </w:rPr>
      </w:pPr>
      <w:r>
        <w:rPr>
          <w:rFonts w:ascii="Arial;sans-serif" w:hAnsi="Arial;sans-serif"/>
          <w:b w:val="false"/>
          <w:i/>
          <w:color w:val="000000"/>
          <w:sz w:val="14"/>
        </w:rPr>
        <w:t>(7)Represents expense related to the measurement of our TRA obligation.</w:t>
      </w:r>
    </w:p>
    <w:p>
      <w:pPr>
        <w:pStyle w:val="TextBody"/>
        <w:bidi w:val="0"/>
        <w:spacing w:lineRule="auto" w:line="288" w:before="0" w:after="0"/>
        <w:ind w:left="0" w:right="0" w:hanging="360"/>
        <w:jc w:val="left"/>
        <w:rPr>
          <w:rFonts w:ascii="Arial;sans-serif" w:hAnsi="Arial;sans-serif"/>
          <w:b w:val="false"/>
          <w:i/>
          <w:color w:val="000000"/>
          <w:sz w:val="14"/>
        </w:rPr>
      </w:pPr>
      <w:r>
        <w:rPr>
          <w:rFonts w:ascii="Arial;sans-serif" w:hAnsi="Arial;sans-serif"/>
          <w:b w:val="false"/>
          <w:i/>
          <w:color w:val="000000"/>
          <w:sz w:val="14"/>
        </w:rPr>
        <w:t>(8)Represents indefinite-lived intangible asset, definite-lived intangible asset, capitalized software and other long-lived asset impairment charge for the twelve months ended December 31, 2025. Impairment charge for 2025 includes remeasurement of the lease liability and adjustment of the ROU asset (which was previously impaired) related to the early termination of leases during the first half of the fiscal year. The asset impairment charge for the twelve months ended December 31, 2023 includes impairment charge for an indefinite-lived intangible asset and an operating lease ROU asset.</w:t>
      </w:r>
    </w:p>
    <w:p>
      <w:pPr>
        <w:pStyle w:val="TextBody"/>
        <w:bidi w:val="0"/>
        <w:spacing w:before="0" w:after="0"/>
        <w:jc w:val="left"/>
        <w:rPr/>
      </w:pPr>
      <w:r>
        <w:rPr/>
      </w:r>
    </w:p>
    <w:p>
      <w:pPr>
        <w:pStyle w:val="TextBody"/>
        <w:bidi w:val="0"/>
        <w:spacing w:before="0" w:after="0"/>
        <w:jc w:val="left"/>
        <w:rPr/>
      </w:pPr>
      <w:r>
        <w:rPr/>
      </w:r>
    </w:p>
    <w:tbl>
      <w:tblPr>
        <w:tblW w:w="8990" w:type="dxa"/>
        <w:jc w:val="left"/>
        <w:tblInd w:w="0" w:type="dxa"/>
        <w:tblLayout w:type="fixed"/>
        <w:tblCellMar>
          <w:top w:w="28" w:type="dxa"/>
          <w:left w:w="28" w:type="dxa"/>
          <w:bottom w:w="28" w:type="dxa"/>
          <w:right w:w="28" w:type="dxa"/>
        </w:tblCellMar>
      </w:tblPr>
      <w:tblGrid>
        <w:gridCol w:w="542"/>
        <w:gridCol w:w="478"/>
        <w:gridCol w:w="480"/>
        <w:gridCol w:w="109"/>
        <w:gridCol w:w="109"/>
        <w:gridCol w:w="109"/>
        <w:gridCol w:w="196"/>
        <w:gridCol w:w="721"/>
        <w:gridCol w:w="109"/>
        <w:gridCol w:w="109"/>
        <w:gridCol w:w="109"/>
        <w:gridCol w:w="109"/>
        <w:gridCol w:w="196"/>
        <w:gridCol w:w="736"/>
        <w:gridCol w:w="109"/>
        <w:gridCol w:w="109"/>
        <w:gridCol w:w="109"/>
        <w:gridCol w:w="109"/>
        <w:gridCol w:w="196"/>
        <w:gridCol w:w="811"/>
        <w:gridCol w:w="109"/>
        <w:gridCol w:w="109"/>
        <w:gridCol w:w="109"/>
        <w:gridCol w:w="109"/>
        <w:gridCol w:w="314"/>
        <w:gridCol w:w="316"/>
        <w:gridCol w:w="471"/>
        <w:gridCol w:w="109"/>
        <w:gridCol w:w="109"/>
        <w:gridCol w:w="109"/>
        <w:gridCol w:w="244"/>
        <w:gridCol w:w="244"/>
        <w:gridCol w:w="244"/>
        <w:gridCol w:w="244"/>
        <w:gridCol w:w="244"/>
        <w:gridCol w:w="351"/>
      </w:tblGrid>
      <w:tr>
        <w:trPr/>
        <w:tc>
          <w:tcPr>
            <w:tcW w:w="542"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r>
      <w:tr>
        <w:trPr/>
        <w:tc>
          <w:tcPr>
            <w:tcW w:w="1500" w:type="dxa"/>
            <w:gridSpan w:val="3"/>
            <w:vMerge w:val="restart"/>
            <w:tcBorders>
              <w:top w:val="single" w:sz="8" w:space="0" w:color="929292"/>
              <w:left w:val="single" w:sz="8" w:space="0" w:color="929292"/>
              <w:bottom w:val="single" w:sz="8" w:space="0" w:color="929292"/>
            </w:tcBorders>
            <w:tcMar>
              <w:top w:w="30" w:type="dxa"/>
              <w:bottom w:w="30" w:type="dxa"/>
              <w:right w:w="0" w:type="dxa"/>
            </w:tcMar>
            <w:vAlign w:val="center"/>
          </w:tcPr>
          <w:p>
            <w:pPr>
              <w:pStyle w:val="TableContents"/>
              <w:bidi w:val="0"/>
              <w:spacing w:lineRule="auto" w:line="240" w:before="0" w:after="0"/>
              <w:jc w:val="center"/>
              <w:rPr>
                <w:rFonts w:ascii="Arial;sans-serif" w:hAnsi="Arial;sans-serif"/>
                <w:b/>
                <w:color w:val="0A2299"/>
                <w:sz w:val="16"/>
              </w:rPr>
            </w:pPr>
            <w:r>
              <w:rPr>
                <w:rFonts w:ascii="Arial;sans-serif" w:hAnsi="Arial;sans-serif"/>
                <w:b/>
                <w:color w:val="0A2299"/>
                <w:sz w:val="16"/>
              </w:rPr>
              <w:t>Adjusted EBITDA</w:t>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Twelve months ended Dec.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6"/>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 of Net Revenues</w:t>
            </w:r>
          </w:p>
        </w:tc>
      </w:tr>
      <w:tr>
        <w:trPr/>
        <w:tc>
          <w:tcPr>
            <w:tcW w:w="1500"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2025</w:t>
            </w:r>
          </w:p>
        </w:tc>
        <w:tc>
          <w:tcPr>
            <w:tcW w:w="839" w:type="dxa"/>
            <w:gridSpan w:val="3"/>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2024</w:t>
            </w:r>
          </w:p>
        </w:tc>
      </w:tr>
      <w:tr>
        <w:trPr/>
        <w:tc>
          <w:tcPr>
            <w:tcW w:w="1500"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(35,109)</w:t>
            </w:r>
          </w:p>
        </w:tc>
        <w:tc>
          <w:tcPr>
            <w:tcW w:w="10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120,319 </w:t>
            </w:r>
          </w:p>
        </w:tc>
        <w:tc>
          <w:tcPr>
            <w:tcW w:w="10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(155,428)</w:t>
            </w:r>
          </w:p>
        </w:tc>
        <w:tc>
          <w:tcPr>
            <w:tcW w:w="10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(129.2)</w:t>
            </w:r>
          </w:p>
        </w:tc>
        <w:tc>
          <w:tcPr>
            <w:tcW w:w="47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op w:val="single" w:sz="8" w:space="0" w:color="FFFFFF"/>
            </w:tcBorders>
            <w:shd w:fill="92929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(9.7)%</w:t>
            </w:r>
          </w:p>
        </w:tc>
        <w:tc>
          <w:tcPr>
            <w:tcW w:w="839" w:type="dxa"/>
            <w:gridSpan w:val="3"/>
            <w:tcBorders>
              <w:top w:val="single" w:sz="8" w:space="0" w:color="FFFFFF"/>
            </w:tcBorders>
            <w:shd w:fill="92929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15.1%</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$(155.4) million, or (129.2)% decrease for the twelve months ended December 31, 2025 compared to the prior year period was primarily due to a decrease in net revenues driven by management’s intentional pullback of Medicare Advantage activities during 2025 partially offset by cost cutting initiatives implemented during the year.</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470" w:type="dxa"/>
        <w:jc w:val="left"/>
        <w:tblInd w:w="0" w:type="dxa"/>
        <w:tblLayout w:type="fixed"/>
        <w:tblCellMar>
          <w:top w:w="28" w:type="dxa"/>
          <w:left w:w="28" w:type="dxa"/>
          <w:bottom w:w="28" w:type="dxa"/>
          <w:right w:w="28" w:type="dxa"/>
        </w:tblCellMar>
      </w:tblPr>
      <w:tblGrid>
        <w:gridCol w:w="1430"/>
        <w:gridCol w:w="1257"/>
        <w:gridCol w:w="1783"/>
      </w:tblGrid>
      <w:tr>
        <w:trPr/>
        <w:tc>
          <w:tcPr>
            <w:tcW w:w="1430"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783"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bottom w:val="single" w:sz="4" w:space="0" w:color="494949"/>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497F"/>
                <w:sz w:val="18"/>
              </w:rPr>
            </w:pPr>
            <w:r>
              <w:rPr>
                <w:rFonts w:ascii="Arial;sans-serif" w:hAnsi="Arial;sans-serif"/>
                <w:b/>
                <w:color w:val="00497F"/>
                <w:sz w:val="18"/>
              </w:rPr>
              <w:t>Key Business Performance and Operating Metrics</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 addition to traditional financial metrics, we rely upon certain business and operating metrics to evaluate our business performance and facilitate our operations. The most relevant business and operating metrics for our single operating and reportable segment are furnished in the tables below (unaudited).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following are our Submissions, Sales per Submission and Direct Operating Cost per Submission for the periods presented:</w:t>
      </w:r>
    </w:p>
    <w:p>
      <w:pPr>
        <w:pStyle w:val="TextBody"/>
        <w:bidi w:val="0"/>
        <w:spacing w:before="0" w:after="0"/>
        <w:jc w:val="left"/>
        <w:rPr/>
      </w:pPr>
      <w:r>
        <w:rPr/>
      </w:r>
    </w:p>
    <w:tbl>
      <w:tblPr>
        <w:tblW w:w="6575" w:type="dxa"/>
        <w:jc w:val="left"/>
        <w:tblInd w:w="0" w:type="dxa"/>
        <w:tblLayout w:type="fixed"/>
        <w:tblCellMar>
          <w:top w:w="28" w:type="dxa"/>
          <w:left w:w="28" w:type="dxa"/>
          <w:bottom w:w="28" w:type="dxa"/>
          <w:right w:w="28" w:type="dxa"/>
        </w:tblCellMar>
      </w:tblPr>
      <w:tblGrid>
        <w:gridCol w:w="1044"/>
        <w:gridCol w:w="914"/>
        <w:gridCol w:w="921"/>
        <w:gridCol w:w="109"/>
        <w:gridCol w:w="109"/>
        <w:gridCol w:w="109"/>
        <w:gridCol w:w="233"/>
        <w:gridCol w:w="503"/>
        <w:gridCol w:w="109"/>
        <w:gridCol w:w="109"/>
        <w:gridCol w:w="109"/>
        <w:gridCol w:w="109"/>
        <w:gridCol w:w="276"/>
        <w:gridCol w:w="595"/>
        <w:gridCol w:w="109"/>
        <w:gridCol w:w="109"/>
        <w:gridCol w:w="109"/>
        <w:gridCol w:w="109"/>
        <w:gridCol w:w="233"/>
        <w:gridCol w:w="503"/>
        <w:gridCol w:w="154"/>
      </w:tblGrid>
      <w:tr>
        <w:trPr/>
        <w:tc>
          <w:tcPr>
            <w:tcW w:w="1044"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Twelve months ended Dec. 31,</w:t>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r>
      <w:tr>
        <w:trPr/>
        <w:tc>
          <w:tcPr>
            <w:tcW w:w="2879"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Submissions</w:t>
            </w:r>
          </w:p>
        </w:tc>
        <w:tc>
          <w:tcPr>
            <w:tcW w:w="327" w:type="dxa"/>
            <w:gridSpan w:val="3"/>
            <w:tcBorders>
              <w:top w:val="single" w:sz="4" w:space="0" w:color="494949"/>
            </w:tcBorders>
            <w:shd w:fill="92929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534,657 </w:t>
            </w:r>
          </w:p>
        </w:tc>
        <w:tc>
          <w:tcPr>
            <w:tcW w:w="109"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1,016,182 </w:t>
            </w:r>
          </w:p>
        </w:tc>
        <w:tc>
          <w:tcPr>
            <w:tcW w:w="109"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826,159 </w:t>
            </w:r>
          </w:p>
        </w:tc>
        <w:tc>
          <w:tcPr>
            <w:tcW w:w="154"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Sales per Submission</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0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0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Direct Operating Cost per Submission</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0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0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color w:val="00497F"/>
          <w:sz w:val="18"/>
        </w:rPr>
      </w:pPr>
      <w:r>
        <w:rPr>
          <w:rFonts w:ascii="Arial;sans-serif" w:hAnsi="Arial;sans-serif"/>
          <w:b/>
          <w:color w:val="00497F"/>
          <w:sz w:val="18"/>
        </w:rPr>
        <w:t>Submissions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Submissions are counted when an individual either (i) completes an application with our licensed agent that is submitted to the health plan partner and subsequently approved by the health plan partner during the indicated period, excluding applications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716280"/>
                <wp:effectExtent l="0" t="0" r="0" b="0"/>
                <wp:wrapNone/>
                <wp:docPr id="60" name="Frame58"/>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54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54</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through our Non-Encompass BPO Services or (ii) is transferred by our agent to the health plan partner through the Encompass marketplace during the indicated period. Not all Submissions will go into effect, as some individuals may fail to enroll or once enrolled may switch out of a policy within the disenrollment period during the first 90 days of the policy.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following table presents the number of Submissions for the periods presented:</w:t>
      </w:r>
    </w:p>
    <w:p>
      <w:pPr>
        <w:pStyle w:val="TextBody"/>
        <w:bidi w:val="0"/>
        <w:spacing w:before="0" w:after="0"/>
        <w:jc w:val="left"/>
        <w:rPr/>
      </w:pPr>
      <w:r>
        <w:rPr/>
      </w:r>
    </w:p>
    <w:tbl>
      <w:tblPr>
        <w:tblW w:w="7250" w:type="dxa"/>
        <w:jc w:val="left"/>
        <w:tblInd w:w="0" w:type="dxa"/>
        <w:tblLayout w:type="fixed"/>
        <w:tblCellMar>
          <w:top w:w="28" w:type="dxa"/>
          <w:left w:w="28" w:type="dxa"/>
          <w:bottom w:w="28" w:type="dxa"/>
          <w:right w:w="28" w:type="dxa"/>
        </w:tblCellMar>
      </w:tblPr>
      <w:tblGrid>
        <w:gridCol w:w="419"/>
        <w:gridCol w:w="368"/>
        <w:gridCol w:w="369"/>
        <w:gridCol w:w="109"/>
        <w:gridCol w:w="109"/>
        <w:gridCol w:w="109"/>
        <w:gridCol w:w="511"/>
        <w:gridCol w:w="263"/>
        <w:gridCol w:w="263"/>
        <w:gridCol w:w="263"/>
        <w:gridCol w:w="263"/>
        <w:gridCol w:w="263"/>
        <w:gridCol w:w="605"/>
        <w:gridCol w:w="266"/>
        <w:gridCol w:w="263"/>
        <w:gridCol w:w="109"/>
        <w:gridCol w:w="109"/>
        <w:gridCol w:w="109"/>
        <w:gridCol w:w="404"/>
        <w:gridCol w:w="406"/>
        <w:gridCol w:w="271"/>
        <w:gridCol w:w="109"/>
        <w:gridCol w:w="109"/>
        <w:gridCol w:w="109"/>
        <w:gridCol w:w="269"/>
        <w:gridCol w:w="271"/>
        <w:gridCol w:w="532"/>
      </w:tblGrid>
      <w:tr>
        <w:trPr/>
        <w:tc>
          <w:tcPr>
            <w:tcW w:w="41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r>
      <w:tr>
        <w:trPr/>
        <w:tc>
          <w:tcPr>
            <w:tcW w:w="1156" w:type="dxa"/>
            <w:gridSpan w:val="3"/>
            <w:vMerge w:val="restart"/>
            <w:tcBorders>
              <w:top w:val="single" w:sz="8" w:space="0" w:color="929292"/>
              <w:left w:val="single" w:sz="8" w:space="0" w:color="929292"/>
              <w:bottom w:val="single" w:sz="8" w:space="0" w:color="929292"/>
            </w:tcBorders>
            <w:tcMar>
              <w:top w:w="30" w:type="dxa"/>
              <w:bottom w:w="30" w:type="dxa"/>
              <w:right w:w="0" w:type="dxa"/>
            </w:tcMar>
            <w:vAlign w:val="center"/>
          </w:tcPr>
          <w:p>
            <w:pPr>
              <w:pStyle w:val="TableContents"/>
              <w:bidi w:val="0"/>
              <w:spacing w:lineRule="auto" w:line="240" w:before="0" w:after="0"/>
              <w:jc w:val="center"/>
              <w:rPr>
                <w:rFonts w:ascii="Arial;sans-serif" w:hAnsi="Arial;sans-serif"/>
                <w:b/>
                <w:color w:val="0A2299"/>
                <w:sz w:val="16"/>
              </w:rPr>
            </w:pPr>
            <w:r>
              <w:rPr>
                <w:rFonts w:ascii="Arial;sans-serif" w:hAnsi="Arial;sans-serif"/>
                <w:b/>
                <w:color w:val="0A2299"/>
                <w:sz w:val="16"/>
              </w:rPr>
              <w:t>Submissions</w:t>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9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Twelve months ended Dec.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r>
      <w:tr>
        <w:trPr/>
        <w:tc>
          <w:tcPr>
            <w:tcW w:w="1156"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534,657 </w:t>
            </w:r>
          </w:p>
        </w:tc>
        <w:tc>
          <w:tcPr>
            <w:tcW w:w="263"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1,016,182 </w:t>
            </w:r>
          </w:p>
        </w:tc>
        <w:tc>
          <w:tcPr>
            <w:tcW w:w="263"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(481,525)</w:t>
            </w:r>
          </w:p>
        </w:tc>
        <w:tc>
          <w:tcPr>
            <w:tcW w:w="271"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(47.4)</w:t>
            </w:r>
          </w:p>
        </w:tc>
        <w:tc>
          <w:tcPr>
            <w:tcW w:w="532"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decrease for the twelve months ended December 31, 2025 compared to the prior year period was attributable to a decrease in Submissions generated by GoHealth’s internal and external network of agents, partially offset by an increased agent headcount in early 2025 as a result of the e-TeleQuote acquisition and by the ramp up of GoHealth Protect since its launch in the second quarter of 2025.</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497F"/>
          <w:sz w:val="18"/>
        </w:rPr>
      </w:pPr>
      <w:r>
        <w:rPr>
          <w:rFonts w:ascii="Arial;sans-serif" w:hAnsi="Arial;sans-serif"/>
          <w:b/>
          <w:color w:val="00497F"/>
          <w:sz w:val="18"/>
        </w:rPr>
        <w:t>Sales Per Submission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Sales per Submission is an operating metric that represents the average performance of Submissions generated during the reporting period. Sales per Submission refers to (x) the sum of (i) aggregate commissions estimated to be collected over the estimated life of all commissionable Submissions for the relevant period based on multiple factors, including but not limited to, contracted commission rates, health plan partner mix and expected policy persistency with applied constraints, excluding revenue adjustments recorded in the period, but relating to performance obligations satisfied in prior periods, (ii) non-agency revenue and (iii) partner marketing and other revenue, divided by (y) the number of Submissions for such period. Sales per Submission measures revenues only from the Submissions generated in the period and excludes items that are unrelated to such Submissions. Sales per Submission is not meant to be considered as an indicator of financial performance in isolation from or as a substitute for the Company’s net revenues. Management uses this metric to measure the performance of the Submissions generated in a reporting period by reviewing and presenting average performance on a per Submission basis over time.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numerator of Sales per Submission includes revenues generated by Submissions produced in the reporting period through both our agency and non-agency models. The mix of agency and non-agency contracts could impact Sales per Submission. The Company has a portfolio of agency and non-agency contracts, varying by health plan partner and product, and the mix of these contracts is dependent on the plans most suitable for the consumers we serve.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Agency revenue refers to the expected amount of initial commission revenue and any renewal commissions to be paid from the health plan partners on such placement as long as the policyholder remains with the same insurance product. The estimate of the future renewal commissions is determined by using the contracted renewal commission rates constrained by a persistency-adjusted renewal period. The persistency-adjusted renewal period is determined based on our historical experience and available industry and health plan partner historical data. Persistency adjustments allow us to estimate renewal revenue only to the extent probable that a material reversal in revenue would not be expected to occur. These factors may result in varying values from period to period. See Item 1A. “Risk Factors—Risks Related to Our Business—Our operating results may be adversely impacted by factors that impact our estimate of LTV” in this Annual Report on Form 10-K. Agency revenue includes partner marketing revenue, in which the Company is compensated by its health plan partners for providing marketing services over a predetermined measurement period. The Company recognizes partner marketing revenue over the measurement period as Submissions are generated and generally gets paid a fixed fee per Submission that results in either a policy effectuating or staying in-force through the rapid disenrollment period, or 90 days post-effectuation.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Non-agency revenue refers to enrollment and engagement services for which cash is collected in advance or in close proximity to the point in time revenue is recognized, with the amount of variable consideration generally resolved within 90 days of when the related policy effectuates. The Company does not receive commissions on subsequent renewals for non-agency Submissions. For more information on the Company’s agency and non-agency revenue, refer to Note 10, “Revenue.”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following table presents the Sales per Submission for the periods presented:</w:t>
      </w:r>
    </w:p>
    <w:p>
      <w:pPr>
        <w:pStyle w:val="TextBody"/>
        <w:bidi w:val="0"/>
        <w:spacing w:before="0" w:after="0"/>
        <w:jc w:val="left"/>
        <w:rPr/>
      </w:pPr>
      <w:r>
        <w:rPr/>
      </w:r>
    </w:p>
    <w:tbl>
      <w:tblPr>
        <w:tblW w:w="7082" w:type="dxa"/>
        <w:jc w:val="left"/>
        <w:tblInd w:w="0" w:type="dxa"/>
        <w:tblLayout w:type="fixed"/>
        <w:tblCellMar>
          <w:top w:w="28" w:type="dxa"/>
          <w:left w:w="28" w:type="dxa"/>
          <w:bottom w:w="28" w:type="dxa"/>
          <w:right w:w="28" w:type="dxa"/>
        </w:tblCellMar>
      </w:tblPr>
      <w:tblGrid>
        <w:gridCol w:w="663"/>
        <w:gridCol w:w="582"/>
        <w:gridCol w:w="585"/>
        <w:gridCol w:w="109"/>
        <w:gridCol w:w="109"/>
        <w:gridCol w:w="109"/>
        <w:gridCol w:w="261"/>
        <w:gridCol w:w="561"/>
        <w:gridCol w:w="145"/>
        <w:gridCol w:w="145"/>
        <w:gridCol w:w="145"/>
        <w:gridCol w:w="145"/>
        <w:gridCol w:w="261"/>
        <w:gridCol w:w="561"/>
        <w:gridCol w:w="145"/>
        <w:gridCol w:w="109"/>
        <w:gridCol w:w="109"/>
        <w:gridCol w:w="109"/>
        <w:gridCol w:w="214"/>
        <w:gridCol w:w="496"/>
        <w:gridCol w:w="120"/>
        <w:gridCol w:w="109"/>
        <w:gridCol w:w="109"/>
        <w:gridCol w:w="109"/>
        <w:gridCol w:w="269"/>
        <w:gridCol w:w="271"/>
        <w:gridCol w:w="532"/>
      </w:tblGrid>
      <w:tr>
        <w:trPr/>
        <w:tc>
          <w:tcPr>
            <w:tcW w:w="663"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r>
      <w:tr>
        <w:trPr/>
        <w:tc>
          <w:tcPr>
            <w:tcW w:w="1830" w:type="dxa"/>
            <w:gridSpan w:val="3"/>
            <w:vMerge w:val="restart"/>
            <w:tcBorders>
              <w:top w:val="single" w:sz="8" w:space="0" w:color="929292"/>
              <w:left w:val="single" w:sz="8" w:space="0" w:color="929292"/>
              <w:bottom w:val="single" w:sz="8" w:space="0" w:color="929292"/>
            </w:tcBorders>
            <w:tcMar>
              <w:top w:w="30" w:type="dxa"/>
              <w:bottom w:w="30" w:type="dxa"/>
              <w:right w:w="0" w:type="dxa"/>
            </w:tcMar>
            <w:vAlign w:val="center"/>
          </w:tcPr>
          <w:p>
            <w:pPr>
              <w:pStyle w:val="TableContents"/>
              <w:bidi w:val="0"/>
              <w:spacing w:lineRule="auto" w:line="240" w:before="0" w:after="0"/>
              <w:jc w:val="center"/>
              <w:rPr>
                <w:rFonts w:ascii="Arial;sans-serif" w:hAnsi="Arial;sans-serif"/>
                <w:b/>
                <w:color w:val="0A2299"/>
                <w:sz w:val="16"/>
              </w:rPr>
            </w:pPr>
            <w:r>
              <w:rPr>
                <w:rFonts w:ascii="Arial;sans-serif" w:hAnsi="Arial;sans-serif"/>
                <w:b/>
                <w:color w:val="0A2299"/>
                <w:sz w:val="16"/>
              </w:rPr>
              <w:t>Sales Per Submission</w:t>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Twelve months ended Dec.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r>
      <w:tr>
        <w:trPr/>
        <w:tc>
          <w:tcPr>
            <w:tcW w:w="1830"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6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668 </w:t>
            </w:r>
          </w:p>
        </w:tc>
        <w:tc>
          <w:tcPr>
            <w:tcW w:w="145"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6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781 </w:t>
            </w:r>
          </w:p>
        </w:tc>
        <w:tc>
          <w:tcPr>
            <w:tcW w:w="145"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w:t>
            </w:r>
          </w:p>
        </w:tc>
        <w:tc>
          <w:tcPr>
            <w:tcW w:w="120"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w:t>
            </w:r>
          </w:p>
        </w:tc>
        <w:tc>
          <w:tcPr>
            <w:tcW w:w="532"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The decrease for the twelve months ended December 31, 2025 compared to the prior year period was primarily attributable to a shift in focus to GoHealth Protect. The guaranteed acceptance life insurance product produces lower revenues on a per-submission basis compared to Medicare products. The decrease was further attributable to a shift from non-agency to agency revenue as a result of changing carrier mix within the non-agency channel.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716280"/>
                <wp:effectExtent l="0" t="0" r="0" b="0"/>
                <wp:wrapNone/>
                <wp:docPr id="61" name="Frame59"/>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55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55</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0" w:after="0"/>
        <w:jc w:val="left"/>
        <w:rPr>
          <w:rFonts w:ascii="Arial;sans-serif" w:hAnsi="Arial;sans-serif"/>
          <w:b/>
          <w:color w:val="00497F"/>
          <w:sz w:val="18"/>
        </w:rPr>
      </w:pPr>
      <w:r>
        <w:rPr>
          <w:rFonts w:ascii="Arial;sans-serif" w:hAnsi="Arial;sans-serif"/>
          <w:b/>
          <w:color w:val="00497F"/>
          <w:sz w:val="18"/>
        </w:rPr>
        <w:t>Direct Operating Cost Per Submission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Direct Operating Cost per Submission is an operating metric that represents the average performance of Submissions generated during the reporting period. Direct Operating Cost per Submission measures costs directly attributable to Submissions generated in the period and excludes costs that are indirect or fixed. The numerator of Direct Operating Cost per Submission, referred to as Direct Operating Cost of Submission, is the portion of the respective operating expenses for revenue share, marketing and advertising and consumer care and enrollment that are directly related to the Submissions generated in the reporting period. Management uses this metric to measure the cost of the Submissions generated in a reporting period by reviewing and presenting average cost on a per Submission basis over time.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Revenue share represents variable expense related to agency and non-agency Submissions generated in the reporting period by our external agents with whom we have a revenue-sharing arrangement. These amounts exclude items that are unrelated to Submissions generated in the reporting period such as the impact to revenue share resulting from revenue adjustments recorded in the period, but relating to performance obligations satisfied in prior periods by our external agents. Marketing and advertising expense consists primarily of expenses associated with acquiring consumers through the Company’s direct, online advertising and marketing partner channels as well as through online, television and direct mail advertisements. A significant portion of our marketing and advertising expenses is driven by the number of health insurance applications submitted through us. Such costs are direct and variable with Submissions. These amounts exclude items that are unrelated to Submissions generated in the reporting period such as share-based compensation expense. Consumer care and enrollment expenses primarily consist of compensation and benefits costs for enrollment personnel who assist consumers during the health plan enrollment and application processes and such expenses are generally variable with Submissions. These amounts exclude items that are unrelated to Submissions generated in the reporting period such as share-based compensation expense and Non-Encompass BPO Services.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following table presents the Direct Operating Cost per Submission for the periods presented:</w:t>
      </w:r>
    </w:p>
    <w:p>
      <w:pPr>
        <w:pStyle w:val="TextBody"/>
        <w:bidi w:val="0"/>
        <w:spacing w:before="0" w:after="0"/>
        <w:jc w:val="left"/>
        <w:rPr/>
      </w:pPr>
      <w:r>
        <w:rPr/>
      </w:r>
    </w:p>
    <w:tbl>
      <w:tblPr>
        <w:tblW w:w="8212" w:type="dxa"/>
        <w:jc w:val="left"/>
        <w:tblInd w:w="0" w:type="dxa"/>
        <w:tblLayout w:type="fixed"/>
        <w:tblCellMar>
          <w:top w:w="28" w:type="dxa"/>
          <w:left w:w="28" w:type="dxa"/>
          <w:bottom w:w="28" w:type="dxa"/>
          <w:right w:w="28" w:type="dxa"/>
        </w:tblCellMar>
      </w:tblPr>
      <w:tblGrid>
        <w:gridCol w:w="1135"/>
        <w:gridCol w:w="997"/>
        <w:gridCol w:w="1003"/>
        <w:gridCol w:w="109"/>
        <w:gridCol w:w="109"/>
        <w:gridCol w:w="109"/>
        <w:gridCol w:w="261"/>
        <w:gridCol w:w="561"/>
        <w:gridCol w:w="145"/>
        <w:gridCol w:w="145"/>
        <w:gridCol w:w="145"/>
        <w:gridCol w:w="145"/>
        <w:gridCol w:w="261"/>
        <w:gridCol w:w="561"/>
        <w:gridCol w:w="145"/>
        <w:gridCol w:w="109"/>
        <w:gridCol w:w="109"/>
        <w:gridCol w:w="109"/>
        <w:gridCol w:w="249"/>
        <w:gridCol w:w="422"/>
        <w:gridCol w:w="140"/>
        <w:gridCol w:w="109"/>
        <w:gridCol w:w="109"/>
        <w:gridCol w:w="109"/>
        <w:gridCol w:w="192"/>
        <w:gridCol w:w="192"/>
        <w:gridCol w:w="532"/>
      </w:tblGrid>
      <w:tr>
        <w:trPr/>
        <w:tc>
          <w:tcPr>
            <w:tcW w:w="1135"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r>
      <w:tr>
        <w:trPr/>
        <w:tc>
          <w:tcPr>
            <w:tcW w:w="3135" w:type="dxa"/>
            <w:gridSpan w:val="3"/>
            <w:vMerge w:val="restart"/>
            <w:tcBorders>
              <w:top w:val="single" w:sz="8" w:space="0" w:color="929292"/>
              <w:left w:val="single" w:sz="8" w:space="0" w:color="929292"/>
              <w:bottom w:val="single" w:sz="8" w:space="0" w:color="929292"/>
            </w:tcBorders>
            <w:tcMar>
              <w:top w:w="30" w:type="dxa"/>
              <w:bottom w:w="30" w:type="dxa"/>
              <w:right w:w="0" w:type="dxa"/>
            </w:tcMar>
            <w:vAlign w:val="center"/>
          </w:tcPr>
          <w:p>
            <w:pPr>
              <w:pStyle w:val="TableContents"/>
              <w:bidi w:val="0"/>
              <w:spacing w:lineRule="auto" w:line="240" w:before="0" w:after="0"/>
              <w:jc w:val="center"/>
              <w:rPr>
                <w:rFonts w:ascii="Arial;sans-serif" w:hAnsi="Arial;sans-serif"/>
                <w:b/>
                <w:color w:val="0A2299"/>
                <w:sz w:val="16"/>
              </w:rPr>
            </w:pPr>
            <w:r>
              <w:rPr>
                <w:rFonts w:ascii="Arial;sans-serif" w:hAnsi="Arial;sans-serif"/>
                <w:b/>
                <w:color w:val="0A2299"/>
                <w:sz w:val="16"/>
              </w:rPr>
              <w:t>Direct Operating Cost Per Submission</w:t>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Twelve months ended Dec.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r>
      <w:tr>
        <w:trPr/>
        <w:tc>
          <w:tcPr>
            <w:tcW w:w="3135"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6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594 </w:t>
            </w:r>
          </w:p>
        </w:tc>
        <w:tc>
          <w:tcPr>
            <w:tcW w:w="145"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6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578 </w:t>
            </w:r>
          </w:p>
        </w:tc>
        <w:tc>
          <w:tcPr>
            <w:tcW w:w="145"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2"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140"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2.8 </w:t>
            </w:r>
          </w:p>
        </w:tc>
        <w:tc>
          <w:tcPr>
            <w:tcW w:w="532"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The increase for the twelve months ended December 31, 2025 compared to the prior year period was primarily attributable to management’s intentional pullback of Medicare Advantage activities during 2025 partially offset by cost cutting initiatives implemented during the year.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497F"/>
          <w:sz w:val="18"/>
        </w:rPr>
      </w:pPr>
      <w:r>
        <w:rPr>
          <w:rFonts w:ascii="Arial;sans-serif" w:hAnsi="Arial;sans-serif"/>
          <w:b/>
          <w:color w:val="00497F"/>
          <w:sz w:val="18"/>
        </w:rPr>
        <w:t>Sales/Direct Operating Cost of Submission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Sales/Direct Operating Cost of Submission represents the numerator of Sales per Submission, as defined above, divided by Direct Operating Cost of Submission, as defined above.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following are our Direct Operating Cost of Submission (in thousands) and Sales/Direct Operating Cost of Submission for the periods presented:</w:t>
      </w:r>
    </w:p>
    <w:tbl>
      <w:tblPr>
        <w:tblW w:w="7373" w:type="dxa"/>
        <w:jc w:val="left"/>
        <w:tblInd w:w="0" w:type="dxa"/>
        <w:tblLayout w:type="fixed"/>
        <w:tblCellMar>
          <w:top w:w="28" w:type="dxa"/>
          <w:left w:w="28" w:type="dxa"/>
          <w:bottom w:w="28" w:type="dxa"/>
          <w:right w:w="28" w:type="dxa"/>
        </w:tblCellMar>
      </w:tblPr>
      <w:tblGrid>
        <w:gridCol w:w="1168"/>
        <w:gridCol w:w="1026"/>
        <w:gridCol w:w="1030"/>
        <w:gridCol w:w="109"/>
        <w:gridCol w:w="109"/>
        <w:gridCol w:w="109"/>
        <w:gridCol w:w="196"/>
        <w:gridCol w:w="736"/>
        <w:gridCol w:w="109"/>
        <w:gridCol w:w="109"/>
        <w:gridCol w:w="109"/>
        <w:gridCol w:w="109"/>
        <w:gridCol w:w="196"/>
        <w:gridCol w:w="736"/>
        <w:gridCol w:w="109"/>
        <w:gridCol w:w="109"/>
        <w:gridCol w:w="109"/>
        <w:gridCol w:w="109"/>
        <w:gridCol w:w="196"/>
        <w:gridCol w:w="736"/>
        <w:gridCol w:w="154"/>
      </w:tblGrid>
      <w:tr>
        <w:trPr/>
        <w:tc>
          <w:tcPr>
            <w:tcW w:w="1168"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Twelve months ended Dec. 31,</w:t>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r>
      <w:tr>
        <w:trPr/>
        <w:tc>
          <w:tcPr>
            <w:tcW w:w="3224" w:type="dxa"/>
            <w:gridSpan w:val="3"/>
            <w:tcBorders>
              <w:top w:val="single" w:sz="4" w:space="0" w:color="494949"/>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Direct Operating Cost of Submission</w:t>
            </w:r>
          </w:p>
        </w:tc>
        <w:tc>
          <w:tcPr>
            <w:tcW w:w="327" w:type="dxa"/>
            <w:gridSpan w:val="3"/>
            <w:tcBorders>
              <w:top w:val="single" w:sz="4" w:space="0" w:color="494949"/>
            </w:tcBorders>
            <w:shd w:fill="92929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317,553 </w:t>
            </w:r>
          </w:p>
        </w:tc>
        <w:tc>
          <w:tcPr>
            <w:tcW w:w="109"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587,371 </w:t>
            </w:r>
          </w:p>
        </w:tc>
        <w:tc>
          <w:tcPr>
            <w:tcW w:w="109"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563,552 </w:t>
            </w:r>
          </w:p>
        </w:tc>
        <w:tc>
          <w:tcPr>
            <w:tcW w:w="154"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Sales/Direct Operating Cost of Submission</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decrease in Sales/Direct Operating Cost of Submission compared to the prior year was primarily attributable to a decrease in sales offset partially by implemented cost cutting initiatives.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Recent Accounting Pronouncements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For a discussion of new accounting pronouncements recently adopted, see Note 1. “Description of Business and Significant Accounting Policies,” to the Consolidated Financial Statements included in Item 8 to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Liquidity and Capital Resources</w:t>
      </w:r>
    </w:p>
    <w:p>
      <w:pPr>
        <w:pStyle w:val="TextBody"/>
        <w:bidi w:val="0"/>
        <w:spacing w:lineRule="auto" w:line="288" w:before="240" w:after="283"/>
        <w:jc w:val="left"/>
        <w:rPr>
          <w:rFonts w:ascii="Arial;sans-serif" w:hAnsi="Arial;sans-serif"/>
          <w:b w:val="false"/>
          <w:i/>
          <w:color w:val="000000"/>
          <w:sz w:val="18"/>
        </w:rPr>
      </w:pPr>
      <w:r>
        <w:rPr>
          <w:rFonts w:ascii="Arial;sans-serif" w:hAnsi="Arial;sans-serif"/>
          <w:b w:val="false"/>
          <w:i/>
          <w:color w:val="000000"/>
          <w:sz w:val="18"/>
        </w:rPr>
        <w:t>Overview</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Our liquidity needs primarily include working capital and debt service requirements, including ongoing cash interest payments related to its outstanding borrowings. At December 31, 2025, cash and cash equivalents totaled $32.9 million. Short-term liquidity needs will primarily be funded through cash from operating activities, and cash and cash equivalents. In connection with the filing of this Annual Report on Form 10-K, management assessed known events, trends, commitments, and uncertainties. Based on its evaluation, and following the entry into the Superpriority Credit Agreement and Amendment No. 14 during the year, management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716280"/>
                <wp:effectExtent l="0" t="0" r="0" b="0"/>
                <wp:wrapNone/>
                <wp:docPr id="62" name="Frame60"/>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56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56</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believes the Company’s current sources of liquidity will be sufficient to meet its projected operating requirements and debt obligations for the twelve months from the date of this Annual Report on Form 10-K.</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However, our liquidity condition may deteriorate and/or we may be unable to comply with the financial covenants under our debt agreements, including the minimum liquidity covenant in the Superpriority Credit Agreement. In the event we are unable to satisfy our financial covenants, our lenders may not waive compliance and could elect to declare a default or event of default and accelerate the repayment of our borrowings. </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color w:val="000000"/>
          <w:sz w:val="18"/>
        </w:rPr>
        <w:t>To mitigate these uncertainties, management has implemented and continues to implement various operational initiatives which include further cost savings measures which have been approved by our Board of Directors, in order to maintain compliance with the Company’s debt covenants for the twelve months following the date these financial statements are issued.</w:t>
      </w:r>
      <w:r>
        <w:rPr>
          <w:color w:val="000000"/>
        </w:rPr>
        <w:t xml:space="preserve"> </w:t>
      </w:r>
      <w:r>
        <w:rPr>
          <w:rFonts w:ascii="Arial;sans-serif" w:hAnsi="Arial;sans-serif"/>
          <w:b w:val="false"/>
          <w:color w:val="000000"/>
          <w:sz w:val="18"/>
        </w:rPr>
        <w:t>Management believes it is probable these plans will be successfully implemented to alleviate non-compliance with our debt covenants during the twelve months following the date these financial statements are issued.</w:t>
      </w:r>
      <w:r>
        <w:rPr>
          <w:color w:val="000000"/>
        </w:rPr>
        <w:t xml:space="preserve"> </w:t>
      </w:r>
      <w:r>
        <w:rPr>
          <w:rFonts w:ascii="Arial;sans-serif" w:hAnsi="Arial;sans-serif"/>
          <w:b w:val="false"/>
          <w:color w:val="000000"/>
          <w:sz w:val="18"/>
        </w:rPr>
        <w:t>In addition, we are continuing to engage in discussions with our lenders, financial advisors, and other parties regarding potential modifications to our capital structure through refinancings, mergers, acquisitions, restructurings, or other strategic alternatives. There can be no assurance that any such discussions or potential alternatives, will result in any particular outcome or that we will be able to successfully implement any strategic alternatives or realize any anticipated benefits therefrom.</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following table presents a summary of cash flows for the twelve months ended December 31, 2025, 2024, and 2023;</w:t>
      </w:r>
    </w:p>
    <w:tbl>
      <w:tblPr>
        <w:tblW w:w="8191" w:type="dxa"/>
        <w:jc w:val="left"/>
        <w:tblInd w:w="0" w:type="dxa"/>
        <w:tblLayout w:type="fixed"/>
        <w:tblCellMar>
          <w:top w:w="28" w:type="dxa"/>
          <w:left w:w="28" w:type="dxa"/>
          <w:bottom w:w="28" w:type="dxa"/>
          <w:right w:w="28" w:type="dxa"/>
        </w:tblCellMar>
      </w:tblPr>
      <w:tblGrid>
        <w:gridCol w:w="1364"/>
        <w:gridCol w:w="1197"/>
        <w:gridCol w:w="1203"/>
        <w:gridCol w:w="109"/>
        <w:gridCol w:w="109"/>
        <w:gridCol w:w="109"/>
        <w:gridCol w:w="196"/>
        <w:gridCol w:w="811"/>
        <w:gridCol w:w="109"/>
        <w:gridCol w:w="109"/>
        <w:gridCol w:w="109"/>
        <w:gridCol w:w="109"/>
        <w:gridCol w:w="196"/>
        <w:gridCol w:w="721"/>
        <w:gridCol w:w="109"/>
        <w:gridCol w:w="109"/>
        <w:gridCol w:w="109"/>
        <w:gridCol w:w="109"/>
        <w:gridCol w:w="196"/>
        <w:gridCol w:w="736"/>
        <w:gridCol w:w="109"/>
        <w:gridCol w:w="109"/>
        <w:gridCol w:w="154"/>
      </w:tblGrid>
      <w:tr>
        <w:trPr/>
        <w:tc>
          <w:tcPr>
            <w:tcW w:w="1364"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Twelve months ended Dec.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op w:val="single" w:sz="4" w:space="0" w:color="494949"/>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provided by (used in) operating activities</w:t>
            </w:r>
          </w:p>
        </w:tc>
        <w:tc>
          <w:tcPr>
            <w:tcW w:w="327" w:type="dxa"/>
            <w:gridSpan w:val="3"/>
            <w:tcBorders>
              <w:top w:val="single" w:sz="4" w:space="0" w:color="494949"/>
            </w:tcBorders>
            <w:shd w:fill="92929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494949"/>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1" w:type="dxa"/>
            <w:tcBorders>
              <w:top w:val="single" w:sz="4" w:space="0" w:color="494949"/>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(121,947)</w:t>
            </w:r>
          </w:p>
        </w:tc>
        <w:tc>
          <w:tcPr>
            <w:tcW w:w="109" w:type="dxa"/>
            <w:tcBorders>
              <w:top w:val="single" w:sz="4" w:space="0" w:color="49494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494949"/>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top w:val="single" w:sz="4" w:space="0" w:color="494949"/>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(21,607)</w:t>
            </w:r>
          </w:p>
        </w:tc>
        <w:tc>
          <w:tcPr>
            <w:tcW w:w="109" w:type="dxa"/>
            <w:tcBorders>
              <w:top w:val="single" w:sz="4" w:space="0" w:color="49494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494949"/>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4" w:space="0" w:color="494949"/>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109,141 </w:t>
            </w:r>
          </w:p>
        </w:tc>
        <w:tc>
          <w:tcPr>
            <w:tcW w:w="109" w:type="dxa"/>
            <w:tcBorders>
              <w:top w:val="single" w:sz="4" w:space="0" w:color="49494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provided by (used in) investing activities</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(8,248)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(13,732)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provided by (used in) financing activities</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121,996 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(32,033)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(21,106)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i/>
          <w:color w:val="000000"/>
          <w:sz w:val="18"/>
        </w:rPr>
      </w:pPr>
      <w:r>
        <w:rPr>
          <w:rFonts w:ascii="Arial;sans-serif" w:hAnsi="Arial;sans-serif"/>
          <w:b w:val="false"/>
          <w:i/>
          <w:color w:val="000000"/>
          <w:sz w:val="18"/>
        </w:rPr>
        <w:t>Operating Activities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Cash provided by (used in) operating activities primarily consists of net income (loss) adjusted for certain non-cash items including share-based compensation, depreciation and amortization, amortization of intangible assets, amortization of debt discount and issuance costs, intangible impairment charges, loss on extinguishment of debt, operating lease impairment charges, deferred tax liability, non-cash restructuring charges, non-cash lease expense, gain on bargain purchase and the effect of changes in working capital and other activities.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Collection of commissions receivable depends upon the timing of the receipt of commission payments. If there were to be a delay in receiving a commission payment from a health plan partner within a quarter, the operating cash flows for that quarter could be adversely impacted.</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A significant portion of marketing and advertising expense is driven by the number of qualified prospects required to generate the Submissions. Marketing and advertising costs are expensed and generally paid as incurred and since commissions revenue is recognized upon approval of a Submission but commission payments are paid to us over time, there are working capital requirements to fund the upfront cost of acquiring new policies. </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Net cash used in operating activities was $121.9 million for the twelve months ended December 31, 2025, compared to net cash used in operating activities of $21.6 million for the twelve months ended December 31, 2024. The $100.3 million decrease was primarily driven by a decrease in cash from working capital components from commissions receivable, other liabilities, accounts payable, accounts receivable and accrued liabilities. The decrease was partially offset by an increase in cash from working capital components from prepaid assets and other current assets and commissions payable, as well as an decrease in net income (loss).</w:t>
      </w:r>
    </w:p>
    <w:p>
      <w:pPr>
        <w:pStyle w:val="TextBody"/>
        <w:bidi w:val="0"/>
        <w:spacing w:lineRule="auto" w:line="288" w:before="240" w:after="283"/>
        <w:jc w:val="left"/>
        <w:rPr>
          <w:rFonts w:ascii="Arial;sans-serif" w:hAnsi="Arial;sans-serif"/>
          <w:b w:val="false"/>
          <w:i/>
          <w:color w:val="000000"/>
          <w:sz w:val="18"/>
        </w:rPr>
      </w:pPr>
      <w:r>
        <w:rPr>
          <w:rFonts w:ascii="Arial;sans-serif" w:hAnsi="Arial;sans-serif"/>
          <w:b w:val="false"/>
          <w:i/>
          <w:color w:val="000000"/>
          <w:sz w:val="18"/>
        </w:rPr>
        <w:t>Investing Activities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Net cash used in investing activities increased to $8.2 million for the twelve months ended December 31, 2025, from $3.8 million net cash provided by investing activities for the twelve months ended December 31, 2024. The change was primarily driven by the acquisition of e-TeleQuote, partially offset by an increase in capitalized internal-use software related to new technology, software and systems.</w:t>
      </w:r>
    </w:p>
    <w:p>
      <w:pPr>
        <w:pStyle w:val="TextBody"/>
        <w:bidi w:val="0"/>
        <w:spacing w:lineRule="auto" w:line="288" w:before="240" w:after="283"/>
        <w:jc w:val="left"/>
        <w:rPr>
          <w:rFonts w:ascii="Arial;sans-serif" w:hAnsi="Arial;sans-serif"/>
          <w:b w:val="false"/>
          <w:i/>
          <w:color w:val="000000"/>
          <w:sz w:val="18"/>
        </w:rPr>
      </w:pPr>
      <w:r>
        <w:rPr>
          <w:rFonts w:ascii="Arial;sans-serif" w:hAnsi="Arial;sans-serif"/>
          <w:b w:val="false"/>
          <w:i/>
          <w:color w:val="000000"/>
          <w:sz w:val="18"/>
        </w:rPr>
        <w:t>Financing Activities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Net cash provided by financing activities was $122.0 million for the twelve months ended December 31, 2025, from $32.0 million for the twelve months ended December 31, 2024. The increase was primarily driven by an increase in repayments of our Term Loan Facilities, an increase in payments related to debt issuance costs related to the Amended and Restated Credit Agreement,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716280"/>
                <wp:effectExtent l="0" t="0" r="0" b="0"/>
                <wp:wrapNone/>
                <wp:docPr id="63" name="Frame61"/>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57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57</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partially offset by an increase in borrowings under the Revolving Credit Facilities and a decrease in payments of preferred stock dividends compared to the prior year period.</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Term Loan Facilities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On November 4, 2024 (the “Effective Date”), the Borrower entered into the Amendment and Restatement Agreement, which amended and restated the Credit Agreement to provide for, among other items as further described below, a new class of term loan facilities (the “New Term Loan Facility”) in an aggregate principal amount equal to $475.0 million. Starting on March 31, 2025, principal repayments equal to 2.00% per annum of the initial principal balance were made in equal quarterly installments. In March 2025, the Borrower repaid $2.4 million under this facility. Prior to Amendment No. 14 (as defined and further described below),at the option of the Borrower, the Existing Term Loan Facility bore interest at either (i) ABR plus 6.50% per annum or (ii) Adjusted Term SOFR plus 7.50% per annum. To the extent not previously paid, the Existing Term Loan Facility, together with all accrued and unpaid interest thereon, is due and payable on November 4, 2029.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 addition to the Existing Term Loan Facility, the Existing Credit Agreement provided for a revolving credit facility with a commitment amount of $88.5 million (the “Class A Revolving Credit Facility”) and a revolving credit facility with a commitment amount of $35.0 million (the “Class A-1 Revolving Credit Facility"). The Class A Revolving Credit Facility bore interest at either (i) ABR plus 5.50% per annum or (ii) SOFR plus 6.50% per annum. The Borrower was required to pay a commitment fee of 0.50% per annum on undrawn amounts under the Class A Revolving Credit Facility. The Class A-1 Revolving Credit Facility was to be made available to the Borrower upon the termination of the Class A Revolving Credit Facility on or prior to June 30, 2025 (which was then further extended pursuant to Amendment No. 13 and Amendment No. 14). Following the entry into Amendment No. 14, the Class A-1 Revolving Credit Facility was terminated.</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As of December 31, 2025, the Company had a principal amount of $688.5 million outstanding under the New Term Loan Facility and no principal amounts outstanding under Term Loan Facilities. The effective interest rate of the New Term Loan Facility was 14.43% at December 31, 2025. As of December 31, 2024, the Company had a principal amount of $475.0 million outstanding under the Term Loan Facilities. The effective interest rate of the Term Loan Facilities was 12.06 at December 31, 2024.</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Revolving Credit Facilities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 xml:space="preserve">Amendment No. 14, entered into on August 6, 2025, (i) terminated all revolving commitments under the Class A-1 Revolving Credit Facility (with no revolving loans under the Class A-1 Revolving outstanding on August 6, 2025), (ii) terminated all Class A revolving commitments and extend the maturity date of the remaining Class A revolving loans outstanding to August 5, 2029 (the “Class A Loans”), (iii) permit the Borrower to pay in-kind a portion of the interest on the outstanding Existing Term Loans and Class A Loans. </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As of December 31, 2025 the Company had no outstanding balance under the Class A Revolving Credit Facility and no amounts outstanding under the Class A-1 Revolving Credit Facility. The Company had $30.0 million outstanding under the Class A Revolving Credit Facilities and Class B Revolving Credit Facilities as of December 31, 2024. The Class A Revolving Credit Facilities and Class B Revolving Credit Facilities had a remaining capacity of $58.5 in the aggregate as of December 31, 2024.</w:t>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18"/>
        </w:rPr>
      </w:pPr>
      <w:r>
        <w:rPr>
          <w:rFonts w:ascii="Arial;sans-serif" w:hAnsi="Arial;sans-serif"/>
          <w:b/>
          <w:color w:val="000000"/>
          <w:sz w:val="18"/>
        </w:rPr>
        <w:t>Superpriority Credit Agreement</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 xml:space="preserve">On August 6, 2025 (the “Closing Date”), the Borrower entered into the Superpriority Senior Secured Credit Agreement (the “Superpriority Credit Agreement”). The Superpriority Credit Agreement governs a senior secured superpriority term loan facility in an aggregate principal amount of $115.0 million (the “Superpriority Facility”) consisting of (a) $80.0 million in new-money term loans (together, the “New Money Term Loans”), of which (i) $40.0 million was funded on the closing date (the “Initial New Money Term Loans”) and (ii) $40.0 million is available as delayed-draw term loans (the “Delayed Draw Term Loans”), and (b) $35.0 million of roll-up term loans funded on the closing date (the “Roll-Up Term Loans” and together with the New Money Term Loans, the “Superpriority Term Loans”) resulting from the cashless conversion of a corresponding amount of Class A Loans at par that were outstanding under the Existing Credit Agreement into term loans on a dollar-for-dollar basis. Provided that no default or event of default has occurred and is continuing, the Delayed Draw Term Loans will be available to the Borrower on or after October 1, 2025, with the aggregate principal amount of such loans funded prior to November 1, 2025 not to exceed $15.0 million and prior to December 1, 2025, not to exceed $30.0 million, with the full amount available thereafter. Pursuant to this agreement, the Company had drawn the full $40.0 million of the Delayed Draw Term Loans as of December 31, 2025. </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Superpriority Facility matures on August 5, 2029. The New Money Term Loans bear interest in cash, at the Borrower’s election from time to time, at either (i) Adjusted Term SOFR plus 5.50% per annum or (ii) ABR plus 4.50% per annum. The Roll-Up Term Loans bear interest and have payment and prepayment terms substantially consistent with the Class A Loans.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See Note 5, “Long-Term Debt,” to the Consolidated Financial Statements in this Annual Report on Form 10-K for additional information regarding the Company’s Credit Facilities.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Seasonality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716280"/>
                <wp:effectExtent l="0" t="0" r="0" b="0"/>
                <wp:wrapNone/>
                <wp:docPr id="64" name="Frame62"/>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58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58</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pPr>
      <w:r>
        <w:rPr>
          <w:rFonts w:ascii="Arial;sans-serif" w:hAnsi="Arial;sans-serif"/>
          <w:b w:val="false"/>
          <w:color w:val="000000"/>
          <w:sz w:val="18"/>
        </w:rPr>
        <w:t>AEP occurs from October 15</w:t>
      </w:r>
      <w:r>
        <w:rPr>
          <w:rFonts w:ascii="Arial;sans-serif" w:hAnsi="Arial;sans-serif"/>
          <w:b w:val="false"/>
          <w:color w:val="000000"/>
          <w:sz w:val="12"/>
        </w:rPr>
        <w:t>th</w:t>
      </w:r>
      <w:r>
        <w:rPr>
          <w:color w:val="000000"/>
        </w:rPr>
        <w:t xml:space="preserve"> </w:t>
      </w:r>
      <w:r>
        <w:rPr>
          <w:rFonts w:ascii="Arial;sans-serif" w:hAnsi="Arial;sans-serif"/>
          <w:b w:val="false"/>
          <w:color w:val="000000"/>
          <w:sz w:val="18"/>
        </w:rPr>
        <w:t>to December 7</w:t>
      </w:r>
      <w:r>
        <w:rPr>
          <w:rFonts w:ascii="Arial;sans-serif" w:hAnsi="Arial;sans-serif"/>
          <w:b w:val="false"/>
          <w:color w:val="000000"/>
          <w:sz w:val="12"/>
        </w:rPr>
        <w:t>th</w:t>
      </w:r>
      <w:r>
        <w:rPr>
          <w:rFonts w:ascii="Arial;sans-serif" w:hAnsi="Arial;sans-serif"/>
          <w:b w:val="false"/>
          <w:color w:val="000000"/>
          <w:sz w:val="18"/>
        </w:rPr>
        <w:t>. As a result, and in general, we experience an increase in the number of Submissions during the fourth quarter and an increase in expense related to the Submissions during the third and fourth quarters. Additionally, as a result of the annual Medicare Advantage open enrollment period that occurs from January 1</w:t>
      </w:r>
      <w:r>
        <w:rPr>
          <w:rFonts w:ascii="Arial;sans-serif" w:hAnsi="Arial;sans-serif"/>
          <w:b w:val="false"/>
          <w:color w:val="000000"/>
          <w:sz w:val="12"/>
        </w:rPr>
        <w:t>st</w:t>
      </w:r>
      <w:r>
        <w:rPr>
          <w:color w:val="000000"/>
        </w:rPr>
        <w:t xml:space="preserve"> </w:t>
      </w:r>
      <w:r>
        <w:rPr>
          <w:rFonts w:ascii="Arial;sans-serif" w:hAnsi="Arial;sans-serif"/>
          <w:b w:val="false"/>
          <w:color w:val="000000"/>
          <w:sz w:val="18"/>
        </w:rPr>
        <w:t>to March 31</w:t>
      </w:r>
      <w:r>
        <w:rPr>
          <w:rFonts w:ascii="Arial;sans-serif" w:hAnsi="Arial;sans-serif"/>
          <w:b w:val="false"/>
          <w:color w:val="000000"/>
          <w:sz w:val="12"/>
        </w:rPr>
        <w:t>st</w:t>
      </w:r>
      <w:r>
        <w:rPr>
          <w:rFonts w:ascii="Arial;sans-serif" w:hAnsi="Arial;sans-serif"/>
          <w:b w:val="false"/>
          <w:color w:val="000000"/>
          <w:sz w:val="18"/>
        </w:rPr>
        <w:t>, Submissions are typically second-highest in the first quarter. The second and third quarters are known as special election periods, during which Submissions are typically lowest. A significant portion of our marketing and advertising expenses is driven by the number of health insurance applications submitted through us. Marketing and advertising expenses are generally higher in the fourth quarter during AEP, but because commissions from approved consumers are paid to us over time, our operating cash flows could be adversely impacted by a substantial increase in marketing and advertising expenses as a result of a higher volume of Submissions during the fourth quarter or positively impacted by a substantial decline in marketing and advertising expenses as a result of lower volume of Submissions during the fourth quarter.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Critical Accounting Policies and Estimates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preparation of Consolidated Financial Statements and related disclosures in conformity with GAAP requires management to make estimates and assumptions that affect the reported amounts of revenues, expenses, assets, liabilities and the disclosure of contingent assets and liabilities. We regularly assess these estimates; however, actual amounts could differ from those estimates. The impact of changes in estimates is recorded in the period in which they become known.</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An accounting policy is considered to be critical if the nature of the estimates or assumptions is material due to the levels of subjectivity and judgment necessary to account for highly uncertain matters or the susceptibility of such matters to change, and the effect of the estimates and assumptions on financial condition or operating performance. The accounting policies we believe to reflect our more significant estimates, judgments and assumptions that are most critical to understanding and evaluating our reported financial results are: </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Commission revenue recognition and commissions receivable;</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Share-based compensation;</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Intangible assets; and</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Liabilities pursuant to the TRA.</w:t>
      </w:r>
    </w:p>
    <w:p>
      <w:pPr>
        <w:pStyle w:val="TextBody"/>
        <w:bidi w:val="0"/>
        <w:spacing w:lineRule="auto" w:line="288" w:before="240" w:after="283"/>
        <w:jc w:val="left"/>
        <w:rPr>
          <w:rFonts w:ascii="Arial;sans-serif" w:hAnsi="Arial;sans-serif"/>
          <w:b w:val="false"/>
          <w:i/>
          <w:color w:val="000000"/>
          <w:sz w:val="18"/>
        </w:rPr>
      </w:pPr>
      <w:r>
        <w:rPr>
          <w:rFonts w:ascii="Arial;sans-serif" w:hAnsi="Arial;sans-serif"/>
          <w:b w:val="false"/>
          <w:i/>
          <w:color w:val="000000"/>
          <w:sz w:val="18"/>
        </w:rPr>
        <w:t>Commission Revenue Recognition and Commissions Receivable</w:t>
      </w:r>
    </w:p>
    <w:p>
      <w:pPr>
        <w:pStyle w:val="TextBody"/>
        <w:bidi w:val="0"/>
        <w:spacing w:lineRule="auto" w:line="288" w:before="240" w:after="283"/>
        <w:jc w:val="left"/>
        <w:rPr/>
      </w:pPr>
      <w:r>
        <w:rPr>
          <w:rFonts w:ascii="Arial;sans-serif" w:hAnsi="Arial;sans-serif"/>
          <w:b w:val="false"/>
          <w:color w:val="000000"/>
          <w:sz w:val="18"/>
        </w:rPr>
        <w:t xml:space="preserve">In accordance with ASC 606, </w:t>
      </w:r>
      <w:r>
        <w:rPr>
          <w:rFonts w:ascii="Arial;sans-serif" w:hAnsi="Arial;sans-serif"/>
          <w:b w:val="false"/>
          <w:i/>
          <w:color w:val="000000"/>
          <w:sz w:val="18"/>
        </w:rPr>
        <w:t>Revenue from Contracts with Customers</w:t>
      </w:r>
      <w:r>
        <w:rPr>
          <w:rFonts w:ascii="Arial;sans-serif" w:hAnsi="Arial;sans-serif"/>
          <w:b w:val="false"/>
          <w:color w:val="000000"/>
          <w:sz w:val="18"/>
        </w:rPr>
        <w:t>, revenue is recognized when a customer obtains control of promised goods or services and is recognized in an amount that reflects the consideration that an entity expects to receive in exchange for those goods or services.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Significant management judgments and estimates must be made to determine the commission revenue to be recognized in any accounting period. If we made different judgments or utilized different estimates for any period, material differences in the amount and timing of commission revenue recognized could result. The accounting estimates and judgments related to the recognition of commission revenue require us to make assumptions about numerous factors, such as the determination of performance obligations and determination of the transaction price. The estimate of renewal commissions is considered variable consideration in the transaction price and requires significant judgment including determining the number of periods in which a renewal will occur and the value of those renewal commissions to be received if renewed. We utilize the expected value approach to do this, incorporating a combination of historical lapse and premium increase data, available industry and health plan partner experience data, historical payment data by health plan partner, as well as current forecast data to estimate forecasted renewal commissions, and then to constrain commission revenue recognized to the extent that it is probable that a significant reversal in the amount of cumulative revenue recognized will not occur. The uncertainty associated with the variable consideration is subsequently resolved when the policy terminates.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Commissions receivable includes the variable consideration for policies that may renew, and therefore, are subject to the same assumptions, judgments and estimates used when recognizing commission revenue as noted above. See Note 10, “Revenue,” to the Consolidated Financial Statements included in Item 8 to this Annual Report on Form 10-K for further discussion of commission revenue and commissions receivable.</w:t>
      </w:r>
    </w:p>
    <w:p>
      <w:pPr>
        <w:pStyle w:val="TextBody"/>
        <w:bidi w:val="0"/>
        <w:spacing w:lineRule="auto" w:line="288" w:before="240" w:after="283"/>
        <w:jc w:val="left"/>
        <w:rPr>
          <w:rFonts w:ascii="Arial;sans-serif" w:hAnsi="Arial;sans-serif"/>
          <w:b w:val="false"/>
          <w:i/>
          <w:color w:val="000000"/>
          <w:sz w:val="18"/>
        </w:rPr>
      </w:pPr>
      <w:r>
        <w:rPr>
          <w:rFonts w:ascii="Arial;sans-serif" w:hAnsi="Arial;sans-serif"/>
          <w:b w:val="false"/>
          <w:i/>
          <w:color w:val="000000"/>
          <w:sz w:val="18"/>
        </w:rPr>
        <w:t>Share-Based Compensation</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We grant share-based awards to employees and non-employee directors. Share-based awards include time-vesting profits units (“Time-Vesting Units”), restricted stock units (“RSUs”), stock options, performance stock units (“PSUs”) and stock appreciation rights ("SARs"). We recognize compensation expense for all share-based awards based on the estimated grant date fair value. Share-based compensation expense for Time-Vesting Units, RSUs, stock options and PSUs are recognized on a straight-line basis over the requisite service or performance period, which is generally three to five years. We recognize forfeitures as they occur.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716280"/>
                <wp:effectExtent l="0" t="0" r="0" b="0"/>
                <wp:wrapNone/>
                <wp:docPr id="65" name="Frame63"/>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59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59</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fair value of Time-Vesting Units and market-based PSUs are determined using a Monte Carlo simulation. Embedded in the simulation are several assumptions, including the expected life of the award, expected dividend yield, the risk-free interest rate and the expected volatility.</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The fair value of RSUs and performance-based PSUs are determined based on the closing stock price on the grant date. For awards contingent on the achievement of a performance condition, we reassess the probability of attainment using assumptions of future earnings based on management’s most recent long-range forecast.</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fair value of stock options is calculated using a Black-Scholes pricing model. Embedded in the pricing model are several assumptions, including the expected life of the award, the expected dividend yield, the risk-free interest rate and the expected volatility.</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The total initial fair value of the SARs is recorded as expense at the time of the grant for SARs with no future service requirement. The fair value of SARs with a future service requirement are recognized on a straight-line basis over the requisite service period. The fair value of the SARs is revalued (mark-to-market) each reporting period using the Black-Scholes pricing model based on the life of the award, dividend yield, risk-free interest rate, volatility and our period-end stock price. SARs are liability-classified awards, and as such, are recorded as a liability on the Consolidated Balance Sheets. </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assumptions we use represent management's best estimates. If factors change and different assumptions are used, our compensation expense for stock options could be materially different for future grants.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See Note 7, “Share-Based Compensation Plans,” to the Consolidated Financial Statements included in Item 8 to this Annual Report on Form 10-K for further discussion of share-based compensation.</w:t>
      </w:r>
    </w:p>
    <w:p>
      <w:pPr>
        <w:pStyle w:val="TextBody"/>
        <w:bidi w:val="0"/>
        <w:spacing w:lineRule="auto" w:line="288" w:before="240" w:after="283"/>
        <w:jc w:val="left"/>
        <w:rPr>
          <w:rFonts w:ascii="Arial;sans-serif" w:hAnsi="Arial;sans-serif"/>
          <w:b w:val="false"/>
          <w:i/>
          <w:color w:val="000000"/>
          <w:sz w:val="18"/>
        </w:rPr>
      </w:pPr>
      <w:r>
        <w:rPr>
          <w:rFonts w:ascii="Arial;sans-serif" w:hAnsi="Arial;sans-serif"/>
          <w:b w:val="false"/>
          <w:i/>
          <w:color w:val="000000"/>
          <w:sz w:val="18"/>
        </w:rPr>
        <w:t>Intangible, Long-lived, and Operating Lease ROU Assets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During the twelve months ended December 31, 2025 the Company identified indicators of impairment related to its indefinite-lived intangible assets and long-lived assets, primarily related to revised long-term forecasts, reflecting the Company’s intentional pullback on Medicare Advantage activities in response to tightening health plan economics such as a reduction in the number of marketable and/or commissionable plans offered by health plan partners. The revised forecasts led to a reduction in the projected future cash flows associated with the Company’s trade name, developed technology and customer relationships and other long-lived assets, triggering an interim impairment assessment. The Company first tested its indefinite-lived trade name intangible asset. The revised forecast led to a reduction in the projected future cash flows associated with the trade name resulting in a $73.0 million impairment charge for the twelve months ended December 31, 2025, which are included in “Indefinite and long-lived asset impairment charges” on the Consolidated Statements of Operations. The Company also tested its long-lived assets for impairment by first performing a recoverability test, comparing projected undiscounted cash from the use and eventual disposition of the asset group to its carrying value. The recoverability test indicated that the undiscounted cash flows were not sufficient to recover the carrying value of the Company’s asset group. The Company then compared the fair value of the asset group to its carrying value to measure the amount of impairment to record. The impairment charge was then allocated to individual long-lived assets in accordance with ASC 360. As a result, the Company recorded intangible asset impairment charges of $159.0 million for the twelve months ended December 31, 2025 to write down the carrying value of its definite-lived amortizable intangible assets to zero. The Company also recorded impairment charges related to capitalized software, property and equipment and ROU assets of $28.0 million for the twelve months ended December 31, 2025.</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 xml:space="preserve">In connection with our annual indefinite-lived impairment test performed as of November 30, 2023, the Company determined that the fair value of our indefinite-lived trade names no longer exceeded their carrying value. As a result, during the twelve months ended December 31, 2023, we recorded an indefinite-lived trade names impairment charge of $10.0 million to write down the carrying value of the indefinite-lived trade names to their fair value which is included in “Indefinite and long-lived asset impairment charges” on the Consolidated Statements of Operations. As part of the Company’s continued cost savings initiatives, the Company is actively looking to terminate or sublease certain office spaces and call centers. These actions resulted in $2.7 million in operating lease impairment charge for the twelve months ended December 31, 2023, which are included in “Indefinite and long-lived asset impairment charges” on the Consolidated Statements of Operations. There were no impairment charges in 2024.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 xml:space="preserve">Determination of fair value of the trade name involves utilizing the relief-from-royalty under the income approach which contains significant estimates and assumptions including, among others, revenue projections as well as selecting appropriate royalty and discount rates, which are considered a level 3 input in the fair value hierarchy. Determination of the fair value of other long-lived assets involves utilizing the income approach which contains significant estimates and assumptions about forecasted revenue, expenses, and discount rates which are also considered level 3 inputs in the fair value hierarchy. Determination of the fair values of operating lease ROU assets were estimated using a discounted cash flow approach on forecasted future cash flows expected to be derived from the property based on current sublease market rent, which is considered a level 3 input in the fair value hierarchy. There are additional estimates and assumptions used to arrive at estimated future cash flows, including discount rate, downtime, abatement and commissions. While the Company believes the judgments and assumptions are reasonable, different assumptions could change the estimated fair value. Weakening industry or economic trends, disruptions to the Company's business, changes in discount rate assumptions, unexpected significant changes or planned changes in the use of the assets or in the Company’s entity structure are all factors which may adversely impact the assumptions used in the valuation.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716280"/>
                <wp:effectExtent l="0" t="0" r="0" b="0"/>
                <wp:wrapNone/>
                <wp:docPr id="66" name="Frame64"/>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60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60</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For further discussion of each of the assets impacted by impairments in 2025 see Note 4, "Intangible Assets, Net", Note 2, “Balance Sheet Accounts”, Property, Equipment and Capitalized Software, Net and Note 11, “Leases” to the Consolidated Financial Statements included in Item 8 to this Annual Report on Form 10-K.</w:t>
      </w:r>
    </w:p>
    <w:p>
      <w:pPr>
        <w:pStyle w:val="TextBody"/>
        <w:bidi w:val="0"/>
        <w:spacing w:lineRule="auto" w:line="288" w:before="240" w:after="283"/>
        <w:jc w:val="left"/>
        <w:rPr>
          <w:rFonts w:ascii="Arial;sans-serif" w:hAnsi="Arial;sans-serif"/>
          <w:b w:val="false"/>
          <w:i/>
          <w:color w:val="000000"/>
          <w:sz w:val="18"/>
        </w:rPr>
      </w:pPr>
      <w:r>
        <w:rPr>
          <w:rFonts w:ascii="Arial;sans-serif" w:hAnsi="Arial;sans-serif"/>
          <w:b w:val="false"/>
          <w:i/>
          <w:color w:val="000000"/>
          <w:sz w:val="18"/>
        </w:rPr>
        <w:t>Liabilities Pursuant to the TRA</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In connection with the IPO, the Company entered into the TRA with GHH, LLC, the Continuing Equity Owners and the Blocker Shareholders that will provide for the payment by the Company to the Continuing Equity Owners and the Blocker Shareholders of 85% of the amount of tax benefits, if any, that the Company actually realizes (or in some circumstances is deemed to realize) as a result of (1) the Company’s allocable share of existing tax basis acquired in connection with the Transactions (including the Blocker Company’s share of existing tax basis) and increases to such allocable share of existing tax basis; (2) increases in tax basis resulting from (a) the Company’s purchase of LLC Interests directly from GHH, LLC and the partial redemption of LLC Interests by GHH, LLC, (b) future redemptions or exchanges (or deemed exchanges in certain circumstances) of LLC Interests for Class A common stock or cash, and (c) certain distributions (or deemed distributions) by GHH, LLC; and (3) certain additional tax benefits arising from payments made under the TRA. The Company may benefit from the remaining 15% of any tax benefits that the Company actually realizes.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The amounts payable under the TRA will vary depending upon a number of factors, including the amount, character and timing of the taxable income of the Company in the future. In projecting future taxable income, the Company considers its historical results and incorporates certain assumptions, including revenue growth and operating margins, among others. The projection of future taxable income involves judgement and actual taxable income may differ from our estimates, which could impact the timing of payments under the TRA. If the Company determines that it will not be able to fully utilize all or part of the related tax benefits, the Company would reduce the portion of the TRA liability related to the tax benefits not expected to be utilized through earnings at that time. </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color w:val="000000"/>
          <w:sz w:val="18"/>
        </w:rPr>
        <w:t>As of December 31, 2025 and December 31, 2024, the Company determined that a $1.3 million and $1.1 million liability related to the Tax Receivable Agreement arose from the Transactions, respectively. Should the Company determine that any additional Tax Receivable Agreement liability is considered probable at a future date based on new information, any changes will be recorded within earnings at that time. See Note 9, “Income Taxes” to the Consolidated Financial Statements included in Item 8 to this Annual Report on Form 10-K</w:t>
      </w:r>
      <w:r>
        <w:rPr>
          <w:color w:val="000000"/>
        </w:rPr>
        <w:t xml:space="preserve"> </w:t>
      </w:r>
      <w:r>
        <w:rPr>
          <w:rFonts w:ascii="Arial;sans-serif" w:hAnsi="Arial;sans-serif"/>
          <w:b w:val="false"/>
          <w:color w:val="000000"/>
          <w:sz w:val="18"/>
        </w:rPr>
        <w:t>for further discussion of the TRA.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A2299"/>
          <w:sz w:val="18"/>
        </w:rPr>
      </w:pPr>
      <w:r>
        <w:rPr>
          <w:rFonts w:ascii="Arial;sans-serif" w:hAnsi="Arial;sans-serif"/>
          <w:b/>
          <w:color w:val="0A2299"/>
          <w:sz w:val="18"/>
        </w:rPr>
        <w:t>ITEM 7A. QUANTITATIVE AND QUALITATIVE DISCLOSURES ABOUT MARKET RISK</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As a smaller reporting company, we are not required to include disclosure under this item.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716280"/>
                <wp:effectExtent l="0" t="0" r="0" b="0"/>
                <wp:wrapNone/>
                <wp:docPr id="67" name="Frame65"/>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61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61</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Arial;sans-serif" w:hAnsi="Arial;sans-serif"/>
          <w:b/>
          <w:color w:val="0A2299"/>
          <w:sz w:val="18"/>
        </w:rPr>
      </w:pPr>
      <w:r>
        <w:rPr>
          <w:rFonts w:ascii="Arial;sans-serif" w:hAnsi="Arial;sans-serif"/>
          <w:b/>
          <w:color w:val="0A2299"/>
          <w:sz w:val="18"/>
        </w:rPr>
        <w:t>ITEM 8. FINANCIAL STATEMENTS AND SUPPLEMENTARY DATA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Arial;sans-serif" w:hAnsi="Arial;sans-serif"/>
          <w:b/>
          <w:color w:val="000000"/>
          <w:sz w:val="18"/>
        </w:rPr>
      </w:pPr>
      <w:r>
        <w:rPr>
          <w:rFonts w:ascii="Arial;sans-serif" w:hAnsi="Arial;sans-serif"/>
          <w:b/>
          <w:color w:val="000000"/>
          <w:sz w:val="18"/>
        </w:rPr>
        <w:t>Report of Independent Registered Public Accounting Firm</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18"/>
        </w:rPr>
      </w:pPr>
      <w:r>
        <w:rPr>
          <w:rFonts w:ascii="Arial;sans-serif" w:hAnsi="Arial;sans-serif"/>
          <w:b w:val="false"/>
          <w:color w:val="000000"/>
          <w:sz w:val="18"/>
        </w:rPr>
        <w:t xml:space="preserve">To the Stockholders and the Board of Directors of GoHealth, Inc. </w:t>
      </w:r>
    </w:p>
    <w:p>
      <w:pPr>
        <w:pStyle w:val="TextBody"/>
        <w:bidi w:val="0"/>
        <w:spacing w:before="0" w:after="0"/>
        <w:jc w:val="both"/>
        <w:rPr/>
      </w:pPr>
      <w:r>
        <w:rPr/>
      </w:r>
    </w:p>
    <w:p>
      <w:pPr>
        <w:pStyle w:val="TextBody"/>
        <w:bidi w:val="0"/>
        <w:spacing w:lineRule="auto" w:line="256" w:before="0" w:after="0"/>
        <w:jc w:val="both"/>
        <w:rPr>
          <w:rFonts w:ascii="Arial;sans-serif" w:hAnsi="Arial;sans-serif"/>
          <w:b/>
          <w:color w:val="000000"/>
          <w:sz w:val="18"/>
        </w:rPr>
      </w:pPr>
      <w:r>
        <w:rPr>
          <w:rFonts w:ascii="Arial;sans-serif" w:hAnsi="Arial;sans-serif"/>
          <w:b/>
          <w:color w:val="000000"/>
          <w:sz w:val="18"/>
        </w:rPr>
        <w:t>Opinion on the Financial Statements</w:t>
      </w:r>
    </w:p>
    <w:p>
      <w:pPr>
        <w:pStyle w:val="TextBody"/>
        <w:bidi w:val="0"/>
        <w:spacing w:before="0" w:after="0"/>
        <w:jc w:val="both"/>
        <w:rPr/>
      </w:pPr>
      <w:r>
        <w:rPr/>
      </w:r>
    </w:p>
    <w:p>
      <w:pPr>
        <w:pStyle w:val="TextBody"/>
        <w:bidi w:val="0"/>
        <w:spacing w:lineRule="auto" w:line="276" w:before="0" w:after="0"/>
        <w:jc w:val="left"/>
        <w:rPr/>
      </w:pPr>
      <w:r>
        <w:rPr>
          <w:rFonts w:ascii="Arial;sans-serif" w:hAnsi="Arial;sans-serif"/>
          <w:b w:val="false"/>
          <w:color w:val="000000"/>
          <w:sz w:val="18"/>
        </w:rPr>
        <w:t>We have audited the accompanying consolidated balance sheets of GoHealth, Inc. (the Company) as of December 31, 2025 and 2024, the related consolidated statements of operations, comprehensive income (loss)</w:t>
      </w:r>
      <w:r>
        <w:rPr>
          <w:rFonts w:ascii="Arial;sans-serif" w:hAnsi="Arial;sans-serif"/>
          <w:b/>
          <w:color w:val="000000"/>
          <w:sz w:val="18"/>
        </w:rPr>
        <w:t>,</w:t>
      </w:r>
      <w:r>
        <w:rPr>
          <w:color w:val="000000"/>
        </w:rPr>
        <w:t xml:space="preserve"> </w:t>
      </w:r>
      <w:r>
        <w:rPr>
          <w:rFonts w:ascii="Arial;sans-serif" w:hAnsi="Arial;sans-serif"/>
          <w:b w:val="false"/>
          <w:color w:val="000000"/>
          <w:sz w:val="18"/>
        </w:rPr>
        <w:t>changes in stockholders' equity and cash flows for each of the three years in the period ended December 31, 2025, and the related notes</w:t>
      </w:r>
      <w:r>
        <w:rPr>
          <w:color w:val="000000"/>
        </w:rPr>
        <w:t xml:space="preserve"> </w:t>
      </w:r>
      <w:r>
        <w:rPr>
          <w:rFonts w:ascii="Arial;sans-serif" w:hAnsi="Arial;sans-serif"/>
          <w:b w:val="false"/>
          <w:color w:val="000000"/>
          <w:sz w:val="18"/>
        </w:rPr>
        <w:t>(collectively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three years in the period ended December 31, 2025, in conformity with U.S. generally accepted accounting principles</w:t>
      </w:r>
    </w:p>
    <w:p>
      <w:pPr>
        <w:pStyle w:val="TextBody"/>
        <w:bidi w:val="0"/>
        <w:spacing w:before="0" w:after="0"/>
        <w:jc w:val="left"/>
        <w:rPr/>
      </w:pPr>
      <w:r>
        <w:rPr/>
      </w:r>
    </w:p>
    <w:p>
      <w:pPr>
        <w:pStyle w:val="TextBody"/>
        <w:bidi w:val="0"/>
        <w:spacing w:lineRule="auto" w:line="268" w:before="0" w:after="0"/>
        <w:jc w:val="both"/>
        <w:rPr>
          <w:rFonts w:ascii="Arial;sans-serif" w:hAnsi="Arial;sans-serif"/>
          <w:b/>
          <w:color w:val="000000"/>
          <w:sz w:val="18"/>
        </w:rPr>
      </w:pPr>
      <w:r>
        <w:rPr>
          <w:rFonts w:ascii="Arial;sans-serif" w:hAnsi="Arial;sans-serif"/>
          <w:b/>
          <w:color w:val="000000"/>
          <w:sz w:val="18"/>
        </w:rPr>
        <w:t>Basis for Opinion</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18"/>
        </w:rPr>
      </w:pPr>
      <w:r>
        <w:rPr>
          <w:rFonts w:ascii="Arial;sans-serif" w:hAnsi="Arial;sans-serif"/>
          <w:b w:val="false"/>
          <w:color w:val="000000"/>
          <w:sz w:val="18"/>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18"/>
        </w:rPr>
      </w:pPr>
      <w:r>
        <w:rPr>
          <w:rFonts w:ascii="Arial;sans-serif" w:hAnsi="Arial;sans-serif"/>
          <w:b w:val="false"/>
          <w:color w:val="000000"/>
          <w:sz w:val="18"/>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18"/>
        </w:rPr>
      </w:pPr>
      <w:r>
        <w:rPr>
          <w:rFonts w:ascii="Arial;sans-serif" w:hAnsi="Arial;sans-serif"/>
          <w:b w:val="false"/>
          <w:color w:val="000000"/>
          <w:sz w:val="18"/>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jc w:val="left"/>
        <w:rPr/>
      </w:pPr>
      <w:r>
        <w:rPr/>
      </w:r>
    </w:p>
    <w:p>
      <w:pPr>
        <w:pStyle w:val="TextBody"/>
        <w:bidi w:val="0"/>
        <w:spacing w:lineRule="auto" w:line="268" w:before="0" w:after="0"/>
        <w:jc w:val="both"/>
        <w:rPr>
          <w:rFonts w:ascii="Arial;sans-serif" w:hAnsi="Arial;sans-serif"/>
          <w:b/>
          <w:color w:val="000000"/>
          <w:sz w:val="18"/>
        </w:rPr>
      </w:pPr>
      <w:r>
        <w:rPr>
          <w:rFonts w:ascii="Arial;sans-serif" w:hAnsi="Arial;sans-serif"/>
          <w:b/>
          <w:color w:val="000000"/>
          <w:sz w:val="18"/>
        </w:rPr>
        <w:t>Critical Audit Matter</w:t>
      </w:r>
    </w:p>
    <w:p>
      <w:pPr>
        <w:pStyle w:val="TextBody"/>
        <w:bidi w:val="0"/>
        <w:spacing w:before="0" w:after="0"/>
        <w:jc w:val="left"/>
        <w:rPr/>
      </w:pPr>
      <w:r>
        <w:rPr/>
      </w:r>
    </w:p>
    <w:p>
      <w:pPr>
        <w:pStyle w:val="TextBody"/>
        <w:bidi w:val="0"/>
        <w:spacing w:lineRule="auto" w:line="268" w:before="0" w:after="0"/>
        <w:jc w:val="both"/>
        <w:rPr/>
      </w:pPr>
      <w:r>
        <w:rPr>
          <w:rFonts w:ascii="Arial;sans-serif" w:hAnsi="Arial;sans-serif"/>
          <w:b w:val="false"/>
          <w:color w:val="000000"/>
          <w:sz w:val="18"/>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w:t>
      </w:r>
      <w:r>
        <w:rPr>
          <w:color w:val="000000"/>
        </w:rPr>
        <w:t xml:space="preserve"> </w:t>
      </w:r>
      <w:r>
        <w:rPr>
          <w:rFonts w:ascii="Arial;sans-serif" w:hAnsi="Arial;sans-serif"/>
          <w:b w:val="false"/>
          <w:color w:val="000000"/>
          <w:sz w:val="18"/>
        </w:rPr>
        <w:t>financial statements, taken as a whole, and we are not, by communicating the critical audit matter below, providing a separate opinion on the critical audit matter or on the accounts or disclosures to which it relates.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716280"/>
                <wp:effectExtent l="0" t="0" r="0" b="0"/>
                <wp:wrapNone/>
                <wp:docPr id="68" name="Frame66"/>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62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62</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tbl>
      <w:tblPr>
        <w:tblW w:w="10205" w:type="dxa"/>
        <w:jc w:val="left"/>
        <w:tblInd w:w="0" w:type="dxa"/>
        <w:tblLayout w:type="fixed"/>
        <w:tblCellMar>
          <w:top w:w="28" w:type="dxa"/>
          <w:left w:w="28" w:type="dxa"/>
          <w:bottom w:w="28" w:type="dxa"/>
          <w:right w:w="28" w:type="dxa"/>
        </w:tblCellMar>
      </w:tblPr>
      <w:tblGrid>
        <w:gridCol w:w="470"/>
        <w:gridCol w:w="412"/>
        <w:gridCol w:w="415"/>
        <w:gridCol w:w="2708"/>
        <w:gridCol w:w="2559"/>
        <w:gridCol w:w="3641"/>
      </w:tblGrid>
      <w:tr>
        <w:trPr/>
        <w:tc>
          <w:tcPr>
            <w:tcW w:w="470"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2708" w:type="dxa"/>
            <w:tcBorders/>
            <w:vAlign w:val="center"/>
          </w:tcPr>
          <w:p>
            <w:pPr>
              <w:pStyle w:val="TableContents"/>
              <w:bidi w:val="0"/>
              <w:spacing w:before="0" w:after="283"/>
              <w:jc w:val="left"/>
              <w:rPr>
                <w:sz w:val="4"/>
                <w:szCs w:val="4"/>
              </w:rPr>
            </w:pPr>
            <w:r>
              <w:rPr>
                <w:sz w:val="4"/>
                <w:szCs w:val="4"/>
              </w:rPr>
            </w:r>
          </w:p>
        </w:tc>
        <w:tc>
          <w:tcPr>
            <w:tcW w:w="2559" w:type="dxa"/>
            <w:tcBorders/>
            <w:vAlign w:val="center"/>
          </w:tcPr>
          <w:p>
            <w:pPr>
              <w:pStyle w:val="TableContents"/>
              <w:bidi w:val="0"/>
              <w:spacing w:before="0" w:after="283"/>
              <w:jc w:val="left"/>
              <w:rPr>
                <w:sz w:val="4"/>
                <w:szCs w:val="4"/>
              </w:rPr>
            </w:pPr>
            <w:r>
              <w:rPr>
                <w:sz w:val="4"/>
                <w:szCs w:val="4"/>
              </w:rPr>
            </w:r>
          </w:p>
        </w:tc>
        <w:tc>
          <w:tcPr>
            <w:tcW w:w="3641" w:type="dxa"/>
            <w:tcBorders/>
            <w:vAlign w:val="center"/>
          </w:tcPr>
          <w:p>
            <w:pPr>
              <w:pStyle w:val="TableContents"/>
              <w:bidi w:val="0"/>
              <w:spacing w:before="0" w:after="283"/>
              <w:jc w:val="left"/>
              <w:rPr>
                <w:sz w:val="4"/>
                <w:szCs w:val="4"/>
              </w:rPr>
            </w:pPr>
            <w:r>
              <w:rPr>
                <w:sz w:val="4"/>
                <w:szCs w:val="4"/>
              </w:rPr>
            </w:r>
          </w:p>
        </w:tc>
      </w:tr>
      <w:tr>
        <w:trPr/>
        <w:tc>
          <w:tcPr>
            <w:tcW w:w="1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8"/>
              </w:rPr>
            </w:pPr>
            <w:r>
              <w:rPr>
                <w:rFonts w:ascii="Arial;sans-serif" w:hAnsi="Arial;sans-serif"/>
                <w:b/>
                <w:i/>
                <w:color w:val="000000"/>
                <w:sz w:val="18"/>
              </w:rPr>
              <w:t>Revenue recognition: Estimated constrained lifetime value of commission revenue</w:t>
            </w:r>
          </w:p>
        </w:tc>
      </w:tr>
      <w:tr>
        <w:trPr/>
        <w:tc>
          <w:tcPr>
            <w:tcW w:w="12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Description of the Matter</w:t>
            </w:r>
          </w:p>
        </w:tc>
        <w:tc>
          <w:tcPr>
            <w:tcW w:w="8908" w:type="dxa"/>
            <w:gridSpan w:val="3"/>
            <w:tcBorders/>
            <w:tcMar>
              <w:top w:w="0" w:type="dxa"/>
              <w:left w:w="0" w:type="dxa"/>
              <w:bottom w:w="0" w:type="dxa"/>
              <w:right w:w="0" w:type="dxa"/>
            </w:tcMar>
            <w:vAlign w:val="center"/>
          </w:tcPr>
          <w:p>
            <w:pPr>
              <w:pStyle w:val="TableContents"/>
              <w:bidi w:val="0"/>
              <w:spacing w:lineRule="auto" w:line="240" w:before="0" w:after="283"/>
              <w:jc w:val="left"/>
              <w:rPr/>
            </w:pPr>
            <w:r>
              <w:rPr>
                <w:rFonts w:ascii="Arial;sans-serif" w:hAnsi="Arial;sans-serif"/>
                <w:b w:val="false"/>
                <w:color w:val="000000"/>
                <w:sz w:val="18"/>
              </w:rPr>
              <w:t>The Company recognized commission revenue of approximately $273 million in 2025 and the related commissions receivable was approximately $925 million at December 31, 2025. As described in Notes 1 and 10 to its consolidated financial statements, the Company’s commission revenue is recognized as the expected amount of initial commissions received from the health plan partners and any renewal commissions to be paid as the policyholder remains with the same insurance product, also known as the constrained lifetime value (“LTV”) of the policy. Cash collections from commissions receivable represent a significant source of liquidity.</w:t>
              <w:br/>
            </w:r>
            <w:r>
              <w:rPr>
                <w:rFonts w:ascii="Arial;sans-serif" w:hAnsi="Arial;sans-serif"/>
                <w:b w:val="false"/>
                <w:sz w:val="18"/>
              </w:rPr>
              <w:br/>
            </w:r>
            <w:r>
              <w:rPr>
                <w:rFonts w:ascii="Arial;sans-serif" w:hAnsi="Arial;sans-serif"/>
                <w:b w:val="false"/>
                <w:color w:val="000000"/>
                <w:sz w:val="18"/>
              </w:rPr>
              <w:t>Auditing management’s determination of the LTV was complex and highly judgmental due to the complexity of the model used and the subjectivity required by the Company to: i. estimate the amount and timing of future cash flows, ii. calculate the amount of LTV that is probable of not being reversed, and iii. determine the timing and amount of any adjustment to revenue that results from changes in the estimates of previously recorded LTV based on an assessment of qualitative and quantitative factors, including actual cash received versus estimated cash collections of previously recorded LTV. The Company’s estimate of LTV is based on a number of assumptions, including forecasting persistency of a policyholder and forecasting the commission amounts probable to be received. These assumptions are based on historical experience, carrier experience, and industry data and incorporate management’s judgment in interpreting those trends and in applying constraints.</w:t>
              <w:br/>
            </w:r>
            <w:r>
              <w:rPr>
                <w:rFonts w:ascii="Arial;sans-serif" w:hAnsi="Arial;sans-serif"/>
                <w:b w:val="false"/>
                <w:sz w:val="18"/>
              </w:rPr>
              <w:br/>
              <w:br/>
            </w:r>
          </w:p>
        </w:tc>
      </w:tr>
      <w:tr>
        <w:trPr/>
        <w:tc>
          <w:tcPr>
            <w:tcW w:w="12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How We Addressed the Matter in Our Audit</w:t>
            </w:r>
          </w:p>
        </w:tc>
        <w:tc>
          <w:tcPr>
            <w:tcW w:w="890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 xml:space="preserve">Our audit procedures included, among others, evaluating the methodology used and significant assumptions discussed above, testing the completeness and accuracy of the underlying data used by the Company, comparing contract terms to the underlying data, and agreeing amounts to cash receipts. We involved our valuation specialists to assist in our testing of the estimated persistency of policyholders by performing certain independent calculations. We inspected and compared the results of the Company’s retrospective review analysis of historical estimates for certain vintages to historical cash collection experience, including reperforming the calculations and assessing the completeness and accuracy of the underlying data used. In addition, we performed inquiries of key personnel regarding their evaluation of adjustments to LTV. We also inspected analyst reports, press releases, and other relevant third-party data for contrary evidence. </w:t>
            </w:r>
          </w:p>
        </w:tc>
      </w:tr>
    </w:tbl>
    <w:tbl>
      <w:tblPr>
        <w:tblW w:w="4601" w:type="dxa"/>
        <w:jc w:val="left"/>
        <w:tblInd w:w="0" w:type="dxa"/>
        <w:tblLayout w:type="fixed"/>
        <w:tblCellMar>
          <w:top w:w="28" w:type="dxa"/>
          <w:left w:w="28" w:type="dxa"/>
          <w:bottom w:w="28" w:type="dxa"/>
          <w:right w:w="28" w:type="dxa"/>
        </w:tblCellMar>
      </w:tblPr>
      <w:tblGrid>
        <w:gridCol w:w="1392"/>
        <w:gridCol w:w="1225"/>
        <w:gridCol w:w="1229"/>
        <w:gridCol w:w="221"/>
        <w:gridCol w:w="221"/>
        <w:gridCol w:w="313"/>
      </w:tblGrid>
      <w:tr>
        <w:trPr/>
        <w:tc>
          <w:tcPr>
            <w:tcW w:w="1392"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384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/s/ Ernst &amp; Young LLP</w:t>
            </w:r>
          </w:p>
        </w:tc>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6"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r>
      <w:tr>
        <w:trPr/>
        <w:tc>
          <w:tcPr>
            <w:tcW w:w="3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 have served as the Company’s auditor since 2013.</w:t>
            </w:r>
          </w:p>
        </w:tc>
      </w:tr>
      <w:tr>
        <w:trPr/>
        <w:tc>
          <w:tcPr>
            <w:tcW w:w="3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Chicago, Illinois</w:t>
            </w:r>
          </w:p>
        </w:tc>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March 31, 2026</w:t>
            </w:r>
          </w:p>
        </w:tc>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716280"/>
                <wp:effectExtent l="0" t="0" r="0" b="0"/>
                <wp:wrapNone/>
                <wp:docPr id="69" name="Frame67"/>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63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63</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60" w:after="283"/>
        <w:jc w:val="center"/>
        <w:rPr>
          <w:rFonts w:ascii="Arial;sans-serif" w:hAnsi="Arial;sans-serif"/>
          <w:b/>
          <w:color w:val="0A2299"/>
          <w:sz w:val="18"/>
        </w:rPr>
      </w:pPr>
      <w:r>
        <w:rPr>
          <w:rFonts w:ascii="Arial;sans-serif" w:hAnsi="Arial;sans-serif"/>
          <w:b/>
          <w:color w:val="0A2299"/>
          <w:sz w:val="18"/>
        </w:rPr>
        <w:t>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Arial;sans-serif" w:hAnsi="Arial;sans-serif"/>
          <w:b/>
          <w:color w:val="0A2299"/>
          <w:sz w:val="18"/>
        </w:rPr>
      </w:pPr>
      <w:r>
        <w:rPr>
          <w:rFonts w:ascii="Arial;sans-serif" w:hAnsi="Arial;sans-serif"/>
          <w:b/>
          <w:color w:val="0A2299"/>
          <w:sz w:val="18"/>
        </w:rPr>
        <w:t>GOHEALTH, INC.</w:t>
      </w:r>
    </w:p>
    <w:p>
      <w:pPr>
        <w:pStyle w:val="TextBody"/>
        <w:bidi w:val="0"/>
        <w:spacing w:lineRule="auto" w:line="288" w:before="60" w:after="283"/>
        <w:jc w:val="center"/>
        <w:rPr>
          <w:rFonts w:ascii="Arial;sans-serif" w:hAnsi="Arial;sans-serif"/>
          <w:b/>
          <w:color w:val="0A2299"/>
          <w:sz w:val="18"/>
        </w:rPr>
      </w:pPr>
      <w:r>
        <w:rPr>
          <w:rFonts w:ascii="Arial;sans-serif" w:hAnsi="Arial;sans-serif"/>
          <w:b/>
          <w:color w:val="0A2299"/>
          <w:sz w:val="18"/>
        </w:rPr>
        <w:t>CONSOLIDATED STATEMENTS OF OPERATIONS</w:t>
      </w:r>
    </w:p>
    <w:p>
      <w:pPr>
        <w:pStyle w:val="TextBody"/>
        <w:bidi w:val="0"/>
        <w:spacing w:lineRule="auto" w:line="288" w:before="60" w:after="283"/>
        <w:jc w:val="center"/>
        <w:rPr>
          <w:rFonts w:ascii="Arial;sans-serif" w:hAnsi="Arial;sans-serif"/>
          <w:b w:val="false"/>
          <w:i/>
          <w:color w:val="0A2299"/>
          <w:sz w:val="18"/>
        </w:rPr>
      </w:pPr>
      <w:r>
        <w:rPr>
          <w:rFonts w:ascii="Arial;sans-serif" w:hAnsi="Arial;sans-serif"/>
          <w:b w:val="false"/>
          <w:i/>
          <w:color w:val="0A2299"/>
          <w:sz w:val="18"/>
        </w:rPr>
        <w:t>(in thousands, except per share amounts)</w:t>
      </w:r>
    </w:p>
    <w:tbl>
      <w:tblPr>
        <w:tblW w:w="10205" w:type="dxa"/>
        <w:jc w:val="left"/>
        <w:tblInd w:w="0" w:type="dxa"/>
        <w:tblLayout w:type="fixed"/>
        <w:tblCellMar>
          <w:top w:w="28" w:type="dxa"/>
          <w:left w:w="28" w:type="dxa"/>
          <w:bottom w:w="28" w:type="dxa"/>
          <w:right w:w="28" w:type="dxa"/>
        </w:tblCellMar>
      </w:tblPr>
      <w:tblGrid>
        <w:gridCol w:w="2230"/>
        <w:gridCol w:w="1936"/>
        <w:gridCol w:w="1940"/>
        <w:gridCol w:w="109"/>
        <w:gridCol w:w="109"/>
        <w:gridCol w:w="109"/>
        <w:gridCol w:w="196"/>
        <w:gridCol w:w="808"/>
        <w:gridCol w:w="109"/>
        <w:gridCol w:w="109"/>
        <w:gridCol w:w="109"/>
        <w:gridCol w:w="109"/>
        <w:gridCol w:w="196"/>
        <w:gridCol w:w="628"/>
        <w:gridCol w:w="109"/>
        <w:gridCol w:w="109"/>
        <w:gridCol w:w="109"/>
        <w:gridCol w:w="109"/>
        <w:gridCol w:w="196"/>
        <w:gridCol w:w="718"/>
        <w:gridCol w:w="158"/>
      </w:tblGrid>
      <w:tr>
        <w:trPr/>
        <w:tc>
          <w:tcPr>
            <w:tcW w:w="2230" w:type="dxa"/>
            <w:tcBorders/>
            <w:vAlign w:val="center"/>
          </w:tcPr>
          <w:p>
            <w:pPr>
              <w:pStyle w:val="TableContents"/>
              <w:bidi w:val="0"/>
              <w:spacing w:before="0" w:after="283"/>
              <w:jc w:val="left"/>
              <w:rPr>
                <w:sz w:val="4"/>
                <w:szCs w:val="4"/>
              </w:rPr>
            </w:pPr>
            <w:r>
              <w:rPr>
                <w:sz w:val="4"/>
                <w:szCs w:val="4"/>
              </w:rPr>
            </w:r>
          </w:p>
        </w:tc>
        <w:tc>
          <w:tcPr>
            <w:tcW w:w="1936" w:type="dxa"/>
            <w:tcBorders/>
            <w:vAlign w:val="center"/>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2"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Twelve months ended Dec. 31,</w:t>
            </w:r>
          </w:p>
        </w:tc>
      </w:tr>
      <w:tr>
        <w:trPr/>
        <w:tc>
          <w:tcPr>
            <w:tcW w:w="6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r>
      <w:tr>
        <w:trPr/>
        <w:tc>
          <w:tcPr>
            <w:tcW w:w="6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361,845 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798,894 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734,671 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Revenue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130,612 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158,961 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Marketing and advertising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205,042 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Consumer care and enrollment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222,414 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209,234 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Technology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34,904 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43,302 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90,789 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93,069 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94,057 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r>
      <w:tr>
        <w:trPr/>
        <w:tc>
          <w:tcPr>
            <w:tcW w:w="6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r>
      <w:tr>
        <w:trPr/>
        <w:tc>
          <w:tcPr>
            <w:tcW w:w="6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Indefinite and long-lived asset impairment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259,961 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12,687 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774,746 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805,941 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816,352 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(412,901)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(81,681)</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72,868 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69,472 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Gain on bargain purchase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(84,492)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on extinguishment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(loss)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(501,090)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(5,052)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(151,116)</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expense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(497,755)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(7,319)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(151,270)</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 attributable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(240,629)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(88,013)</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(loss) attributable to GoHealth,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(257,126)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(2,928)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(63,257)</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16"/>
              </w:rPr>
            </w:pPr>
            <w:r>
              <w:rPr>
                <w:rFonts w:ascii="Arial;sans-serif" w:hAnsi="Arial;sans-serif"/>
                <w:b w:val="false"/>
                <w:i/>
                <w:color w:val="000000"/>
                <w:sz w:val="16"/>
              </w:rPr>
              <w:t>Net loss per share (Note 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 per share of Class A common stock — basic and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(7.19)</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Weighted-average shares of Class A common stock outstanding — basic and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9,292 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Arial;sans-serif" w:hAnsi="Arial;sans-serif"/>
          <w:b w:val="false"/>
          <w:i/>
          <w:color w:val="000000"/>
          <w:sz w:val="18"/>
        </w:rPr>
      </w:pPr>
      <w:r>
        <w:rPr>
          <w:rFonts w:ascii="Arial;sans-serif" w:hAnsi="Arial;sans-serif"/>
          <w:b w:val="false"/>
          <w:i/>
          <w:color w:val="000000"/>
          <w:sz w:val="18"/>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716280"/>
                <wp:effectExtent l="0" t="0" r="0" b="0"/>
                <wp:wrapNone/>
                <wp:docPr id="70" name="Frame68"/>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64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64</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center"/>
        <w:rPr>
          <w:rFonts w:ascii="Arial;sans-serif" w:hAnsi="Arial;sans-serif"/>
          <w:b/>
          <w:color w:val="0A2299"/>
          <w:sz w:val="18"/>
        </w:rPr>
      </w:pPr>
      <w:r>
        <w:rPr>
          <w:rFonts w:ascii="Arial;sans-serif" w:hAnsi="Arial;sans-serif"/>
          <w:b/>
          <w:color w:val="0A2299"/>
          <w:sz w:val="18"/>
        </w:rPr>
        <w:t>GOHEALTH, INC.</w:t>
      </w:r>
    </w:p>
    <w:p>
      <w:pPr>
        <w:pStyle w:val="TextBody"/>
        <w:bidi w:val="0"/>
        <w:spacing w:lineRule="auto" w:line="288" w:before="60" w:after="283"/>
        <w:jc w:val="center"/>
        <w:rPr>
          <w:rFonts w:ascii="Arial;sans-serif" w:hAnsi="Arial;sans-serif"/>
          <w:b/>
          <w:color w:val="0A2299"/>
          <w:sz w:val="18"/>
        </w:rPr>
      </w:pPr>
      <w:r>
        <w:rPr>
          <w:rFonts w:ascii="Arial;sans-serif" w:hAnsi="Arial;sans-serif"/>
          <w:b/>
          <w:color w:val="0A2299"/>
          <w:sz w:val="18"/>
        </w:rPr>
        <w:t>CONSOLIDATED STATEMENTS OF COMPREHENSIVE INCOME (LOSS)</w:t>
      </w:r>
    </w:p>
    <w:p>
      <w:pPr>
        <w:pStyle w:val="TextBody"/>
        <w:bidi w:val="0"/>
        <w:spacing w:lineRule="auto" w:line="288" w:before="60" w:after="283"/>
        <w:jc w:val="center"/>
        <w:rPr>
          <w:rFonts w:ascii="Arial;sans-serif" w:hAnsi="Arial;sans-serif"/>
          <w:b w:val="false"/>
          <w:i/>
          <w:color w:val="0A2299"/>
          <w:sz w:val="18"/>
        </w:rPr>
      </w:pPr>
      <w:r>
        <w:rPr>
          <w:rFonts w:ascii="Arial;sans-serif" w:hAnsi="Arial;sans-serif"/>
          <w:b w:val="false"/>
          <w:i/>
          <w:color w:val="0A2299"/>
          <w:sz w:val="18"/>
        </w:rPr>
        <w:t>(in thousands)</w:t>
      </w:r>
    </w:p>
    <w:tbl>
      <w:tblPr>
        <w:tblW w:w="9467" w:type="dxa"/>
        <w:jc w:val="left"/>
        <w:tblInd w:w="0" w:type="dxa"/>
        <w:tblLayout w:type="fixed"/>
        <w:tblCellMar>
          <w:top w:w="28" w:type="dxa"/>
          <w:left w:w="28" w:type="dxa"/>
          <w:bottom w:w="28" w:type="dxa"/>
          <w:right w:w="28" w:type="dxa"/>
        </w:tblCellMar>
      </w:tblPr>
      <w:tblGrid>
        <w:gridCol w:w="1832"/>
        <w:gridCol w:w="1603"/>
        <w:gridCol w:w="1620"/>
        <w:gridCol w:w="109"/>
        <w:gridCol w:w="109"/>
        <w:gridCol w:w="109"/>
        <w:gridCol w:w="196"/>
        <w:gridCol w:w="811"/>
        <w:gridCol w:w="109"/>
        <w:gridCol w:w="109"/>
        <w:gridCol w:w="109"/>
        <w:gridCol w:w="109"/>
        <w:gridCol w:w="196"/>
        <w:gridCol w:w="631"/>
        <w:gridCol w:w="109"/>
        <w:gridCol w:w="109"/>
        <w:gridCol w:w="109"/>
        <w:gridCol w:w="109"/>
        <w:gridCol w:w="196"/>
        <w:gridCol w:w="811"/>
        <w:gridCol w:w="109"/>
        <w:gridCol w:w="109"/>
        <w:gridCol w:w="154"/>
      </w:tblGrid>
      <w:tr>
        <w:trPr/>
        <w:tc>
          <w:tcPr>
            <w:tcW w:w="1832"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c>
          <w:tcPr>
            <w:tcW w:w="1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42" w:type="dxa"/>
            <w:gridSpan w:val="11"/>
            <w:tcBorders/>
          </w:tcPr>
          <w:p>
            <w:pPr>
              <w:pStyle w:val="TableContents"/>
              <w:bidi w:val="0"/>
              <w:spacing w:before="0" w:after="283"/>
              <w:jc w:val="left"/>
              <w:rPr>
                <w:sz w:val="4"/>
                <w:szCs w:val="4"/>
              </w:rPr>
            </w:pPr>
            <w:r>
              <w:rPr>
                <w:sz w:val="4"/>
                <w:szCs w:val="4"/>
              </w:rPr>
            </w:r>
          </w:p>
        </w:tc>
      </w:tr>
      <w:tr>
        <w:trPr/>
        <w:tc>
          <w:tcPr>
            <w:tcW w:w="5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Twelve months ended Dec.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(497,755)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(151,270)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Other comprehensive income (loss), net of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 currency translation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(497,573)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(7,374)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(151,228)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Comprehensive income (loss) attributable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(240,539)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(87,988)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Comprehensive income (loss) attributable to GoHealth,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(257,034)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(2,952)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(63,240)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Arial;sans-serif" w:hAnsi="Arial;sans-serif"/>
          <w:b w:val="false"/>
          <w:i/>
          <w:color w:val="000000"/>
          <w:sz w:val="18"/>
        </w:rPr>
      </w:pPr>
      <w:r>
        <w:rPr>
          <w:rFonts w:ascii="Arial;sans-serif" w:hAnsi="Arial;sans-serif"/>
          <w:b w:val="false"/>
          <w:i/>
          <w:color w:val="000000"/>
          <w:sz w:val="18"/>
        </w:rPr>
        <w:t>The accompanying Notes are an integral part of these Consolidated Financial Statements.</w:t>
      </w:r>
    </w:p>
    <w:p>
      <w:pPr>
        <w:pStyle w:val="TextBody"/>
        <w:bidi w:val="0"/>
        <w:spacing w:before="240" w:after="283"/>
        <w:jc w:val="center"/>
        <w:rPr/>
      </w:pPr>
      <w:r>
        <w:rPr/>
      </w:r>
    </w:p>
    <w:p>
      <w:pPr>
        <w:pStyle w:val="TextBody"/>
        <w:bidi w:val="0"/>
        <w:spacing w:before="24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716280"/>
                <wp:effectExtent l="0" t="0" r="0" b="0"/>
                <wp:wrapNone/>
                <wp:docPr id="71" name="Frame69"/>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65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65</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center"/>
        <w:rPr>
          <w:rFonts w:ascii="Arial;sans-serif" w:hAnsi="Arial;sans-serif"/>
          <w:b/>
          <w:color w:val="0A2299"/>
          <w:sz w:val="16"/>
        </w:rPr>
      </w:pPr>
      <w:r>
        <w:rPr>
          <w:rFonts w:ascii="Arial;sans-serif" w:hAnsi="Arial;sans-serif"/>
          <w:b/>
          <w:color w:val="0A2299"/>
          <w:sz w:val="16"/>
        </w:rPr>
        <w:t>GOHEALTH, INC.</w:t>
      </w:r>
    </w:p>
    <w:p>
      <w:pPr>
        <w:pStyle w:val="TextBody"/>
        <w:bidi w:val="0"/>
        <w:spacing w:lineRule="auto" w:line="288" w:before="60" w:after="283"/>
        <w:jc w:val="center"/>
        <w:rPr>
          <w:rFonts w:ascii="Arial;sans-serif" w:hAnsi="Arial;sans-serif"/>
          <w:b/>
          <w:color w:val="0A2299"/>
          <w:sz w:val="16"/>
        </w:rPr>
      </w:pPr>
      <w:r>
        <w:rPr>
          <w:rFonts w:ascii="Arial;sans-serif" w:hAnsi="Arial;sans-serif"/>
          <w:b/>
          <w:color w:val="0A2299"/>
          <w:sz w:val="16"/>
        </w:rPr>
        <w:t>CONSOLIDATED BALANCE SHEETS</w:t>
      </w:r>
    </w:p>
    <w:p>
      <w:pPr>
        <w:pStyle w:val="TextBody"/>
        <w:bidi w:val="0"/>
        <w:spacing w:lineRule="auto" w:line="288" w:before="60" w:after="283"/>
        <w:jc w:val="center"/>
        <w:rPr>
          <w:rFonts w:ascii="Arial;sans-serif" w:hAnsi="Arial;sans-serif"/>
          <w:b w:val="false"/>
          <w:i/>
          <w:color w:val="0A2299"/>
          <w:sz w:val="16"/>
        </w:rPr>
      </w:pPr>
      <w:r>
        <w:rPr>
          <w:rFonts w:ascii="Arial;sans-serif" w:hAnsi="Arial;sans-serif"/>
          <w:b w:val="false"/>
          <w:i/>
          <w:color w:val="0A2299"/>
          <w:sz w:val="16"/>
        </w:rPr>
        <w:t>(in thousands, except per share amounts)</w:t>
      </w:r>
    </w:p>
    <w:tbl>
      <w:tblPr>
        <w:tblW w:w="10205" w:type="dxa"/>
        <w:jc w:val="center"/>
        <w:tblInd w:w="0" w:type="dxa"/>
        <w:tblLayout w:type="fixed"/>
        <w:tblCellMar>
          <w:top w:w="28" w:type="dxa"/>
          <w:left w:w="28" w:type="dxa"/>
          <w:bottom w:w="28" w:type="dxa"/>
          <w:right w:w="28" w:type="dxa"/>
        </w:tblCellMar>
      </w:tblPr>
      <w:tblGrid>
        <w:gridCol w:w="2851"/>
        <w:gridCol w:w="2319"/>
        <w:gridCol w:w="2312"/>
        <w:gridCol w:w="109"/>
        <w:gridCol w:w="109"/>
        <w:gridCol w:w="109"/>
        <w:gridCol w:w="181"/>
        <w:gridCol w:w="661"/>
        <w:gridCol w:w="109"/>
        <w:gridCol w:w="109"/>
        <w:gridCol w:w="109"/>
        <w:gridCol w:w="109"/>
        <w:gridCol w:w="181"/>
        <w:gridCol w:w="781"/>
        <w:gridCol w:w="156"/>
      </w:tblGrid>
      <w:tr>
        <w:trPr/>
        <w:tc>
          <w:tcPr>
            <w:tcW w:w="2851" w:type="dxa"/>
            <w:tcBorders/>
            <w:vAlign w:val="center"/>
          </w:tcPr>
          <w:p>
            <w:pPr>
              <w:pStyle w:val="TableContents"/>
              <w:bidi w:val="0"/>
              <w:spacing w:before="0" w:after="283"/>
              <w:jc w:val="left"/>
              <w:rPr>
                <w:sz w:val="4"/>
                <w:szCs w:val="4"/>
              </w:rPr>
            </w:pPr>
            <w:r>
              <w:rPr>
                <w:sz w:val="4"/>
                <w:szCs w:val="4"/>
              </w:rPr>
            </w:r>
          </w:p>
        </w:tc>
        <w:tc>
          <w:tcPr>
            <w:tcW w:w="2319" w:type="dxa"/>
            <w:tcBorders/>
            <w:vAlign w:val="center"/>
          </w:tcPr>
          <w:p>
            <w:pPr>
              <w:pStyle w:val="TableContents"/>
              <w:bidi w:val="0"/>
              <w:spacing w:before="0" w:after="283"/>
              <w:jc w:val="left"/>
              <w:rPr>
                <w:sz w:val="4"/>
                <w:szCs w:val="4"/>
              </w:rPr>
            </w:pPr>
            <w:r>
              <w:rPr>
                <w:sz w:val="4"/>
                <w:szCs w:val="4"/>
              </w:rPr>
            </w:r>
          </w:p>
        </w:tc>
        <w:tc>
          <w:tcPr>
            <w:tcW w:w="2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Dec. 31,</w:t>
            </w:r>
          </w:p>
        </w:tc>
      </w:tr>
      <w:tr>
        <w:trPr/>
        <w:tc>
          <w:tcPr>
            <w:tcW w:w="7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2024</w:t>
            </w:r>
          </w:p>
        </w:tc>
      </w:tr>
      <w:tr>
        <w:trPr/>
        <w:tc>
          <w:tcPr>
            <w:tcW w:w="7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4"/>
              </w:rPr>
            </w:pPr>
            <w:r>
              <w:rPr>
                <w:rFonts w:ascii="Arial;sans-serif" w:hAnsi="Arial;sans-serif"/>
                <w:b w:val="false"/>
                <w:i/>
                <w:color w:val="000000"/>
                <w:sz w:val="14"/>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32,904 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40,921 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Accounts receivable, net of allowance for doubtful accounts of $5 in 2025 and $1 in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4,452 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Commissions receivable - 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239,644 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320,399 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Prepaid expense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34,639 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285,788 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400,411 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Commissions receivable - non-current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685,527 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733,161 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Operating lease ROU asset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9,621 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19,317 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Property, equipment, and capitalized software,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29,320 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Intangible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302,497 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 long-term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3,717 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987,380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1,488,423</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Liabilities, Redeemable Convertible Preferred Stock and Stockholders’ Equity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4"/>
              </w:rPr>
            </w:pPr>
            <w:r>
              <w:rPr>
                <w:rFonts w:ascii="Arial;sans-serif" w:hAnsi="Arial;sans-serif"/>
                <w:b w:val="false"/>
                <w:i/>
                <w:color w:val="000000"/>
                <w:sz w:val="14"/>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14,591 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Accrued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121,346 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Commissions payable -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63,947 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98,771 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Short-term operating lease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5,705 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53,720 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Current portion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39,500 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4,419 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141,500 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338,052 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4"/>
              </w:rPr>
            </w:pPr>
            <w:r>
              <w:rPr>
                <w:rFonts w:ascii="Arial;sans-serif" w:hAnsi="Arial;sans-serif"/>
                <w:b w:val="false"/>
                <w:i/>
                <w:color w:val="000000"/>
                <w:sz w:val="14"/>
              </w:rPr>
              <w:t>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Commissions payable -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156,532 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177,656 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Long-term operating lease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34,900 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Long-term debt, net of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636,740 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447,865 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Deferred tax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22,350 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 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10,645 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9,200 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851,199 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691,971 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Commitments and Contingencies (Note 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Series A redeemable convertible preferred stock — $0.0001 par value; 50 shares authorized; 50 shares issued and outstanding as of both December 31, 2025 and December 31, 2024. Liquidation preference of $58.5 million and $54.6 million as of December 31, 2025 and December 31, 2024,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56,886 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52,962 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4"/>
              </w:rPr>
            </w:pPr>
            <w:r>
              <w:rPr>
                <w:rFonts w:ascii="Arial;sans-serif" w:hAnsi="Arial;sans-serif"/>
                <w:b/>
                <w:i/>
                <w:color w:val="000000"/>
                <w:sz w:val="14"/>
              </w:rPr>
              <w:t>Stockholders’ equity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Class A common stock – $0.0001 par value; 1,100,000 shares authorized; 16,984 and 10,614 shares issued; 16,191 and 10,292 shares outstanding as of December 31, 2025 and December 31, 2024,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Class B common stock – $0.0001 par value; 615,825 and 615,917 shares authorized as of December 31, 2025 and 2024, respectively; 12,621 and 12,711 shares issued and outstanding as of December 31, 2025 and December 31, 2024,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Preferred stock – $0.0001 par value; 20,000 shares authorized (including 50 shares of Series A redeemable convertible preferred stock authorized and 200 shares of Series A-1 convertible preferred stock authorized); 50 shares issued and outstanding as of both December 31, 2025 and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Series A-1 convertible preferred stock— $0.0001 par value; 200 shares authorized; no shares issued and outstanding as of both December 31, 2025 and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Treasury stock – at cost; 793 and 322 shares of Class A common stock as of December 31, 2025 and December 31, 2024,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(9,371)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(4,150)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727,635 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669,346 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Accumulated 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Accumulated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(680,334)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(423,208)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stockholders’ equity attributable to GoHealth,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37,873 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241,839 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(100,078)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163,599 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stockholders’ equity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(62,205)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405,438 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Total liabilities, redeemable convertible preferred stock and stockholders’ equity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987,380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1,488,423</w:t>
            </w:r>
            <w:r>
              <w:rPr>
                <w:color w:val="000000"/>
              </w:rPr>
              <w:t>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Arial;sans-serif" w:hAnsi="Arial;sans-serif"/>
          <w:b w:val="false"/>
          <w:i/>
          <w:color w:val="000000"/>
          <w:sz w:val="18"/>
        </w:rPr>
      </w:pPr>
      <w:r>
        <w:rPr>
          <w:rFonts w:ascii="Arial;sans-serif" w:hAnsi="Arial;sans-serif"/>
          <w:b w:val="false"/>
          <w:i/>
          <w:color w:val="000000"/>
          <w:sz w:val="18"/>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716280"/>
                <wp:effectExtent l="0" t="0" r="0" b="0"/>
                <wp:wrapNone/>
                <wp:docPr id="72" name="Frame70"/>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66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66</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center"/>
        <w:rPr>
          <w:rFonts w:ascii="Arial;sans-serif" w:hAnsi="Arial;sans-serif"/>
          <w:b/>
          <w:color w:val="0A2299"/>
          <w:sz w:val="18"/>
        </w:rPr>
      </w:pPr>
      <w:r>
        <w:rPr>
          <w:rFonts w:ascii="Arial;sans-serif" w:hAnsi="Arial;sans-serif"/>
          <w:b/>
          <w:color w:val="0A2299"/>
          <w:sz w:val="18"/>
        </w:rPr>
        <w:t>GOHEALTH, INC.</w:t>
      </w:r>
    </w:p>
    <w:p>
      <w:pPr>
        <w:pStyle w:val="TextBody"/>
        <w:bidi w:val="0"/>
        <w:spacing w:lineRule="auto" w:line="288" w:before="60" w:after="283"/>
        <w:jc w:val="center"/>
        <w:rPr>
          <w:rFonts w:ascii="Arial;sans-serif" w:hAnsi="Arial;sans-serif"/>
          <w:b/>
          <w:color w:val="0A2299"/>
          <w:sz w:val="18"/>
        </w:rPr>
      </w:pPr>
      <w:r>
        <w:rPr>
          <w:rFonts w:ascii="Arial;sans-serif" w:hAnsi="Arial;sans-serif"/>
          <w:b/>
          <w:color w:val="0A2299"/>
          <w:sz w:val="18"/>
        </w:rPr>
        <w:t>CONSOLIDATED STATEMENTS OF CHANGES IN STOCKHOLDERS’ EQUITY</w:t>
      </w:r>
    </w:p>
    <w:p>
      <w:pPr>
        <w:pStyle w:val="TextBody"/>
        <w:bidi w:val="0"/>
        <w:spacing w:lineRule="auto" w:line="288" w:before="60" w:after="283"/>
        <w:jc w:val="center"/>
        <w:rPr>
          <w:rFonts w:ascii="Arial;sans-serif" w:hAnsi="Arial;sans-serif"/>
          <w:b w:val="false"/>
          <w:i/>
          <w:color w:val="0A2299"/>
          <w:sz w:val="18"/>
        </w:rPr>
      </w:pPr>
      <w:r>
        <w:rPr>
          <w:rFonts w:ascii="Arial;sans-serif" w:hAnsi="Arial;sans-serif"/>
          <w:b w:val="false"/>
          <w:i/>
          <w:color w:val="0A2299"/>
          <w:sz w:val="18"/>
        </w:rPr>
        <w:t>(in thousands)</w:t>
      </w:r>
    </w:p>
    <w:p>
      <w:pPr>
        <w:pStyle w:val="TextBody"/>
        <w:bidi w:val="0"/>
        <w:spacing w:before="60" w:after="283"/>
        <w:jc w:val="center"/>
        <w:rPr/>
      </w:pPr>
      <w:r>
        <w:rPr/>
      </w:r>
    </w:p>
    <w:tbl>
      <w:tblPr>
        <w:tblW w:w="12667" w:type="dxa"/>
        <w:jc w:val="center"/>
        <w:tblInd w:w="0" w:type="dxa"/>
        <w:tblLayout w:type="fixed"/>
        <w:tblCellMar>
          <w:top w:w="28" w:type="dxa"/>
          <w:left w:w="28" w:type="dxa"/>
          <w:bottom w:w="28" w:type="dxa"/>
          <w:right w:w="28" w:type="dxa"/>
        </w:tblCellMar>
      </w:tblPr>
      <w:tblGrid>
        <w:gridCol w:w="471"/>
        <w:gridCol w:w="177"/>
        <w:gridCol w:w="178"/>
        <w:gridCol w:w="109"/>
        <w:gridCol w:w="109"/>
        <w:gridCol w:w="109"/>
        <w:gridCol w:w="248"/>
        <w:gridCol w:w="248"/>
        <w:gridCol w:w="161"/>
        <w:gridCol w:w="109"/>
        <w:gridCol w:w="109"/>
        <w:gridCol w:w="109"/>
        <w:gridCol w:w="204"/>
        <w:gridCol w:w="258"/>
        <w:gridCol w:w="109"/>
        <w:gridCol w:w="109"/>
        <w:gridCol w:w="109"/>
        <w:gridCol w:w="109"/>
        <w:gridCol w:w="248"/>
        <w:gridCol w:w="248"/>
        <w:gridCol w:w="161"/>
        <w:gridCol w:w="109"/>
        <w:gridCol w:w="109"/>
        <w:gridCol w:w="109"/>
        <w:gridCol w:w="204"/>
        <w:gridCol w:w="258"/>
        <w:gridCol w:w="109"/>
        <w:gridCol w:w="109"/>
        <w:gridCol w:w="109"/>
        <w:gridCol w:w="109"/>
        <w:gridCol w:w="165"/>
        <w:gridCol w:w="166"/>
        <w:gridCol w:w="161"/>
        <w:gridCol w:w="109"/>
        <w:gridCol w:w="109"/>
        <w:gridCol w:w="109"/>
        <w:gridCol w:w="166"/>
        <w:gridCol w:w="421"/>
        <w:gridCol w:w="109"/>
        <w:gridCol w:w="109"/>
        <w:gridCol w:w="109"/>
        <w:gridCol w:w="109"/>
        <w:gridCol w:w="166"/>
        <w:gridCol w:w="556"/>
        <w:gridCol w:w="109"/>
        <w:gridCol w:w="109"/>
        <w:gridCol w:w="109"/>
        <w:gridCol w:w="109"/>
        <w:gridCol w:w="166"/>
        <w:gridCol w:w="566"/>
        <w:gridCol w:w="109"/>
        <w:gridCol w:w="109"/>
        <w:gridCol w:w="109"/>
        <w:gridCol w:w="109"/>
        <w:gridCol w:w="267"/>
        <w:gridCol w:w="533"/>
        <w:gridCol w:w="176"/>
        <w:gridCol w:w="109"/>
        <w:gridCol w:w="109"/>
        <w:gridCol w:w="109"/>
        <w:gridCol w:w="206"/>
        <w:gridCol w:w="693"/>
        <w:gridCol w:w="137"/>
        <w:gridCol w:w="327"/>
        <w:gridCol w:w="173"/>
        <w:gridCol w:w="581"/>
        <w:gridCol w:w="162"/>
      </w:tblGrid>
      <w:tr>
        <w:trPr/>
        <w:tc>
          <w:tcPr>
            <w:tcW w:w="47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4" w:type="dxa"/>
            <w:gridSpan w:val="6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Twelve months ended Dec. 31, 2025</w:t>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Class A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Class B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Stockholders’ Equity</w:t>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Balance at Jan. 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10,614</w:t>
            </w: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12,711</w:t>
            </w: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(322)</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(4,150)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669,346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(423,208)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(151)</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6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163,599</w:t>
            </w:r>
            <w:r>
              <w:rPr>
                <w:color w:val="000000"/>
              </w:rPr>
              <w:t>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405,438</w:t>
            </w:r>
            <w:r>
              <w:rPr>
                <w:color w:val="000000"/>
              </w:rPr>
              <w:t>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(257,126)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(240,629)</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(497,755)</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Issuance of Class A common shares related to share-based compensation plans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1,514 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510 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Issuance of Class A common shares in connection with credit</w:t>
              <w:br/>
              <w:t>agreement amendment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4,766 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25,112 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25,112 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Share-based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13,453 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Foreign currency translation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182 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Class A common shares repurchased for employee tax withholdings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(471)</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(5,221)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(5,221)</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Dividends accumulated on Series A redeemable convertible 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(3,924)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(3,924)</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Forfeitures of Time-Vesting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 xml:space="preserve">Redemption of LLC Interests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(90)</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23,138 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(23,138)</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Balance at Dec.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16,984</w:t>
            </w:r>
            <w:r>
              <w:rPr>
                <w:color w:val="000000"/>
              </w:rPr>
              <w:t>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12,621</w:t>
            </w:r>
            <w:r>
              <w:rPr>
                <w:color w:val="000000"/>
              </w:rPr>
              <w:t>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(793)</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(9,371)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727,635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(680,334)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(59)</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6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(100,078)</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(62,205)</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center"/>
        <w:rPr/>
      </w:pPr>
      <w:r>
        <w:rPr/>
      </w:r>
    </w:p>
    <w:tbl>
      <w:tblPr>
        <w:tblW w:w="12667" w:type="dxa"/>
        <w:jc w:val="center"/>
        <w:tblInd w:w="0" w:type="dxa"/>
        <w:tblLayout w:type="fixed"/>
        <w:tblCellMar>
          <w:top w:w="28" w:type="dxa"/>
          <w:left w:w="28" w:type="dxa"/>
          <w:bottom w:w="28" w:type="dxa"/>
          <w:right w:w="28" w:type="dxa"/>
        </w:tblCellMar>
      </w:tblPr>
      <w:tblGrid>
        <w:gridCol w:w="471"/>
        <w:gridCol w:w="177"/>
        <w:gridCol w:w="178"/>
        <w:gridCol w:w="109"/>
        <w:gridCol w:w="109"/>
        <w:gridCol w:w="109"/>
        <w:gridCol w:w="248"/>
        <w:gridCol w:w="248"/>
        <w:gridCol w:w="161"/>
        <w:gridCol w:w="109"/>
        <w:gridCol w:w="109"/>
        <w:gridCol w:w="109"/>
        <w:gridCol w:w="204"/>
        <w:gridCol w:w="258"/>
        <w:gridCol w:w="109"/>
        <w:gridCol w:w="109"/>
        <w:gridCol w:w="109"/>
        <w:gridCol w:w="109"/>
        <w:gridCol w:w="248"/>
        <w:gridCol w:w="248"/>
        <w:gridCol w:w="161"/>
        <w:gridCol w:w="109"/>
        <w:gridCol w:w="109"/>
        <w:gridCol w:w="109"/>
        <w:gridCol w:w="204"/>
        <w:gridCol w:w="258"/>
        <w:gridCol w:w="109"/>
        <w:gridCol w:w="109"/>
        <w:gridCol w:w="109"/>
        <w:gridCol w:w="109"/>
        <w:gridCol w:w="165"/>
        <w:gridCol w:w="166"/>
        <w:gridCol w:w="161"/>
        <w:gridCol w:w="109"/>
        <w:gridCol w:w="109"/>
        <w:gridCol w:w="109"/>
        <w:gridCol w:w="166"/>
        <w:gridCol w:w="421"/>
        <w:gridCol w:w="109"/>
        <w:gridCol w:w="109"/>
        <w:gridCol w:w="109"/>
        <w:gridCol w:w="109"/>
        <w:gridCol w:w="166"/>
        <w:gridCol w:w="556"/>
        <w:gridCol w:w="109"/>
        <w:gridCol w:w="109"/>
        <w:gridCol w:w="109"/>
        <w:gridCol w:w="109"/>
        <w:gridCol w:w="166"/>
        <w:gridCol w:w="566"/>
        <w:gridCol w:w="109"/>
        <w:gridCol w:w="109"/>
        <w:gridCol w:w="109"/>
        <w:gridCol w:w="109"/>
        <w:gridCol w:w="267"/>
        <w:gridCol w:w="533"/>
        <w:gridCol w:w="176"/>
        <w:gridCol w:w="109"/>
        <w:gridCol w:w="109"/>
        <w:gridCol w:w="109"/>
        <w:gridCol w:w="206"/>
        <w:gridCol w:w="693"/>
        <w:gridCol w:w="137"/>
        <w:gridCol w:w="327"/>
        <w:gridCol w:w="173"/>
        <w:gridCol w:w="581"/>
        <w:gridCol w:w="162"/>
      </w:tblGrid>
      <w:tr>
        <w:trPr/>
        <w:tc>
          <w:tcPr>
            <w:tcW w:w="47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4" w:type="dxa"/>
            <w:gridSpan w:val="6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Twelve months ended Dec. 31, 2024</w:t>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Class A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Class B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Stockholders’ Equity</w:t>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Balance at Jan. 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9,823</w:t>
            </w: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12,814</w:t>
            </w: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(173)</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(2,640)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654,059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(420,280)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(127)</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6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174,639</w:t>
            </w:r>
            <w:r>
              <w:rPr>
                <w:color w:val="000000"/>
              </w:rPr>
              <w:t>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405,653</w:t>
            </w:r>
            <w:r>
              <w:rPr>
                <w:color w:val="000000"/>
              </w:rPr>
              <w:t>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(2,928)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(4,391)</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(7,319)</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Issuance of Class A common shares related to share-based compensation plans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691 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1,298 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Share-based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11,807 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Foreign currency translation adjustment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(24)</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(31)</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(55)</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Repurchase of shares to satisfy employee tax withholding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(149)</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(1,510)</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Dividends accumulated on Series A redeemable convertible preferred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(3,661)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(3,661)</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Forfeitures of Time-Vesting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 xml:space="preserve">Redemption of LLC Interests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(100)</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(6,618)</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(775)</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Balance at Dec.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10,614</w:t>
            </w:r>
            <w:r>
              <w:rPr>
                <w:color w:val="000000"/>
              </w:rPr>
              <w:t>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12,711</w:t>
            </w:r>
            <w:r>
              <w:rPr>
                <w:color w:val="000000"/>
              </w:rPr>
              <w:t>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(322)</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(4,150)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669,346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(423,208)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(151)</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6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163,599</w:t>
            </w:r>
            <w:r>
              <w:rPr>
                <w:color w:val="000000"/>
              </w:rPr>
              <w:t>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405,438</w:t>
            </w:r>
            <w:r>
              <w:rPr>
                <w:color w:val="000000"/>
              </w:rPr>
              <w:t>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716280"/>
                <wp:effectExtent l="0" t="0" r="0" b="0"/>
                <wp:wrapNone/>
                <wp:docPr id="73" name="Frame71"/>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67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67</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tbl>
      <w:tblPr>
        <w:tblW w:w="12607" w:type="dxa"/>
        <w:jc w:val="center"/>
        <w:tblInd w:w="0" w:type="dxa"/>
        <w:tblLayout w:type="fixed"/>
        <w:tblCellMar>
          <w:top w:w="28" w:type="dxa"/>
          <w:left w:w="28" w:type="dxa"/>
          <w:bottom w:w="28" w:type="dxa"/>
          <w:right w:w="28" w:type="dxa"/>
        </w:tblCellMar>
      </w:tblPr>
      <w:tblGrid>
        <w:gridCol w:w="471"/>
        <w:gridCol w:w="177"/>
        <w:gridCol w:w="178"/>
        <w:gridCol w:w="109"/>
        <w:gridCol w:w="109"/>
        <w:gridCol w:w="109"/>
        <w:gridCol w:w="218"/>
        <w:gridCol w:w="218"/>
        <w:gridCol w:w="161"/>
        <w:gridCol w:w="109"/>
        <w:gridCol w:w="109"/>
        <w:gridCol w:w="109"/>
        <w:gridCol w:w="204"/>
        <w:gridCol w:w="258"/>
        <w:gridCol w:w="109"/>
        <w:gridCol w:w="109"/>
        <w:gridCol w:w="109"/>
        <w:gridCol w:w="109"/>
        <w:gridCol w:w="248"/>
        <w:gridCol w:w="248"/>
        <w:gridCol w:w="161"/>
        <w:gridCol w:w="109"/>
        <w:gridCol w:w="109"/>
        <w:gridCol w:w="109"/>
        <w:gridCol w:w="204"/>
        <w:gridCol w:w="258"/>
        <w:gridCol w:w="109"/>
        <w:gridCol w:w="109"/>
        <w:gridCol w:w="109"/>
        <w:gridCol w:w="109"/>
        <w:gridCol w:w="165"/>
        <w:gridCol w:w="166"/>
        <w:gridCol w:w="161"/>
        <w:gridCol w:w="109"/>
        <w:gridCol w:w="109"/>
        <w:gridCol w:w="109"/>
        <w:gridCol w:w="166"/>
        <w:gridCol w:w="421"/>
        <w:gridCol w:w="109"/>
        <w:gridCol w:w="109"/>
        <w:gridCol w:w="109"/>
        <w:gridCol w:w="109"/>
        <w:gridCol w:w="166"/>
        <w:gridCol w:w="556"/>
        <w:gridCol w:w="109"/>
        <w:gridCol w:w="109"/>
        <w:gridCol w:w="109"/>
        <w:gridCol w:w="109"/>
        <w:gridCol w:w="166"/>
        <w:gridCol w:w="566"/>
        <w:gridCol w:w="109"/>
        <w:gridCol w:w="109"/>
        <w:gridCol w:w="109"/>
        <w:gridCol w:w="109"/>
        <w:gridCol w:w="267"/>
        <w:gridCol w:w="533"/>
        <w:gridCol w:w="176"/>
        <w:gridCol w:w="109"/>
        <w:gridCol w:w="109"/>
        <w:gridCol w:w="109"/>
        <w:gridCol w:w="206"/>
        <w:gridCol w:w="693"/>
        <w:gridCol w:w="137"/>
        <w:gridCol w:w="327"/>
        <w:gridCol w:w="173"/>
        <w:gridCol w:w="581"/>
        <w:gridCol w:w="162"/>
      </w:tblGrid>
      <w:tr>
        <w:trPr/>
        <w:tc>
          <w:tcPr>
            <w:tcW w:w="47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4" w:type="dxa"/>
            <w:gridSpan w:val="6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Twelve months ended Dec. 31, 2023</w:t>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Class A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Class B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Stockholders’ Equity</w:t>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Balance at Jan. 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8,963</w:t>
            </w: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13,054</w:t>
            </w: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(13)</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(345)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626,269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(357,023)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(144)</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6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273,640</w:t>
            </w:r>
            <w:r>
              <w:rPr>
                <w:color w:val="000000"/>
              </w:rPr>
              <w:t>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542,399</w:t>
            </w:r>
            <w:r>
              <w:rPr>
                <w:color w:val="000000"/>
              </w:rPr>
              <w:t>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(63,257)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(88,013)</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(151,270)</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Issuance of Class A common shares related to share-based compensation plans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625 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939 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Share-based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19,549 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19,549 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Foreign currency translation adjustment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25 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Repurchase of shares to satisfy employee tax withholding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(160)</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(2,295)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(2,295)</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Dividends accumulated on Series A redeemable convertible preferred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(3,566)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(3,566)</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Forfeitures of Time-Vesting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 xml:space="preserve">Redemption of LLC Interests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235 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(235)</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10,868 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(11,013)</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(145)</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Balance at Dec.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9,823</w:t>
            </w:r>
            <w:r>
              <w:rPr>
                <w:color w:val="000000"/>
              </w:rPr>
              <w:t>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12,814</w:t>
            </w:r>
            <w:r>
              <w:rPr>
                <w:color w:val="000000"/>
              </w:rPr>
              <w:t>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(173)</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(2,640)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654,059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(420,280)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(127)</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6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174,639</w:t>
            </w:r>
            <w:r>
              <w:rPr>
                <w:color w:val="000000"/>
              </w:rPr>
              <w:t>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405,653</w:t>
            </w:r>
            <w:r>
              <w:rPr>
                <w:color w:val="000000"/>
              </w:rPr>
              <w:t>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pStyle w:val="TextBody"/>
        <w:bidi w:val="0"/>
        <w:spacing w:lineRule="auto" w:line="288" w:before="240" w:after="283"/>
        <w:jc w:val="center"/>
        <w:rPr>
          <w:rFonts w:ascii="Arial;sans-serif" w:hAnsi="Arial;sans-serif"/>
          <w:b w:val="false"/>
          <w:i/>
          <w:color w:val="000000"/>
          <w:sz w:val="18"/>
        </w:rPr>
      </w:pPr>
      <w:r>
        <w:rPr>
          <w:rFonts w:ascii="Arial;sans-serif" w:hAnsi="Arial;sans-serif"/>
          <w:b w:val="false"/>
          <w:i/>
          <w:color w:val="000000"/>
          <w:sz w:val="18"/>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716280"/>
                <wp:effectExtent l="0" t="0" r="0" b="0"/>
                <wp:wrapNone/>
                <wp:docPr id="74" name="Frame72"/>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68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68</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ind w:left="0" w:right="0" w:firstLine="720"/>
        <w:jc w:val="center"/>
        <w:rPr>
          <w:rFonts w:ascii="Arial;sans-serif" w:hAnsi="Arial;sans-serif"/>
          <w:b/>
          <w:color w:val="0A2299"/>
          <w:sz w:val="18"/>
        </w:rPr>
      </w:pPr>
      <w:r>
        <w:rPr>
          <w:rFonts w:ascii="Arial;sans-serif" w:hAnsi="Arial;sans-serif"/>
          <w:b/>
          <w:color w:val="0A2299"/>
          <w:sz w:val="18"/>
        </w:rPr>
        <w:t>GOHEALTH, INC.</w:t>
      </w:r>
    </w:p>
    <w:p>
      <w:pPr>
        <w:pStyle w:val="TextBody"/>
        <w:bidi w:val="0"/>
        <w:spacing w:lineRule="auto" w:line="288" w:before="60" w:after="283"/>
        <w:jc w:val="center"/>
        <w:rPr>
          <w:rFonts w:ascii="Arial;sans-serif" w:hAnsi="Arial;sans-serif"/>
          <w:b/>
          <w:color w:val="0A2299"/>
          <w:sz w:val="18"/>
        </w:rPr>
      </w:pPr>
      <w:r>
        <w:rPr>
          <w:rFonts w:ascii="Arial;sans-serif" w:hAnsi="Arial;sans-serif"/>
          <w:b/>
          <w:color w:val="0A2299"/>
          <w:sz w:val="18"/>
        </w:rPr>
        <w:t>CONSOLIDATED STATEMENTS OF CASH FLOWS</w:t>
      </w:r>
    </w:p>
    <w:p>
      <w:pPr>
        <w:pStyle w:val="TextBody"/>
        <w:bidi w:val="0"/>
        <w:spacing w:lineRule="auto" w:line="288" w:before="60" w:after="283"/>
        <w:jc w:val="center"/>
        <w:rPr>
          <w:rFonts w:ascii="Arial;sans-serif" w:hAnsi="Arial;sans-serif"/>
          <w:b w:val="false"/>
          <w:i/>
          <w:color w:val="0A2299"/>
          <w:sz w:val="18"/>
        </w:rPr>
      </w:pPr>
      <w:r>
        <w:rPr>
          <w:rFonts w:ascii="Arial;sans-serif" w:hAnsi="Arial;sans-serif"/>
          <w:b w:val="false"/>
          <w:i/>
          <w:color w:val="0A2299"/>
          <w:sz w:val="18"/>
        </w:rPr>
        <w:t>(in thousands)</w:t>
      </w:r>
    </w:p>
    <w:tbl>
      <w:tblPr>
        <w:tblW w:w="9984" w:type="dxa"/>
        <w:jc w:val="left"/>
        <w:tblInd w:w="0" w:type="dxa"/>
        <w:tblLayout w:type="fixed"/>
        <w:tblCellMar>
          <w:top w:w="28" w:type="dxa"/>
          <w:left w:w="28" w:type="dxa"/>
          <w:bottom w:w="28" w:type="dxa"/>
          <w:right w:w="28" w:type="dxa"/>
        </w:tblCellMar>
      </w:tblPr>
      <w:tblGrid>
        <w:gridCol w:w="2218"/>
        <w:gridCol w:w="1949"/>
        <w:gridCol w:w="1953"/>
        <w:gridCol w:w="109"/>
        <w:gridCol w:w="109"/>
        <w:gridCol w:w="109"/>
        <w:gridCol w:w="181"/>
        <w:gridCol w:w="691"/>
        <w:gridCol w:w="109"/>
        <w:gridCol w:w="109"/>
        <w:gridCol w:w="109"/>
        <w:gridCol w:w="109"/>
        <w:gridCol w:w="181"/>
        <w:gridCol w:w="586"/>
        <w:gridCol w:w="109"/>
        <w:gridCol w:w="109"/>
        <w:gridCol w:w="109"/>
        <w:gridCol w:w="109"/>
        <w:gridCol w:w="181"/>
        <w:gridCol w:w="691"/>
        <w:gridCol w:w="154"/>
      </w:tblGrid>
      <w:tr>
        <w:trPr/>
        <w:tc>
          <w:tcPr>
            <w:tcW w:w="2218" w:type="dxa"/>
            <w:tcBorders/>
            <w:vAlign w:val="center"/>
          </w:tcPr>
          <w:p>
            <w:pPr>
              <w:pStyle w:val="TableContents"/>
              <w:bidi w:val="0"/>
              <w:spacing w:before="0" w:after="283"/>
              <w:jc w:val="left"/>
              <w:rPr>
                <w:sz w:val="4"/>
                <w:szCs w:val="4"/>
              </w:rPr>
            </w:pPr>
            <w:r>
              <w:rPr>
                <w:sz w:val="4"/>
                <w:szCs w:val="4"/>
              </w:rPr>
            </w:r>
          </w:p>
        </w:tc>
        <w:tc>
          <w:tcPr>
            <w:tcW w:w="1949" w:type="dxa"/>
            <w:tcBorders/>
            <w:vAlign w:val="center"/>
          </w:tcPr>
          <w:p>
            <w:pPr>
              <w:pStyle w:val="TableContents"/>
              <w:bidi w:val="0"/>
              <w:spacing w:before="0" w:after="283"/>
              <w:jc w:val="left"/>
              <w:rPr>
                <w:sz w:val="4"/>
                <w:szCs w:val="4"/>
              </w:rPr>
            </w:pPr>
            <w:r>
              <w:rPr>
                <w:sz w:val="4"/>
                <w:szCs w:val="4"/>
              </w:rPr>
            </w:r>
          </w:p>
        </w:tc>
        <w:tc>
          <w:tcPr>
            <w:tcW w:w="19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Twelve months ended Dec. 31,</w:t>
            </w:r>
          </w:p>
        </w:tc>
      </w:tr>
      <w:tr>
        <w:trPr/>
        <w:tc>
          <w:tcPr>
            <w:tcW w:w="6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(497,755)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(7,319)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(151,270)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4"/>
              </w:rPr>
            </w:pPr>
            <w:r>
              <w:rPr>
                <w:rFonts w:ascii="Arial;sans-serif" w:hAnsi="Arial;sans-serif"/>
                <w:b w:val="false"/>
                <w:i/>
                <w:color w:val="000000"/>
                <w:sz w:val="14"/>
              </w:rPr>
              <w:t>Adjustments to reconcile net income (loss) to net cash provided by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Share-based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19,549 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11,833 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11,691 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Amortization of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70,542 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94,057 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94,057 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Amortization of debt discount and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7,578 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Gain on bargain purchase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(84,492)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Loss on extinguishment of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10,463 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Deferred tax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Non-cash lease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4,039 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4,016 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 non-cash items,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4"/>
              </w:rPr>
              <w:t>Accrued interest payable in kind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Indefinite and long-lived asset impairment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259,961 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12,687 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14"/>
              </w:rPr>
            </w:pPr>
            <w:r>
              <w:rPr>
                <w:rFonts w:ascii="Arial;sans-serif" w:hAnsi="Arial;sans-serif"/>
                <w:b w:val="false"/>
                <w:i/>
                <w:color w:val="000000"/>
                <w:sz w:val="14"/>
              </w:rPr>
              <w:t>Changes in assets and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5,386 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Commissions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128,447 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(51,364)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119,706 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Prepaid expenses and 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14,952 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7,512 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(7,667)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(5,060)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Accrued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(86,649)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32,920 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Deferred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(28,228)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Commissions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(55,949)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(45,560)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(47,954)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(6,100)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(8,731)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(8,563)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cash provided by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(121,947)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(21,607)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109,141 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Acquisition of business,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Purchases of property, equipment and software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(8,248)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(13,729)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(13,732)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cash (used in) provided by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(8,248)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3,807 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(13,732)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Proceeds from borrowings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137,999 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558,251 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Repayment of borrowings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(556,047)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(15,336)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Payment of debt discount and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(8,408)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(33,126)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Repurchase of shares to satisfy employee tax withholding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(5,221)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(2,295)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Proceeds from stock option exercises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Payment of preferred stock dividends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(3,566)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cash provided by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121,996 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(32,033)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(21,106)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Effect of exchange rate changes on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Increase (decrease) in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(8,017)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(49,888)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74,345 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Cash and cash equivalents at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40,921 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90,809 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16,464 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Cash and cash equivalents at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32,904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40,921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90,809</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Supplemental Disclosure of Cash Flow Information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Interest 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45,813 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65,531 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55,345 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Income taxes paid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4"/>
              </w:rPr>
            </w:pPr>
            <w:r>
              <w:rPr>
                <w:rFonts w:ascii="Arial;sans-serif" w:hAnsi="Arial;sans-serif"/>
                <w:b w:val="false"/>
                <w:i/>
                <w:color w:val="000000"/>
                <w:sz w:val="14"/>
              </w:rPr>
              <w:t>Non-cash investing and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Purchases of property, equipment and software included in 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Arial;sans-serif" w:hAnsi="Arial;sans-serif"/>
          <w:b w:val="false"/>
          <w:i/>
          <w:color w:val="000000"/>
          <w:sz w:val="18"/>
        </w:rPr>
      </w:pPr>
      <w:r>
        <w:rPr>
          <w:rFonts w:ascii="Arial;sans-serif" w:hAnsi="Arial;sans-serif"/>
          <w:b w:val="false"/>
          <w:i/>
          <w:color w:val="000000"/>
          <w:sz w:val="18"/>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716280"/>
                <wp:effectExtent l="0" t="0" r="0" b="0"/>
                <wp:wrapNone/>
                <wp:docPr id="75" name="Frame73"/>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69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69</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center"/>
        <w:rPr>
          <w:rFonts w:ascii="Arial;sans-serif" w:hAnsi="Arial;sans-serif"/>
          <w:b/>
          <w:color w:val="0A2299"/>
          <w:sz w:val="18"/>
        </w:rPr>
      </w:pPr>
      <w:r>
        <w:rPr>
          <w:rFonts w:ascii="Arial;sans-serif" w:hAnsi="Arial;sans-serif"/>
          <w:b/>
          <w:color w:val="0A2299"/>
          <w:sz w:val="18"/>
        </w:rPr>
        <w:t>GOHEALTH, INC.</w:t>
      </w:r>
    </w:p>
    <w:p>
      <w:pPr>
        <w:pStyle w:val="TextBody"/>
        <w:bidi w:val="0"/>
        <w:spacing w:lineRule="auto" w:line="288" w:before="60" w:after="283"/>
        <w:jc w:val="center"/>
        <w:rPr>
          <w:rFonts w:ascii="Arial;sans-serif" w:hAnsi="Arial;sans-serif"/>
          <w:b/>
          <w:color w:val="0A2299"/>
          <w:sz w:val="18"/>
        </w:rPr>
      </w:pPr>
      <w:r>
        <w:rPr>
          <w:rFonts w:ascii="Arial;sans-serif" w:hAnsi="Arial;sans-serif"/>
          <w:b/>
          <w:color w:val="0A2299"/>
          <w:sz w:val="18"/>
        </w:rPr>
        <w:t>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A2299"/>
          <w:sz w:val="18"/>
        </w:rPr>
      </w:pPr>
      <w:r>
        <w:rPr>
          <w:rFonts w:ascii="Arial;sans-serif" w:hAnsi="Arial;sans-serif"/>
          <w:b/>
          <w:color w:val="0A2299"/>
          <w:sz w:val="18"/>
        </w:rPr>
        <w:t>1. DESCRIPTION OF BUSINESS AND SIGNIFICANT ACCOUNTING POLICIES</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Description of Business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GoHealth (the “Company”) is a leading health insurance marketplace and Medicare-focused digital health company whose purpose is to compassionately ensure consumers’ peace of mind when making healthcare decisions so they can focus on living life. GoHealth’s proprietary technology platform leverages modern machine-learning algorithms, powered by over two decades of insurance purchasing behavior, to reimagine the process of matching a health plan to a consumer’s specific needs. Coupled with highly skilled licensed agents, GoHealth’s unbiased, technology-driven marketplace has facilitated the enrollment of millions of consumers in Medicare plans since its inception.</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For further discussion of GoHealth’s business, refer to Item 1, “Business” and the Liquidity and Going Concern section of Note 1 of this Annual Report on Form 10-K.</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Basis of Presentation and Significant Accounting Policies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Company was incorporated in Delaware on March 27, 2020 for the purpose of facilitating an initial public offering (“the IPO”) and other related transactions in order to carry on the business of GHH, LLC, a Delaware limited liability company, and its controlled subsidiaries (collectively, "GHH, LLC"). Following the IPO and pursuant to a reorganization into a holding company structure, the Company is a holding company and its principal asset is a controlling equity interest in GHH, LLC. As the sole managing member of GHH, LLC, the Company operates and controls all of the business and affairs of GHH, LLC, and through GHH, LLC and its subsidiaries, conducts its business. As a result, the Company consolidates GHH, LLC’s financial results in its Consolidated Financial Statements and reports non-controlling interests for the economic interest in GHH, LLC held by the Continuing Equity Owners.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The accompanying Consolidated Financial Statements and related notes have been prepared in accordance with U.S. generally accepted accounting principles (“GAAP”). In the opinion of management, the Consolidated Financial Statements include all adjustments, consisting only of normal recurring adjustments, necessary for the fair presentation of the Company’s financial position, results of operations and cash flows as of the dates and for the periods presented. All intercompany balances and transactions are eliminated in consolidation. </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During the first quarter of 2023, the Company reorganized its operating and reportable segments into a single operating and reportable segment. Refer to the “Segment Information” section within this Note below for further information regarding this update. The Company also changed the presentation of its disaggregation of revenue table, which is further described in Note 10, “Revenue” of the Notes to Consolidated Financial Statements. These reclassifications had no impact on the Company’s financial position, results of operations or cash flows. All share and per share amounts have been retroactively adjusted to reflect the one-for-fifteen reverse stock split. See Note 6, “Stockholders' Equity” for more information. </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Liquidity and Going Concern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These Consolidated Financial Statements have been prepared in accordance with GAAP applicable to a going concern, which contemplates the realization of assets and satisfaction of liabilities in the normal course of business within twelve months after the date that these Consolidated Financial Statements are issued.</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 xml:space="preserve">Under the Company’s Superpriority Credit Agreement and Amendment No. 14 to its existing term loan (as defined and described further in Note 5, “Long-Term Debt”), the Company is required to meet minimum liquidity covenants and make scheduled principal and interest payments. As of December 31, 2025, the Company was in compliance with all of its financial covenants; however, management’s current financial projections indicate that, based on the Company’s current business plan, there is a significant likelihood that the Company will be unable to maintain compliance with its covenants within the twelve months after these Consolidated Financial Statements are issued, unless the mitigating plans described below are implemented successfully. In the event we are unable to satisfy our financial covenants, our lenders may not waive compliance and could elect to declare a default or event of default and accelerate the repayment of our borrowings. The Company does not have sufficient liquidity to repay it’s debt obligations should their maturity be accelerated.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 xml:space="preserve">To mitigate these uncertainties, management has implemented and continues to implement various operational initiatives which include further cost savings measures which have been approved by our Board of Directors, in order to maintain compliance with the Company’s debt covenants for the twelve months following the date these financial statements are issued. Management believes it is probable these plans will be successfully implemented to alleviate non-compliance with our debt covenants during the twelve months following the date these financial statements are issued. In addition, we are continuing to engage in discussions with our lenders, financial advisors, and other parties regarding potential modifications to our capital structure through refinancings, mergers, acquisitions, restructurings, or other strategic alternatives. There can be no assurance that 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716280"/>
                <wp:effectExtent l="0" t="0" r="0" b="0"/>
                <wp:wrapNone/>
                <wp:docPr id="76" name="Frame74"/>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70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70</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 xml:space="preserve">such discussions or potential alternatives, will result in any particular outcome or that we will be able to successfully implement any strategic alternatives or realize any anticipated benefits therefrom. </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Use of Estimates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preparation of the Consolidated Financial Statements in conformity with GAAP requires management to make certain estimates, judgments, and assumptions that affect the reported amounts of assets and liabilities at the date of the Consolidated Financial Statements and the reported amounts of revenues and expenses during the reporting periods. The Company bases its estimates on historical experience and various other assumptions that management believes are reasonable under the circumstances, the results of which form the basis for making judgments about carrying values of assets and liabilities that are not readily apparent from other sources. Actual results could differ from those estimates.</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Cash and Cash Equivalents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Company considers all investments with an original maturity of 90 days or less from the date of purchase to be cash equivalents. Cash includes all deposits in banks. The Company maintains its cash balances at financial institutions in the U.S. and Europe.</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Concentration of Credit Risk</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Financial instruments that potentially subject the Company to concentrations of credit risk consist principally of cash, accounts receivable, unbilled receivables and commissions receivable. The maximum exposure risk of these accounts is equal to the amounts stated on the Company’s Consolidated Balance Sheets. The Company places its cash with high-credit-quality financial institutions and, at times, such deposits may be in excess of federally insured limits. To date, the Company has not experienced any losses on its cash balances and periodic evaluations of the relative credit standing of the financial institutions are performed.</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Accounts receivable, unbilled receivables and commissions receivable are derived from customers located in North America. The Company performs credit evaluations of customers’ financial condition and requires no collateral or other security in granting credit to customers. The Company maintains an allowance for doubtful accounts and credit losses based upon the expected collectability of accounts receivable, unbilled receivables and commissions receivable.</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As of December 31, 2025, two customers each represented 10% or more of the Company’s total accounts receivable and unbilled receivables and, in aggregate, represented 100.0%, or $0.7 million, of the combined total. As of December 31, 2024, two customers each represented 10% or more of the Company’s total accounts receivable and unbilled receivables and, in aggregate, represented 74.6%, or $17.6 million, of the combined total.</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Accounts Receivable and Allowance for Doubtful Accounts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Accounts receivable are recorded at the invoiced amount and typically do not bear interest. The Company provides allowances for doubtful accounts related to accounts receivable for estimated losses resulting from the inability of its customers to make required payments. The Company takes into consideration the overall quality of the receivables portfolio, along with specifically identified customer risks in establishing allowances. Accounts receivable are charged off against the allowance for doubtful accounts when it is determined the receivable is uncollectible.</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Commissions Receivable</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Commissions receivable are contract balances that represent estimated variable consideration for commissions to be received from health plan partners for performance obligations that have been satisfied. The current portion of commissions receivable are commissions expected to be received within one year and are a significant source of liquidity, while the non-current portion of commissions receivable are expected to be received beyond one year. The Company estimates the allowance for credit losses using available information from internal and external sources related to historical experiences, current conditions and forecasts. Estimates of loss are determined by using historical collections data as well as historical information obtained through research and review of other peer companies. Estimated exposure of default is determined by applying these internal and external factors to the commissions receivable balances. The Company estimates the maximum credit risk in determining the commissions receivable amount recorded on the Consolidated Balance Sheets.</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Commissions Payable</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Commissions payable represents estimated commissions to be paid to the Company’s external partners. The current portion of commissions payable are commissions expected to be paid within one year, while the non-current portion of commissions payable are expected to be paid beyond one year.</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Property, Equipment, and Capitalized Software, Net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716280"/>
                <wp:effectExtent l="0" t="0" r="0" b="0"/>
                <wp:wrapNone/>
                <wp:docPr id="77" name="Frame75"/>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71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71</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Property and equipment are stated at cost, less accumulated depreciation. Depreciation is computed using the straight-line method over the estimated useful lives as follows:</w:t>
      </w:r>
    </w:p>
    <w:tbl>
      <w:tblPr>
        <w:tblW w:w="8441" w:type="dxa"/>
        <w:jc w:val="left"/>
        <w:tblInd w:w="0" w:type="dxa"/>
        <w:tblLayout w:type="fixed"/>
        <w:tblCellMar>
          <w:top w:w="28" w:type="dxa"/>
          <w:left w:w="28" w:type="dxa"/>
          <w:bottom w:w="28" w:type="dxa"/>
          <w:right w:w="28" w:type="dxa"/>
        </w:tblCellMar>
      </w:tblPr>
      <w:tblGrid>
        <w:gridCol w:w="1063"/>
        <w:gridCol w:w="936"/>
        <w:gridCol w:w="940"/>
        <w:gridCol w:w="109"/>
        <w:gridCol w:w="109"/>
        <w:gridCol w:w="109"/>
        <w:gridCol w:w="1516"/>
        <w:gridCol w:w="1516"/>
        <w:gridCol w:w="2143"/>
      </w:tblGrid>
      <w:tr>
        <w:trPr/>
        <w:tc>
          <w:tcPr>
            <w:tcW w:w="1063"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2143"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Asset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Estimated Useful Life</w:t>
            </w:r>
          </w:p>
        </w:tc>
      </w:tr>
      <w:tr>
        <w:trPr/>
        <w:tc>
          <w:tcPr>
            <w:tcW w:w="29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Computer equipment and software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3 years</w:t>
            </w:r>
          </w:p>
        </w:tc>
      </w:tr>
      <w:tr>
        <w:trPr/>
        <w:tc>
          <w:tcPr>
            <w:tcW w:w="29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Office equipment and furniture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7 years</w:t>
            </w:r>
          </w:p>
        </w:tc>
      </w:tr>
      <w:tr>
        <w:trPr/>
        <w:tc>
          <w:tcPr>
            <w:tcW w:w="29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Leasehold improvements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Lesser of useful life (typically 5 years) or remaining lease term</w:t>
            </w:r>
          </w:p>
        </w:tc>
      </w:tr>
    </w:tbl>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Expenditures for major renewals and improvements that extend the useful life of property and equipment are capitalized. Expenditures for maintenance and repairs are charged to expense as incurred.</w:t>
      </w:r>
    </w:p>
    <w:p>
      <w:pPr>
        <w:pStyle w:val="TextBody"/>
        <w:bidi w:val="0"/>
        <w:spacing w:lineRule="auto" w:line="288" w:before="240" w:after="283"/>
        <w:jc w:val="left"/>
        <w:rPr/>
      </w:pPr>
      <w:r>
        <w:rPr>
          <w:rFonts w:ascii="Arial;sans-serif" w:hAnsi="Arial;sans-serif"/>
          <w:b w:val="false"/>
          <w:color w:val="000000"/>
          <w:sz w:val="18"/>
        </w:rPr>
        <w:t xml:space="preserve">The Company accounts for costs incurred to develop and maintain source code software and other internally developed software applications, primarily consisting of employee-related and third-party contractor costs, pursuant to Accounting Standards Codification (“ASC”) Topic 350-40, </w:t>
      </w:r>
      <w:r>
        <w:rPr>
          <w:rFonts w:ascii="Arial;sans-serif" w:hAnsi="Arial;sans-serif"/>
          <w:b w:val="false"/>
          <w:i/>
          <w:color w:val="000000"/>
          <w:sz w:val="18"/>
        </w:rPr>
        <w:t>Internal Use Software</w:t>
      </w:r>
      <w:r>
        <w:rPr>
          <w:rFonts w:ascii="Arial;sans-serif" w:hAnsi="Arial;sans-serif"/>
          <w:b w:val="false"/>
          <w:color w:val="000000"/>
          <w:sz w:val="18"/>
        </w:rPr>
        <w:t>. Costs incurred during the planning and post-implementation phases of software development are expensed. During the application development phase, costs incurred are capitalized. Capitalized software development costs are amortized over the estimated useful life, which is generally three years. These capitalized costs are recorded within property, equipment and capitalized software, net, on the Company’s Consolidated Balance Sheets and the amortization is charged to technology expense on the Consolidated Statements of Operations.</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Leases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Company has entered into operating lease agreements primarily consisting of real estate. At inception of the arrangement, the Company determines if an arrangement is a lease. If an arrangement contains a lease, the Company recognizes a ROU asset and a lease liability on the Consolidated Balance Sheets at lease commencement. The Company has elected the practical expedient to apply the short-term lease recognition exemption for leases with an initial term of twelve months or less.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Operating lease ROU assets represent the right to use an underlying asset and are based upon the lease liabilities adjusted for prepayments or accrued lease payments, initial direct costs, lease incentives and impairment of operating lease assets. Lease liabilities represent the present value of lease payments over the lease term. The implicit rate within each lease is not readily determinable and therefore the Company uses its incremental borrowing rate at the lease commencement date to determine the present value of the lease payments. The determination of the incremental borrowing rate requires judgement. The Company determined its incremental borrowing rate for each lease using indicative bank borrowing rates, adjusted for various factors including level of collateralization, term and treasury yield curves that align with the terms of a lease.</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After the lease commencement date, changes to a lease are assessed to determine if it represents a lease modification or a separate contract. If a modification exists, operating lease ROU assets and lease liabilities are remeasured using the present value of remaining lease payments and a revised estimated incremental borrowing rate upon lease modification.</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Company does not include any renewal options in the lease terms for calculating lease liability, as it is not reasonably certain that the Company will exercise these renewal options at the time of lease commencement or at the time of a lease modification.</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Company has lease agreements with lease and non-lease components. The Company elected the practical expedient to not separate non-lease components from the associated lease components and account for each separate lease component and its associated non-lease components as a single lease component. The Company has applied this accounting policy election to all underlying asset classes.</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Intangible Assets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An intangible asset determined to have an indefinite useful life is not amortized until its useful life is determined to no longer be indefinite. Indefinite-lived intangible assets are evaluated each reporting period to determine whether events and circumstances continue to support an indefinite useful life. Indefinite-lived intangible assets are tested for impairment annually, using either a qualitative or quantitative approach, or more frequently if events or changes in circumstances indicate that the asset might be impaired, such as a significant decline in the observable market value of an asset, a significant change in the extent or manner in which an asset is used or any other significant, adverse change that would indicate that the carrying amount of an indefinite-lived intangible asset may not be recoverable. Where we use the qualitative assessment, first we determine if, based on qualitative factors, it is more likely than not that an impairment exists. Factors considered include macroeconomic conditions, industry and competitive conditions, legal and regulatory environment, and actual and projected operating performance, among other factors. If the qualitative assessment indicates that it is more likely than not that an impairment exists, then a quantitative assessment is performed. In the quantitative assessment for indefinite-lived intangible assets, an assessment is performed to determine the fair value of the indefinite-lived intangible asset. We may choose to bypass the qualitative assessment for an indefinite-lived intangible asset in any period and proceed directly to calculating its fair value. If the carrying amount of our indefinite-lived intangible trade names exceeds its fair value, an impairment loss is recognized in an amount equal to that excess. Determination of fair value involves significant estimates and assumptions including, among others, cash flow projections and selecting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716280"/>
                <wp:effectExtent l="0" t="0" r="0" b="0"/>
                <wp:wrapNone/>
                <wp:docPr id="78" name="Frame76"/>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72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72</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appropriate royalty and discount rates. See Note 3 “Fair Value Measurements,” for further discussion of indefinite-lived intangible asset impairment charges.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Company amortizes the cost of definite-lived intangible assets over the respective estimated useful lives on a straight-line basis.</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Impairment of Long-Lived Assets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The Company reviews long-lived assets, which include property, equipment and capitalized software, net, operating lease ROU assets and definite-lived intangible assets, for impairment when facts or circumstances indicate the carrying amount of an asset or asset group may not be recoverable. If impairment indicators are present and the estimated future undiscounted cash flows are less than the carrying value of the assets, the carrying values are reduced to the estimated fair value. Fair values are determined based on quoted market values, discounted cash flows or external appraisals, as applicable. See Note 3, “Fair Value Measurements,” for further discussion around impairment of long-lived assets. </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Fair Value of Financial Instruments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Company applies the accounting guidance related to fair value measurements and discloses information on all financial instruments reported at fair value that enables an assessment of the inputs used in determining the reported fair values. See Note 3, “Fair Value Measurements,” for further discussion around fair value determinations.</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Revenue Recognition</w:t>
      </w:r>
    </w:p>
    <w:p>
      <w:pPr>
        <w:pStyle w:val="TextBody"/>
        <w:bidi w:val="0"/>
        <w:spacing w:lineRule="auto" w:line="288" w:before="240" w:after="283"/>
        <w:jc w:val="left"/>
        <w:rPr/>
      </w:pPr>
      <w:r>
        <w:rPr>
          <w:rFonts w:ascii="Arial;sans-serif" w:hAnsi="Arial;sans-serif"/>
          <w:b w:val="false"/>
          <w:color w:val="000000"/>
          <w:sz w:val="18"/>
        </w:rPr>
        <w:t xml:space="preserve">The Company recognizes revenue in accordance with ASC 606, </w:t>
      </w:r>
      <w:r>
        <w:rPr>
          <w:rFonts w:ascii="Arial;sans-serif" w:hAnsi="Arial;sans-serif"/>
          <w:b w:val="false"/>
          <w:i/>
          <w:color w:val="000000"/>
          <w:sz w:val="18"/>
        </w:rPr>
        <w:t>Revenue from Contracts with Customers</w:t>
      </w:r>
      <w:r>
        <w:rPr>
          <w:rFonts w:ascii="Arial;sans-serif" w:hAnsi="Arial;sans-serif"/>
          <w:b w:val="false"/>
          <w:color w:val="000000"/>
          <w:sz w:val="18"/>
        </w:rPr>
        <w:t xml:space="preserve">. The primary services provided by the Company relate to the sale and administration of Medicare insurance products through either the agency model or the non-agency model. The agency model refers to the commission revenue and partner marketing and other revenue the Company receives when GoHealth agents or the Company’s independent network of outsourced agents, also referred to as external agents, enroll the consumer and submit the policy application to the health plan partner, becoming the agent of record. The Company also generates revenue through the non-agency model, which refers to services provided by the Company that support enrollment and engagement activities in which the Company is not the agent of record. </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core principle of ASC 606 is to recognize revenue upon the transfer of promised goods or services to customers in an amount that reflects the consideration the entity expects to be entitled to in exchange for those goods or services. Accordingly, the Company recognizes revenue for its services in accordance with the following five steps outlined in ASC 606:</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Identification of the contract, or contracts, with a customer. A contract with a customer exists when (i) the Company enters into an enforceable contract with a customer that defines each party’s rights regarding the goods or services to be transferred and identifies the payment terms related to these goods or services, (ii) the contract has commercial substance and, (iii) the Company determines that collection of substantially all consideration for goods or services that are transferred is probable based on the customer’s intent and ability to pay the promised consideration. Payment of commissions typically commences within 60 days from the policy effective date. Payment terms from non-commission revenue are typically 30 or 60 days from the invoice date.</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Identification of the performance obligations in the contract. Performance obligations promised in a contract are identified based on the goods or services that will be transferred to the customer that are both capable of being distinct, whereby the customer can benefit from the goods or services either on their own or together with other resources that are readily available from third parties or from the Company, and are distinct in the context of the contract, whereby the transfer of the goods or services is separately identifiable from other promises in the contract.</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Determination of the transaction price. The transaction price is determined based on the consideration to which the Company will be entitled in exchange for transferring goods or services to the customer.</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Allocation of the transaction price to the performance obligations in the contract. If the contract contains a single performance obligation, the entire transaction price is allocated to the single performance obligation.</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Recognition of revenue when, or as, the Company satisfies a performance obligation. The Company satisfies performance obligations either over time or at a point in time, as discussed in further detail below. Revenue is recognized at the time the related performance obligation is satisfied by transferring the promised good or service to the customer.</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Medicare Revenue</w:t>
      </w:r>
    </w:p>
    <w:p>
      <w:pPr>
        <w:pStyle w:val="TextBody"/>
        <w:bidi w:val="0"/>
        <w:spacing w:lineRule="auto" w:line="288" w:before="240" w:after="283"/>
        <w:jc w:val="left"/>
        <w:rPr>
          <w:rFonts w:ascii="Arial;sans-serif" w:hAnsi="Arial;sans-serif"/>
          <w:b w:val="false"/>
          <w:i/>
          <w:color w:val="000000"/>
          <w:sz w:val="18"/>
        </w:rPr>
      </w:pPr>
      <w:r>
        <w:rPr>
          <w:rFonts w:ascii="Arial;sans-serif" w:hAnsi="Arial;sans-serif"/>
          <w:b w:val="false"/>
          <w:i/>
          <w:color w:val="000000"/>
          <w:sz w:val="18"/>
        </w:rPr>
        <w:t>Medicare Agency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716280"/>
                <wp:effectExtent l="0" t="0" r="0" b="0"/>
                <wp:wrapNone/>
                <wp:docPr id="79" name="Frame77"/>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73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73</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Company recognizes commission revenue from the sale of insurance products at the point when health plan partners approve an insurance application produced by the Company. The Company records as commission revenue the expected amount of initial commissions received from the health plan partners and any renewal commissions to be paid on such placement as long as the policyholder remains with the same insurance product. The Company defines its customer to be the health plan partner.</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Company typically enters into contractual agency relationships with health plans partners that are non-exclusive and terminable on short notice by either party for any reason. In addition, health plan partners often can terminate or amend agreements unilaterally on short notice, including provisions in agreements relating to the commission rates paid to the Company by the health plan partners. The amendment or termination of an agreement the Company has with a health plan partner may adversely impact the commissions it is paid on health insurance plans sold on behalf of the health plan partner.</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Compensation in the form of commissions is received from health plan partners for the multiple types of insurance products sold by the Company on behalf of the health plan partners. Commission revenue generally represents a percentage of the premium amount expected to be collected by the health plan partner while the policyholder is enrolled in the insurance product, including renewal periods. The Company’s performance obligation is complete when a health plan partner has received and approved an insurance application, after which the Company has no remaining performance obligations. As such, the Company recognizes revenue at this point in time, which represents the expected amount of initial commissions received from the health plan partners and any renewal commissions to be paid on such placement as long as the policyholder remains with the same insurance product, also known as the total estimated LTV of the policy, net of an estimated constraint. The consideration is variable based on the estimated amount of time a policy will remain in force, which is based on historical experience or health plan partner experience to the extent available, industry data and expectations as to future retention rates. Additionally, the Company considers the application of a constraint and only recognizes the amount of variable consideration that it believes is probable that it will be entitled to receive and will not be subject to a significant revenue reversal in the future. The Company monitors and updates this estimate at each reporting date.</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Company utilizes a practical expedient to estimate commission revenue for each insurance product by applying the use of a portfolio approach to group approved members by the effective month of the relevant policy (referred to as a “vintage”). This allows the Company to estimate the commissions it expects to collect for each vintage by evaluating various factors, including but not limited to, contracted commission rates and expected churn.</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Company’s variable consideration includes estimated and constrained LTVs. The Company’s estimate of commission revenue for each product line is based on a number of assumptions, which include, but are not limited to, estimating conversion of an approved applicant to a paying policyholder, forecasting persistency and forecasting the commission amounts likely to be received per policyholder. These assumptions are based on historical trends and incorporate management’s judgment in interpreting those trends and in applying constraints.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On a quarterly basis, the Company re-estimates LTV at a vintage level for outstanding vintages, which takes into account cash received as compared to the original estimates and reviews and monitors changes in the data used to estimate LTV. Changes in LTV may result in an increase or a decrease to revenue and a corresponding change to commissions receivable. The Company analyzes these differences and to the extent the Company believes differences in the estimates are indicative of a change to prior period LTVs, the Company will adjust revenue for the affected vintages at the time such determination is made and when it is probable that a significant reversal in the amount of cumulative revenue recognized will not occur. For the twelve months ended December 31, 2025, 2024 and 2023, the Company recorded no revenue adjustments. </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Company is also compensated by its health plan partners for providing marketing services over a predetermined measurement period, which the Company records as partner marketing and other revenue. The Company recognizes these revenues over the measurement period as insurance applications produced by the Company are generated. The Company generally gets paid a fixed fee per application, with the amount of variable consideration resolved within 90 days of the application.</w:t>
      </w:r>
    </w:p>
    <w:p>
      <w:pPr>
        <w:pStyle w:val="TextBody"/>
        <w:bidi w:val="0"/>
        <w:spacing w:lineRule="auto" w:line="288" w:before="240" w:after="283"/>
        <w:jc w:val="left"/>
        <w:rPr>
          <w:rFonts w:ascii="Arial;sans-serif" w:hAnsi="Arial;sans-serif"/>
          <w:b w:val="false"/>
          <w:i/>
          <w:color w:val="000000"/>
          <w:sz w:val="18"/>
        </w:rPr>
      </w:pPr>
      <w:r>
        <w:rPr>
          <w:rFonts w:ascii="Arial;sans-serif" w:hAnsi="Arial;sans-serif"/>
          <w:b w:val="false"/>
          <w:i/>
          <w:color w:val="000000"/>
          <w:sz w:val="18"/>
        </w:rPr>
        <w:t>Medicare Non-Agency Revenue</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The Company provides services that support enrollment and engagement activities in which the Company is not the agent of record. The non-agency model moves away from the agency structure in that cash is collected in advance or in close proximity to the point in time revenue is recognized. Non-agency revenue includes enrollment and engagement services through Encompass Connect and Encompass Engage. Encompass Connect is designed to provide enrollment related services to participating partners. The Company is compensated for generating and transferring leads to the health plan partners, at which time the health plan partner representative will enroll and submit the application, becoming the agent of record. Revenue is recognized at a point in time the lead is transferred. The Company’s performance obligation is complete when a health plan partner has received a lead, with the amount of variable consideration generally resolved within 90 days of when the related policy effectuates. The Company estimates the amount of variable consideration that it expects to receive based on historical experience with commissions revenue or health plan partner experience to the extent available, and expectations as to future retention rates. The Company does not receive commissions or fees on subsequent renewals generated from the transferred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716280"/>
                <wp:effectExtent l="0" t="0" r="0" b="0"/>
                <wp:wrapNone/>
                <wp:docPr id="80" name="Frame78"/>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74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74</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leads. Encompass Engage includes post-enrollment member outreach and engagement services, including facilitating an onboarding experience customized to a members’ plan and health needs. The Company recognizes Encompass Engage revenue at the point in time that the service is provided based on member retention and providing post-enrollment services. </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Non-agency revenue also includes value-based care provider engagement, health risk assessments, social determinants of health screening and preferred pharmacy programs. The Company recognizes revenue for the related performance obligation at a point in time. </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Other Revenue</w:t>
      </w:r>
    </w:p>
    <w:p>
      <w:pPr>
        <w:pStyle w:val="TextBody"/>
        <w:bidi w:val="0"/>
        <w:spacing w:lineRule="auto" w:line="288" w:before="240" w:after="283"/>
        <w:jc w:val="left"/>
        <w:rPr>
          <w:rFonts w:ascii="Arial;sans-serif" w:hAnsi="Arial;sans-serif"/>
          <w:b w:val="false"/>
          <w:i/>
          <w:color w:val="000000"/>
          <w:sz w:val="18"/>
        </w:rPr>
      </w:pPr>
      <w:r>
        <w:rPr>
          <w:rFonts w:ascii="Arial;sans-serif" w:hAnsi="Arial;sans-serif"/>
          <w:b w:val="false"/>
          <w:i/>
          <w:color w:val="000000"/>
          <w:sz w:val="18"/>
        </w:rPr>
        <w:t>Other Non-Agency Revenue</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Other non-agency revenue includes enrollment related services through GoHealth Protect, a suite of products to cover unexpected life events, including guaranteed acceptance life insurance. The Company is compensated for guaranteed acceptance life insurance through the non-agency model where GoHealth is not the agent of record and cash is collected in close proximity to the point of sale. Revenue is recognized at the point in time the enrollment is submitted, approved by the health plan partner, and for which the payment information was received by the health plan partner. The Company’s performance obligation is complete when the health plan partner has received the enrollment. The Company estimates the amount of variable consideration that it expects to receive based on expectations as to future retention rates and average premium levels. Other non-agency revenue also includes revenue unrelated to Medicare products, including certain post-enrollment services.</w:t>
      </w:r>
    </w:p>
    <w:p>
      <w:pPr>
        <w:pStyle w:val="TextBody"/>
        <w:bidi w:val="0"/>
        <w:spacing w:lineRule="auto" w:line="288" w:before="240" w:after="283"/>
        <w:jc w:val="left"/>
        <w:rPr>
          <w:rFonts w:ascii="Arial;sans-serif" w:hAnsi="Arial;sans-serif"/>
          <w:b w:val="false"/>
          <w:i/>
          <w:color w:val="000000"/>
          <w:sz w:val="18"/>
        </w:rPr>
      </w:pPr>
      <w:r>
        <w:rPr>
          <w:rFonts w:ascii="Arial;sans-serif" w:hAnsi="Arial;sans-serif"/>
          <w:b w:val="false"/>
          <w:i/>
          <w:color w:val="000000"/>
          <w:sz w:val="18"/>
        </w:rPr>
        <w:t>Other Agency Revenue</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Other agency revenue is comprised of revenue unrelated to Medicare products, including commissions revenue generated from the sale of individual and family plan insurance products.</w:t>
      </w:r>
    </w:p>
    <w:p>
      <w:pPr>
        <w:pStyle w:val="TextBody"/>
        <w:bidi w:val="0"/>
        <w:spacing w:lineRule="auto" w:line="288" w:before="240" w:after="283"/>
        <w:jc w:val="left"/>
        <w:rPr>
          <w:rFonts w:ascii="Arial;sans-serif" w:hAnsi="Arial;sans-serif"/>
          <w:b w:val="false"/>
          <w:i/>
          <w:color w:val="000000"/>
          <w:sz w:val="18"/>
        </w:rPr>
      </w:pPr>
      <w:r>
        <w:rPr>
          <w:rFonts w:ascii="Arial;sans-serif" w:hAnsi="Arial;sans-serif"/>
          <w:b w:val="false"/>
          <w:i/>
          <w:color w:val="000000"/>
          <w:sz w:val="18"/>
        </w:rPr>
        <w:t>Incremental Costs to Obtain a Contract</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Company reviewed its sales compensation plans, which are directed at converting leads into Submissions, and concluded that they are fulfillment costs and not costs to obtain a contract with a health plan partner, which the Company defines as its customer. Additionally, the Company reviewed compensation plans related to personnel responsible for identifying new health plan partners as well as entering into contracts with new health plan partners and concluded that no incremental costs are incurred to obtain such contracts. The Company updates its review of compensation plans each time it enters into a new contract with a customer.</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Deferred Revenue</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Deferred revenue includes amounts collected for partner marketing services and non-agency revenue in advance of the Company satisfying its performance obligations for such customers. The current portion of deferred revenue is the revenue associated with these remaining performance obligations that the Company expects to recognize within one year, while the non-current portion of deferred revenue is the revenue associated with these remaining performance obligations that the Company expects to recognize beyond one year. </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Revenue Share</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Revenue share represents payments related to health plans sold to consumers who were enrolled by partners with whom the Company has commission revenue-sharing arrangements. In order to enter into a revenue-sharing arrangement, partners must be licensed to sell health insurance in the state where the policy is sold. Costs related to revenue-sharing arrangements are expensed as the related revenue is recognized. Changes in previous revenue estimates may result in an increase or a decrease to revenue share and a corresponding increase or decrease to commissions payable.</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Marketing and Advertising</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Marketing expense consists primarily of expenses associated with the Company’s direct, online advertising and marketing partner channels, in addition to compensation (including share-based compensation expense) and other expenses related to marketing personnel who manage campaigns and optimize consumer activity. The Company’s direct channel expenses primarily consist of costs for e-mail marketing and direct mail marketing. Online advertising expenses primarily consist of paid keyword search advertising on search engines. Marketing partner channel expenses primarily consist of fees paid to marketing partners and affiliates. Marketing costs are expensed as incurred.</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Advertising expenses consist of costs incurred to acquire consumers through online, television and direct mail advertisements. Advertising costs incurred during the twelve months ended December 31, 2025, 2024 and 2023, totaled $104.9 million, $201.7 million and $188.3 million, respectively. Advertising costs are expensed as incurred.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716280"/>
                <wp:effectExtent l="0" t="0" r="0" b="0"/>
                <wp:wrapNone/>
                <wp:docPr id="81" name="Frame79"/>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75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75</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Company also has arrangements with certain health plan partners that allow the Company to increase marketing efforts, including through direct mail, television advertisements and online advertising for various insurance products that are being offered by these health plan partners. The Company is reimbursed by health plan partners for the incremental marketing efforts and records the amounts received as a reduction of the marketing costs incurred.</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Consumer Care and Enrollment</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Consumer care and enrollment expenses primarily consist of compensation (including share-based compensation expense) and benefits costs for enrollment personnel who assist consumers during the health plan enrollment and application processes, along with management and support personnel.</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Technology</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Technology expense consists primarily of compensation (including share-based compensation expense) and benefits costs for personnel associated with developing and enhancing the Company’s technology platform, data analytics and business intelligence, as well as maintaining the Company’s online presence and integrations with health plan partners and federal marketplaces. Technology expense also includes costs for contracted services and supplies and amortization expense of capitalized software.</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General and Administrative Expenses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General and administrative expenses include compensation (including share-based compensation expense) and benefits costs for staff working in the Company’s executive, finance, legal, human resources and facilities departments. These expenses also include depreciation and amortization, except amortization expense to capitalized software, facilities costs and fees paid for outside professional services, including audit, tax, legal and governmental affairs.</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Share-Based Compensation Expense</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The Company grants share-based awards, including time-vesting profits units, restricted stock units (“RSUs”), stock options, performance stock units (“PSUs”) and stock appreciation rights ("SARs"). Compensation expense for time-vesting profits units, RSUs, stock options and PSUs are recognized on a straight-line basis over the requisite service or performance period for each award. </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estimated grant date fair value of market-based PSUs is determined using a Monte Carlo simulation and Level 3 inputs. The estimated grant date fair value of stock options is determined using a Black-Scholes pricing model. Assumptions utilized in the Monte Carlo simulation and Black-Scholes pricing model for valuing the awards include the expected life of the award, the expected dividend yield, the risk-free interest rate and the expected volatility. The fair value of RSUs and performance-based PSUs are determined based on the stock price on the date of grant.</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The total initial fair value of the SARs is recorded as expense at the time of the grant for SARs with no future service requirement. The fair value of SARs with a future service requirement are recognized on a straight-line basis over the requisite service period. The fair value of the SARs is revalued (mark-to-market) each reporting period using the Black-Scholes valuation model based on the Company’s period-end stock price. SARs are liability-classified awards, and as such, are recorded as a liability on the Consolidated Balance Sheets. </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401(k) Plan</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Company maintains a tax-qualified 401(k) retirement plan (the “Plan”) that provides eligible employees with an opportunity to save for retirement on a tax-advantaged basis. Eligible employees may defer compensation subject to applicable annual Internal Revenue Code (“Code”) limits. The Plan permits participants to make both pretax and after-tax deferral contributions. These contributions are allocated to each participant’s individual account and are then invested in selected investment alternatives according to the participants’ directions. Employees are fully vested immediately in their contributions. The Plan is qualified under Section 401(a) of the Code and the related trust is tax-exempt under Section 501(a) of the Code.</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Company contributes 50% of the first 4% of compensation a participant contributes to the Plan. These matching contributions are expensed as incurred. The Company recognized expense of $1.8 million, $2.1 million and $2.1 million for the twelve months ended December 31, 2025, 2024 and 2023, respectively, related to these matching contributions.</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Contingencies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The Company analyzes whether it is probable that an asset has been impaired or a liability has been incurred, and whether the amount of loss can be reasonably estimated. If the loss contingency is both probable and reasonably estimable, the Company records the loss at management’s best estimate of the loss, or when a best estimate cannot be made, a minimum loss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716280"/>
                <wp:effectExtent l="0" t="0" r="0" b="0"/>
                <wp:wrapNone/>
                <wp:docPr id="82" name="Frame80"/>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76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76</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contingency amount is recorded. Legal fees are expensed as incurred. If no accrual is made but the loss contingency is reasonably possible, the nature of the contingency and the corresponding estimated loss, if such an estimate can be made, is disclosed. Loss contingencies include, but are not limited to, possible losses related to legal proceedings and regulatory compliance matters. For more information, see Note 12, “Commitments and Contingencies.”</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Income Taxes</w:t>
      </w:r>
    </w:p>
    <w:p>
      <w:pPr>
        <w:pStyle w:val="TextBody"/>
        <w:bidi w:val="0"/>
        <w:spacing w:lineRule="auto" w:line="288" w:before="240" w:after="283"/>
        <w:jc w:val="left"/>
        <w:rPr/>
      </w:pPr>
      <w:r>
        <w:rPr>
          <w:rFonts w:ascii="Arial;sans-serif" w:hAnsi="Arial;sans-serif"/>
          <w:b w:val="false"/>
          <w:color w:val="000000"/>
          <w:sz w:val="18"/>
        </w:rPr>
        <w:t xml:space="preserve">The Company accounts for income taxes under the liability method in accordance with ASC Topic 740, </w:t>
      </w:r>
      <w:r>
        <w:rPr>
          <w:rFonts w:ascii="Arial;sans-serif" w:hAnsi="Arial;sans-serif"/>
          <w:b w:val="false"/>
          <w:i/>
          <w:color w:val="000000"/>
          <w:sz w:val="18"/>
        </w:rPr>
        <w:t>Income Taxes</w:t>
      </w:r>
      <w:r>
        <w:rPr>
          <w:rFonts w:ascii="Arial;sans-serif" w:hAnsi="Arial;sans-serif"/>
          <w:b w:val="false"/>
          <w:color w:val="000000"/>
          <w:sz w:val="18"/>
        </w:rPr>
        <w:t>. Accordingly, deferred income taxes are provided for the future tax consequences attributable to differences between the carrying amounts of assets and liabilities for financial reporting and income tax purposes. Deferred tax assets and liabilities are measured using tax rates in effect for the year in which those temporary differences are expected to be recovered or settled.</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Company utilizes a two-step approach for evaluating uncertain tax positions. Step one, recognition, requires a company to determine if the weight of available evidence indicates that a tax position is more likely than not to be sustained upon audit, including resolution of related appeals or litigation processes, if any. Step two, measurement, is based on the largest amount of benefit, which is more likely than not to be realized on ultimate settlement. The Company records interest and penalties related to uncertain tax positions as income tax expense in the Consolidated Financial Statements.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For more information, see Note 9, “Income Taxes.”</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Business Combinations</w:t>
      </w:r>
    </w:p>
    <w:p>
      <w:pPr>
        <w:pStyle w:val="TextBody"/>
        <w:bidi w:val="0"/>
        <w:spacing w:lineRule="auto" w:line="288" w:before="240" w:after="283"/>
        <w:jc w:val="left"/>
        <w:rPr/>
      </w:pPr>
      <w:r>
        <w:rPr>
          <w:rFonts w:ascii="Arial;sans-serif" w:hAnsi="Arial;sans-serif"/>
          <w:b w:val="false"/>
          <w:color w:val="000000"/>
          <w:sz w:val="18"/>
        </w:rPr>
        <w:t xml:space="preserve">In accordance with ASC 805, </w:t>
      </w:r>
      <w:r>
        <w:rPr>
          <w:rFonts w:ascii="Arial;sans-serif" w:hAnsi="Arial;sans-serif"/>
          <w:b w:val="false"/>
          <w:i/>
          <w:color w:val="000000"/>
          <w:sz w:val="18"/>
        </w:rPr>
        <w:t xml:space="preserve">Business Combinations </w:t>
      </w:r>
      <w:r>
        <w:rPr>
          <w:rFonts w:ascii="Arial;sans-serif" w:hAnsi="Arial;sans-serif"/>
          <w:b w:val="false"/>
          <w:color w:val="000000"/>
          <w:sz w:val="18"/>
        </w:rPr>
        <w:t xml:space="preserve">(“ASC 805”), the Company accounts for all business combinations using the acquisition method of accounting. Under the acquisition method, the Company allocates the fair value of consideration transferred to the assets acquired and liabilities assumed based on their estimated fair values at the acquisition date. The excess of the fair value of consideration transferred over the fair value of the identified net assets acquired is recorded as goodwill. Conversely, a bargain purchase gain is recorded when the fair value of the identified net assets acquired exceeds the fair value of consideration transferred. Acquisition-related expenses are expensed as incurred. </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See Note 14, “Acquisitions”, for additional information regarding the Company’s business combinations.</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Seasonality</w:t>
      </w:r>
    </w:p>
    <w:p>
      <w:pPr>
        <w:pStyle w:val="TextBody"/>
        <w:bidi w:val="0"/>
        <w:spacing w:lineRule="auto" w:line="288" w:before="180" w:after="283"/>
        <w:jc w:val="left"/>
        <w:rPr>
          <w:rFonts w:ascii="Arial;sans-serif" w:hAnsi="Arial;sans-serif"/>
          <w:b w:val="false"/>
          <w:color w:val="000000"/>
          <w:sz w:val="18"/>
        </w:rPr>
      </w:pPr>
      <w:r>
        <w:rPr>
          <w:rFonts w:ascii="Arial;sans-serif" w:hAnsi="Arial;sans-serif"/>
          <w:b w:val="false"/>
          <w:color w:val="000000"/>
          <w:sz w:val="18"/>
        </w:rPr>
        <w:t xml:space="preserve">Refer to discussion in Item 7, “Management’s Discussion and Analysis of Financial Condition and Results of Operations”, of this Annual Report on Form 10-K. </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Segment Information</w:t>
      </w:r>
    </w:p>
    <w:p>
      <w:pPr>
        <w:pStyle w:val="TextBody"/>
        <w:bidi w:val="0"/>
        <w:spacing w:lineRule="auto" w:line="288" w:before="240" w:after="283"/>
        <w:jc w:val="left"/>
        <w:rPr/>
      </w:pPr>
      <w:r>
        <w:rPr>
          <w:rFonts w:ascii="Arial;sans-serif" w:hAnsi="Arial;sans-serif"/>
          <w:b w:val="false"/>
          <w:color w:val="000000"/>
          <w:sz w:val="18"/>
        </w:rPr>
        <w:t xml:space="preserve">Operating segments are identified as components of an enterprise about which separate discrete financial information is available and reviewed regularly by the chief operating decision-maker (“CODM”). The Company’s CODM is its chief executive officer who reviews financial information together with certain operating metrics principally to make decisions about how to allocate resources and to measure the Company’s performance. During the first quarter of 2023, the Company reorganized its operations from four operating and reportable segments to one operating and reportable segment. The change reflects how the CODM evaluates the Company’s operating and financial performance on a consolidated basis and is consistent with changes made to the Company’s internal reporting structure. Additionally, the single operating segment aligns with the Company’s shift in focus towards Medicare products. All prior period comparative segment information was recast to reflect the current single operating segment in accordance with ASC 280, </w:t>
      </w:r>
      <w:r>
        <w:rPr>
          <w:rFonts w:ascii="Arial;sans-serif" w:hAnsi="Arial;sans-serif"/>
          <w:b w:val="false"/>
          <w:i/>
          <w:color w:val="000000"/>
          <w:sz w:val="18"/>
        </w:rPr>
        <w:t>Segment Reporting</w:t>
      </w:r>
      <w:r>
        <w:rPr>
          <w:rFonts w:ascii="Arial;sans-serif" w:hAnsi="Arial;sans-serif"/>
          <w:b w:val="false"/>
          <w:color w:val="000000"/>
          <w:sz w:val="18"/>
        </w:rPr>
        <w:t>.</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Recently Adopted Accounting Pronouncements</w:t>
      </w:r>
    </w:p>
    <w:p>
      <w:pPr>
        <w:pStyle w:val="TextBody"/>
        <w:bidi w:val="0"/>
        <w:spacing w:lineRule="auto" w:line="288" w:before="240" w:after="283"/>
        <w:jc w:val="left"/>
        <w:rPr/>
      </w:pPr>
      <w:r>
        <w:rPr>
          <w:rFonts w:ascii="Arial;sans-serif" w:hAnsi="Arial;sans-serif"/>
          <w:b w:val="false"/>
          <w:color w:val="000000"/>
          <w:sz w:val="18"/>
        </w:rPr>
        <w:t>In December 2023, the FASB issued ASU 2023-09, Income Taxes</w:t>
      </w:r>
      <w:r>
        <w:rPr>
          <w:color w:val="000000"/>
        </w:rPr>
        <w:t xml:space="preserve"> </w:t>
      </w:r>
      <w:r>
        <w:rPr>
          <w:rFonts w:ascii="Arial;sans-serif" w:hAnsi="Arial;sans-serif"/>
          <w:b w:val="false"/>
          <w:i/>
          <w:color w:val="000000"/>
          <w:sz w:val="18"/>
        </w:rPr>
        <w:t>(Topic 740): Improvements to Income Taxes Disclosures</w:t>
      </w:r>
      <w:r>
        <w:rPr>
          <w:color w:val="000000"/>
        </w:rPr>
        <w:t xml:space="preserve"> </w:t>
      </w:r>
      <w:r>
        <w:rPr>
          <w:rFonts w:ascii="Arial;sans-serif" w:hAnsi="Arial;sans-serif"/>
          <w:b w:val="false"/>
          <w:color w:val="000000"/>
          <w:sz w:val="18"/>
        </w:rPr>
        <w:t>(“ASU 2023-09”). The pronouncement enhances required income tax disclosures. The pronouncement requires disclosure of specific categories and reconciling items included in the rate reconciliation, disaggregation between federal, state and local income taxes paid, and disclosure of income taxes paid by jurisdictions over a certain threshold. Additionally, the pronouncement eliminates certain disclosures related to unrecognized tax benefits. The Company adopted ASU 2023-09 in our consolidated financial statements and related disclosures. Beyond additional required disclosures, adoption of the ASU did not have an impact on our consolidated financial statements. Refer to Note 9, “Income Taxes” for more information.</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Recently Issued Accounting Pronouncements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In September 2025, the FASB issued ASU 2025-06, Intangibles—Goodwill and Other—Internal-Use Software (Subtopic 350-40): Targeted Improvements to the Accounting for Internal-Use Software. This pronouncement updates the guidance on capitalization of internal-use software, including removing the development stages utilized for evaluation of when certain activities are capital eligible. The ASU instead provides that an entity is required to start capitalizing eligible software development costs when (1)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716280"/>
                <wp:effectExtent l="0" t="0" r="0" b="0"/>
                <wp:wrapNone/>
                <wp:docPr id="83" name="Frame81"/>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77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77</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management has authorized and committed to funding the software project and (2) it is probable that the project will be completed and the software will be used to perform the function intended, which is referred to as the “probable-to-complete recognition threshold”. This probable-to- complete threshold includes an evaluation of whether there is significant uncertainty associated with the development activities of the software. The ASU is effective for fiscal years beginning after December 15, 2027. The Company is currently in the process of evaluating the impacts this amendment will have on our internal-use software capitalization policy. </w:t>
      </w:r>
    </w:p>
    <w:p>
      <w:pPr>
        <w:pStyle w:val="TextBody"/>
        <w:bidi w:val="0"/>
        <w:spacing w:lineRule="auto" w:line="288" w:before="240" w:after="283"/>
        <w:jc w:val="left"/>
        <w:rPr/>
      </w:pPr>
      <w:r>
        <w:rPr>
          <w:rFonts w:ascii="Arial;sans-serif" w:hAnsi="Arial;sans-serif"/>
          <w:b w:val="false"/>
          <w:color w:val="000000"/>
          <w:sz w:val="18"/>
        </w:rPr>
        <w:t xml:space="preserve">In November 2024, the FASB issued ASU 2024-03, </w:t>
      </w:r>
      <w:r>
        <w:rPr>
          <w:rFonts w:ascii="Arial;sans-serif" w:hAnsi="Arial;sans-serif"/>
          <w:b w:val="false"/>
          <w:i/>
          <w:color w:val="000000"/>
          <w:sz w:val="18"/>
        </w:rPr>
        <w:t>Income Statement: Reporting Comprehensive Income-Expense Disaggregation Disclosures (Subtopic 220-40): Disaggregation of Income Statement Expenses</w:t>
      </w:r>
      <w:r>
        <w:rPr>
          <w:color w:val="000000"/>
        </w:rPr>
        <w:t xml:space="preserve"> </w:t>
      </w:r>
      <w:r>
        <w:rPr>
          <w:rFonts w:ascii="Arial;sans-serif" w:hAnsi="Arial;sans-serif"/>
          <w:b w:val="false"/>
          <w:color w:val="000000"/>
          <w:sz w:val="18"/>
        </w:rPr>
        <w:t>(“ASU 2024-03”), which requires disclosure about the types of costs and expenses included in certain expense captions presented on the income statement. The new disclosure requirements are effective for the Company’s annual periods beginning after December 15, 2026, and interim periods beginning after December 15, 2027, with early adoption permitted. The Company is currently in the process of evaluating the impact of this pronouncement on our related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A2299"/>
          <w:sz w:val="18"/>
        </w:rPr>
      </w:pPr>
      <w:r>
        <w:rPr>
          <w:rFonts w:ascii="Arial;sans-serif" w:hAnsi="Arial;sans-serif"/>
          <w:b/>
          <w:color w:val="0A2299"/>
          <w:sz w:val="18"/>
        </w:rPr>
        <w:t>2. BALANCE SHEET ACCOUNTS</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Commissions Receivable</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Commissions receivable activity is summarized as follows:</w:t>
      </w:r>
    </w:p>
    <w:tbl>
      <w:tblPr>
        <w:tblW w:w="5945" w:type="dxa"/>
        <w:jc w:val="left"/>
        <w:tblInd w:w="0" w:type="dxa"/>
        <w:tblLayout w:type="fixed"/>
        <w:tblCellMar>
          <w:top w:w="28" w:type="dxa"/>
          <w:left w:w="28" w:type="dxa"/>
          <w:bottom w:w="28" w:type="dxa"/>
          <w:right w:w="28" w:type="dxa"/>
        </w:tblCellMar>
      </w:tblPr>
      <w:tblGrid>
        <w:gridCol w:w="1098"/>
        <w:gridCol w:w="964"/>
        <w:gridCol w:w="967"/>
        <w:gridCol w:w="109"/>
        <w:gridCol w:w="109"/>
        <w:gridCol w:w="109"/>
        <w:gridCol w:w="196"/>
        <w:gridCol w:w="871"/>
        <w:gridCol w:w="109"/>
        <w:gridCol w:w="109"/>
        <w:gridCol w:w="109"/>
        <w:gridCol w:w="109"/>
        <w:gridCol w:w="196"/>
        <w:gridCol w:w="736"/>
        <w:gridCol w:w="154"/>
      </w:tblGrid>
      <w:tr>
        <w:trPr/>
        <w:tc>
          <w:tcPr>
            <w:tcW w:w="1098"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 31,</w:t>
            </w:r>
          </w:p>
        </w:tc>
      </w:tr>
      <w:tr>
        <w:trPr/>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Beginning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1,053,560 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911,697 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Commission revenue</w:t>
            </w:r>
            <w:r>
              <w:rPr>
                <w:rFonts w:ascii="Arial;sans-serif" w:hAnsi="Arial;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277,083 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515,724 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receipts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(405,530)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(464,364)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Allowance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Acquisition of business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90,525 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Ending 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925,171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1,053,560</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Commissions receivable - 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239,644 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320,399 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Commissions receivable - non-current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685,527 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733,161 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i/>
          <w:color w:val="000000"/>
          <w:sz w:val="14"/>
        </w:rPr>
      </w:pPr>
      <w:r>
        <w:rPr>
          <w:rFonts w:ascii="Arial;sans-serif" w:hAnsi="Arial;sans-serif"/>
          <w:b w:val="false"/>
          <w:i/>
          <w:color w:val="000000"/>
          <w:sz w:val="14"/>
        </w:rPr>
        <w:t>(1)Commission revenue includes commissions generated through the Company’s Non-Encompass BPO Services, the sale of individual and family plan insurance products and certain other fees collected with commissions.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The Company’s contracts with health plan partners expose it to credit risk because a financial loss could be incurred if the counterparty does not fulfill its financial obligation. While the Company is exposed to credit losses due to the potential non-performance of its counterparties, the Company considers this risk to be remote. The Company estimates the allowance for credit losses using available information from internal and external sources related to historical experiences, current conditions and forecasts. Estimates of loss are determined by using historical collections data as well as historical information obtained through research and review of other peer companies. The estimated exposure of default is determined by applying these internal and external factors to the commission receivable balances. The Company estimates the maximum credit risk in determining the commissions receivable amount recorded on the Consolidated Balance Sheets. </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Property, Equipment and Capitalized Software, Net</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Property, equipment, and capitalized software, net, consist of the following:</w:t>
      </w:r>
    </w:p>
    <w:tbl>
      <w:tblPr>
        <w:tblW w:w="6606" w:type="dxa"/>
        <w:jc w:val="left"/>
        <w:tblInd w:w="0" w:type="dxa"/>
        <w:tblLayout w:type="fixed"/>
        <w:tblCellMar>
          <w:top w:w="28" w:type="dxa"/>
          <w:left w:w="28" w:type="dxa"/>
          <w:bottom w:w="28" w:type="dxa"/>
          <w:right w:w="28" w:type="dxa"/>
        </w:tblCellMar>
      </w:tblPr>
      <w:tblGrid>
        <w:gridCol w:w="1473"/>
        <w:gridCol w:w="1293"/>
        <w:gridCol w:w="1299"/>
        <w:gridCol w:w="109"/>
        <w:gridCol w:w="109"/>
        <w:gridCol w:w="109"/>
        <w:gridCol w:w="196"/>
        <w:gridCol w:w="571"/>
        <w:gridCol w:w="109"/>
        <w:gridCol w:w="109"/>
        <w:gridCol w:w="109"/>
        <w:gridCol w:w="109"/>
        <w:gridCol w:w="196"/>
        <w:gridCol w:w="661"/>
        <w:gridCol w:w="154"/>
      </w:tblGrid>
      <w:tr>
        <w:trPr/>
        <w:tc>
          <w:tcPr>
            <w:tcW w:w="1473"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 31,</w:t>
            </w:r>
          </w:p>
        </w:tc>
      </w:tr>
      <w:tr>
        <w:trPr/>
        <w:tc>
          <w:tcPr>
            <w:tcW w:w="4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Computer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7,251 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Leasehold improvements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Office equipment and furniture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18,708 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Capitalized software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47,066 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38,821 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Accumulated 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(58,062)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(28,209)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Property, equipment and capitalized software,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5,147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29,320</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Depreciation expense related to property and equipment was $2.6 million, $3.7 million and $3.9 million, for the twelve months ended December 31, 2025, 2024 and 2023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716280"/>
                <wp:effectExtent l="0" t="0" r="0" b="0"/>
                <wp:wrapNone/>
                <wp:docPr id="84" name="Frame82"/>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78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78</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Amortization expense related to capitalized software was $7.0 million, $8.1 million and $7.8 million for the twelve months ended December 31, 2025, 2024 and 2023, respectively.</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Accrued Liabilities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Accrued liabilities consist of the following:</w:t>
      </w:r>
    </w:p>
    <w:tbl>
      <w:tblPr>
        <w:tblW w:w="5571" w:type="dxa"/>
        <w:jc w:val="left"/>
        <w:tblInd w:w="0" w:type="dxa"/>
        <w:tblLayout w:type="fixed"/>
        <w:tblCellMar>
          <w:top w:w="28" w:type="dxa"/>
          <w:left w:w="28" w:type="dxa"/>
          <w:bottom w:w="28" w:type="dxa"/>
          <w:right w:w="28" w:type="dxa"/>
        </w:tblCellMar>
      </w:tblPr>
      <w:tblGrid>
        <w:gridCol w:w="1032"/>
        <w:gridCol w:w="907"/>
        <w:gridCol w:w="911"/>
        <w:gridCol w:w="109"/>
        <w:gridCol w:w="109"/>
        <w:gridCol w:w="109"/>
        <w:gridCol w:w="196"/>
        <w:gridCol w:w="661"/>
        <w:gridCol w:w="109"/>
        <w:gridCol w:w="109"/>
        <w:gridCol w:w="109"/>
        <w:gridCol w:w="109"/>
        <w:gridCol w:w="196"/>
        <w:gridCol w:w="751"/>
        <w:gridCol w:w="154"/>
      </w:tblGrid>
      <w:tr>
        <w:trPr/>
        <w:tc>
          <w:tcPr>
            <w:tcW w:w="1032"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 31,</w:t>
            </w:r>
          </w:p>
        </w:tc>
      </w:tr>
      <w:tr>
        <w:trPr/>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Bonuses and commissions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27,104 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Payroll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Marketing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26,185 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Accrued payments for revenue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29,807 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Accrued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34,647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121,346</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A2299"/>
          <w:sz w:val="18"/>
        </w:rPr>
      </w:pPr>
      <w:r>
        <w:rPr>
          <w:rFonts w:ascii="Arial;sans-serif" w:hAnsi="Arial;sans-serif"/>
          <w:b/>
          <w:color w:val="0A2299"/>
          <w:sz w:val="18"/>
        </w:rPr>
        <w:t>3. FAIR VALUE MEASUREMENTS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Company defines fair value as the price that would be received for an asset or paid to transfer a liability (an exit price) in the principal or most advantageous market for the asset or liability in an orderly transaction between market participants on the measurement date. Valuation techniques the Company uses to measure fair value maximize the use of observable inputs and minimize the use of unobservable inputs. The Company has applied the provisions of fair value accounting for purposes of computing the fair value of financial instruments for disclosure purposes as presented below.</w:t>
      </w:r>
    </w:p>
    <w:tbl>
      <w:tblPr>
        <w:tblW w:w="10205" w:type="dxa"/>
        <w:jc w:val="left"/>
        <w:tblInd w:w="0" w:type="dxa"/>
        <w:tblLayout w:type="fixed"/>
        <w:tblCellMar>
          <w:top w:w="28" w:type="dxa"/>
          <w:left w:w="28" w:type="dxa"/>
          <w:bottom w:w="28" w:type="dxa"/>
          <w:right w:w="28" w:type="dxa"/>
        </w:tblCellMar>
      </w:tblPr>
      <w:tblGrid>
        <w:gridCol w:w="318"/>
        <w:gridCol w:w="280"/>
        <w:gridCol w:w="281"/>
        <w:gridCol w:w="109"/>
        <w:gridCol w:w="109"/>
        <w:gridCol w:w="109"/>
        <w:gridCol w:w="2722"/>
        <w:gridCol w:w="2598"/>
        <w:gridCol w:w="3679"/>
      </w:tblGrid>
      <w:tr>
        <w:trPr/>
        <w:tc>
          <w:tcPr>
            <w:tcW w:w="31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2" w:type="dxa"/>
            <w:tcBorders/>
            <w:vAlign w:val="center"/>
          </w:tcPr>
          <w:p>
            <w:pPr>
              <w:pStyle w:val="TableContents"/>
              <w:bidi w:val="0"/>
              <w:spacing w:before="0" w:after="283"/>
              <w:jc w:val="left"/>
              <w:rPr>
                <w:sz w:val="4"/>
                <w:szCs w:val="4"/>
              </w:rPr>
            </w:pPr>
            <w:r>
              <w:rPr>
                <w:sz w:val="4"/>
                <w:szCs w:val="4"/>
              </w:rPr>
            </w:r>
          </w:p>
        </w:tc>
        <w:tc>
          <w:tcPr>
            <w:tcW w:w="2598" w:type="dxa"/>
            <w:tcBorders/>
            <w:vAlign w:val="center"/>
          </w:tcPr>
          <w:p>
            <w:pPr>
              <w:pStyle w:val="TableContents"/>
              <w:bidi w:val="0"/>
              <w:spacing w:before="0" w:after="283"/>
              <w:jc w:val="left"/>
              <w:rPr>
                <w:sz w:val="4"/>
                <w:szCs w:val="4"/>
              </w:rPr>
            </w:pPr>
            <w:r>
              <w:rPr>
                <w:sz w:val="4"/>
                <w:szCs w:val="4"/>
              </w:rPr>
            </w:r>
          </w:p>
        </w:tc>
        <w:tc>
          <w:tcPr>
            <w:tcW w:w="3679" w:type="dxa"/>
            <w:tcBorders/>
            <w:vAlign w:val="center"/>
          </w:tcPr>
          <w:p>
            <w:pPr>
              <w:pStyle w:val="TableContents"/>
              <w:bidi w:val="0"/>
              <w:spacing w:before="0" w:after="283"/>
              <w:jc w:val="left"/>
              <w:rPr>
                <w:sz w:val="4"/>
                <w:szCs w:val="4"/>
              </w:rPr>
            </w:pPr>
            <w:r>
              <w:rPr>
                <w:sz w:val="4"/>
                <w:szCs w:val="4"/>
              </w:rPr>
            </w:r>
          </w:p>
        </w:tc>
      </w:tr>
      <w:tr>
        <w:trPr/>
        <w:tc>
          <w:tcPr>
            <w:tcW w:w="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Level 1 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Unadjusted quoted prices in active markets for identical assets or liabilities.</w:t>
            </w:r>
          </w:p>
        </w:tc>
      </w:tr>
      <w:tr>
        <w:trPr/>
        <w:tc>
          <w:tcPr>
            <w:tcW w:w="8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Level 2 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Unadjusted quoted prices in active markets for similar assets or liabilities; unadjusted quoted prices for identical or similar assets or liabilities in markets that are not active; inputs other than quoted prices that are observable for the asset or liability.</w:t>
            </w:r>
          </w:p>
        </w:tc>
      </w:tr>
      <w:tr>
        <w:trPr/>
        <w:tc>
          <w:tcPr>
            <w:tcW w:w="8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Level 3 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Unobservable inputs for the asset or liability.</w:t>
            </w:r>
          </w:p>
        </w:tc>
      </w:tr>
    </w:tbl>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Fair Value Measurements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carrying amount of certain financial instruments, including cash and cash equivalents, accounts receivable, unbilled receivables, accounts payable and accrued expenses approximate fair value due to the short maturity of these instruments. The carrying value of debt approximates fair value due to the variable nature of interest rates.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Company recorded long-lived asset impairment charges of $260.0 million, for the twelve months ended December 31, 2025 which is included in “Indefinite and long-lived asset impairment charges” on the Consolidated Statements of Operations.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During the twelve months ended December 31, 2025, the Company identified indicators of impairment related to its indefinite-lived intangible assets and long-lived assets, primarily related to revised long-term forecasts, reflecting the Company’s intentional pullback on Medicare Advantage activities in response to tightening health plan economics such as a reduction in the number of marketable and/or commissionable plans offered by health plan partners. The revised forecasts led to a reduction in the projected future cash flows associated with the Company’s trade name, developed technology and customer relationships and other long-lived assets, triggering an interim impairment assessment. The Company first tested its indefinite-lived trade name intangible asset. The revised forecast led to a reduction in the projected future cash flows associated with the trade name resulting in a $73.0 million impairment charge for the twelve months ended December 31, 2025, which is included in “Indefinite and long-lived asset impairment charges” on the Consolidated Statements of Operations. The Company also tested its long-lived assets for impairment by first performing a recoverability test, comparing projected undiscounted cash from the use and eventual disposition of the asset group to its carrying value. The recoverability test indicated that the undiscounted cash flows were not sufficient to recover the carrying value of the Company’s asset group. The Company then compared the fair value of the asset group to its carrying value to measure the amount of impairment to record. The impairment charge was then allocated to individual long-lived assets in accordance with ASC 360. As a result, the Company recorded intangible asset impairment charges of $159.0 million for the twelve months ended December 31, 2025 to write down the carrying value of its definite-lived amortizable intangible assets to zero. The Company also recorded impairment charges related to capitalized software, and property and equipment, and ROU assets of $28.0 million for the twelve months ended December 31, 2025.</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 xml:space="preserve">In connection with our annual indefinite-lived impairment test performed as of November 30, 2023, the Company determined that the fair value of our indefinite-lived trade names no longer exceeded their carrying value. As a result, during the twelve months ended December 31, 2023, we recorded an indefinite-lived trade names impairment charge of $10.0 million to write down the carrying value of the indefinite-lived trade names to their fair value which is included in “Indefinite and long-lived asset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716280"/>
                <wp:effectExtent l="0" t="0" r="0" b="0"/>
                <wp:wrapNone/>
                <wp:docPr id="85" name="Frame83"/>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79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79</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 xml:space="preserve">impairment charges” on the Consolidated Statements of Operations. As part of the Company’s continued cost savings initiatives, the Company is actively looking to terminate or sublease certain office spaces and call centers. These actions resulted in $2.7 million in operating lease impairment charge for the twelve months ended December 31, 2023, which are included in “Indefinite and long-lived asset impairment charges” on the Consolidated Statements of Operations. There were no impairment charges in 2024.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Determination of fair value of the trade name involves utilizing the relief-from-royalty under the income approach which contains significant estimates and assumptions including, among others, revenue projections as well as selecting appropriate royalty and discount rates, which are considered a level 3 input in the fair value hierarchy. Determination of the fair value of other long-lived assets involves utilizing the income approach which contains significant estimates and assumptions about forecasted revenue, expenses, and discount rates which are also considered level 3 inputs in the fair value hierarchy. Determination of the fair values of operating lease ROU assets were estimated using a discounted cash flow approach on forecasted future cash flows expected to be derived from the property based on current sublease market rent, which is considered a level 3 input in the fair value hierarchy. There are additional estimates and assumptions used to arrive at estimated future cash flows, including discount rate, downtime, abatement and commissions. While the Company believes the judgments and assumptions are reasonable, different assumptions could change the estimated fair value. Weakening industry or economic trends, disruptions to the Company's business, changes in discount rate assumptions, unexpected significant changes or planned changes in the use of the assets or in the Company’s entity structure are all factors which may adversely impact the assumptions used in the valuation.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A2299"/>
          <w:sz w:val="18"/>
        </w:rPr>
      </w:pPr>
      <w:r>
        <w:rPr>
          <w:rFonts w:ascii="Arial;sans-serif" w:hAnsi="Arial;sans-serif"/>
          <w:b/>
          <w:color w:val="0A2299"/>
          <w:sz w:val="18"/>
        </w:rPr>
        <w:t>4. INTANGIBLE ASSETS, NET</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Intangible Assets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During the year ended December 31, 2025, the Company determined that the fair value of its indefinite-lived trade names and definite-lived amortizable intangible assets no longer exceeded their carrying values. As a result, the Company recorded intangible asset impairment charges of $232.0 million for the twelve months ended December 31, 2025, to write down the carrying values of the indefinite-lived trade names and definite-lived amortizable intangible assets to zero. There was no impairment of assets for the twelve months ended December 31, 2024. For the twelve months ended December 31, 2023, the Company recorded an indefinite-lived trade names impairment charge of $10.0 million. </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gross carrying amounts, accumulated amortization and net carrying amounts of the Company’s definite-lived amortizable intangible assets, as well as its indefinite-lived intangible trade names, are as follows:</w:t>
      </w:r>
    </w:p>
    <w:tbl>
      <w:tblPr>
        <w:tblW w:w="10205" w:type="dxa"/>
        <w:jc w:val="left"/>
        <w:tblInd w:w="0" w:type="dxa"/>
        <w:tblLayout w:type="fixed"/>
        <w:tblCellMar>
          <w:top w:w="28" w:type="dxa"/>
          <w:left w:w="28" w:type="dxa"/>
          <w:bottom w:w="28" w:type="dxa"/>
          <w:right w:w="28" w:type="dxa"/>
        </w:tblCellMar>
      </w:tblPr>
      <w:tblGrid>
        <w:gridCol w:w="1014"/>
        <w:gridCol w:w="779"/>
        <w:gridCol w:w="784"/>
        <w:gridCol w:w="109"/>
        <w:gridCol w:w="109"/>
        <w:gridCol w:w="109"/>
        <w:gridCol w:w="289"/>
        <w:gridCol w:w="1109"/>
        <w:gridCol w:w="160"/>
        <w:gridCol w:w="109"/>
        <w:gridCol w:w="109"/>
        <w:gridCol w:w="109"/>
        <w:gridCol w:w="320"/>
        <w:gridCol w:w="1233"/>
        <w:gridCol w:w="180"/>
        <w:gridCol w:w="109"/>
        <w:gridCol w:w="109"/>
        <w:gridCol w:w="109"/>
        <w:gridCol w:w="307"/>
        <w:gridCol w:w="1181"/>
        <w:gridCol w:w="172"/>
        <w:gridCol w:w="109"/>
        <w:gridCol w:w="109"/>
        <w:gridCol w:w="109"/>
        <w:gridCol w:w="353"/>
        <w:gridCol w:w="731"/>
        <w:gridCol w:w="285"/>
      </w:tblGrid>
      <w:tr>
        <w:trPr/>
        <w:tc>
          <w:tcPr>
            <w:tcW w:w="1014"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r>
      <w:tr>
        <w:trPr/>
        <w:tc>
          <w:tcPr>
            <w:tcW w:w="2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8" w:type="dxa"/>
            <w:gridSpan w:val="3"/>
            <w:tcBorders/>
            <w:vAlign w:val="center"/>
          </w:tcPr>
          <w:p>
            <w:pPr>
              <w:pStyle w:val="TableContents"/>
              <w:bidi w:val="0"/>
              <w:spacing w:before="0" w:after="283"/>
              <w:jc w:val="left"/>
              <w:rPr>
                <w:sz w:val="4"/>
                <w:szCs w:val="4"/>
              </w:rPr>
            </w:pPr>
            <w:r>
              <w:rPr>
                <w:sz w:val="4"/>
                <w:szCs w:val="4"/>
              </w:rPr>
            </w:r>
          </w:p>
        </w:tc>
        <w:tc>
          <w:tcPr>
            <w:tcW w:w="5743" w:type="dxa"/>
            <w:gridSpan w:val="18"/>
            <w:tcBorders/>
          </w:tcPr>
          <w:p>
            <w:pPr>
              <w:pStyle w:val="TableContents"/>
              <w:bidi w:val="0"/>
              <w:spacing w:before="0" w:after="283"/>
              <w:jc w:val="left"/>
              <w:rPr>
                <w:sz w:val="4"/>
                <w:szCs w:val="4"/>
              </w:rPr>
            </w:pPr>
            <w:r>
              <w:rPr>
                <w:sz w:val="4"/>
                <w:szCs w:val="4"/>
              </w:rPr>
            </w:r>
          </w:p>
        </w:tc>
      </w:tr>
      <w:tr>
        <w:trPr/>
        <w:tc>
          <w:tcPr>
            <w:tcW w:w="2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 31, 2025</w:t>
            </w:r>
          </w:p>
        </w:tc>
      </w:tr>
      <w:tr>
        <w:trPr/>
        <w:tc>
          <w:tcPr>
            <w:tcW w:w="25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Impairment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 Carrying Amount</w:t>
            </w:r>
          </w:p>
        </w:tc>
      </w:tr>
      <w:tr>
        <w:trPr/>
        <w:tc>
          <w:tcPr>
            <w:tcW w:w="2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Developed 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496,000 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428,686 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67,314 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Customer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232,000 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140,360 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91,640 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intangible assets subject to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1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728,000</w:t>
            </w:r>
            <w:r>
              <w:rPr>
                <w:color w:val="000000"/>
              </w:rPr>
              <w:t>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569,046</w:t>
            </w:r>
            <w:r>
              <w:rPr>
                <w:color w:val="000000"/>
              </w:rPr>
              <w:t>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158,954</w:t>
            </w:r>
            <w:r>
              <w:rPr>
                <w:color w:val="000000"/>
              </w:rPr>
              <w:t>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Indefinite-lived trade names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86"/>
        <w:gridCol w:w="1100"/>
        <w:gridCol w:w="1106"/>
        <w:gridCol w:w="109"/>
        <w:gridCol w:w="109"/>
        <w:gridCol w:w="109"/>
        <w:gridCol w:w="349"/>
        <w:gridCol w:w="1339"/>
        <w:gridCol w:w="194"/>
        <w:gridCol w:w="109"/>
        <w:gridCol w:w="109"/>
        <w:gridCol w:w="109"/>
        <w:gridCol w:w="389"/>
        <w:gridCol w:w="1497"/>
        <w:gridCol w:w="218"/>
        <w:gridCol w:w="109"/>
        <w:gridCol w:w="109"/>
        <w:gridCol w:w="109"/>
        <w:gridCol w:w="309"/>
        <w:gridCol w:w="1188"/>
        <w:gridCol w:w="249"/>
      </w:tblGrid>
      <w:tr>
        <w:trPr/>
        <w:tc>
          <w:tcPr>
            <w:tcW w:w="1286"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34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2" w:type="dxa"/>
            <w:gridSpan w:val="3"/>
            <w:tcBorders/>
            <w:vAlign w:val="center"/>
          </w:tcPr>
          <w:p>
            <w:pPr>
              <w:pStyle w:val="TableContents"/>
              <w:bidi w:val="0"/>
              <w:spacing w:before="0" w:after="283"/>
              <w:jc w:val="left"/>
              <w:rPr>
                <w:sz w:val="4"/>
                <w:szCs w:val="4"/>
              </w:rPr>
            </w:pPr>
            <w:r>
              <w:rPr>
                <w:sz w:val="4"/>
                <w:szCs w:val="4"/>
              </w:rPr>
            </w:r>
          </w:p>
        </w:tc>
        <w:tc>
          <w:tcPr>
            <w:tcW w:w="4504" w:type="dxa"/>
            <w:gridSpan w:val="12"/>
            <w:tcBorders/>
          </w:tcPr>
          <w:p>
            <w:pPr>
              <w:pStyle w:val="TableContents"/>
              <w:bidi w:val="0"/>
              <w:spacing w:before="0" w:after="283"/>
              <w:jc w:val="left"/>
              <w:rPr>
                <w:sz w:val="4"/>
                <w:szCs w:val="4"/>
              </w:rPr>
            </w:pPr>
            <w:r>
              <w:rPr>
                <w:sz w:val="4"/>
                <w:szCs w:val="4"/>
              </w:rPr>
            </w:r>
          </w:p>
        </w:tc>
      </w:tr>
      <w:tr>
        <w:trPr/>
        <w:tc>
          <w:tcPr>
            <w:tcW w:w="3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 31, 2024</w:t>
            </w:r>
          </w:p>
        </w:tc>
      </w:tr>
      <w:tr>
        <w:trPr/>
        <w:tc>
          <w:tcPr>
            <w:tcW w:w="34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 Carrying Amount</w:t>
            </w:r>
          </w:p>
        </w:tc>
      </w:tr>
      <w:tr>
        <w:trPr/>
        <w:tc>
          <w:tcPr>
            <w:tcW w:w="34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Developed 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496,000 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4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375,543 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120,457 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Customer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232,000 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122,960 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109,040 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intangible assets subject to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728,000</w:t>
            </w:r>
            <w:r>
              <w:rPr>
                <w:color w:val="000000"/>
              </w:rPr>
              <w:t>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4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498,503</w:t>
            </w:r>
            <w:r>
              <w:rPr>
                <w:color w:val="000000"/>
              </w:rPr>
              <w:t>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1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229,497</w:t>
            </w:r>
            <w:r>
              <w:rPr>
                <w:color w:val="000000"/>
              </w:rPr>
              <w:t>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Indefinite-lived trade names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73,000 </w:t>
            </w:r>
          </w:p>
        </w:tc>
        <w:tc>
          <w:tcPr>
            <w:tcW w:w="24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1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302,497</w:t>
            </w:r>
            <w:r>
              <w:rPr>
                <w:color w:val="000000"/>
              </w:rPr>
              <w:t> </w:t>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A2299"/>
          <w:sz w:val="18"/>
        </w:rPr>
      </w:pPr>
      <w:r>
        <w:rPr>
          <w:rFonts w:ascii="Arial;sans-serif" w:hAnsi="Arial;sans-serif"/>
          <w:b/>
          <w:color w:val="0A2299"/>
          <w:sz w:val="18"/>
        </w:rPr>
        <w:t>5. LONG-TERM DEBT</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Company’s long-term debt consisted of the following: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716280"/>
                <wp:effectExtent l="0" t="0" r="0" b="0"/>
                <wp:wrapNone/>
                <wp:docPr id="86" name="Frame84"/>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80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80</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tbl>
      <w:tblPr>
        <w:tblW w:w="6801" w:type="dxa"/>
        <w:jc w:val="left"/>
        <w:tblInd w:w="0" w:type="dxa"/>
        <w:tblLayout w:type="fixed"/>
        <w:tblCellMar>
          <w:top w:w="28" w:type="dxa"/>
          <w:left w:w="28" w:type="dxa"/>
          <w:bottom w:w="28" w:type="dxa"/>
          <w:right w:w="28" w:type="dxa"/>
        </w:tblCellMar>
      </w:tblPr>
      <w:tblGrid>
        <w:gridCol w:w="1446"/>
        <w:gridCol w:w="1268"/>
        <w:gridCol w:w="1276"/>
        <w:gridCol w:w="109"/>
        <w:gridCol w:w="109"/>
        <w:gridCol w:w="109"/>
        <w:gridCol w:w="196"/>
        <w:gridCol w:w="751"/>
        <w:gridCol w:w="109"/>
        <w:gridCol w:w="109"/>
        <w:gridCol w:w="109"/>
        <w:gridCol w:w="109"/>
        <w:gridCol w:w="196"/>
        <w:gridCol w:w="751"/>
        <w:gridCol w:w="154"/>
      </w:tblGrid>
      <w:tr>
        <w:trPr/>
        <w:tc>
          <w:tcPr>
            <w:tcW w:w="1446"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 31,</w:t>
            </w:r>
          </w:p>
        </w:tc>
      </w:tr>
      <w:tr>
        <w:trPr/>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Term Loan Facilities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688,464 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475,000 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Revolving Credit Facilities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Unamortized debt discount and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(51,724)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(17,635)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636,740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487,365</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Current portion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(39,500)</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long-term-debt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636,740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447,865</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Maturities of long-term debt for each of the next five years is as follows:</w:t>
      </w:r>
    </w:p>
    <w:tbl>
      <w:tblPr>
        <w:tblW w:w="2598" w:type="dxa"/>
        <w:jc w:val="left"/>
        <w:tblInd w:w="0" w:type="dxa"/>
        <w:tblLayout w:type="fixed"/>
        <w:tblCellMar>
          <w:top w:w="28" w:type="dxa"/>
          <w:left w:w="28" w:type="dxa"/>
          <w:bottom w:w="28" w:type="dxa"/>
          <w:right w:w="28" w:type="dxa"/>
        </w:tblCellMar>
      </w:tblPr>
      <w:tblGrid>
        <w:gridCol w:w="424"/>
        <w:gridCol w:w="372"/>
        <w:gridCol w:w="374"/>
        <w:gridCol w:w="109"/>
        <w:gridCol w:w="109"/>
        <w:gridCol w:w="109"/>
        <w:gridCol w:w="196"/>
        <w:gridCol w:w="751"/>
        <w:gridCol w:w="154"/>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669,464 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688,464</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Existing Credit Agreement</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On November 4, 2024 (the “Effective Date”), Norvax (the “Borrower”) entered into the Amendment and Restatement Agreement (the “Existing Credit Agreement”) to provide for, among other provisions as further described below, a class of term loan facilities (the “New Term Loan Facility” or “Existing Term Loans”) in an aggregate principal amount equal to $475.0 million. Starting on March 31, 2025, principal repayments equal to 2.00% per annum of the initial principal balance were made in equal quarterly installments. In March 2025, the Borrower repaid $2.4 million under this facility. Prior to Amendment No. 14 (as defined and further described below), at the option of the Borrower, the Existing Term Loan Facility bore interest at either (i) ABR plus 6.50% per annum or (ii) Adjusted Term SOFR plus 7.50% per annum. To the extent not previously paid, the Existing Term Loan Facility, together with all accrued and unpaid interest thereon, is due and payable on November 4, 2029.</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In addition to the Existing Term Loan Facility, the Existing Credit Agreement provided for a revolving credit facility with a commitment amount of $88.5 million (the “Class A Revolving Credit Facility”) and a revolving credit facility with a commitment amount of $35.0 million (the “Class A-1 Revolving Credit Facility"). The Class A Revolving Credit Facility bore interest at either (i) ABR plus 5.50% per annum or (ii) SOFR plus 6.50% per annum. The Borrower was required to pay a commitment fee of 0.50% per annum on undrawn amounts under the Class A Revolving Credit Facility. The Class A-1 Revolving Credit Facility was to be made available to the Borrower upon the termination of the Class A Revolving Credit Facility on or prior to June 30, 2025 (which was then further extended pursuant to Amendment No. 13 and Amendment No. 14). Following the entry into Amendment No. 14, the Class A-1 Revolving Credit Facility was terminated.</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Amendment No. 13</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On June 30, 2025, the Borrower entered into Amendment No. 13 to the Existing Credit Agreement (“Amendment No. 13”), which modified the Existing Credit Agreement to, among other things, (i) provide that all interest payable for the Existing Term Loan Facility and Class A Revolving Credit Facility occurring on or prior to September 30, 2025 would be payable in-kind, and thus capitalized and added to the respective principal balances, (ii) waive the principal payments of the Existing Term Loan Facility on June 30, 2025 and September 30, 2025, (iii) extend the maturity date of borrowings outstanding under the Class A Revolving Credit Facility from June 30, 2025 to September 30, 2025 (which was then further extended pursuant to Amendment No. 14) and (iv) permit the Borrower to negotiate and consummate a receivables financing, securitization, receivables facility or other similar financing.</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Pursuant to Amendment No. 13, the Company incurred $5.6 million in debt issuance costs which are payable in-kind, and thus capitalized and added to the outstanding principal balance. The Company paid an additional $0.4 million in debt issuance costs in cash related to Amendment No. 13. The total debt issuance costs are amortized over the life of the debt to interest expense using the effective interest method.</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Amendment No. 14</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On August 6, 2025, the Borrower entered into Amendment No. 14 to the Existing Credit Agreement (“Amendment No. 14”), which further amends the Existing Credit Agreement to, among other things, (i) terminate all revolving commitments under the Class A-1 Revolving Credit Facility (with no revolving loans under the Class A-1 Revolving Credit Facility being outstanding on August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716280"/>
                <wp:effectExtent l="0" t="0" r="0" b="0"/>
                <wp:wrapNone/>
                <wp:docPr id="87" name="Frame85"/>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81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81</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6, 2025), (ii) terminate all Class A revolving commitments and extend the maturity date of the remaining Class A revolving loans outstanding to August 5, 2029 (the “Class A Loans”), (iii) permit the Borrower to pay in-kind a portion of the interest on the outstanding Existing Term Loans and Class A Loans with such loan accruing interest at a rate equal to Adjusted Term SOFR plus 8.00% per annum, of which an amount of interest equal to at least Adjusted Term SOFR plus 4.50% is payable in cash with the remainder of such interest paid in-kind and (iv) waive the principal payments of the Existing Term Loans until December 31, 2026. Following Amendment No. 14, amounts repaid or prepaid in respect of the Class A Loans may not be reborrowed. As consideration for, and as a condition to, the lenders’ entry into Amendment No. 14, on August 6, 2025, the Company issued to lenders (or their affiliates) holding Class A Loans and Existing Term Loans (for these purposes, the “Subscribers”), pro rata based on their respective holdings thereof, an aggregate of 4,766,219 shares of Class A common stock. Both the New Class A Revolving Credit Facility and the Class A-1 Revolving credit facility were terminated with Amendment No. 14 and as a result there were no outstanding balances as of December 31, 2025. As of December 31, 2024 the Company had $30.0 million outstanding under the New Class A Revolving Credit Facility and no amounts outstanding under the Class A-1 Revolving Credit Facility. The New Class A Revolving Credit Facility and Class A-1 Revolving Credit Facility had a remaining capacity of $58.5 million and $35.0 million, respectively, as of December 31, 2024. </w:t>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18"/>
        </w:rPr>
      </w:pPr>
      <w:r>
        <w:rPr>
          <w:rFonts w:ascii="Arial;sans-serif" w:hAnsi="Arial;sans-serif"/>
          <w:b/>
          <w:color w:val="000000"/>
          <w:sz w:val="18"/>
        </w:rPr>
        <w:t>Superpriority Credit Agreement</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On August 6, 2025 (the “Closing Date”), the Borrower entered into the Superpriority Senior Secured Credit Agreement (the “Superpriority Credit Agreement”). The Superpriority Credit Agreement governs a senior secured superpriority term loan facility in an aggregate principal amount of $115.0 million (the “Superpriority Facility”) consisting of (a) $80.0 million in new-money term loans (together, the “New Money Term Loans”), of which (i) $40.0 million was funded on the closing date (the “Initial New Money Term Loans”) and (ii) $40.0 million is available as delayed-draw term loans (the “Delayed Draw Term Loans”), and (b) $35.0 million of roll-up term loans funded on the closing date (the “Roll-Up Term Loans” and together with the New Money Term Loans, the “Superpriority Term Loans”) resulting from the cashless conversion of a corresponding amount of Class A Loans at par that were outstanding under the Existing Credit Agreement into term loans on a dollar-for-dollar basis. Provided that no default or event of default has occurred and is continuing, the Delayed Draw Term Loans will be available to the Borrower on or after October 1, 2025, with the aggregate principal amount of such loans funded prior to November 1, 2025 not to exceed $15.0 million and prior to December 1, 2025, not to exceed $30.0 million, with the full amount available thereafter. Pursuant to this agreement, the Company had drawn the full $40.0 million of the Delayed Draw Term Loans as of December 31, 2025. </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Superpriority Facility matures on August 5, 2029. The New Money Term Loans bear interest in cash, at the Borrower’s election from time to time, at either (i) Adjusted Term SOFR plus 5.50% per annum or (ii) ABR plus 4.50% per annum. The Roll-Up Term Loans bear interest and have payment and prepayment terms substantially consistent with the Class A Loans.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Additionally, the New Money Term Loans are subject to (i) a 2.00x multiple-on-invested-capital (“MOIC”), payable in cash upon partial or full repayment, prepayment, maturity or (ii) acceleration of the New Money Term Loans. The MOIC steps down to 1.75x for repayments occurring on or after January 1, 2026 but prior to April 1, 2027 and to 1.50x for repayments occurring on or after the closing date of the Superpriority Facility and prior to January 1, 2026. The MOIC payable is accrued over the term of the New Money Term Loans using the effective interest method. As of December 31, 2025, the Company had recorded a liability of $3.1 million related to the MOIC payable which is recorded in “Long-term debt, net of current portion” on the Condensed Consolidated Balance Sheets and included in the outstanding principal balance of the New Money Term Loans.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Pursuant to Amendment No. 14 and the Superpriority Credit Agreement, the Company recognized an aggregate loss on extinguishment of debt of $1.7 million. The Company recorded debt discounts of $25.1 million related to the Class A common stock issued as non-cash consideration pursuant to Amendment No. 14 and $2.4 million of closing fees payable in-kind, and thus capitalized and added to the outstanding principal balance. The Company paid an additional $8.0 million in debt issuance costs. The total debt discount and debt issuance costs are being amortized over the life of the debt to interest expense using the effective interest method.</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As of December 31, 2025 and December 31, 2024, the Borrower had a principal amount of $688.5 million and $475.0 million outstanding under the Existing Term Loan Facility, respectively. The effective interest rate of the Existing Term Loan Facility was 14.43% and 12.06% as of December 31, 2025 and December 31, 2024, respectively.</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As of December 31, 2025, the Company had no amounts outstanding under the class A Revolving Credit Facility. Following the entry into Amendment No. 14, revolving commitments under the Class A Revolving Credit Facility and Class A-1 Revolving Credit Facility were terminated and amounts repaid or prepaid in respect to the Class A Loans may not be reborrowed. As of December 31, 2024, the Company had a principal amount of $30.0 million outstanding under the Class A Revolving Credit Facility and a remaining capacity of $58.5 million. </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Guarantees and Security</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Blizzard Midco, LLC, the Borrower and certain other subsidiaries of the Company are guarantors of the Borrower’s obligations under the Existing Credit Agreement. In addition, the obligations of the Borrower are secured by a first priority lien 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716280"/>
                <wp:effectExtent l="0" t="0" r="0" b="0"/>
                <wp:wrapNone/>
                <wp:docPr id="88" name="Frame86"/>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82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82</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substantially all of such guarantors’ assets, including a pledge of all of the equity interests of each of their respective subsidiaries, in each case, subject to customary exceptions and limitations.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All principal, interest, premium, fees and other obligations in respect of the Superpriority Term Loans are (i) jointly and severally guaranteed by the subsidiaries of the Company that guarantee the Existing Credit Agreement, and any future material subsidiaries that execute a joinder to the guaranty and related collateral agreements and (ii) secured by a first priority lien on substantially all of the Borrower’s and the guarantors’ assets, subject to certain customary exceptions, on a senior basis to, and with payment priority senior to, all obligations outstanding under the Existing Credit Agreement on the closing date, subject to certain exceptions. In addition, pursuant to the Superpriority Credit Agreement, the Borrower is not permitted to make voluntary or mandatory prepayments of the Class A Revolving Loans and/or the Existing Term Loans, other than payment of amortization in respect of the Existing Term Loans, prior to the repayment in full, in cash, of the Superpriority Term Loan obligations.</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Covenants and Other Matters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Existing Credit Agreement contains a number of covenants that, among other things and subject to certain exceptions, restrict the Borrower’s and its restricted subsidiaries’ ability to incur indebtedness; incur certain liens; consolidate, merge or sell or otherwise dispose of assets; make investments, loans, advances, guarantees and acquisitions; pay dividends or make other distributions on equity interests, or redeem, repurchase or retire equity interests; enter into transactions with affiliates; alter the business conducted by the Company and subsidiaries; change their fiscal year; and amend or modify governing documents. In addition, the Credit Agreement contains financial and non-financial covenants. The Company is in compliance with all covenants as of December 31, 2025.</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Existing Credit Agreement also contains certain customary representations and warranties and affirmative covenants, and certain reporting obligations. In addition, the lenders under the Existing Credit Facilities are permitted to accelerate all outstanding borrowings and other obligations, terminate outstanding commitments and exercise other specified remedies upon the occurrence of certain events of default (subject to certain grace periods and exceptions), which include, among other things, payment defaults, breaches of representations and warranties, covenant defaults, certain cross-defaults and cross-accelerations to other indebtedness, certain events of bankruptcy and insolvency, certain judgments and changes of control. Subject to certain limited exceptions, substantially all of the Company’s assets are restricted from distribution.</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Pursuant to the Superpriority Credit Agreement, the Borrower will be required to comply with a minimum liquidity covenant of (i) $5.0 million at the end of each calendar week, commencing with the calendar week beginning October 5, 2025, (ii) $15.0 million at the end of each calendar week, commencing with the calendar week beginning March 29, 2026, (iii) $20.0 million at the end of each calendar week, commencing with the calendar week beginning June 28, 2026, and (iv) $30.0 million at the end of each calendar week, commencing with the calendar week beginning September 27, 2026 and thereafter; provided, that during any period ending during the fiscal year ending December 31, 2026 and thereafter where the last business day of any calendar week therein occurs during the month of October, November or December, minimum liquidity shall instead be $10.0 million.</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Superpriority Credit Agreement contains customary non-financial covenants consistent with the Existing Credit Agreement that limit, among other things, mergers and acquisitions; investments, loans, and advances; affiliate transactions; changes to capital structure and the business; additional indebtedness; additional liens; the payment of dividends; and the sale of assets, in each case, subject to certain customary exceptions. In addition, the Superpriority Credit Agreement contains a covenant pursuant to which the Borrower and its subsidiaries are restricted from pursuing certain “liability management transactions” without the consent of the lenders holding a majority of the Roll-Up Term Loans and also includes certain restrictions on future financings. The Superpriority Credit Agreement also contains customary events of default, including payment defaults, breaches of representations and warranties, covenant defaults, defaults under other material debt, events of bankruptcy and insolvency, failure of any guaranty or security document to be in full force and effect, and a change of control of the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A2299"/>
          <w:sz w:val="18"/>
        </w:rPr>
      </w:pPr>
      <w:r>
        <w:rPr>
          <w:rFonts w:ascii="Arial;sans-serif" w:hAnsi="Arial;sans-serif"/>
          <w:b/>
          <w:color w:val="0A2299"/>
          <w:sz w:val="18"/>
        </w:rPr>
        <w:t>6. STOCKHOLDERS' EQUITY (DEFICIT)</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In connection with the Company’s IPO in July 2020, the Company’s board of directors (the “Board of Directors”) approved an amended and restated certificate of incorporation and amended and restated bylaws. The amended and restated certificate of incorporation authorizes the issuance of up to 1,100,000,000 shares of Class A common stock, 690,000,000 shares of Class B common stock and 20,000,000 shares of preferred stock, each having a par value of $0.0001 per share. The number of shares of Class B common stock authorized is reduced for redemptions and forfeitures as they occur.</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The Company’s amended and restated certificate of incorporation and the GHH, LLC Agreement require the Company and GHH, LLC at all times to maintain a one-to-one ratio between the number of shares of Class A common stock issued by the Company and the number of LLC Interests owned by the Company, except as otherwise determined by the Company. Additionally, the Company’s amended and restated certificate of incorporation and the GHH, LLC Agreement require that the Company and GHH, LLC at all times maintain a one-to-one ratio between the number of shares of Class B common stock owned by the Continuing Equity Owners and their respective permitted transferees and the number of LLC Interests owned by the Continuing Equity Owners and their respective permitted transferees, except as otherwise determined by the Company. Only the Continuing Equity Owners and the permitted transferees of Class B common stock are permitted to hold shares of Class B common stock. Shares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716280"/>
                <wp:effectExtent l="0" t="0" r="0" b="0"/>
                <wp:wrapNone/>
                <wp:docPr id="89" name="Frame87"/>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83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83</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of Class B common stock are transferable for shares of Class A common stock only together with an equal number of LLC Interests.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Holders of shares of the Company’s Class A common stock are entitled to one vote for each share held of record on all matters submitted to a vote of stockholders. Each share of Class B common stock entitles its holders to one vote per share on all matters presented to the Company’s stockholders generally. Holders of shares of Class B common stock will vote together with holders of the Company’s Class A common stock as a single class on all matters presented to the Company’s stockholders for their vote or approval, except for certain amendments to the Company’s amended and restated certificate of incorporation or as otherwise required by applicable law or the amended and restated certificate of incorporation. Holders of the Class B common stock are not entitled to participate in any dividends declared by the Board of Directors. Under the terms of the Company’s amended and restated certificate of incorporation, the Board of Directors is authorized to direct the Company to issue shares of preferred stock in one or more series without stockholder approval. The Board of Directors has the discretion to determine the rights, preferences, privileges and restrictions, including voting rights, dividend rights, conversion rights, redemption privileges and liquidation preferences, of each series of preferred stock.</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Continuing Equity Owners may, subject to certain exceptions, from time to time at each of their options require GHH, LLC to redeem all or a portion of their LLC Interests in exchange for, at the Company’s election (determined by at least two of the Company’s independent directors who are disinterested), newly-issued shares of Class A common stock on a one-for-one basis, or to the extent there is cash available from a secondary offering, a cash payment equal to a volume weighted average market price of one share of the Company’s Class A common stock for each LLC Interest so redeemed, in each case, in accordance with the terms of the GHH, LLC Agreement.</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weighted average ownership percentages for the applicable reporting periods are used to attribute net income (loss) and other comprehensive income (loss) to the Company and the non-controlling interest holders. Non-controlling interest represents the economic interest in GHH, LLC held directly or indirectly by the Continuing Equity Owners. The non-controlling interest holders' weighted average ownership percentages for the twelve months ended December 31, 2025, 2024, and 2023 were 49.4%, 56.2% and 58.2%, respectively.</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Upon the Company’s dissolution or liquidation, after payment in full of all amounts required to be paid to creditors and to the holders of preferred stock having liquidation preferences, if any, holders of Class A common stock and Class B common stock will be entitled to receive ratable portions of the Company’s remaining assets available for distribution; provided, that the holders of Class B common stock shall not be entitled to receive more than $0.0001 per share of Class B common stock and upon receiving such amount, shall not be entitled to receive any of the Company’s other assets or funds with respect to such shares of Class B common stock.</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Redeemable Convertible Preferred Stock</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On September 23, 2022 (the “Closing Date”), the Company issued 50,000 shares of the Company’s Series A Convertible Perpetual Preferred Stock (the “Issuance”), par value $0.0001 per share (the “Series A redeemable convertible preferred stock”), to Anthem Insurance Companies, Inc. and GH 22 Holdings, Inc. (the “Purchasers”) for an aggregate purchase price of $50.0 million, at $1,000 per share of the Series A redeemable convertible preferred stock. </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The Company is authorized to issue 20,000,000 shares of preferred stock with a par value of $0.0001 per share as of both December 31, 2025 and 2024, which had not been designated to any specific classes of preferred stock prior to the Closing Date. On the Closing Date, the Company designated and authorized the issuance of 50,000 shares under the Series A redeemable convertible preferred stock and 200,000 shares under the Series A-1 Convertible Non-Voting Perpetual Preferred Stock (the “Series A-1 convertible preferred stock”). </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18"/>
        </w:rPr>
      </w:pPr>
      <w:r>
        <w:rPr>
          <w:rFonts w:ascii="Arial;sans-serif" w:hAnsi="Arial;sans-serif"/>
          <w:b w:val="false"/>
          <w:color w:val="000000"/>
          <w:sz w:val="18"/>
        </w:rPr>
        <w:t>The Series A redeemable convertible preferred stock ranks senior to the shares of the Company’s Class A common stock and Class B common stock with respect to dividend rights and rights on the distribution of assets on any voluntary or involuntary liquidation, dissolution or winding up of the affairs of the Company. The Series A redeemable convertible preferred stock has an initial liquidation preference of $1,000 per share, which shall increase by accumulated quarterly dividends that are not paid in cash (“compounded dividends”). Dividends on each share of Series A redeemable convertible preferred stock shall accrue at an annual rate equal to 7%. Holders of Series A-1 convertible preferred stock are only entitled to dividends if the Company declares such dividends. For the twelve months ended December 31, 2025 and 2024, the Company accrued $3.9 million and $3.7 million, respectively, of dividends relating to the Series A redeemable convertible preferred stock that were not paid in cash. The accrued dividends are included in temporary equity on the Consolidated Balance Sheets. For the twelve months ended December 31, 2023, the Company paid $3.6 million in cash dividends relating to the Series A redeemable convertible preferred stock.</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The Series A redeemable convertible preferred stock is convertible in full at the option of the holders into the number of shares of Class A common stock equal to the quotient of (a) the sum of (i) the liquidation preference (reflecting increases for compounded dividends) plus (ii) the accrued dividends with respect to each share of convertible preferred stock as of the applicable conversion date divided by (b) the conversion price ($9.60 as of December 31, 2025 and subject to adjustment based on certain changes to the Company’s Class A common stock) as of the applicable conversion date. Notwithstanding the foregoing, a holder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716280"/>
                <wp:effectExtent l="0" t="0" r="0" b="0"/>
                <wp:wrapNone/>
                <wp:docPr id="90" name="Frame88"/>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84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84</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of Series A redeemable convertible preferred stock may elect to receive upon conversion, in lieu of the shares of Class A common stock otherwise deliverable, one share of Series A-1 convertible preferred stock for every 1,000 shares of Class A common stock otherwise deliverable upon conversion. The Series A-1 convertible preferred stock will be essentially a substitute for the Class A common stock in the form of non-voting preferred stock.</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terms of the Series A redeemable convertible preferred stock and Series A-1 convertible preferred stock contain certain anti-dilution adjustments. Subject to certain conditions, at any time after the third anniversary of the Closing Date, if the volume weighted average price per share of Class A common stock on The Nasdaq Global Market is equal to or greater than 150.0% of the then-applicable conversion price for each of at least twenty (20) trading days, whether or not consecutive, in any period of thirty (30) consecutive trading days ending on and including the trading day immediately before the Company provides the holders with notice of its election to convert all or a portion of the Series A redeemable convertible preferred stock into the relevant number of shares of Class A common stock or Series A-1 convertible preferred stock (at the election of the holder), the Company may elect to convert all or a portion of the Series A redeemable convertible preferred stock into the relevant number of shares of Class A common stock or Series A-1 convertible preferred stock.</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In the event of any voluntary or involuntary liquidation, dissolution or winding up of the affairs of the Company, the holders of shares of Series A-1 convertible preferred stock (if issued upon conversion of the Series A redeemable convertible preferred stock) will be entitled, out of assets legally available therefor, and subject to the rights of the holders of any senior stock (including the Series A redeemable convertible preferred stock) or parity stock (including the Class A and Class B common stock) and the rights of the Company’s existing and future creditors, to receive an aggregate amount per share equal to 1,000 (as may be adjusted) times the aggregate amount to be distributed per share to holders of shares of Class A common stock. Each holder of a whole share of Series A-1 convertible preferred stock (if issued upon conversion of the Series A redeemable convertible preferred stock) shall be entitled to receive when, as and if declared by the Board of Directors out of funds legally available for the purpose, an amount per share equal to 1,000 (as may be adjusted) times the aggregate per share amount of all cash dividends, and 1,000 (as may be adjusted) times the aggregate per share amount (payable in kind) of all non-cash dividends or other distributions other than a dividend payable in shares of Class A common stock or a subdivision of the outstanding shares of Class A common stock (by reclassification or otherwise), declared on each share of Class A common stock since the first issuance of any share of Series A-1 convertible preferred stock. Each holder of Series A-1 convertible preferred stock (if issued upon conversion of the Series A redeemable convertible preferred stock) will have the right, at such holder’s option, to convert in full each share of such holder’s Series A-1 convertible preferred stock at such time into the number of shares of Class A common stock based upon a conversion ratio of 1,000 shares of Class A common stock for each share of Series A-1 convertible preferred stock (such ratio being subject to adjustment).</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Under the Certificate of Designations, holders of the Series A redeemable convertible preferred stock are entitled to vote with the holders of the Class A common stock on an as-converted basis on all matters submitted to a vote of the holders of the Class A common stock. Notwithstanding the foregoing: (1) the lead Purchaser’s voting rights shall not exceed 9.99% of the voting rights associated with the issued and outstanding shares of capital stock of the Company at any time; and (2) the voting rights of the Purchasers holding Series A redeemable convertible preferred stock, voting on an as-converted basis with the holders of the Class A common stock and the holders of any other class or series of capital stock of the Company then entitled to vote, shall be capped at the maximum amount that would not result in requiring stockholder approval for the exercise of such voting rights pursuant to the listing rules of The Nasdaq Global Market. The Series A-1 convertible preferred stock is not entitled to vote with the Class A common stock on matters submitted to a vote of the holders of the Class A common stock and will have no voting rights except as required by applicable law.</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In addition, holders of the preferred stock are entitled to a separate class vote with respect to, among other things, amendments to the Company’s organizational documents that materially, adversely and disproportionately affect the Series A redeemable convertible preferred stock, authorizations or issuances by the Company of securities that are senior to or pari passu with the Series A redeemable convertible preferred stock and issuing any debt security (for the avoidance of doubt, excluding any draws under the Company’s Existing Credit Agreement referenced in the Certificate of Designations), if the Company’s Consolidated Total Net Debt (as defined in the Certificate of Designations) following such action would exceed four times the Company’s Consolidated EBITDA (as defined in the Certificate of Designations) for the Company’s most recently completed four consecutive fiscal quarters.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At any time following the fifth anniversary of the Closing Date, the Company may redeem the Series A redeemable convertible preferred stock, in whole or in part, for a per share amount in cash equal to the liquidation preference (reflecting increases for compounded dividends) thereof plus all accrued dividends as of the applicable redemption date. Upon certain change of control events involving the Company, (i) a holder of the Series A redeemable convertible preferred stock may, so long as such payment would not otherwise result in a breach of, or event of default under, then-existing credit agreements, indentures or other financing arrangements, require the Company to purchase and (ii) subject to a holder’s right to convert its shares of Series A redeemable convertible preferred stock into Class A common stock or Series A-1 convertible preferred stock at the then-current conversion price, the Company may elect to purchase, all or a portion of such holder’s shares of Series A redeemable convertible preferred stock that have not been so converted, in each case at a purchase price per share of Series A redeemable convertible preferred stock, payable in cash, equal to (i) if the change of control effective date occurs at any time prior to the fifth anniversary of the Closing Date, 160.0% of a Purchaser’s original investment amount and (ii) if the change of control effective date occurs on or after the fifth anniversary of the Closing Date, the liquidation preference (reflecting increases for compounded dividends) of such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716280"/>
                <wp:effectExtent l="0" t="0" r="0" b="0"/>
                <wp:wrapNone/>
                <wp:docPr id="91" name="Frame89"/>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85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85</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share of Series A redeemable convertible preferred stock plus the accrued dividends in respect of such share of Series A redeemable convertible preferred stock as of the change of control purchase date.</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Purchasers have entered into a customary registration rights agreement with respect to shares of Class A common stock held by the Purchasers issued upon any future conversion of the Series A redeemable convertible preferred stock or Series A-1 convertible preferred stock.</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In connection with the Issuance, the Company, as the managing member of GHH, LLC, caused GHH, LLC (i) to issue to the Company, in exchange for the proceeds from the Issuance, Series A preferred units and (ii) to authorize another series of preferred units, in each case having an aggregate liquidation preference and having terms substantially economically equivalent to the aggregate liquidation preference and the economic terms of the Series A redeemable convertible preferred stock and the Series A-1 convertible preferred stock, respectively, and entered into Amendment No. 2 to the GHH, LLC Agreement to effectuate the same.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Company classifies the Series A redeemable convertible preferred stock and Series A-1 convertible preferred stock outside of permanent equity as temporary equity since the redemption of such shares is not solely within the Company’s control. The Company does not remeasure the redeemable convertible preferred stock because it is not currently redeemable and not probable of becoming redeemable. The redeemable convertible preferred stock was recorded at fair value upon issuance, net of issuance costs of $1.6 million.</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Issuance of Shares of Class A Common Stock</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18"/>
        </w:rPr>
      </w:pPr>
      <w:r>
        <w:rPr>
          <w:rFonts w:ascii="Arial;sans-serif" w:hAnsi="Arial;sans-serif"/>
          <w:b w:val="false"/>
          <w:color w:val="000000"/>
          <w:sz w:val="18"/>
        </w:rPr>
        <w:t>As consideration for, and as a condition to, the lenders’ entry into Amendment No. 14 to the Existing Credit Agreement, on August 6, 2025, the Company issued to lenders (or their affiliates) holding Class A Revolving Loans and Existing Term Loans (for these purposes, the “Subscribers”), pro rata based on their respective holdings thereof, an aggregate of 4,766,219 shares of Class A common stock, which represented an aggregate of 19.99% of the total issued and outstanding shares of the Company’s Class A common stock and Class B common stock, calculated immediately prior to the consummation of the transactions contemplated by Amendment No. 14, or 16.66% post-closing. Pursuant to a Registration Rights Agreement among the Company and the Subscribers (as amended), the Subscribers are entitled to certain customary registration rights with respect to the shares issued to them. Refer to Note 5, “Long-Term Debt”, for more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A2299"/>
          <w:sz w:val="18"/>
        </w:rPr>
      </w:pPr>
      <w:r>
        <w:rPr>
          <w:rFonts w:ascii="Arial;sans-serif" w:hAnsi="Arial;sans-serif"/>
          <w:b/>
          <w:color w:val="0A2299"/>
          <w:sz w:val="18"/>
        </w:rPr>
        <w:t>7. SHARE-BASED COMPENSATION PLANS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following table summarizes share-based compensation expense by operating function for the periods presented:</w:t>
      </w:r>
    </w:p>
    <w:tbl>
      <w:tblPr>
        <w:tblW w:w="7486" w:type="dxa"/>
        <w:jc w:val="left"/>
        <w:tblInd w:w="0" w:type="dxa"/>
        <w:tblLayout w:type="fixed"/>
        <w:tblCellMar>
          <w:top w:w="28" w:type="dxa"/>
          <w:left w:w="28" w:type="dxa"/>
          <w:bottom w:w="28" w:type="dxa"/>
          <w:right w:w="28" w:type="dxa"/>
        </w:tblCellMar>
      </w:tblPr>
      <w:tblGrid>
        <w:gridCol w:w="1245"/>
        <w:gridCol w:w="1091"/>
        <w:gridCol w:w="1098"/>
        <w:gridCol w:w="109"/>
        <w:gridCol w:w="109"/>
        <w:gridCol w:w="109"/>
        <w:gridCol w:w="196"/>
        <w:gridCol w:w="571"/>
        <w:gridCol w:w="109"/>
        <w:gridCol w:w="109"/>
        <w:gridCol w:w="109"/>
        <w:gridCol w:w="109"/>
        <w:gridCol w:w="196"/>
        <w:gridCol w:w="661"/>
        <w:gridCol w:w="109"/>
        <w:gridCol w:w="109"/>
        <w:gridCol w:w="109"/>
        <w:gridCol w:w="109"/>
        <w:gridCol w:w="196"/>
        <w:gridCol w:w="661"/>
        <w:gridCol w:w="109"/>
        <w:gridCol w:w="109"/>
        <w:gridCol w:w="154"/>
      </w:tblGrid>
      <w:tr>
        <w:trPr/>
        <w:tc>
          <w:tcPr>
            <w:tcW w:w="1245"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Twelve months ended Dec.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Marketing and advertising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Consumer care and enrollment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share-based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9,170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11,281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19,564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2020 Incentive Award Plan</w:t>
      </w:r>
    </w:p>
    <w:p>
      <w:pPr>
        <w:pStyle w:val="TextBody"/>
        <w:bidi w:val="0"/>
        <w:spacing w:lineRule="auto" w:line="288" w:before="240" w:after="283"/>
        <w:jc w:val="left"/>
        <w:rPr/>
      </w:pPr>
      <w:r>
        <w:rPr>
          <w:rFonts w:ascii="Arial;sans-serif" w:hAnsi="Arial;sans-serif"/>
          <w:b w:val="false"/>
          <w:color w:val="000000"/>
          <w:sz w:val="18"/>
        </w:rPr>
        <w:t>During 2020, the Company adopted the 2020 Incentive Award Plan, which became effective on July 14, 2020. The number of Class A shares available for issuance will be increased annually on January 1</w:t>
      </w:r>
      <w:r>
        <w:rPr>
          <w:rFonts w:ascii="Arial;sans-serif" w:hAnsi="Arial;sans-serif"/>
          <w:b w:val="false"/>
          <w:color w:val="000000"/>
          <w:sz w:val="12"/>
        </w:rPr>
        <w:t>st</w:t>
      </w:r>
      <w:r>
        <w:rPr>
          <w:color w:val="000000"/>
        </w:rPr>
        <w:t xml:space="preserve"> </w:t>
      </w:r>
      <w:r>
        <w:rPr>
          <w:rFonts w:ascii="Arial;sans-serif" w:hAnsi="Arial;sans-serif"/>
          <w:b w:val="false"/>
          <w:color w:val="000000"/>
          <w:sz w:val="18"/>
        </w:rPr>
        <w:t xml:space="preserve">of each calendar year beginning in 2021 and ending in and including 2030, equal to the lesser of (A) 5% of the shares of the Company’s Class A common stock and Class B common stock outstanding on the final day of the immediately preceding calendar year and (B) a smaller number of shares as determined by the Board of Directors. The number of Class A shares available for issuance under the 2020 Incentive Award Plan as of December 31, 2025 was 246,411 shares. </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2021 Employment Inducement Award Plan</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During 2021, the Board of Directors approved the adoption of the GoHealth, Inc. 2021 Employment Inducement Award Plan (as amended from time to time, the “Inducement Award Plan”). In accordance with Rule 5635(c)(4), awards under the Inducement Award Plan may only be made to a newly hired employee who has not previously been a member of the Board of Directors, or an employee who is being rehired following a bona fide period of non-employment by the Company or a subsidiary, as a material inducement to the employee’s entering into employment with the Company or its subsidiary. As of December 31, 2025, there were 577,778 Class A shares available for issuance under the Inducement Award Plan.</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Profits Units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716280"/>
                <wp:effectExtent l="0" t="0" r="0" b="0"/>
                <wp:wrapNone/>
                <wp:docPr id="92" name="Frame90"/>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86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86</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Effective September 13, 2019 and in conjunction with the acquisition by Centerbridge of a 100% interest in Norvax, the Company authorized the grants of non-voting, time-vesting Profits Units (“Time-Vesting Units”). The Time-Vesting Units were issued by Blizzard Management Feeder, LLC (“Feeder”), to employees on behalf of the Company. The Time-Vesting Units granted to each employee will vest in 5 equal installments on the first through fifth anniversaries of the date of grant, so long as the employee remains employed by the Company through the applicable vesting date. Following the completion of the Transactions, each of the members of Feeder directly holds common units of Feeder that correspond to the LLC Interests (and associated shares of Class B common stock on a one-for-one basis) directly held by Feeder for each such member’s benefit. Compensation expense for the Time-Vesting Units is recognized on a straight-line basis over the five-year requisite service period beginning on the grant date. </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A summary of the Time-Vesting Units issued is as follows:</w:t>
      </w:r>
    </w:p>
    <w:tbl>
      <w:tblPr>
        <w:tblW w:w="9607" w:type="dxa"/>
        <w:jc w:val="left"/>
        <w:tblInd w:w="0" w:type="dxa"/>
        <w:tblLayout w:type="fixed"/>
        <w:tblCellMar>
          <w:top w:w="28" w:type="dxa"/>
          <w:left w:w="28" w:type="dxa"/>
          <w:bottom w:w="28" w:type="dxa"/>
          <w:right w:w="28" w:type="dxa"/>
        </w:tblCellMar>
      </w:tblPr>
      <w:tblGrid>
        <w:gridCol w:w="1136"/>
        <w:gridCol w:w="998"/>
        <w:gridCol w:w="1001"/>
        <w:gridCol w:w="109"/>
        <w:gridCol w:w="109"/>
        <w:gridCol w:w="109"/>
        <w:gridCol w:w="834"/>
        <w:gridCol w:w="834"/>
        <w:gridCol w:w="836"/>
        <w:gridCol w:w="109"/>
        <w:gridCol w:w="109"/>
        <w:gridCol w:w="109"/>
        <w:gridCol w:w="705"/>
        <w:gridCol w:w="2055"/>
        <w:gridCol w:w="554"/>
      </w:tblGrid>
      <w:tr>
        <w:trPr/>
        <w:tc>
          <w:tcPr>
            <w:tcW w:w="1136"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2055"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thousands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Number of Time-Vesting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 Average Grant Date Fair Value</w:t>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Unvested units at Dec.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20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35.98</w:t>
            </w:r>
            <w:r>
              <w:rPr>
                <w:color w:val="000000"/>
              </w:rPr>
              <w:t> </w:t>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35.98 </w:t>
            </w:r>
          </w:p>
        </w:tc>
        <w:tc>
          <w:tcPr>
            <w:tcW w:w="5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Unvested units at Dec.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8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20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5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Restricted Stock Units (“RSUs”)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Company measures expense for RSUs based on the fair value of the awards on the grant date. The Company recognizes the grant date fair value of RSUs as compensation expense on a straight-line basis over the requisite service period of each award, which is generally two to three years.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A summary of the RSUs issued is as follows:</w:t>
      </w:r>
    </w:p>
    <w:tbl>
      <w:tblPr>
        <w:tblW w:w="8527" w:type="dxa"/>
        <w:jc w:val="left"/>
        <w:tblInd w:w="0" w:type="dxa"/>
        <w:tblLayout w:type="fixed"/>
        <w:tblCellMar>
          <w:top w:w="28" w:type="dxa"/>
          <w:left w:w="28" w:type="dxa"/>
          <w:bottom w:w="28" w:type="dxa"/>
          <w:right w:w="28" w:type="dxa"/>
        </w:tblCellMar>
      </w:tblPr>
      <w:tblGrid>
        <w:gridCol w:w="1136"/>
        <w:gridCol w:w="998"/>
        <w:gridCol w:w="1001"/>
        <w:gridCol w:w="109"/>
        <w:gridCol w:w="109"/>
        <w:gridCol w:w="109"/>
        <w:gridCol w:w="474"/>
        <w:gridCol w:w="474"/>
        <w:gridCol w:w="476"/>
        <w:gridCol w:w="109"/>
        <w:gridCol w:w="109"/>
        <w:gridCol w:w="109"/>
        <w:gridCol w:w="705"/>
        <w:gridCol w:w="2055"/>
        <w:gridCol w:w="554"/>
      </w:tblGrid>
      <w:tr>
        <w:trPr/>
        <w:tc>
          <w:tcPr>
            <w:tcW w:w="1136"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2055"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thousands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Number of 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 Average Grant Date Fair Value</w:t>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Unvested units at Dec.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1,837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20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11.85</w:t>
            </w:r>
            <w:r>
              <w:rPr>
                <w:color w:val="000000"/>
              </w:rPr>
              <w:t> </w:t>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11.70 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12.33 </w:t>
            </w:r>
          </w:p>
        </w:tc>
        <w:tc>
          <w:tcPr>
            <w:tcW w:w="5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11.57 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Unvested units at Dec.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2,775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20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11.59</w:t>
            </w:r>
            <w:r>
              <w:rPr>
                <w:color w:val="000000"/>
              </w:rPr>
              <w:t> </w:t>
            </w:r>
          </w:p>
        </w:tc>
        <w:tc>
          <w:tcPr>
            <w:tcW w:w="5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As of December 31, 2025, there was $20.7 million of unamortized share-based compensation expense related to RSUs and these costs are expected to be recognized over a remaining weighted average period of 1.4 years.</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Stock Options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Company measures expense for stock options based on the fair value of the awards on the grant date. The Company recognizes the grant date fair value of stock options as compensation expense on a straight-line basis over the requisite service period of each award, which is generally three years.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A summary of the stock options issued to employees is as follows:</w:t>
      </w:r>
    </w:p>
    <w:tbl>
      <w:tblPr>
        <w:tblW w:w="10205" w:type="dxa"/>
        <w:jc w:val="left"/>
        <w:tblInd w:w="0" w:type="dxa"/>
        <w:tblLayout w:type="fixed"/>
        <w:tblCellMar>
          <w:top w:w="28" w:type="dxa"/>
          <w:left w:w="28" w:type="dxa"/>
          <w:bottom w:w="28" w:type="dxa"/>
          <w:right w:w="28" w:type="dxa"/>
        </w:tblCellMar>
      </w:tblPr>
      <w:tblGrid>
        <w:gridCol w:w="787"/>
        <w:gridCol w:w="563"/>
        <w:gridCol w:w="565"/>
        <w:gridCol w:w="109"/>
        <w:gridCol w:w="109"/>
        <w:gridCol w:w="109"/>
        <w:gridCol w:w="430"/>
        <w:gridCol w:w="430"/>
        <w:gridCol w:w="432"/>
        <w:gridCol w:w="109"/>
        <w:gridCol w:w="109"/>
        <w:gridCol w:w="109"/>
        <w:gridCol w:w="406"/>
        <w:gridCol w:w="1185"/>
        <w:gridCol w:w="226"/>
        <w:gridCol w:w="109"/>
        <w:gridCol w:w="109"/>
        <w:gridCol w:w="109"/>
        <w:gridCol w:w="794"/>
        <w:gridCol w:w="794"/>
        <w:gridCol w:w="797"/>
        <w:gridCol w:w="109"/>
        <w:gridCol w:w="109"/>
        <w:gridCol w:w="109"/>
        <w:gridCol w:w="369"/>
        <w:gridCol w:w="822"/>
        <w:gridCol w:w="297"/>
      </w:tblGrid>
      <w:tr>
        <w:trPr/>
        <w:tc>
          <w:tcPr>
            <w:tcW w:w="787"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1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thousands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Number of Stock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 Average Grant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 Average Remaining Contractual Term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Aggregate Intrinsic Value</w:t>
            </w:r>
            <w:r>
              <w:rPr>
                <w:rFonts w:ascii="Arial;sans-serif" w:hAnsi="Arial;sans-serif"/>
                <w:b/>
                <w:color w:val="000000"/>
                <w:sz w:val="10"/>
              </w:rPr>
              <w:t>(1)</w:t>
            </w:r>
          </w:p>
        </w:tc>
      </w:tr>
      <w:tr>
        <w:trPr/>
        <w:tc>
          <w:tcPr>
            <w:tcW w:w="1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Outstanding at Dec.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1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32.71</w:t>
            </w: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519</w:t>
            </w:r>
            <w:r>
              <w:rPr>
                <w:color w:val="000000"/>
              </w:rPr>
              <w:t> </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Exercised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Expired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111.29 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Outstanding at Dec.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421</w:t>
            </w:r>
            <w:r>
              <w:rPr>
                <w:color w:val="000000"/>
              </w:rPr>
              <w:t> </w:t>
            </w:r>
          </w:p>
        </w:tc>
        <w:tc>
          <w:tcPr>
            <w:tcW w:w="4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1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28.57</w:t>
            </w:r>
            <w:r>
              <w:rPr>
                <w:color w:val="000000"/>
              </w:rPr>
              <w:t>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Exercisable at Dec.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18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37.71</w:t>
            </w:r>
            <w:r>
              <w:rPr>
                <w:color w:val="000000"/>
              </w:rPr>
              <w:t> </w:t>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2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716280"/>
                <wp:effectExtent l="0" t="0" r="0" b="0"/>
                <wp:wrapNone/>
                <wp:docPr id="93" name="Frame91"/>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87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87</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ind w:left="0" w:right="0" w:hanging="360"/>
        <w:jc w:val="left"/>
        <w:rPr>
          <w:rFonts w:ascii="Arial;sans-serif" w:hAnsi="Arial;sans-serif"/>
          <w:b w:val="false"/>
          <w:i/>
          <w:color w:val="000000"/>
          <w:sz w:val="16"/>
        </w:rPr>
      </w:pPr>
      <w:r>
        <w:rPr>
          <w:rFonts w:ascii="Arial;sans-serif" w:hAnsi="Arial;sans-serif"/>
          <w:b w:val="false"/>
          <w:i/>
          <w:color w:val="000000"/>
          <w:sz w:val="16"/>
        </w:rPr>
        <w:t>(1)The aggregate intrinsic value is calculated as the product between the Company’s closing stock price as of December 31, 2025 and 2024 and the exercise price of in-the-money options as of those dates.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fair value of stock options with a requisite service period of 3 years is determined using the Black-Scholes option pricing model using the following assumptions:</w:t>
      </w:r>
    </w:p>
    <w:tbl>
      <w:tblPr>
        <w:tblW w:w="5125" w:type="dxa"/>
        <w:jc w:val="left"/>
        <w:tblInd w:w="0" w:type="dxa"/>
        <w:tblLayout w:type="fixed"/>
        <w:tblCellMar>
          <w:top w:w="28" w:type="dxa"/>
          <w:left w:w="28" w:type="dxa"/>
          <w:bottom w:w="28" w:type="dxa"/>
          <w:right w:w="28" w:type="dxa"/>
        </w:tblCellMar>
      </w:tblPr>
      <w:tblGrid>
        <w:gridCol w:w="662"/>
        <w:gridCol w:w="581"/>
        <w:gridCol w:w="586"/>
        <w:gridCol w:w="109"/>
        <w:gridCol w:w="109"/>
        <w:gridCol w:w="109"/>
        <w:gridCol w:w="868"/>
        <w:gridCol w:w="868"/>
        <w:gridCol w:w="1233"/>
      </w:tblGrid>
      <w:tr>
        <w:trPr/>
        <w:tc>
          <w:tcPr>
            <w:tcW w:w="662"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Twelve months ended Dec. 31, 2025</w:t>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Risk free interest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3.6%</w:t>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Expected volatility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88.4%</w:t>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Expected life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w:t>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Expected dividend yield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0.0%</w:t>
            </w:r>
          </w:p>
        </w:tc>
      </w:tr>
    </w:tbl>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Performance Stock Units (“PSUs”)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On June 7, 2022, the Company granted an aggregate of 194,444 shares of Class A common stock issuable pursuant to volume weighted average PSUs (“VWAPs”). The number of shares issued on the third anniversary of the date of grant is based on volume weighted average price performance over such three-year period (“Three Year VWAP”) in the following percentages: (i) 50% if the Three Year VWAP is equal to or greater than $30.00 but less than $45.00; (ii) 100% if the Three Year VWAP is equal to or greater than $45.00 but less than $60.00; (iii) 150% if the Three Year VWAP is equal to or greater than $60.00 but less than $90.00; and (iv) 200% if the Three Year VWAP is equal to or greater than $90.00. The Company estimated the grant-date fair value of the awards subject to a market condition using a Monte Carlo simulation model, using the following weighted-average assumptions: risk-free interest rate of 2.9% and annualized volatility of 94%. The grant-date fair value of the VWAPs was $8.25. The Company recognizes the grant-date fair value of VWAPs as compensation expense on a straight-line basis over the three-year performance period.</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On April 10, 2023, the Company granted an aggregate of 100,000 shares of Class A common stock issuable pursuant to PSUs. The criteria for the performance-based PSUs are based on the Company’s compound annual growth rate in Adjusted EBITDA (“Adjusted EBITDA CAGR Percentage”), determined based on the Company’s Adjusted EBITDA for calendar year 2025 compared to the Company’s reported 2022 Adjusted EBITDA. Depending on the Adjusted EBITDA CAGR Percentage achieved, the number of PSUs earned can vary from 0% of the target award to a maximum of 200% of the target award and will vest on the date the Company files its Annual Report on Form 10-K for the fiscal year ending December 31, 2025, subject to the participants’ continued service with the Company through that date. The grant-date fair value of the PSUs was $14.10 per share, which was the Company’s closing stock price on the grant date. The Company will accrue compensation cost on a straight-line basis over the requisite service period for the PSUs that are expected to vest. The Company will reassess the probability of achieving the performance condition at each reporting period and record a cumulative catch-up adjustment for any changes to its assessment, which could be either a reversal or increase in expense. </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On April 1, 2024, the Company granted an aggregate of 83,333 shares of Class A common stock issuable pursuant to PSUs. The criteria for the performance-based PSUs are based on the Company’s Adjusted EBITDA CAGR Percentage determined based on the Company’s Adjusted EBITDA for calendar year 2026 compared to the Company’s reported 2023 Adjusted EBITDA. Depending on the Adjusted EBITDA CAGR Percentage achieved, the number of PSUs earned can vary from 0% of the target award to a maximum of 200% of the target award and will vest on the date the Company files its Annual Report on Form 10-K for the fiscal year ending December 31, 2026, subject to the participants’ continued service with the Company through that date. The grant-date fair value of the PSUs was $10.65 per share, which was the Company’s closing stock price on the grant date. The Company will accrue compensation cost on a straight-line basis over the requisite service period for the PSUs that are expected to vest. The Company will reassess the probability of achieving the performance condition at each reporting period and record a cumulative catch-up adjustment for any changes to its assessment, which could be either a reversal or increase in expense. </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A summary of the PSUs issued is as follows:</w:t>
      </w:r>
    </w:p>
    <w:tbl>
      <w:tblPr>
        <w:tblW w:w="9593" w:type="dxa"/>
        <w:jc w:val="left"/>
        <w:tblInd w:w="0" w:type="dxa"/>
        <w:tblLayout w:type="fixed"/>
        <w:tblCellMar>
          <w:top w:w="28" w:type="dxa"/>
          <w:left w:w="28" w:type="dxa"/>
          <w:bottom w:w="28" w:type="dxa"/>
          <w:right w:w="28" w:type="dxa"/>
        </w:tblCellMar>
      </w:tblPr>
      <w:tblGrid>
        <w:gridCol w:w="1136"/>
        <w:gridCol w:w="998"/>
        <w:gridCol w:w="1001"/>
        <w:gridCol w:w="109"/>
        <w:gridCol w:w="109"/>
        <w:gridCol w:w="109"/>
        <w:gridCol w:w="469"/>
        <w:gridCol w:w="469"/>
        <w:gridCol w:w="471"/>
        <w:gridCol w:w="109"/>
        <w:gridCol w:w="109"/>
        <w:gridCol w:w="109"/>
        <w:gridCol w:w="935"/>
        <w:gridCol w:w="2725"/>
        <w:gridCol w:w="735"/>
      </w:tblGrid>
      <w:tr>
        <w:trPr/>
        <w:tc>
          <w:tcPr>
            <w:tcW w:w="1136"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272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thousands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Number of PSUs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 Average Fair Value at Date of Grant Per Unit</w:t>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Unvested units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27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10.88</w:t>
            </w:r>
            <w:r>
              <w:rPr>
                <w:color w:val="000000"/>
              </w:rPr>
              <w:t> </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8.25 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Unvested units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12.38</w:t>
            </w:r>
          </w:p>
        </w:tc>
      </w:tr>
    </w:tbl>
    <w:p>
      <w:pPr>
        <w:pStyle w:val="TextBody"/>
        <w:bidi w:val="0"/>
        <w:spacing w:lineRule="auto" w:line="288" w:before="240" w:after="283"/>
        <w:jc w:val="left"/>
        <w:rPr>
          <w:rFonts w:ascii="Arial;sans-serif" w:hAnsi="Arial;sans-serif"/>
          <w:b w:val="false"/>
          <w:i/>
          <w:color w:val="000000"/>
          <w:sz w:val="18"/>
          <w:u w:val="single"/>
        </w:rPr>
      </w:pPr>
      <w:r>
        <w:rPr>
          <w:rFonts w:ascii="Arial;sans-serif" w:hAnsi="Arial;sans-serif"/>
          <w:b w:val="false"/>
          <w:i/>
          <w:color w:val="000000"/>
          <w:sz w:val="18"/>
          <w:u w:val="single"/>
        </w:rPr>
        <w:t>2020 Employee Stock Purchase Plan</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During 2020, the Company adopted the 2020 Employee Stock Purchase Plan (“ESPP”). The purpose of the ESPP is to provide the Company's eligible employees with an opportunity to purchase designated shares of the Company’s Class A common stock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716280"/>
                <wp:effectExtent l="0" t="0" r="0" b="0"/>
                <wp:wrapNone/>
                <wp:docPr id="94" name="Frame92"/>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88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88</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pPr>
      <w:r>
        <w:rPr>
          <w:rFonts w:ascii="Arial;sans-serif" w:hAnsi="Arial;sans-serif"/>
          <w:b w:val="false"/>
          <w:color w:val="000000"/>
          <w:sz w:val="18"/>
        </w:rPr>
        <w:t>at a price equal to 85% of the lower of the closing price at the beginning or end of each offering period. The number of shares available for issuance under the ESPP will be annually increased on January 1</w:t>
      </w:r>
      <w:r>
        <w:rPr>
          <w:rFonts w:ascii="Arial;sans-serif" w:hAnsi="Arial;sans-serif"/>
          <w:b w:val="false"/>
          <w:color w:val="000000"/>
          <w:sz w:val="12"/>
        </w:rPr>
        <w:t>st</w:t>
      </w:r>
      <w:r>
        <w:rPr>
          <w:color w:val="000000"/>
        </w:rPr>
        <w:t xml:space="preserve"> </w:t>
      </w:r>
      <w:r>
        <w:rPr>
          <w:rFonts w:ascii="Arial;sans-serif" w:hAnsi="Arial;sans-serif"/>
          <w:b w:val="false"/>
          <w:color w:val="000000"/>
          <w:sz w:val="18"/>
        </w:rPr>
        <w:t>of each calendar year beginning in 2021 and ending in 2030, by an amount equal to the lesser of: (i) 1% of the aggregate number of shares of the Company’s Class A common stock outstanding on the final day of the immediately preceding calendar year and (ii) such smaller number of shares as is determined by the Board of Directors. The number of shares reserved for issuance at December 31, 2025 was 16,926 shares.</w:t>
      </w:r>
    </w:p>
    <w:p>
      <w:pPr>
        <w:pStyle w:val="TextBody"/>
        <w:bidi w:val="0"/>
        <w:spacing w:lineRule="auto" w:line="288" w:before="240" w:after="283"/>
        <w:jc w:val="left"/>
        <w:rPr>
          <w:rFonts w:ascii="Arial;sans-serif" w:hAnsi="Arial;sans-serif"/>
          <w:b w:val="false"/>
          <w:i/>
          <w:color w:val="000000"/>
          <w:sz w:val="18"/>
          <w:u w:val="single"/>
        </w:rPr>
      </w:pPr>
      <w:r>
        <w:rPr>
          <w:rFonts w:ascii="Arial;sans-serif" w:hAnsi="Arial;sans-serif"/>
          <w:b w:val="false"/>
          <w:i/>
          <w:color w:val="000000"/>
          <w:sz w:val="18"/>
          <w:u w:val="single"/>
        </w:rPr>
        <w:t>Stock Appreciation Rights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On June 6, 2022, the Founders were each granted two stock appreciation rights ("SARs") under the 2020 Plan. The first SAR commenced on June 6, 2022, and the second SAR commenced on June 21, 2023. Each SAR will be settled in cash with an aggregate commencement date value equal to $1.5 million (the number of shares determined by dividing such value by the per share Black-Scholes valuation as of the date of commencement), will have an exercise price equal to the fair market value of a share of the Company’s common stock on the date of commencement and will vest in full on the third anniversary of the date of commencement. The total initial fair value of the awards were recorded as expense at the time of the grant for the SARs with no future service requirement. The fair value of the awards with a future service requirement will be recognized on a straight-line basis over the requisite service period. The fair value of the SARs is revalued (mark-to-market) each reporting period using the Black-Scholes valuation model based on the Company’s period-end stock price. SARs are liability-classified awards, and as such, are recorded as a liability on the Consolidated Balance Sheets. As of December 31, 2025 and December 31, 2024, the Company had a share-based compensation liability related to the SARs of $0.2 million and $4.5 million,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A2299"/>
          <w:sz w:val="18"/>
        </w:rPr>
      </w:pPr>
      <w:r>
        <w:rPr>
          <w:rFonts w:ascii="Arial;sans-serif" w:hAnsi="Arial;sans-serif"/>
          <w:b/>
          <w:color w:val="0A2299"/>
          <w:sz w:val="18"/>
        </w:rPr>
        <w:t>8. NET LOSS PER SHARE</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Basic loss per share is computed by dividing net loss attributable to common stockholders by the weighted-average number of shares of Class A common stock outstanding during the period. Diluted loss per share is computed giving effect to all potentially dilutive shares. Diluted loss per share for all periods presented is the same as basic loss per share as the inclusion of potentially issuable shares would be antidilutive.</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A reconciliation of the numerator and denominator used in the calculation of basic and diluted net loss per share of Class A common stock is as follows:</w:t>
      </w:r>
    </w:p>
    <w:tbl>
      <w:tblPr>
        <w:tblW w:w="10205" w:type="dxa"/>
        <w:jc w:val="left"/>
        <w:tblInd w:w="0" w:type="dxa"/>
        <w:tblLayout w:type="fixed"/>
        <w:tblCellMar>
          <w:top w:w="28" w:type="dxa"/>
          <w:left w:w="28" w:type="dxa"/>
          <w:bottom w:w="28" w:type="dxa"/>
          <w:right w:w="28" w:type="dxa"/>
        </w:tblCellMar>
      </w:tblPr>
      <w:tblGrid>
        <w:gridCol w:w="2191"/>
        <w:gridCol w:w="1907"/>
        <w:gridCol w:w="1919"/>
        <w:gridCol w:w="109"/>
        <w:gridCol w:w="109"/>
        <w:gridCol w:w="109"/>
        <w:gridCol w:w="196"/>
        <w:gridCol w:w="808"/>
        <w:gridCol w:w="109"/>
        <w:gridCol w:w="109"/>
        <w:gridCol w:w="109"/>
        <w:gridCol w:w="109"/>
        <w:gridCol w:w="196"/>
        <w:gridCol w:w="628"/>
        <w:gridCol w:w="109"/>
        <w:gridCol w:w="109"/>
        <w:gridCol w:w="109"/>
        <w:gridCol w:w="109"/>
        <w:gridCol w:w="196"/>
        <w:gridCol w:w="808"/>
        <w:gridCol w:w="157"/>
      </w:tblGrid>
      <w:tr>
        <w:trPr/>
        <w:tc>
          <w:tcPr>
            <w:tcW w:w="2191" w:type="dxa"/>
            <w:tcBorders/>
            <w:vAlign w:val="center"/>
          </w:tcPr>
          <w:p>
            <w:pPr>
              <w:pStyle w:val="TableContents"/>
              <w:bidi w:val="0"/>
              <w:spacing w:before="0" w:after="283"/>
              <w:jc w:val="left"/>
              <w:rPr>
                <w:sz w:val="4"/>
                <w:szCs w:val="4"/>
              </w:rPr>
            </w:pPr>
            <w:r>
              <w:rPr>
                <w:sz w:val="4"/>
                <w:szCs w:val="4"/>
              </w:rPr>
            </w:r>
          </w:p>
        </w:tc>
        <w:tc>
          <w:tcPr>
            <w:tcW w:w="1907" w:type="dxa"/>
            <w:tcBorders/>
            <w:vAlign w:val="center"/>
          </w:tcPr>
          <w:p>
            <w:pPr>
              <w:pStyle w:val="TableContents"/>
              <w:bidi w:val="0"/>
              <w:spacing w:before="0" w:after="283"/>
              <w:jc w:val="left"/>
              <w:rPr>
                <w:sz w:val="4"/>
                <w:szCs w:val="4"/>
              </w:rPr>
            </w:pPr>
            <w:r>
              <w:rPr>
                <w:sz w:val="4"/>
                <w:szCs w:val="4"/>
              </w:rPr>
            </w:r>
          </w:p>
        </w:tc>
        <w:tc>
          <w:tcPr>
            <w:tcW w:w="19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Twelve months ended Dec. 31,</w:t>
            </w:r>
          </w:p>
        </w:tc>
      </w:tr>
      <w:tr>
        <w:trPr/>
        <w:tc>
          <w:tcPr>
            <w:tcW w:w="60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thousands,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r>
      <w:tr>
        <w:trPr/>
        <w:tc>
          <w:tcPr>
            <w:tcW w:w="60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Numerator: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(497,755)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(151,270)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Less: Net loss attributable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(240,629)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(88,013)</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 attributable to GoHealth,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(257,126)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(2,928)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(63,257)</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Less: Dividends paid on redeemable convertible preferred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3,566 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 attributable to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(261,050)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(6,589)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(66,823)</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Denominator: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Weighted-average shares of Class A common stock outstanding—basic and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9,292 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loss per share of Class A common stock—basic and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(20.17)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(0.66)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(7.19)</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following number of shares were excluded from the calculation of diluted income (loss) per share of Class A common stock because the effect of including such potentially dilutive shares would have been antidilutive:</w:t>
      </w:r>
    </w:p>
    <w:tbl>
      <w:tblPr>
        <w:tblW w:w="6488" w:type="dxa"/>
        <w:jc w:val="left"/>
        <w:tblInd w:w="0" w:type="dxa"/>
        <w:tblLayout w:type="fixed"/>
        <w:tblCellMar>
          <w:top w:w="28" w:type="dxa"/>
          <w:left w:w="28" w:type="dxa"/>
          <w:bottom w:w="28" w:type="dxa"/>
          <w:right w:w="28" w:type="dxa"/>
        </w:tblCellMar>
      </w:tblPr>
      <w:tblGrid>
        <w:gridCol w:w="1103"/>
        <w:gridCol w:w="968"/>
        <w:gridCol w:w="973"/>
        <w:gridCol w:w="109"/>
        <w:gridCol w:w="109"/>
        <w:gridCol w:w="109"/>
        <w:gridCol w:w="323"/>
        <w:gridCol w:w="323"/>
        <w:gridCol w:w="156"/>
        <w:gridCol w:w="109"/>
        <w:gridCol w:w="109"/>
        <w:gridCol w:w="109"/>
        <w:gridCol w:w="323"/>
        <w:gridCol w:w="323"/>
        <w:gridCol w:w="156"/>
        <w:gridCol w:w="109"/>
        <w:gridCol w:w="109"/>
        <w:gridCol w:w="109"/>
        <w:gridCol w:w="323"/>
        <w:gridCol w:w="323"/>
        <w:gridCol w:w="213"/>
      </w:tblGrid>
      <w:tr>
        <w:trPr/>
        <w:tc>
          <w:tcPr>
            <w:tcW w:w="1103"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7"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Dec. 31,</w:t>
            </w:r>
          </w:p>
        </w:tc>
      </w:tr>
      <w:tr>
        <w:trPr/>
        <w:tc>
          <w:tcPr>
            <w:tcW w:w="3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Equity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3,296 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2,488 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1,973 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Redeemable convertible 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4,113 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3,989 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3,873 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Class B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12,621 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12,711 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12,814 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Shares of Class B common stock do not share in earnings and are not participating securities. Accordingly, separate presentation of loss per share of Class B common stock under the two-class method has not been presented. Shares of Series A redeemable convertible preferred stock are not participating securities as holders receive a contractual dividend. Accordingly, separate presentation of loss per share of Series A redeemable convertible preferred stock under the two-class method has not been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A2299"/>
          <w:sz w:val="18"/>
        </w:rPr>
      </w:pPr>
      <w:r>
        <w:rPr>
          <w:rFonts w:ascii="Arial;sans-serif" w:hAnsi="Arial;sans-serif"/>
          <w:b/>
          <w:color w:val="0A2299"/>
          <w:sz w:val="18"/>
        </w:rPr>
        <w:t xml:space="preserve">9. INCOME TAXES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716280"/>
                <wp:effectExtent l="0" t="0" r="0" b="0"/>
                <wp:wrapNone/>
                <wp:docPr id="95" name="Frame93"/>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89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89</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The Company is taxed as a corporation for income tax purposes and is subject to federal, state and local taxes on the income allocated to it from GHH, LLC based upon the Company’s economic interest in GHH, LLC. The Company is the sole managing member of GHH, LLC and, as a result, consolidates the financial results of GHH, LLC. GHH, LLC is a limited liability company taxed as a partnership for income tax purposes. As a partnership, GHH, LLC does not pay any federal income taxes, as income or loss is included in the tax returns of the individual members. In 2024, the Company acquired a 100% equity interest in e-TeleQuote Insurance, Inc. (“e-TeleQuote”) which is taxed as a corporation. Prior to April 1, 2023 certain of the Company’s wholly-owned entities were taxed as corporations. These corporations are subject to federal and state income taxes in the jurisdictions in which they operate. Additionally, the Company’s foreign subsidiaries are subject to foreign income taxes in the jurisdiction in which they operate. The accruals for such taxes are included in the Consolidated Financial Statements.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components of income (loss) before income taxes are as follows:</w:t>
      </w:r>
    </w:p>
    <w:tbl>
      <w:tblPr>
        <w:tblW w:w="7044" w:type="dxa"/>
        <w:jc w:val="left"/>
        <w:tblInd w:w="0" w:type="dxa"/>
        <w:tblLayout w:type="fixed"/>
        <w:tblCellMar>
          <w:top w:w="28" w:type="dxa"/>
          <w:left w:w="28" w:type="dxa"/>
          <w:bottom w:w="28" w:type="dxa"/>
          <w:right w:w="28" w:type="dxa"/>
        </w:tblCellMar>
      </w:tblPr>
      <w:tblGrid>
        <w:gridCol w:w="1033"/>
        <w:gridCol w:w="906"/>
        <w:gridCol w:w="911"/>
        <w:gridCol w:w="109"/>
        <w:gridCol w:w="109"/>
        <w:gridCol w:w="109"/>
        <w:gridCol w:w="196"/>
        <w:gridCol w:w="811"/>
        <w:gridCol w:w="109"/>
        <w:gridCol w:w="109"/>
        <w:gridCol w:w="109"/>
        <w:gridCol w:w="109"/>
        <w:gridCol w:w="196"/>
        <w:gridCol w:w="631"/>
        <w:gridCol w:w="109"/>
        <w:gridCol w:w="109"/>
        <w:gridCol w:w="109"/>
        <w:gridCol w:w="109"/>
        <w:gridCol w:w="196"/>
        <w:gridCol w:w="811"/>
        <w:gridCol w:w="154"/>
      </w:tblGrid>
      <w:tr>
        <w:trPr/>
        <w:tc>
          <w:tcPr>
            <w:tcW w:w="1033"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Twelve months ended Dec. 31,</w:t>
            </w:r>
          </w:p>
        </w:tc>
      </w:tr>
      <w:tr>
        <w:trPr/>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Domestic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(500,179)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(151,321)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Income (loss)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(501,090)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(5,052)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(151,116)</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components of income tax expense (benefit) are as follows:</w:t>
      </w:r>
    </w:p>
    <w:tbl>
      <w:tblPr>
        <w:tblW w:w="5994" w:type="dxa"/>
        <w:jc w:val="left"/>
        <w:tblInd w:w="0" w:type="dxa"/>
        <w:tblLayout w:type="fixed"/>
        <w:tblCellMar>
          <w:top w:w="28" w:type="dxa"/>
          <w:left w:w="28" w:type="dxa"/>
          <w:bottom w:w="28" w:type="dxa"/>
          <w:right w:w="28" w:type="dxa"/>
        </w:tblCellMar>
      </w:tblPr>
      <w:tblGrid>
        <w:gridCol w:w="875"/>
        <w:gridCol w:w="767"/>
        <w:gridCol w:w="773"/>
        <w:gridCol w:w="109"/>
        <w:gridCol w:w="109"/>
        <w:gridCol w:w="109"/>
        <w:gridCol w:w="196"/>
        <w:gridCol w:w="631"/>
        <w:gridCol w:w="109"/>
        <w:gridCol w:w="109"/>
        <w:gridCol w:w="109"/>
        <w:gridCol w:w="109"/>
        <w:gridCol w:w="196"/>
        <w:gridCol w:w="571"/>
        <w:gridCol w:w="109"/>
        <w:gridCol w:w="109"/>
        <w:gridCol w:w="109"/>
        <w:gridCol w:w="109"/>
        <w:gridCol w:w="196"/>
        <w:gridCol w:w="436"/>
        <w:gridCol w:w="154"/>
      </w:tblGrid>
      <w:tr>
        <w:trPr/>
        <w:tc>
          <w:tcPr>
            <w:tcW w:w="875"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Twelve months ended Dec. 31,</w:t>
            </w:r>
          </w:p>
        </w:tc>
      </w:tr>
      <w:tr>
        <w:trPr/>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Current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Federal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State and local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current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Federal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State and local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(3,751)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Income tax (benefit)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(3,335)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2,267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154</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A reconciliation of the statutory U.S. federal income tax rate to our effective income tax rate for the year ended December 31, 2025 is as follows:</w:t>
      </w:r>
    </w:p>
    <w:tbl>
      <w:tblPr>
        <w:tblW w:w="8038" w:type="dxa"/>
        <w:jc w:val="left"/>
        <w:tblInd w:w="0" w:type="dxa"/>
        <w:tblLayout w:type="fixed"/>
        <w:tblCellMar>
          <w:top w:w="28" w:type="dxa"/>
          <w:left w:w="28" w:type="dxa"/>
          <w:bottom w:w="28" w:type="dxa"/>
          <w:right w:w="28" w:type="dxa"/>
        </w:tblCellMar>
      </w:tblPr>
      <w:tblGrid>
        <w:gridCol w:w="1791"/>
        <w:gridCol w:w="1575"/>
        <w:gridCol w:w="1584"/>
        <w:gridCol w:w="109"/>
        <w:gridCol w:w="109"/>
        <w:gridCol w:w="109"/>
        <w:gridCol w:w="269"/>
        <w:gridCol w:w="271"/>
        <w:gridCol w:w="401"/>
        <w:gridCol w:w="307"/>
        <w:gridCol w:w="1272"/>
        <w:gridCol w:w="241"/>
      </w:tblGrid>
      <w:tr>
        <w:trPr/>
        <w:tc>
          <w:tcPr>
            <w:tcW w:w="1791" w:type="dxa"/>
            <w:tcBorders/>
            <w:vAlign w:val="center"/>
          </w:tcPr>
          <w:p>
            <w:pPr>
              <w:pStyle w:val="TableContents"/>
              <w:bidi w:val="0"/>
              <w:spacing w:before="0" w:after="283"/>
              <w:jc w:val="left"/>
              <w:rPr>
                <w:sz w:val="4"/>
                <w:szCs w:val="4"/>
              </w:rPr>
            </w:pPr>
            <w:r>
              <w:rPr>
                <w:sz w:val="4"/>
                <w:szCs w:val="4"/>
              </w:rPr>
            </w:r>
          </w:p>
        </w:tc>
        <w:tc>
          <w:tcPr>
            <w:tcW w:w="1575"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1"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Twelve months ended Dec. 31,</w:t>
            </w:r>
          </w:p>
        </w:tc>
      </w:tr>
      <w:tr>
        <w:trPr/>
        <w:tc>
          <w:tcPr>
            <w:tcW w:w="4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1"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U.S. statutory tax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21.0 </w:t>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(105,421)</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State taxes, net of the federal benefit</w:t>
            </w:r>
            <w:r>
              <w:rPr>
                <w:rFonts w:ascii="Arial;sans-serif" w:hAnsi="Arial;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(6,120)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Nontaxable or nondeductible items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w:t>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49,265 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w:t>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 in valuation allowance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w:t>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54,867 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Effect of changes in tax laws or rates enacted in the current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(0.5)</w:t>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2,338 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Foreign tax differences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0.0 </w:t>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0.0 </w:t>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Effective tax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0.7</w:t>
            </w:r>
            <w:r>
              <w:rPr>
                <w:color w:val="000000"/>
              </w:rPr>
              <w:t> </w:t>
            </w:r>
          </w:p>
        </w:tc>
        <w:tc>
          <w:tcPr>
            <w:tcW w:w="4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157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(3,335)</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i/>
          <w:color w:val="000000"/>
          <w:sz w:val="14"/>
        </w:rPr>
      </w:pPr>
      <w:r>
        <w:rPr>
          <w:rFonts w:ascii="Arial;sans-serif" w:hAnsi="Arial;sans-serif"/>
          <w:b w:val="false"/>
          <w:i/>
          <w:color w:val="000000"/>
          <w:sz w:val="14"/>
        </w:rPr>
        <w:t xml:space="preserve">(1)State taxes in Texas make up the majority of the tax effect in this category.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 reconciliation of the statutory U.S. federal income tax rate to our effective income tax rate for the years ended December 31, 2024 and 2023, respectively is as follows: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716280"/>
                <wp:effectExtent l="0" t="0" r="0" b="0"/>
                <wp:wrapNone/>
                <wp:docPr id="96" name="Frame94"/>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90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90</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tbl>
      <w:tblPr>
        <w:tblW w:w="7281" w:type="dxa"/>
        <w:jc w:val="left"/>
        <w:tblInd w:w="0" w:type="dxa"/>
        <w:tblLayout w:type="fixed"/>
        <w:tblCellMar>
          <w:top w:w="28" w:type="dxa"/>
          <w:left w:w="28" w:type="dxa"/>
          <w:bottom w:w="28" w:type="dxa"/>
          <w:right w:w="28" w:type="dxa"/>
        </w:tblCellMar>
      </w:tblPr>
      <w:tblGrid>
        <w:gridCol w:w="1604"/>
        <w:gridCol w:w="1408"/>
        <w:gridCol w:w="1413"/>
        <w:gridCol w:w="314"/>
        <w:gridCol w:w="316"/>
        <w:gridCol w:w="488"/>
        <w:gridCol w:w="208"/>
        <w:gridCol w:w="208"/>
        <w:gridCol w:w="208"/>
        <w:gridCol w:w="269"/>
        <w:gridCol w:w="271"/>
        <w:gridCol w:w="574"/>
      </w:tblGrid>
      <w:tr>
        <w:trPr/>
        <w:tc>
          <w:tcPr>
            <w:tcW w:w="1604"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Twelve months ended Dec. 31</w:t>
            </w:r>
          </w:p>
        </w:tc>
      </w:tr>
      <w:tr>
        <w:trPr/>
        <w:tc>
          <w:tcPr>
            <w:tcW w:w="4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6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Expected U.S. federal income tax expense at statutory rate</w:t>
            </w:r>
          </w:p>
        </w:tc>
        <w:tc>
          <w:tcPr>
            <w:tcW w:w="6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21.0 </w:t>
            </w:r>
          </w:p>
        </w:tc>
        <w:tc>
          <w:tcPr>
            <w:tcW w:w="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21.0 </w:t>
            </w:r>
          </w:p>
        </w:tc>
        <w:tc>
          <w:tcPr>
            <w:tcW w:w="5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State taxes, net of the federal benefit</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11.9 </w:t>
            </w:r>
          </w:p>
        </w:tc>
        <w:tc>
          <w:tcPr>
            <w:tcW w:w="4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5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attributable to non-controlling interests</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(235.4)</w:t>
            </w:r>
          </w:p>
        </w:tc>
        <w:tc>
          <w:tcPr>
            <w:tcW w:w="4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w:t>
            </w:r>
          </w:p>
        </w:tc>
        <w:tc>
          <w:tcPr>
            <w:tcW w:w="5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 in valuation allowance</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(192.9)</w:t>
            </w:r>
          </w:p>
        </w:tc>
        <w:tc>
          <w:tcPr>
            <w:tcW w:w="4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0.8 </w:t>
            </w:r>
          </w:p>
        </w:tc>
        <w:tc>
          <w:tcPr>
            <w:tcW w:w="5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425"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4425"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 in deferred tax rate</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w:t>
            </w:r>
          </w:p>
        </w:tc>
        <w:tc>
          <w:tcPr>
            <w:tcW w:w="4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w:t>
            </w:r>
          </w:p>
        </w:tc>
        <w:tc>
          <w:tcPr>
            <w:tcW w:w="5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Bargain gain</w:t>
            </w:r>
            <w:r>
              <w:rPr>
                <w:color w:val="000000"/>
              </w:rPr>
              <w:t xml:space="preserve"> </w:t>
            </w:r>
            <w:r>
              <w:rPr>
                <w:rFonts w:ascii="Arial;sans-serif" w:hAnsi="Arial;sans-serif"/>
                <w:b w:val="false"/>
                <w:color w:val="000000"/>
                <w:sz w:val="10"/>
              </w:rPr>
              <w:t>(1)</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351.2 </w:t>
            </w:r>
          </w:p>
        </w:tc>
        <w:tc>
          <w:tcPr>
            <w:tcW w:w="4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0.0 </w:t>
            </w:r>
          </w:p>
        </w:tc>
        <w:tc>
          <w:tcPr>
            <w:tcW w:w="5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0.7 </w:t>
            </w:r>
          </w:p>
        </w:tc>
        <w:tc>
          <w:tcPr>
            <w:tcW w:w="4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w:t>
            </w:r>
          </w:p>
        </w:tc>
        <w:tc>
          <w:tcPr>
            <w:tcW w:w="5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Effective tax rate</w:t>
            </w:r>
          </w:p>
        </w:tc>
        <w:tc>
          <w:tcPr>
            <w:tcW w:w="63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(44.9)</w:t>
            </w:r>
          </w:p>
        </w:tc>
        <w:tc>
          <w:tcPr>
            <w:tcW w:w="4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(0.1)</w:t>
            </w:r>
          </w:p>
        </w:tc>
        <w:tc>
          <w:tcPr>
            <w:tcW w:w="5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bl>
    <w:p>
      <w:pPr>
        <w:pStyle w:val="TextBody"/>
        <w:bidi w:val="0"/>
        <w:spacing w:lineRule="auto" w:line="288" w:before="0" w:after="0"/>
        <w:jc w:val="left"/>
        <w:rPr/>
      </w:pPr>
      <w:r>
        <w:rPr>
          <w:rFonts w:ascii="Arial;sans-serif" w:hAnsi="Arial;sans-serif"/>
          <w:b w:val="false"/>
          <w:color w:val="000000"/>
          <w:sz w:val="14"/>
        </w:rPr>
        <w:t xml:space="preserve">(1) </w:t>
      </w:r>
      <w:r>
        <w:rPr>
          <w:rFonts w:ascii="Arial;sans-serif" w:hAnsi="Arial;sans-serif"/>
          <w:b w:val="false"/>
          <w:i/>
          <w:color w:val="000000"/>
          <w:sz w:val="14"/>
        </w:rPr>
        <w:t xml:space="preserve">Related to the acquisition of e-TeleQuote,as further described in Note 15, Acquisitions.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Company’s effective tax rate for the twelve months ended December 31, 2025, 2024, and 2023, was 0.7%, (44.9)% and (0.1)%, respectively. For the twelve months ended December 31, 2025, the effective tax rate was impacted by the loss attributable to non-controlling interest and change in valuation allowance. For the twelve months ended December 31, 2024, the effective tax rate was impacted by the loss attributable to non-controlling interest, change in valuation allowance and gain on bargain purchase. For the twelve months ended December 31, 2023, the effective tax rate was impacted by the change in deferred income tax rates, the loss attributable to non-controlling interest and change in valuation allowance.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following table presents income taxes paid, net of refunds, for the year ended December 31, 2025:</w:t>
      </w:r>
    </w:p>
    <w:p>
      <w:pPr>
        <w:pStyle w:val="TextBody"/>
        <w:bidi w:val="0"/>
        <w:spacing w:before="0" w:after="0"/>
        <w:jc w:val="left"/>
        <w:rPr/>
      </w:pPr>
      <w:r>
        <w:rPr/>
      </w:r>
    </w:p>
    <w:tbl>
      <w:tblPr>
        <w:tblW w:w="2315" w:type="dxa"/>
        <w:jc w:val="left"/>
        <w:tblInd w:w="0" w:type="dxa"/>
        <w:tblLayout w:type="fixed"/>
        <w:tblCellMar>
          <w:top w:w="28" w:type="dxa"/>
          <w:left w:w="28" w:type="dxa"/>
          <w:bottom w:w="28" w:type="dxa"/>
          <w:right w:w="28" w:type="dxa"/>
        </w:tblCellMar>
      </w:tblPr>
      <w:tblGrid>
        <w:gridCol w:w="560"/>
        <w:gridCol w:w="491"/>
        <w:gridCol w:w="493"/>
        <w:gridCol w:w="196"/>
        <w:gridCol w:w="421"/>
        <w:gridCol w:w="154"/>
      </w:tblGrid>
      <w:tr>
        <w:trPr/>
        <w:tc>
          <w:tcPr>
            <w:tcW w:w="56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r>
      <w:tr>
        <w:trPr/>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State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 - Slovakia</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paid for taxes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 2025, Slovakia was the only jurisdiction with cash taxes paid that equaled or exceeded 5% of total income taxes paid.</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Deferred Taxes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components of deferred tax assets and liabilities are as follows:</w:t>
      </w:r>
    </w:p>
    <w:tbl>
      <w:tblPr>
        <w:tblW w:w="6681" w:type="dxa"/>
        <w:jc w:val="left"/>
        <w:tblInd w:w="0" w:type="dxa"/>
        <w:tblLayout w:type="fixed"/>
        <w:tblCellMar>
          <w:top w:w="28" w:type="dxa"/>
          <w:left w:w="28" w:type="dxa"/>
          <w:bottom w:w="28" w:type="dxa"/>
          <w:right w:w="28" w:type="dxa"/>
        </w:tblCellMar>
      </w:tblPr>
      <w:tblGrid>
        <w:gridCol w:w="1413"/>
        <w:gridCol w:w="1240"/>
        <w:gridCol w:w="1247"/>
        <w:gridCol w:w="109"/>
        <w:gridCol w:w="109"/>
        <w:gridCol w:w="109"/>
        <w:gridCol w:w="196"/>
        <w:gridCol w:w="736"/>
        <w:gridCol w:w="109"/>
        <w:gridCol w:w="109"/>
        <w:gridCol w:w="109"/>
        <w:gridCol w:w="109"/>
        <w:gridCol w:w="196"/>
        <w:gridCol w:w="736"/>
        <w:gridCol w:w="154"/>
      </w:tblGrid>
      <w:tr>
        <w:trPr/>
        <w:tc>
          <w:tcPr>
            <w:tcW w:w="1413"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 31,</w:t>
            </w:r>
          </w:p>
        </w:tc>
      </w:tr>
      <w:tr>
        <w:trPr/>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2024</w:t>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Deferred tax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Basis in partnership 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130,292 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operating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144,937 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113,856 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Disallowed business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gross deferred tax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315,000 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262,660 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Valuation allowance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(311,967)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(258,641)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deferred tax assets, net of valuation allowance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4,019 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Deferred tax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Lease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Contract asset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(21,689)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(25,900)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gross deferred tax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(21,689)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(26,369)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Net deferred tax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(18,656)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(22,350)</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As a result of the Transactions and the IPO, the Company acquired LLC Interests and has recognized a deferred tax asset for the difference between the financial reporting and tax basis of its investment in GHH, LLC. In addition, the Company increased its ownership in GHH, LLC during the years ended December 31, 2025 and 2024, primarily through the redemption of LLC Interests and the issuance of shares to the lenders (see Note 6 “Stockholders' Equity”). The Company recognized a reduction in deferred tax assets in the amount of $2.7 million for the year ended December 31, 2025 associated with the basis difference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716280"/>
                <wp:effectExtent l="0" t="0" r="0" b="0"/>
                <wp:wrapNone/>
                <wp:docPr id="97" name="Frame95"/>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91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91</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our investment in GHH, LLC upon acquiring these LLC Interests. As of December 31, 2025, the total deferred tax asset related to the basis difference in the Company's investment in GHH, LLC was $142.8 million. </w:t>
      </w:r>
    </w:p>
    <w:p>
      <w:pPr>
        <w:pStyle w:val="TextBody"/>
        <w:bidi w:val="0"/>
        <w:spacing w:before="0" w:after="0"/>
        <w:jc w:val="left"/>
        <w:rPr/>
      </w:pPr>
      <w:r>
        <w:rPr/>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Company records valuation allowances against its deferred tax assets when it is more likely than not that all or a portion of a deferred tax asset will not be realized. The Company routinely evaluates the realizability of its deferred tax assets by assessing the likelihood that its deferred tax assets will be recovered based on all available positive and negative evidence, including scheduled reversals of deferred tax liabilities, estimates of future taxable income, tax planning strategies and results of operations. In projecting future taxable income, the Company considers its historical results and incorporates certain assumptions, including revenue growth and operating margins, among others. Based on the lack of sufficient sources of taxable income at GHH, LLC, the Company has concluded that its deferred tax assets will not be realized and has recorded a valuation allowance against all deferred tax assets as of December 31, 2025. As a corporation, e-TeleQuote separately assesses its ability to recover the deferred tax assets. At e-TeleQuote, there is a significant source of future taxable income from the reversal of the deferred contract asset. As such, the Company has determined that there is ample positive evidence to overcome the negative weight of cumulative losses. As such, valuation allowances have not been recorded against the deferred tax assets of e-TeleQuote.</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As of December 31, 2025, the Company had gross U.S. federal net operating loss carryforwards and state tax net operating loss carryforwards of $585.1 million and $412.1 million, respectively. As of December 31, 2024, the Company had gross U.S. federal net operating loss carryforwards and state tax net operating loss carryforwards of $454.8 million and $341.7 million, respectively. The U.S. federal net operating losses can be carried forward indefinitely as they were generated after 2017. Certain state tax net operating loss carryforwards will begin to expire in 2026. As of both December 31, 2025 and December 31, 2024, the Company had U.S. federal credits and incentives of $0.5 million.</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Uncertain Tax Positions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There were no reserves for uncertain tax positions as of December 31, 2025 and 2024. GoHealth, Inc. was formed in March of 2020 and did not engage in any operations prior to the Transactions and the IPO. GoHealth, Inc. filed its first tax returns for the tax year 2020 in 2021, which is the first tax year subject to examination by taxing authorities for U.S. federal and state income tax purposes. Additionally, although GHH, LLC is treated as a partnership for U.S. federal and state income tax purposes, it is still required to file an annual U.S. Return of Partnership Income, which is subject to examination by taxing authorities for U.S. federal and state income tax purposes. The statute of limitations has expired for tax years through 2021 for GHH, LLC and Creatix, Inc.</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Tax Receivable Agreement</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Pursuant to the Company’s election under Section 754 of the Code, the Company expects to obtain an increase in its share of the tax basis in the net assets of GHH, LLC when LLC Interests are redeemed or exchanged by the Continuing Equity Owners. The Company intends to make an election under Section 754 of the Code for each taxable year in which a redemption or exchange of LLC Interest occurs. The Company intends to treat any redemptions and exchanges of LLC Interests by the Continuing Equity Owners as direct purchases of LLC Interests for U.S. federal income tax purposes. These increases in tax basis may reduce the amounts that the Company would otherwise pay in the future to various tax authorities. They may also decrease gains (or increase losses) on future dispositions of certain capital assets to the extent tax basis is allocated to those capital assets.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In connection with the IPO, the Company entered into the Tax Receivable Agreement with GHH, LLC, the Continuing Equity Owners and the Blocker Shareholders that will provide for the payment by the Company to the Continuing Equity Owners and the Blocker Shareholders of 85% of the amount of tax benefits, if any, that the Company actually realizes (or in some circumstances is deemed to realize) as a result of (1) the Company’s allocable share of existing tax basis acquired in connection with the Transactions (including the Blocker Company’s share of existing tax basis) and increases to such allocable share of existing tax basis; (2) increases in tax basis resulting from (a) the Company’s purchase of LLC Interests directly from GHH, LLC and the partial redemption of LLC Interests by GHH, LLC, (b) future redemptions or exchanges (or deemed exchanges in certain circumstances) of LLC Interests for Class A common stock or cash, and (c) certain distributions (or deemed distributions) by GHH, LLC; and (3) certain additional tax benefits arising from payments made under the Tax Receivable Agreement. The Company may benefit from the remaining 15% of any tax benefits that the Company actually realizes.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amounts payable under the Tax Receivable Agreement will vary depending upon a number of factors, including the amount, character and timing of the taxable income of the Company in the future. As of December 31, 2025 and December 31, 2024, the Company determined that a $1.3 million and $1.1 million liability related to the Tax Receivable Agreement arose from the Transactions, respectively. Should the Company determine that any additional Tax Receivable Agreement liability is considered probable at a future date based on new information, any changes will be recorded within earnings at that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Arial;sans-serif" w:hAnsi="Arial;sans-serif"/>
          <w:b/>
          <w:color w:val="0A2299"/>
          <w:sz w:val="18"/>
        </w:rPr>
      </w:pPr>
      <w:r>
        <w:rPr>
          <w:rFonts w:ascii="Arial;sans-serif" w:hAnsi="Arial;sans-serif"/>
          <w:b/>
          <w:color w:val="0A2299"/>
          <w:sz w:val="18"/>
        </w:rPr>
        <w:t>10.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716280"/>
                <wp:effectExtent l="0" t="0" r="0" b="0"/>
                <wp:wrapNone/>
                <wp:docPr id="98" name="Frame96"/>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92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92</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pPr>
      <w:r>
        <w:rPr>
          <w:rFonts w:ascii="Arial;sans-serif" w:hAnsi="Arial;sans-serif"/>
          <w:b w:val="false"/>
          <w:color w:val="000000"/>
          <w:sz w:val="18"/>
        </w:rPr>
        <w:t xml:space="preserve">The Company recognizes revenue in accordance with ASC 606, </w:t>
      </w:r>
      <w:r>
        <w:rPr>
          <w:rFonts w:ascii="Arial;sans-serif" w:hAnsi="Arial;sans-serif"/>
          <w:b w:val="false"/>
          <w:i/>
          <w:color w:val="000000"/>
          <w:sz w:val="18"/>
        </w:rPr>
        <w:t>Revenue from Contracts with Customers</w:t>
      </w:r>
      <w:r>
        <w:rPr>
          <w:rFonts w:ascii="Arial;sans-serif" w:hAnsi="Arial;sans-serif"/>
          <w:b w:val="false"/>
          <w:color w:val="000000"/>
          <w:sz w:val="18"/>
        </w:rPr>
        <w:t>. The primary services provided by the Company relate to the sale and administration of Medicare insurance products through either the agency model or the non-agency model, as described below. During 2025, we revised the presentation of disaggregation of revenue to further disaggregate Other Revenue into other agency revenue and other non-agency revenue. Prior period presentation has been conformed to reflect current period presentation. Refer to Note 1, “Description of Business and Significant Accounting Policies” for more information about the Company’s revenues.</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Disaggregation of Revenue</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table below depicts the disaggregation of revenue and is consistent with how the Company evaluates its financial performance:</w:t>
      </w:r>
    </w:p>
    <w:tbl>
      <w:tblPr>
        <w:tblW w:w="7215" w:type="dxa"/>
        <w:jc w:val="left"/>
        <w:tblInd w:w="0" w:type="dxa"/>
        <w:tblLayout w:type="fixed"/>
        <w:tblCellMar>
          <w:top w:w="28" w:type="dxa"/>
          <w:left w:w="28" w:type="dxa"/>
          <w:bottom w:w="28" w:type="dxa"/>
          <w:right w:w="28" w:type="dxa"/>
        </w:tblCellMar>
      </w:tblPr>
      <w:tblGrid>
        <w:gridCol w:w="1054"/>
        <w:gridCol w:w="925"/>
        <w:gridCol w:w="930"/>
        <w:gridCol w:w="109"/>
        <w:gridCol w:w="109"/>
        <w:gridCol w:w="109"/>
        <w:gridCol w:w="196"/>
        <w:gridCol w:w="736"/>
        <w:gridCol w:w="109"/>
        <w:gridCol w:w="109"/>
        <w:gridCol w:w="109"/>
        <w:gridCol w:w="109"/>
        <w:gridCol w:w="196"/>
        <w:gridCol w:w="736"/>
        <w:gridCol w:w="109"/>
        <w:gridCol w:w="109"/>
        <w:gridCol w:w="109"/>
        <w:gridCol w:w="109"/>
        <w:gridCol w:w="196"/>
        <w:gridCol w:w="736"/>
        <w:gridCol w:w="311"/>
      </w:tblGrid>
      <w:tr>
        <w:trPr/>
        <w:tc>
          <w:tcPr>
            <w:tcW w:w="1054"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Twelve months ended Dec. 31,</w:t>
            </w:r>
          </w:p>
        </w:tc>
      </w:tr>
      <w:tr>
        <w:trPr/>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Medicare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Medicare Agency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Commission Revenue</w:t>
            </w:r>
            <w:r>
              <w:rPr>
                <w:rFonts w:ascii="Arial;sans-serif" w:hAnsi="Arial;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272,973 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506,516 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355,918 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Partner Marketing and Other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87,712 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Medicare Agency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305,190 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581,676 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443,630 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Medicare Non-Agency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37,003 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212,289 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271,969 </w:t>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Medicare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342,193 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793,965 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715,599 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Non-Agency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9,750 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Agency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9,322 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Other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19,652 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19,072 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Total Net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361,845 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798,894 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734,671 </w:t>
            </w:r>
          </w:p>
        </w:tc>
        <w:tc>
          <w:tcPr>
            <w:tcW w:w="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i/>
          <w:color w:val="000000"/>
          <w:sz w:val="14"/>
        </w:rPr>
      </w:pPr>
      <w:r>
        <w:rPr>
          <w:rFonts w:ascii="Arial;sans-serif" w:hAnsi="Arial;sans-serif"/>
          <w:b w:val="false"/>
          <w:i/>
          <w:color w:val="000000"/>
          <w:sz w:val="14"/>
        </w:rPr>
        <w:t>(1)Commission revenue excludes commissions generated through the Company’s Non-Encompass BPO Services as well as from the sale of individual and family plan insurance products.</w:t>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18"/>
        </w:rPr>
      </w:pPr>
      <w:r>
        <w:rPr>
          <w:rFonts w:ascii="Arial;sans-serif" w:hAnsi="Arial;sans-serif"/>
          <w:b/>
          <w:color w:val="000000"/>
          <w:sz w:val="18"/>
        </w:rPr>
        <w:t>Medicare Revenue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18"/>
        </w:rPr>
      </w:pPr>
      <w:r>
        <w:rPr>
          <w:rFonts w:ascii="Arial;sans-serif" w:hAnsi="Arial;sans-serif"/>
          <w:b w:val="false"/>
          <w:i/>
          <w:color w:val="000000"/>
          <w:sz w:val="18"/>
        </w:rPr>
        <w:t>Medicare Agency Revenue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Medicare agency revenue refers to the commission revenue and partner marketing and other revenue the Company receives when GoHealth agents or the Company’s independent network of outsourced agents, also referred to as external agents, enroll the consumer and submit the Medicare policy application to the health plan partner, becoming the agent of record. The Company records as commission revenue the expected amount of initial commissions received from the health plan partners and any renewal commissions to be paid on such placement as long as the policyholder remains with the same insurance product, also known as the total estimated LTV of the policy, net of an estimated constraint. The consideration is variable based on the estimated amount of time a policy will remain in force, which is based on historical experience or health plan partner experience to the extent available, industry data and expectations as to future retention rates. Additionally, the Company considers the application of a constraint and only recognizes the amount of variable consideration that it believes is probable that it will be entitled to receive and will not be subject to a significant revenue reversal in the future. The Company monitors and updates this estimate at each reporting date.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Company utilizes a practical expedient to estimate commission revenue for each insurance product by applying the use of a portfolio approach to group approved members by the effective month of the relevant policy (referred to as a “vintage”). On a quarterly basis, the Company re-estimates LTV at a vintage level for outstanding vintages, which takes into account cash received as compared to the original estimates and reviews and monitors changes in the data used to estimate LTV. Changes in LTV may result in an increase or a decrease to revenue and a corresponding change to commissions receivable. The Company analyzes these differences and to the extent the Company believes differences in the estimates are indicative of a change to prior period LTVs, the Company will adjust revenue for the affected vintages at the time such determination is made and when it is probable that a significant reversal in the amount of cumulative revenue recognized will not occur.</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Company is also compensated by its health plan partners for providing Medicare-related marketing services over a predetermined measurement period, which the Company records as partner marketing and other revenue. The Company recognizes these revenues over the measurement period as insurance applications produced by the Company are generated. The Company generally gets paid a fixed fee per application, with the amount of variable consideration resolved within 90 days of the application.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18"/>
        </w:rPr>
      </w:pPr>
      <w:r>
        <w:rPr>
          <w:rFonts w:ascii="Arial;sans-serif" w:hAnsi="Arial;sans-serif"/>
          <w:b w:val="false"/>
          <w:i/>
          <w:color w:val="000000"/>
          <w:sz w:val="18"/>
        </w:rPr>
        <w:t>Medicare Non-Agency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716280"/>
                <wp:effectExtent l="0" t="0" r="0" b="0"/>
                <wp:wrapNone/>
                <wp:docPr id="99" name="Frame97"/>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93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93</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Non-agency revenue refers to services provided by the Company that support enrollment and engagement activities in which the Company is not the agent of record. The non-agency model moves away from the agency structure in that cash is collected in advance or in close proximity to the point in time revenue is recognized. Medicare non-agency revenue includes enrollment and engagement services through Encompass Connect and Encompass Engage. Encompass Connect is designed to provide enrollment related services to participating partners for Medicare products. The Company is compensated for generating and transferring leads to the health plan partners, at which time the health plan partner representative will enroll and submit the application, becoming the agent of record. Revenue is recognized at the point in time the lead is transferred. The Company’s performance obligation is complete when a health plan partner has received a lead, with the amount of variable consideration generally resolved within 90 days of when the related policy effectuates. The Company estimates the amount of variable consideration that it expects to receive based on historical experience with commission revenue or health plan partner experience to the extent available and expectations as to future retention rates. The Company does not receive commissions or fees on subsequent renewals generated from the transferred leads. Encompass Engage includes post-enrollment member outreach and engagement services, including facilitating an onboarding experience customized to a members’ Medicare plan and health needs. The Company recognizes Encompass Engage revenue at the point in time the service is provided based on member retention and providing post-enrollment services. </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Medicare non-agency revenue also includes value-based care provider engagement, health risk assessments, social determinants of health screening and preferred pharmacy programs. The Company recognizes revenue for the related performance obligation at the point in time the service is provided. </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Other Revenue</w:t>
      </w:r>
    </w:p>
    <w:p>
      <w:pPr>
        <w:pStyle w:val="TextBody"/>
        <w:bidi w:val="0"/>
        <w:spacing w:lineRule="auto" w:line="288" w:before="240" w:after="283"/>
        <w:jc w:val="left"/>
        <w:rPr>
          <w:rFonts w:ascii="Arial;sans-serif" w:hAnsi="Arial;sans-serif"/>
          <w:b w:val="false"/>
          <w:i/>
          <w:color w:val="000000"/>
          <w:sz w:val="18"/>
        </w:rPr>
      </w:pPr>
      <w:r>
        <w:rPr>
          <w:rFonts w:ascii="Arial;sans-serif" w:hAnsi="Arial;sans-serif"/>
          <w:b w:val="false"/>
          <w:i/>
          <w:color w:val="000000"/>
          <w:sz w:val="18"/>
        </w:rPr>
        <w:t>Other Non-Agency Revenue</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Other non-agency revenue includes enrollment related services through GoHealth Protect, a suite of products to cover unexpected life events, including guaranteed acceptance life insurance. The Company is compensated for guaranteed acceptance life insurance through the non-agency model where GoHealth is not the agent of record and cash is collected in close proximity to the point of sale. Revenue is recognized at the point in time the enrollment is submitted, approved by the health plan partner, and for which the payment information was received by the health plan partner. The Company’s performance obligation is complete when the health plan partner has received the enrollment. The Company estimates the amount of variable consideration that it expects to receive based on expectations as to future retention rates and average premium levels. Other non-agency revenue also includes revenue unrelated to Medicare products, including certain post-enrollment services.</w:t>
      </w:r>
    </w:p>
    <w:p>
      <w:pPr>
        <w:pStyle w:val="TextBody"/>
        <w:bidi w:val="0"/>
        <w:spacing w:lineRule="auto" w:line="288" w:before="240" w:after="283"/>
        <w:jc w:val="left"/>
        <w:rPr>
          <w:rFonts w:ascii="Arial;sans-serif" w:hAnsi="Arial;sans-serif"/>
          <w:b w:val="false"/>
          <w:i/>
          <w:color w:val="000000"/>
          <w:sz w:val="18"/>
        </w:rPr>
      </w:pPr>
      <w:r>
        <w:rPr>
          <w:rFonts w:ascii="Arial;sans-serif" w:hAnsi="Arial;sans-serif"/>
          <w:b w:val="false"/>
          <w:i/>
          <w:color w:val="000000"/>
          <w:sz w:val="18"/>
        </w:rPr>
        <w:t>Other Agency Revenue</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Other agency revenue is comprised of revenue unrelated to Medicare products, including commissions revenue generated from the sale of individual and family plan insurance products.</w:t>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18"/>
        </w:rPr>
      </w:pPr>
      <w:r>
        <w:rPr>
          <w:rFonts w:ascii="Arial;sans-serif" w:hAnsi="Arial;sans-serif"/>
          <w:b/>
          <w:color w:val="000000"/>
          <w:sz w:val="18"/>
        </w:rPr>
        <w:t>Contract Balances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The Company records commissions receivable, commissions payable and deferred revenue related to its contracts with customers. Commissions receivable represents estimated variable consideration for commissions to be received from health plan partners for performance obligations that have been satisfied. Commissions payable represents estimated commissions to be paid to the Company’s external partners. </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The Company had unbilled receivables for performance-based enrollment fees and non-agency revenue, as well as prepaid expenses for revenue share, as of December 31, 2025 and 2024 of $0.7 million and $20.9 million, respectively, which are recorded in prepaid expenses and other current assets on the Consolidated Balance Sheets. In addition, the Company had accrued payments for revenue share of $13.3 million and $29.8 million as of December 31, 2025 and 2024, respectively, which are recorded in accrued liabilities. </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Deferred revenue includes amounts collected for partner marketing services and non-agency revenue in advance of the Company satisfying its performance obligations for such customers. The decrease in deferred revenue during the twelve months ended December 31, 2025 compared to the prior year period was primarily due to less cash received as of December 31, 2025 compared to December 31, 2024 for marketing, administrative and enrollment fees in advance of performing such services that the Company expects to satisfy within the next twelve months. During the twelve months ended December 31, 2025, 2024 and 2023, the Company recognized revenue that was recorded in deferred revenue on the Consolidated Balance Sheets at the beginning of the respective fiscal year of $49.0 million, $51.1 million and $45.3 million, respectively.</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Significant Customers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following table presents health plan partners representing 10% or more of the Company’s total revenue for the periods indicated: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716280"/>
                <wp:effectExtent l="0" t="0" r="0" b="0"/>
                <wp:wrapNone/>
                <wp:docPr id="100" name="Frame98"/>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94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94</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tbl>
      <w:tblPr>
        <w:tblW w:w="4289" w:type="dxa"/>
        <w:jc w:val="left"/>
        <w:tblInd w:w="0" w:type="dxa"/>
        <w:tblLayout w:type="fixed"/>
        <w:tblCellMar>
          <w:top w:w="28" w:type="dxa"/>
          <w:left w:w="28" w:type="dxa"/>
          <w:bottom w:w="28" w:type="dxa"/>
          <w:right w:w="28" w:type="dxa"/>
        </w:tblCellMar>
      </w:tblPr>
      <w:tblGrid>
        <w:gridCol w:w="287"/>
        <w:gridCol w:w="251"/>
        <w:gridCol w:w="258"/>
        <w:gridCol w:w="109"/>
        <w:gridCol w:w="109"/>
        <w:gridCol w:w="109"/>
        <w:gridCol w:w="233"/>
        <w:gridCol w:w="233"/>
        <w:gridCol w:w="309"/>
        <w:gridCol w:w="131"/>
        <w:gridCol w:w="131"/>
        <w:gridCol w:w="131"/>
        <w:gridCol w:w="233"/>
        <w:gridCol w:w="233"/>
        <w:gridCol w:w="309"/>
        <w:gridCol w:w="131"/>
        <w:gridCol w:w="131"/>
        <w:gridCol w:w="131"/>
        <w:gridCol w:w="233"/>
        <w:gridCol w:w="233"/>
        <w:gridCol w:w="364"/>
      </w:tblGrid>
      <w:tr>
        <w:trPr/>
        <w:tc>
          <w:tcPr>
            <w:tcW w:w="28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Twelve months ended Dec. 31,</w:t>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38.9 </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28.3 </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20.0 </w:t>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Humana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26.5 </w:t>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25.1 </w:t>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28.0 </w:t>
            </w:r>
          </w:p>
        </w:tc>
        <w:tc>
          <w:tcPr>
            <w:tcW w:w="3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Elevance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13.3 </w:t>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17.5 </w:t>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19.4 </w:t>
            </w:r>
          </w:p>
        </w:tc>
        <w:tc>
          <w:tcPr>
            <w:tcW w:w="3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Centene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7.6 </w:t>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10.5 </w:t>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8.1 </w:t>
            </w:r>
          </w:p>
        </w:tc>
        <w:tc>
          <w:tcPr>
            <w:tcW w:w="3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Aetna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10.7 </w:t>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16.8 </w:t>
            </w:r>
          </w:p>
        </w:tc>
        <w:tc>
          <w:tcPr>
            <w:tcW w:w="3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5"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775"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A2299"/>
          <w:sz w:val="18"/>
        </w:rPr>
      </w:pPr>
      <w:r>
        <w:rPr>
          <w:rFonts w:ascii="Arial;sans-serif" w:hAnsi="Arial;sans-serif"/>
          <w:b/>
          <w:color w:val="0A2299"/>
          <w:sz w:val="18"/>
        </w:rPr>
        <w:t>11. LEASES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Company has entered into operating agreements with lease periods expiring between 2026 and 2032. Lease expense for operating lease payments is recognized on a straight-line basis over the lease term.</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Components of lease expense are as follows, all recorded within operating expenses in the Consolidated Statements of Operations:</w:t>
      </w:r>
    </w:p>
    <w:tbl>
      <w:tblPr>
        <w:tblW w:w="5633" w:type="dxa"/>
        <w:jc w:val="left"/>
        <w:tblInd w:w="0" w:type="dxa"/>
        <w:tblLayout w:type="fixed"/>
        <w:tblCellMar>
          <w:top w:w="28" w:type="dxa"/>
          <w:left w:w="28" w:type="dxa"/>
          <w:bottom w:w="28" w:type="dxa"/>
          <w:right w:w="28" w:type="dxa"/>
        </w:tblCellMar>
      </w:tblPr>
      <w:tblGrid>
        <w:gridCol w:w="717"/>
        <w:gridCol w:w="630"/>
        <w:gridCol w:w="632"/>
        <w:gridCol w:w="109"/>
        <w:gridCol w:w="109"/>
        <w:gridCol w:w="109"/>
        <w:gridCol w:w="196"/>
        <w:gridCol w:w="571"/>
        <w:gridCol w:w="109"/>
        <w:gridCol w:w="109"/>
        <w:gridCol w:w="109"/>
        <w:gridCol w:w="109"/>
        <w:gridCol w:w="196"/>
        <w:gridCol w:w="571"/>
        <w:gridCol w:w="109"/>
        <w:gridCol w:w="109"/>
        <w:gridCol w:w="109"/>
        <w:gridCol w:w="109"/>
        <w:gridCol w:w="196"/>
        <w:gridCol w:w="571"/>
        <w:gridCol w:w="154"/>
      </w:tblGrid>
      <w:tr>
        <w:trPr/>
        <w:tc>
          <w:tcPr>
            <w:tcW w:w="717"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Twelve months ended Dec. 31,</w:t>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Short-term lease cost </w:t>
            </w:r>
            <w:r>
              <w:rPr>
                <w:rFonts w:ascii="Arial;sans-serif" w:hAnsi="Arial;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Variable lease cost </w:t>
            </w:r>
            <w:r>
              <w:rPr>
                <w:rFonts w:ascii="Arial;sans-serif" w:hAnsi="Arial;sans-serif"/>
                <w:b w:val="false"/>
                <w:color w:val="000000"/>
                <w:sz w:val="1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Sublease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net lease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4,449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6,282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7,284</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360"/>
        <w:jc w:val="left"/>
        <w:rPr>
          <w:rFonts w:ascii="Arial;sans-serif" w:hAnsi="Arial;sans-serif"/>
          <w:b w:val="false"/>
          <w:i/>
          <w:color w:val="000000"/>
          <w:sz w:val="14"/>
        </w:rPr>
      </w:pPr>
      <w:r>
        <w:rPr>
          <w:rFonts w:ascii="Arial;sans-serif" w:hAnsi="Arial;sans-serif"/>
          <w:b w:val="false"/>
          <w:i/>
          <w:color w:val="000000"/>
          <w:sz w:val="14"/>
        </w:rPr>
        <w:t>(1)Includes costs related to leases, which at the commencement date, have a lease term of twelve months or less.</w:t>
      </w:r>
    </w:p>
    <w:p>
      <w:pPr>
        <w:pStyle w:val="TextBody"/>
        <w:bidi w:val="0"/>
        <w:spacing w:lineRule="auto" w:line="288" w:before="0" w:after="0"/>
        <w:ind w:left="0" w:right="0" w:hanging="360"/>
        <w:jc w:val="left"/>
        <w:rPr>
          <w:rFonts w:ascii="Arial;sans-serif" w:hAnsi="Arial;sans-serif"/>
          <w:b w:val="false"/>
          <w:i/>
          <w:color w:val="000000"/>
          <w:sz w:val="14"/>
        </w:rPr>
      </w:pPr>
      <w:r>
        <w:rPr>
          <w:rFonts w:ascii="Arial;sans-serif" w:hAnsi="Arial;sans-serif"/>
          <w:b w:val="false"/>
          <w:i/>
          <w:color w:val="000000"/>
          <w:sz w:val="14"/>
        </w:rPr>
        <w:t>(2)Includes costs incurred by the Company for the right to use an underlying asset that vary because of changes in facts or circumstances occurring after the commencement date, other than the passage of time.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As of December 31, 2025, future minimum lease payments for operating leases consisted of the following:</w:t>
      </w:r>
    </w:p>
    <w:tbl>
      <w:tblPr>
        <w:tblW w:w="4465" w:type="dxa"/>
        <w:jc w:val="left"/>
        <w:tblInd w:w="0" w:type="dxa"/>
        <w:tblLayout w:type="fixed"/>
        <w:tblCellMar>
          <w:top w:w="28" w:type="dxa"/>
          <w:left w:w="28" w:type="dxa"/>
          <w:bottom w:w="28" w:type="dxa"/>
          <w:right w:w="28" w:type="dxa"/>
        </w:tblCellMar>
      </w:tblPr>
      <w:tblGrid>
        <w:gridCol w:w="940"/>
        <w:gridCol w:w="825"/>
        <w:gridCol w:w="829"/>
        <w:gridCol w:w="109"/>
        <w:gridCol w:w="109"/>
        <w:gridCol w:w="109"/>
        <w:gridCol w:w="299"/>
        <w:gridCol w:w="1010"/>
        <w:gridCol w:w="235"/>
      </w:tblGrid>
      <w:tr>
        <w:trPr/>
        <w:tc>
          <w:tcPr>
            <w:tcW w:w="940"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Operating Leases</w:t>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9,997 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7,942 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6,969 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5,948 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5,755 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8,738 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45,349</w:t>
            </w:r>
            <w:r>
              <w:rPr>
                <w:color w:val="000000"/>
              </w:rPr>
              <w:t>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Imputed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(9,495)</w:t>
            </w:r>
          </w:p>
        </w:tc>
        <w:tc>
          <w:tcPr>
            <w:tcW w:w="23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Present value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35,854</w:t>
            </w:r>
            <w:r>
              <w:rPr>
                <w:color w:val="000000"/>
              </w:rPr>
              <w:t> </w:t>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Supplemental cash flow information related to leases are as follows:</w:t>
      </w:r>
    </w:p>
    <w:tbl>
      <w:tblPr>
        <w:tblW w:w="9099" w:type="dxa"/>
        <w:jc w:val="left"/>
        <w:tblInd w:w="0" w:type="dxa"/>
        <w:tblLayout w:type="fixed"/>
        <w:tblCellMar>
          <w:top w:w="28" w:type="dxa"/>
          <w:left w:w="28" w:type="dxa"/>
          <w:bottom w:w="28" w:type="dxa"/>
          <w:right w:w="28" w:type="dxa"/>
        </w:tblCellMar>
      </w:tblPr>
      <w:tblGrid>
        <w:gridCol w:w="1957"/>
        <w:gridCol w:w="1717"/>
        <w:gridCol w:w="1726"/>
        <w:gridCol w:w="109"/>
        <w:gridCol w:w="109"/>
        <w:gridCol w:w="109"/>
        <w:gridCol w:w="196"/>
        <w:gridCol w:w="556"/>
        <w:gridCol w:w="109"/>
        <w:gridCol w:w="109"/>
        <w:gridCol w:w="109"/>
        <w:gridCol w:w="109"/>
        <w:gridCol w:w="196"/>
        <w:gridCol w:w="556"/>
        <w:gridCol w:w="109"/>
        <w:gridCol w:w="109"/>
        <w:gridCol w:w="109"/>
        <w:gridCol w:w="109"/>
        <w:gridCol w:w="196"/>
        <w:gridCol w:w="646"/>
        <w:gridCol w:w="154"/>
      </w:tblGrid>
      <w:tr>
        <w:trPr/>
        <w:tc>
          <w:tcPr>
            <w:tcW w:w="1957" w:type="dxa"/>
            <w:tcBorders/>
            <w:vAlign w:val="center"/>
          </w:tcPr>
          <w:p>
            <w:pPr>
              <w:pStyle w:val="TableContents"/>
              <w:bidi w:val="0"/>
              <w:spacing w:before="0" w:after="283"/>
              <w:jc w:val="left"/>
              <w:rPr>
                <w:sz w:val="4"/>
                <w:szCs w:val="4"/>
              </w:rPr>
            </w:pPr>
            <w:r>
              <w:rPr>
                <w:sz w:val="4"/>
                <w:szCs w:val="4"/>
              </w:rPr>
            </w:r>
          </w:p>
        </w:tc>
        <w:tc>
          <w:tcPr>
            <w:tcW w:w="1717"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 31,</w:t>
            </w:r>
          </w:p>
        </w:tc>
      </w:tr>
      <w:tr>
        <w:trPr/>
        <w:tc>
          <w:tcPr>
            <w:tcW w:w="5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Cash paid for amounts included in the measurement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Operating cash flows for 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16"/>
              </w:rPr>
            </w:pPr>
            <w:r>
              <w:rPr>
                <w:rFonts w:ascii="Arial;sans-serif" w:hAnsi="Arial;sans-serif"/>
                <w:b w:val="false"/>
                <w:i/>
                <w:color w:val="000000"/>
                <w:sz w:val="16"/>
              </w:rPr>
              <w:t>Non-cash activity: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Operating lease assets obtained in exchange for new lease obligations </w:t>
            </w:r>
            <w:r>
              <w:rPr>
                <w:rFonts w:ascii="Arial;sans-serif" w:hAnsi="Arial;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360"/>
        <w:jc w:val="left"/>
        <w:rPr>
          <w:rFonts w:ascii="Arial;sans-serif" w:hAnsi="Arial;sans-serif"/>
          <w:b w:val="false"/>
          <w:i/>
          <w:color w:val="000000"/>
          <w:sz w:val="14"/>
        </w:rPr>
      </w:pPr>
      <w:r>
        <w:rPr>
          <w:rFonts w:ascii="Arial;sans-serif" w:hAnsi="Arial;sans-serif"/>
          <w:b w:val="false"/>
          <w:i/>
          <w:color w:val="000000"/>
          <w:sz w:val="14"/>
        </w:rPr>
        <w:t xml:space="preserve">(1)For the twelve months ended December 31, 2024, the Company recognized operating lease assets arising from operating leases of an acquiree. For the twelve months ended December 31, 2023, the Company entered into a lease agreement for its corporate headquarters in Chicago, Illinois, which commenced on July 5, 2023. </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weighted average remaining operating lease term and discount rate are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716280"/>
                <wp:effectExtent l="0" t="0" r="0" b="0"/>
                <wp:wrapNone/>
                <wp:docPr id="101" name="Frame99"/>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95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95</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tbl>
      <w:tblPr>
        <w:tblW w:w="7212" w:type="dxa"/>
        <w:jc w:val="left"/>
        <w:tblInd w:w="0" w:type="dxa"/>
        <w:tblLayout w:type="fixed"/>
        <w:tblCellMar>
          <w:top w:w="28" w:type="dxa"/>
          <w:left w:w="28" w:type="dxa"/>
          <w:bottom w:w="28" w:type="dxa"/>
          <w:right w:w="28" w:type="dxa"/>
        </w:tblCellMar>
      </w:tblPr>
      <w:tblGrid>
        <w:gridCol w:w="1357"/>
        <w:gridCol w:w="1194"/>
        <w:gridCol w:w="1198"/>
        <w:gridCol w:w="109"/>
        <w:gridCol w:w="109"/>
        <w:gridCol w:w="109"/>
        <w:gridCol w:w="188"/>
        <w:gridCol w:w="188"/>
        <w:gridCol w:w="432"/>
        <w:gridCol w:w="109"/>
        <w:gridCol w:w="109"/>
        <w:gridCol w:w="109"/>
        <w:gridCol w:w="188"/>
        <w:gridCol w:w="188"/>
        <w:gridCol w:w="432"/>
        <w:gridCol w:w="109"/>
        <w:gridCol w:w="109"/>
        <w:gridCol w:w="109"/>
        <w:gridCol w:w="188"/>
        <w:gridCol w:w="188"/>
        <w:gridCol w:w="490"/>
      </w:tblGrid>
      <w:tr>
        <w:trPr/>
        <w:tc>
          <w:tcPr>
            <w:tcW w:w="1357"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 31,</w:t>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 average remaining lease term (in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 years</w:t>
            </w:r>
          </w:p>
        </w:tc>
      </w:tr>
      <w:tr>
        <w:trPr/>
        <w:tc>
          <w:tcPr>
            <w:tcW w:w="3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r>
      <w:tr>
        <w:trPr/>
        <w:tc>
          <w:tcPr>
            <w:tcW w:w="3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 average 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9.3 </w:t>
            </w:r>
          </w:p>
        </w:tc>
        <w:tc>
          <w:tcPr>
            <w:tcW w:w="4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9.2 </w:t>
            </w:r>
          </w:p>
        </w:tc>
        <w:tc>
          <w:tcPr>
            <w:tcW w:w="4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9.0 </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r>
      <w:tr>
        <w:trPr/>
        <w:tc>
          <w:tcPr>
            <w:tcW w:w="3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A2299"/>
          <w:sz w:val="18"/>
        </w:rPr>
      </w:pPr>
      <w:r>
        <w:rPr>
          <w:rFonts w:ascii="Arial;sans-serif" w:hAnsi="Arial;sans-serif"/>
          <w:b/>
          <w:color w:val="0A2299"/>
          <w:sz w:val="18"/>
        </w:rPr>
        <w:t>12. COMMITMENTS AND CONTINGENCIES</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Legal Proceedings</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color w:val="000000"/>
          <w:sz w:val="18"/>
        </w:rPr>
        <w:t xml:space="preserve">On May 19, 2021, a derivative action (the “Derivative Action”) was filed in the U.S. District Court for the Northern District of Illinois, purportedly on behalf of the Company and against certain of the Company’s officers and directors. The Derivative Action alleges breaches of fiduciary duty and other claims, based on substantially the same factual allegations as those alleged in the now-resolved Securities Class Action, which had included allegations that the Registration Statement filed in connection with the IPO was negligently prepared and, as a result, contained untrue statements of material fact, omitted material facts necessary to make the statements contained therein not misleading and failed to make necessary disclosures required under the rules and regulations governing its preparation, including the Securities Act of 1933 (the “Securities Class Action”). On June 6, 2022, the Derivative Action was stayed pursuant to the parties’ stipulation. The settlement in the Securities Class Action, which was approved on May 22, 2024, did not resolve the Derivative Action. The parties in the Derivative Action have reached a settlement, the terms of which are set forth in a Stipulation and Agreement of Settlement dated December 19, 2025 (the “Stipulation”), which was filed with the Court on December 23, 2025. The settlement dismisses all claims that have been or could have been asserted in the Derivative Action in exchange for, among other things, certain corporate reforms to be implemented by the Company for a designated compliance period, subject to Court approval. On January 8, 2026, the Court entered an order preliminarily approving the Stipulation and the settlement contemplated therein, and on March 26, 2026, the Court entered an order approving the settlement and final judgment. For full details regarding the settlement, please see the full Stipulation and its exhibits posted on the investor relations portion of the Company’s website, </w:t>
      </w:r>
      <w:r>
        <w:rPr>
          <w:rFonts w:ascii="Arial;sans-serif" w:hAnsi="Arial;sans-serif"/>
          <w:b w:val="false"/>
          <w:color w:val="467886"/>
          <w:sz w:val="18"/>
        </w:rPr>
        <w:t>https://investors.gohealth.com/</w:t>
      </w:r>
      <w:r>
        <w:rPr>
          <w:rFonts w:ascii="Arial;sans-serif" w:hAnsi="Arial;sans-serif"/>
          <w:b w:val="false"/>
          <w:color w:val="000000"/>
          <w:sz w:val="18"/>
        </w:rPr>
        <w:t>.</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18"/>
        </w:rPr>
      </w:pPr>
      <w:r>
        <w:rPr>
          <w:rFonts w:ascii="Arial;sans-serif" w:hAnsi="Arial;sans-serif"/>
          <w:b w:val="false"/>
          <w:color w:val="000000"/>
          <w:sz w:val="18"/>
        </w:rPr>
        <w:t>On January 15, 2025, we were made aware that the Department of Justice filed a notice of intervention in a pending qui tam proceeding filed by private party relators under seal related to our arrangements with certain insurance health plan partners. On May 1, 2025, the DOJ filed a complaint in partial intervention (the “Complaint”) in the U.S. District Court for the District of Massachusetts intervening in the previously sealed case against multiple insurers who sponsor Medicare Advantage plans and multiple brokers those insurers appointed to sell their plans, including GoHealth. The relator, Andrew Shea, filed the original lawsuit in the U.S. District Court for the District of Massachusetts on behalf of the United States on November 2, 2021 under seal. The current matter is captioned United States of America ex rel. Andrew Shea v. eHealth, Inc., eHealth Insurance Services, Inc., CVS Health Corporation, Aetna Life Insurance Company, Aetna, Inc., Humana Inc., Elevance Health Inc., GoHealth, Inc., and SelectQuote, Inc., No. 21-CV-11777-DJC. The claims in both the Complaint, as well as the relator’s original complaint, are based on alleged violations of the False Claims Act and the Anti-Kickback Statute. Specifically, plaintiffs allege, in relevant part, that the Company was compensated and discriminated against individuals in violation of federal law. The Complaint seeks, among other things, treble damages, civil penalties and costs. The ultimate outcome of any damages that may become payable if its defense is unsuccessful in whole or in part is not probable nor estimable at this time. The Company intends to vigorously defend against these allegations. All defendants filed motions to dismiss; however, on March 25, 2026, the Court denied substantially all of the motions. While the Company feels confident in its defenses, there can be no assurance that it will prevail or that damages awarded will not be material to the results of operations or financial condition of the Company.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A2299"/>
          <w:sz w:val="18"/>
        </w:rPr>
      </w:pPr>
      <w:r>
        <w:rPr>
          <w:rFonts w:ascii="Arial;sans-serif" w:hAnsi="Arial;sans-serif"/>
          <w:b/>
          <w:color w:val="0A2299"/>
          <w:sz w:val="18"/>
        </w:rPr>
        <w:t>13. RELATED PARTY TRANSACTIONS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Company is party to various lease agreements with 220 W Huron Street Holdings LLC, 215 W Superior LLC and Wilson Tech 5, LLC, each of which is controlled by significant shareholders of the Company, to lease its former corporate offices in Chicago, Illinois and offices in Lindon, Utah. The Company pays rent, operating expenses, maintenance and utilities under the terms of the leases. For the twelve months ended December 31, 2025, 2024 and 2023, the Company made aggregate lease payments of $3.0 million, $5.5 million and $6.0 million, respectively, under these leases. The lease agreements with 220 W Huron Street Holdings LLC and 215 W Superior LLC expired during the twelve months ended December 31, 2024.</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During the fourth quarter of 2023 the Company paid $0.2 million to the Continuing Equity Owners and Blocker Shareholders related to fiscal year 2022 under the TRA. Additionally, the Company made tax distributions related to the 2023 tax year totaling $0.1 million to several current and former employees, including certain executive officers, as well as other partners related to state taxable income allocated to such persons.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A2299"/>
          <w:sz w:val="18"/>
        </w:rPr>
      </w:pPr>
      <w:r>
        <w:rPr>
          <w:rFonts w:ascii="Arial;sans-serif" w:hAnsi="Arial;sans-serif"/>
          <w:b/>
          <w:color w:val="0A2299"/>
          <w:sz w:val="18"/>
        </w:rPr>
        <w:t>14. ACQUISITIONS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On September 30, 2024 (the “Acquisition Date”), the Company completed the acquisition of e-TeleQuote Insurance, Inc. (“e-TeleQuote”), a health insurance marketplace that helps Medicare beneficiaries compare Medicare Advantage and Medicare Supplement plans and enroll in the plan that is right for them. The acquisition increases the Company’s agent base without the need for further hiring, thus expanding its operational capacity.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716280"/>
                <wp:effectExtent l="0" t="0" r="0" b="0"/>
                <wp:wrapNone/>
                <wp:docPr id="102" name="Frame100"/>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96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96</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Company obtained control of e-TeleQuote through two steps, which are accounted for as a single transaction under the acquisition method under ASC 805. On August 30, 2024, e-TeleQuote Holdings, LLC (“Subscriber”), a wholly-owned subsidiary of the Company, entered into a Purchase &amp; Subscription Agreement (the “Subscription Agreement”), by and between Subscriber and e-TeleQuote. Pursuant to the Subscription Agreement, on September 30, 2024 the Subscriber subscribed for and acquired newly issued shares of e-TeleQuote’s common stock representing approximately 18.9% of e-TeleQuote’s outstanding common stock post-acquisition. On the Acquisition Date, e-TeleQuote’s former parent company irrevocably and permanently surrendered and relinquished all rights in e-TeleQuote without receipt of consideration. As a result, the Company obtained a 100% equity interest in e-TeleQuote.</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The Company obtained control of e-TeleQuote without the transfer of consideration. On the Acquisition Date, the Company recognized a gain on bargain purchase of $84.5 million, which is included in the line item “Gain on bargain purchase” in the Consolidated Statements of Operations. The gain represents the excess of the acquisition-date fair value of the net assets acquired over the acquisition-date fair value of the consideration transferred. The Company determined the gain on bargain purchase is appropriate as the seller’s board of directors previously authorized the abandonment of the seller’s ownership in e-TeleQuote with a target date of September 30, 2024.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During the measurement period of up to one year from the Acquisition Date, the Company will record adjustments identified, if any, to the acquisition-date fair values of assets acquired and liabilities assumed with the corresponding offset to gain on bargain purchase. Upon the conclusion of the measurement period, any subsequent adjustments will be included in the Company's Consolidated Statements of Operations. During the three months ended December 31, 2024, the Company recorded a $7.1 million measurement period adjustment to prepaid expense and other current assets and deferred tax liabilities with a corresponding increase to gain on bargain purchase. The $7.1 million measurement period adjustment recorded in the fourth quarter of 2024 relates to changes in the estimate of state deferred tax liabilities and realization of net operating losses.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Company finalized the measurement period for the acquisition date fair value of the assets and liabilities acquired as of December 31, 2024. The following table summarizes the fair values of the assets acquired and liabilities assumed on the Acquisition Date:</w:t>
      </w:r>
    </w:p>
    <w:tbl>
      <w:tblPr>
        <w:tblW w:w="5128" w:type="dxa"/>
        <w:jc w:val="left"/>
        <w:tblInd w:w="0" w:type="dxa"/>
        <w:tblLayout w:type="fixed"/>
        <w:tblCellMar>
          <w:top w:w="28" w:type="dxa"/>
          <w:left w:w="28" w:type="dxa"/>
          <w:bottom w:w="28" w:type="dxa"/>
          <w:right w:w="28" w:type="dxa"/>
        </w:tblCellMar>
      </w:tblPr>
      <w:tblGrid>
        <w:gridCol w:w="1158"/>
        <w:gridCol w:w="1017"/>
        <w:gridCol w:w="1020"/>
        <w:gridCol w:w="109"/>
        <w:gridCol w:w="109"/>
        <w:gridCol w:w="109"/>
        <w:gridCol w:w="109"/>
        <w:gridCol w:w="109"/>
        <w:gridCol w:w="109"/>
        <w:gridCol w:w="109"/>
        <w:gridCol w:w="230"/>
        <w:gridCol w:w="759"/>
        <w:gridCol w:w="181"/>
      </w:tblGrid>
      <w:tr>
        <w:trPr/>
        <w:tc>
          <w:tcPr>
            <w:tcW w:w="115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Final Fair Value</w:t>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cash equivalents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17,536 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receivable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2,013 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Commissions receivable - current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17,200 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Prepaid expense and other current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4,061 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Commissions receivable - non-current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73,325 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ROU asset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long-term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Property, plant and equipment,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329 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identifiable assets acquired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116,023</w:t>
            </w:r>
            <w:r>
              <w:rPr>
                <w:color w:val="000000"/>
              </w:rPr>
              <w:t>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Accounts payable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1,695 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Accrued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7,448 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Short-term operating lease liability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318 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Long-term operating lease liability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1,042 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tax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20,639 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non-current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389 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Total liabilities assumed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31,531</w:t>
            </w: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identifiable assets acquired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84,492</w:t>
            </w:r>
            <w:r>
              <w:rPr>
                <w:color w:val="000000"/>
              </w:rPr>
              <w:t>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Gain on bargain purchase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(84,492)</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assets acquired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Company incurred acquisition-related costs of $0.9 million during the twelve months ended December 31, 2024 for legal fees and other professional services which were expensed as incurred and included in general and administrative expenses in the Consolidated Statements of Operations.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results of operations of e-TeleQuote since the Acquisition Date have been included in the Company’s Consolidated Financial Statements. e-TeleQuote contributed $40.5 million of revenues and $7.4 million of net income (loss) to the Company’s consolidated results for the twelve months ended December 31, 2024.</w:t>
      </w: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A2299"/>
          <w:sz w:val="18"/>
        </w:rPr>
      </w:pPr>
      <w:r>
        <w:rPr>
          <w:rFonts w:ascii="Arial;sans-serif" w:hAnsi="Arial;sans-serif"/>
          <w:b/>
          <w:color w:val="0A2299"/>
          <w:sz w:val="18"/>
        </w:rPr>
        <w:t>15. SEGMENT REPORTING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716280"/>
                <wp:effectExtent l="0" t="0" r="0" b="0"/>
                <wp:wrapNone/>
                <wp:docPr id="103" name="Frame101"/>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97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97</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18"/>
        </w:rPr>
      </w:pPr>
      <w:r>
        <w:rPr>
          <w:rFonts w:ascii="Arial;sans-serif" w:hAnsi="Arial;sans-serif"/>
          <w:b w:val="false"/>
          <w:color w:val="000000"/>
          <w:sz w:val="18"/>
        </w:rPr>
        <w:t xml:space="preserve">Operating segments are identified as components of an enterprise about which separate discrete financial information is available and regularly reviewed by the chief operating decision maker (“CODM”) The Company has one operating and reportable segment which has the same accounting policies as those described in Note 1, Description of Business and Significant Accounting Policies. The single operating and reportable segment aligns with the Company’s core focus on the sale and administration of Medicare products and reflects how the CODM evaluates the Company’s operating and financial performance, which is on a consolidated basis. The Company’s CODM is its chief executive officer. </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primary services provided by the Company relate to the sale and administration of Medicare insurance products offered by the health plan partners with which GoHealth has contractual relationships. The health plan partners are responsible for paying commissions and fees for enrollment and engagement services and, for these purposes, act as GoHealth’s customers. The Company derives substantially all of its revenues from customers located in the United States. The measure of segment assets is reported on the Consolidated Balance Sheets as consolidated total assets. Substantially all of the Company’s assets are located in the United States.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The CODM assesses the Company’s performance and decides how to allocate resources based on consolidated net income (loss), as presented on the Consolidated Statements of Operations. The significant expenses that are regularly provided to the CODM and included within consolidated net income (loss) are consistent with those that are presented on the Consolidated Statement of Operations. </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Budget approval, which primarily drives resource allocation, is prepared and approved at a consolidated level. Consolidated net income (loss) is used to monitor budget versus actual results. The CODM also uses consolidated net income (loss) to identify trends in the Company’s performance over time and to benchmark the Company’s performance against its competitors.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716280"/>
                <wp:effectExtent l="0" t="0" r="0" b="0"/>
                <wp:wrapNone/>
                <wp:docPr id="104" name="Frame102"/>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98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98</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Arial;sans-serif" w:hAnsi="Arial;sans-serif"/>
          <w:b/>
          <w:color w:val="0A2299"/>
          <w:sz w:val="18"/>
        </w:rPr>
      </w:pPr>
      <w:r>
        <w:rPr>
          <w:rFonts w:ascii="Arial;sans-serif" w:hAnsi="Arial;sans-serif"/>
          <w:b/>
          <w:color w:val="0A2299"/>
          <w:sz w:val="18"/>
        </w:rPr>
        <w:t>ITEM 9. CHANGES IN AND DISAGREEMENTS WITH ACCOUNTANTS ON ACCOUNTING AND FINANCIAL DISCLOSURE</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A2299"/>
          <w:sz w:val="18"/>
        </w:rPr>
      </w:pPr>
      <w:r>
        <w:rPr>
          <w:rFonts w:ascii="Arial;sans-serif" w:hAnsi="Arial;sans-serif"/>
          <w:b/>
          <w:color w:val="0A2299"/>
          <w:sz w:val="18"/>
        </w:rPr>
        <w:t>ITEM 9A. CONTROLS AND PROCEDURES</w:t>
      </w:r>
    </w:p>
    <w:p>
      <w:pPr>
        <w:pStyle w:val="TextBody"/>
        <w:bidi w:val="0"/>
        <w:spacing w:lineRule="auto" w:line="288" w:before="240" w:after="283"/>
        <w:jc w:val="left"/>
        <w:rPr>
          <w:rFonts w:ascii="Arial;sans-serif" w:hAnsi="Arial;sans-serif"/>
          <w:b/>
          <w:i/>
          <w:color w:val="000000"/>
          <w:sz w:val="18"/>
        </w:rPr>
      </w:pPr>
      <w:r>
        <w:rPr>
          <w:rFonts w:ascii="Arial;sans-serif" w:hAnsi="Arial;sans-serif"/>
          <w:b/>
          <w:i/>
          <w:color w:val="000000"/>
          <w:sz w:val="18"/>
        </w:rPr>
        <w:t>Evaluation of Disclosure Controls and Procedures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Our management, with the participation of our Chief Executive Officer and Chief Financial Officer, evaluated, as of the end of the period covered by this Annual Report on Form 10-K, the effectiveness of our disclosure controls and procedures (as defined in Rules 13a-15(e) and 15d-15(e) under the Exchange Act). Based on that evaluation, our Chief Executive Officer and Chief Financial Officer concluded that our disclosure controls and procedures were effective as of December 31, 2025.</w:t>
      </w:r>
    </w:p>
    <w:p>
      <w:pPr>
        <w:pStyle w:val="TextBody"/>
        <w:bidi w:val="0"/>
        <w:spacing w:before="0" w:after="0"/>
        <w:jc w:val="left"/>
        <w:rPr/>
      </w:pPr>
      <w:r>
        <w:rPr/>
      </w:r>
    </w:p>
    <w:p>
      <w:pPr>
        <w:pStyle w:val="TextBody"/>
        <w:bidi w:val="0"/>
        <w:spacing w:lineRule="auto" w:line="276" w:before="0" w:after="0"/>
        <w:jc w:val="left"/>
        <w:rPr>
          <w:rFonts w:ascii="Arial;sans-serif" w:hAnsi="Arial;sans-serif"/>
          <w:b/>
          <w:i/>
          <w:color w:val="000000"/>
          <w:sz w:val="18"/>
        </w:rPr>
      </w:pPr>
      <w:r>
        <w:rPr>
          <w:rFonts w:ascii="Arial;sans-serif" w:hAnsi="Arial;sans-serif"/>
          <w:b/>
          <w:i/>
          <w:color w:val="000000"/>
          <w:sz w:val="18"/>
        </w:rPr>
        <w:t>Management’s Annual Report on Internal Control over Financial Reporting</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18"/>
        </w:rPr>
      </w:pPr>
      <w:r>
        <w:rPr>
          <w:rFonts w:ascii="Arial;sans-serif" w:hAnsi="Arial;sans-serif"/>
          <w:b w:val="false"/>
          <w:color w:val="000000"/>
          <w:sz w:val="18"/>
        </w:rPr>
        <w:t>Our management is responsible for establishing and maintaining adequate internal control over financial reporting (as defined in Rules 13a-15(f) and 15d-15(f) under the Exchange Act). Internal control over financial reporting is a process designed under the supervision of the Company’s Chief Executive Officer and Chief Financial Officer, and effected by the Board of Directors, management and other personnel to provide reasonable assurance regarding the reliability of financial reporting and the preparation of financial statements for external purposes in accordance with GAAP and includes those policies and procedures that:</w:t>
      </w:r>
    </w:p>
    <w:p>
      <w:pPr>
        <w:pStyle w:val="TextBody"/>
        <w:bidi w:val="0"/>
        <w:spacing w:before="0" w:after="0"/>
        <w:jc w:val="left"/>
        <w:rPr/>
      </w:pPr>
      <w:r>
        <w:rPr/>
      </w:r>
    </w:p>
    <w:p>
      <w:pPr>
        <w:pStyle w:val="TextBody"/>
        <w:bidi w:val="0"/>
        <w:spacing w:lineRule="auto" w:line="268" w:before="0" w:after="0"/>
        <w:ind w:left="0" w:right="0" w:hanging="360"/>
        <w:jc w:val="left"/>
        <w:rPr/>
      </w:pPr>
      <w:r>
        <w:rPr>
          <w:rFonts w:ascii="Arial;sans-serif" w:hAnsi="Arial;sans-serif"/>
          <w:b w:val="false"/>
          <w:color w:val="000000"/>
          <w:sz w:val="20"/>
        </w:rPr>
        <w:t>1.</w:t>
      </w:r>
      <w:r>
        <w:rPr>
          <w:rFonts w:ascii="Arial;sans-serif" w:hAnsi="Arial;sans-serif"/>
          <w:b w:val="false"/>
          <w:color w:val="000000"/>
          <w:sz w:val="18"/>
        </w:rPr>
        <w:t>Pertain to the maintenance of records that in reasonable detail accurately and fairly reflect the transactions and dispositions of the assets of the Company;</w:t>
      </w:r>
    </w:p>
    <w:p>
      <w:pPr>
        <w:pStyle w:val="TextBody"/>
        <w:bidi w:val="0"/>
        <w:spacing w:before="0" w:after="0"/>
        <w:jc w:val="left"/>
        <w:rPr/>
      </w:pPr>
      <w:r>
        <w:rPr/>
      </w:r>
    </w:p>
    <w:p>
      <w:pPr>
        <w:pStyle w:val="TextBody"/>
        <w:bidi w:val="0"/>
        <w:spacing w:lineRule="auto" w:line="268" w:before="0" w:after="0"/>
        <w:ind w:left="0" w:right="0" w:hanging="360"/>
        <w:jc w:val="left"/>
        <w:rPr/>
      </w:pPr>
      <w:r>
        <w:rPr>
          <w:rFonts w:ascii="Arial;sans-serif" w:hAnsi="Arial;sans-serif"/>
          <w:b w:val="false"/>
          <w:color w:val="000000"/>
          <w:sz w:val="20"/>
        </w:rPr>
        <w:t>2.</w:t>
      </w:r>
      <w:r>
        <w:rPr>
          <w:rFonts w:ascii="Arial;sans-serif" w:hAnsi="Arial;sans-serif"/>
          <w:b w:val="false"/>
          <w:color w:val="000000"/>
          <w:sz w:val="18"/>
        </w:rPr>
        <w:t>Provide reasonable assurance that transactions are recorded as necessary to permit preparation of financial statements in accordance with GAAP, and that receipts and expenditures of the Company are being made only in accordance with authorizations of management and directors of the Company; and</w:t>
      </w:r>
    </w:p>
    <w:p>
      <w:pPr>
        <w:pStyle w:val="TextBody"/>
        <w:bidi w:val="0"/>
        <w:spacing w:before="0" w:after="0"/>
        <w:jc w:val="left"/>
        <w:rPr/>
      </w:pPr>
      <w:r>
        <w:rPr/>
      </w:r>
    </w:p>
    <w:p>
      <w:pPr>
        <w:pStyle w:val="TextBody"/>
        <w:bidi w:val="0"/>
        <w:spacing w:lineRule="auto" w:line="268" w:before="0" w:after="0"/>
        <w:ind w:left="0" w:right="0" w:hanging="360"/>
        <w:jc w:val="left"/>
        <w:rPr/>
      </w:pPr>
      <w:r>
        <w:rPr>
          <w:rFonts w:ascii="Arial;sans-serif" w:hAnsi="Arial;sans-serif"/>
          <w:b w:val="false"/>
          <w:color w:val="000000"/>
          <w:sz w:val="20"/>
        </w:rPr>
        <w:t>3.</w:t>
      </w:r>
      <w:r>
        <w:rPr>
          <w:rFonts w:ascii="Arial;sans-serif" w:hAnsi="Arial;sans-serif"/>
          <w:b w:val="false"/>
          <w:color w:val="000000"/>
          <w:sz w:val="18"/>
        </w:rPr>
        <w:t>Provide reasonable assurance regarding prevention or timely detection of unauthorized acquisition, use, or disposition of the Company’s assets that could have a material effect on the financial statements.</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18"/>
        </w:rPr>
      </w:pPr>
      <w:r>
        <w:rPr>
          <w:rFonts w:ascii="Arial;sans-serif" w:hAnsi="Arial;sans-serif"/>
          <w:b w:val="false"/>
          <w:color w:val="000000"/>
          <w:sz w:val="18"/>
        </w:rPr>
        <w:t>Due to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Our management conducted an evaluation of the effectiveness of our internal control over financial reporting as of December 31, 2025, utilizing the framework in Internal Control-Integrated Framework (2013) established by the Committee of Sponsoring Organizations (COSO) of the Treadway Commission. Our internal control over financial reporting includes policies and procedures that are designed to provide reasonable assurance regarding the reliability of financial reporting and the preparation of financial statements for external reporting purposes in accordance with GAAP.</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18"/>
        </w:rPr>
      </w:pPr>
      <w:r>
        <w:rPr>
          <w:rFonts w:ascii="Arial;sans-serif" w:hAnsi="Arial;sans-serif"/>
          <w:b w:val="false"/>
          <w:color w:val="000000"/>
          <w:sz w:val="18"/>
        </w:rPr>
        <w:t>Based on this evaluation and those criteria, our management concluded that our internal control over financial reporting was effective as of December 31, 2025. We reviewed the results of our management’s assessment with our Audit Committee.</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18"/>
        </w:rPr>
      </w:pPr>
      <w:r>
        <w:rPr>
          <w:rFonts w:ascii="Arial;sans-serif" w:hAnsi="Arial;sans-serif"/>
          <w:b w:val="false"/>
          <w:color w:val="000000"/>
          <w:sz w:val="18"/>
        </w:rPr>
        <w:t>Our management has concluded that the consolidated financial statements included in this Annual Report on Form 10-K fairly present, in all material respects, our financial position, results of operations and cash flows as of the dates, and for the periods presented, in conformity with GAAP.</w:t>
      </w:r>
    </w:p>
    <w:p>
      <w:pPr>
        <w:pStyle w:val="TextBody"/>
        <w:bidi w:val="0"/>
        <w:spacing w:lineRule="auto" w:line="288" w:before="240" w:after="283"/>
        <w:jc w:val="left"/>
        <w:rPr>
          <w:rFonts w:ascii="Arial;sans-serif" w:hAnsi="Arial;sans-serif"/>
          <w:b/>
          <w:i/>
          <w:color w:val="000000"/>
          <w:sz w:val="18"/>
        </w:rPr>
      </w:pPr>
      <w:r>
        <w:rPr>
          <w:rFonts w:ascii="Arial;sans-serif" w:hAnsi="Arial;sans-serif"/>
          <w:b/>
          <w:i/>
          <w:color w:val="000000"/>
          <w:sz w:val="18"/>
        </w:rPr>
        <w:t>Changes in Internal Control over Financial Reporting</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18"/>
        </w:rPr>
      </w:pPr>
      <w:r>
        <w:rPr>
          <w:rFonts w:ascii="Arial;sans-serif" w:hAnsi="Arial;sans-serif"/>
          <w:b w:val="false"/>
          <w:color w:val="000000"/>
          <w:sz w:val="18"/>
        </w:rPr>
        <w:t>There were no changes in our internal control over financial reporting identified in management’s evaluation pursuant to Rules 13a-15(d) or 15d-15(d) of the Exchange Act during the quarter ended December 31, 2025 that materially affected, or are reasonably likely to materially affect, our internal control over financial reporting.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A2299"/>
          <w:sz w:val="18"/>
        </w:rPr>
      </w:pPr>
      <w:r>
        <w:rPr>
          <w:rFonts w:ascii="Arial;sans-serif" w:hAnsi="Arial;sans-serif"/>
          <w:b/>
          <w:color w:val="0A2299"/>
          <w:sz w:val="18"/>
        </w:rPr>
        <w:t>ITEM 9B. OTHER INFORMATION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During the fiscal year ended December 31, 2025, none of our directors or officers (as defined in Rule 16a-1(f) under the Exchange Act) adopted, modified, or terminated a Rule 10b5-1 trading plan or a non-Rule 10b5-1 trading arrangement for our securities (as defined in Item 408(c)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A2299"/>
          <w:sz w:val="18"/>
        </w:rPr>
      </w:pPr>
      <w:r>
        <w:rPr>
          <w:rFonts w:ascii="Arial;sans-serif" w:hAnsi="Arial;sans-serif"/>
          <w:b/>
          <w:color w:val="0A2299"/>
          <w:sz w:val="18"/>
        </w:rPr>
        <w:t>ITEM 9C. DISCLOSURE REGARDING FOREIGN JURISDICTIONS THAT PREVENT INSPECTIONS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716280"/>
                <wp:effectExtent l="0" t="0" r="0" b="0"/>
                <wp:wrapNone/>
                <wp:docPr id="105" name="Frame103"/>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99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99</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tbl>
      <w:tblPr>
        <w:tblW w:w="929" w:type="dxa"/>
        <w:jc w:val="left"/>
        <w:tblInd w:w="0" w:type="dxa"/>
        <w:tblLayout w:type="fixed"/>
        <w:tblCellMar>
          <w:top w:w="28" w:type="dxa"/>
          <w:left w:w="28" w:type="dxa"/>
          <w:bottom w:w="28" w:type="dxa"/>
          <w:right w:w="28" w:type="dxa"/>
        </w:tblCellMar>
      </w:tblPr>
      <w:tblGrid>
        <w:gridCol w:w="297"/>
        <w:gridCol w:w="261"/>
        <w:gridCol w:w="371"/>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r>
      <w:tr>
        <w:trPr/>
        <w:tc>
          <w:tcPr>
            <w:tcW w:w="929" w:type="dxa"/>
            <w:gridSpan w:val="3"/>
            <w:tcBorders/>
            <w:shd w:fill="0A2299"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PART III</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A2299"/>
          <w:sz w:val="18"/>
        </w:rPr>
      </w:pPr>
      <w:r>
        <w:rPr>
          <w:rFonts w:ascii="Arial;sans-serif" w:hAnsi="Arial;sans-serif"/>
          <w:b/>
          <w:color w:val="0A2299"/>
          <w:sz w:val="18"/>
        </w:rPr>
        <w:t>ITEM 10. DIRECTORS, EXECUTIVE OFFICERS AND CORPORATE GOVERNANCE</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Code of Ethics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We have adopted a written Code of Business Conduct and Ethics (the “Code”) which applies to all of our directors, officers and other employees, including our principal executive officer and principal financial officer. A copy of the Code is available on our corporate website, www.gohealth.com, under “Investor Relations—Governance—Documents &amp; Charters.” In addition, we intend to post on our website all disclosures that are required by law or The Nasdaq Stock Market LLC concerning any amendments to, or waivers from, any provision of our Code of Business Conduct and Ethics. The information contained on our website does not constitute a part of this Annual Report on Form 10-K.</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Insider Trading Policy</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The information concerning our insider trading policy required by this Item 10 is incorporated herein by reference from the information contained in the Definitive Proxy Statement for the 2026 Annual Meeting of Stockholders under the heading “Insider Trading Policy,” which is expected to be filed within 120 days after our fiscal year ended December 31, 2025. </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Executive Officers and Directors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information concerning our executive offers and directors required by this Item 10 is contained under the caption “Information About Our Executive Officers and Directors” at the end of Part I of this Annual Report on Form 10-K. The remaining information required by this Item 10 of Form 10-K is incorporated herein by reference from the information contained in the Definitive Proxy Statement for the 2026 Annual Meeting of Stockholders under the headings “Delinquent Section 16(a) Reports” (if applicable), “Proposal 1: Election of Directors” and “Committees of the Board,” which is expected to be filed within 120 days after our fiscal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A2299"/>
          <w:sz w:val="18"/>
        </w:rPr>
      </w:pPr>
      <w:r>
        <w:rPr>
          <w:rFonts w:ascii="Arial;sans-serif" w:hAnsi="Arial;sans-serif"/>
          <w:b/>
          <w:color w:val="0A2299"/>
          <w:sz w:val="18"/>
        </w:rPr>
        <w:t>ITEM 11. EXECUTIVE COMPENSATION</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information required by this Item 11 of Form 10-K is incorporated herein by reference from the information contained in the Definitive Proxy Statement for the 2026 Annual Meeting of Stockholders under the headings “Executive Compensation,” “Director Compensation” and “Compensation Committee Interlocks and Insider Participation” (if applicable), which is expected to be filed within 120 days after our fiscal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A2299"/>
          <w:sz w:val="18"/>
        </w:rPr>
      </w:pPr>
      <w:r>
        <w:rPr>
          <w:rFonts w:ascii="Arial;sans-serif" w:hAnsi="Arial;sans-serif"/>
          <w:b/>
          <w:color w:val="0A2299"/>
          <w:sz w:val="18"/>
        </w:rPr>
        <w:t>ITEM 12. SECURITY OWNERSHIP OF CERTAIN BENEFICIAL OWNERS AND MANAGEMENT AND RELATED STOCKHOLDER MATTERS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information required by this Item 12 of Form 10-K is incorporated herein by reference from the information contained in the Definitive Proxy Statement for the 2026 Annual Meeting of Stockholders under the headings “Security Ownership of Certain Beneficial Owners and Management” and “Securities Authorized For Issuance under Equity Compensation Plans”, which is expected to be filed within 120 days after our fiscal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0A2299"/>
          <w:sz w:val="18"/>
        </w:rPr>
      </w:pPr>
      <w:r>
        <w:rPr>
          <w:rFonts w:ascii="Arial;sans-serif" w:hAnsi="Arial;sans-serif"/>
          <w:b/>
          <w:color w:val="0A2299"/>
          <w:sz w:val="18"/>
        </w:rPr>
        <w:t>ITEM 13. CERTAIN RELATIONSHIPS AND RELATED TRANSACTIONS, AND DIRECTOR INDEPENDENCE</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information required by this Item 13 of Form 10-K is incorporated herein by reference from the information contained in the Definitive Proxy Statement for the 2026 Annual Meeting of Stockholders under the headings “Corporate Governance” and “Certain Relationships and Related Party Transactions,” which is expected to be filed within 120 days after our fiscal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A2299"/>
          <w:sz w:val="18"/>
        </w:rPr>
      </w:pPr>
      <w:r>
        <w:rPr>
          <w:rFonts w:ascii="Arial;sans-serif" w:hAnsi="Arial;sans-serif"/>
          <w:b/>
          <w:color w:val="0A2299"/>
          <w:sz w:val="18"/>
        </w:rPr>
        <w:t>ITEM 14. PRINCIPAL ACCOUNTANT FEES AND SERVICES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information required by this Item 14 of Form 10-K is incorporated herein by reference from the information contained in the Definitive Proxy Statement for the 2026 Annual Meeting of Stockholders under the heading “Independent Registered Public Accounting Firm Fees and Other Matters,” which is expected to be filed within 120 days after our fiscal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716280"/>
                <wp:effectExtent l="0" t="0" r="0" b="0"/>
                <wp:wrapNone/>
                <wp:docPr id="106" name="Frame104"/>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300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58"/>
                              <w:gridCol w:w="158"/>
                              <w:gridCol w:w="225"/>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54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100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300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58"/>
                        <w:gridCol w:w="158"/>
                        <w:gridCol w:w="225"/>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54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100</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tbl>
      <w:tblPr>
        <w:tblW w:w="809" w:type="dxa"/>
        <w:jc w:val="left"/>
        <w:tblInd w:w="0" w:type="dxa"/>
        <w:tblLayout w:type="fixed"/>
        <w:tblCellMar>
          <w:top w:w="28" w:type="dxa"/>
          <w:left w:w="28" w:type="dxa"/>
          <w:bottom w:w="28" w:type="dxa"/>
          <w:right w:w="28" w:type="dxa"/>
        </w:tblCellMar>
      </w:tblPr>
      <w:tblGrid>
        <w:gridCol w:w="259"/>
        <w:gridCol w:w="227"/>
        <w:gridCol w:w="323"/>
      </w:tblGrid>
      <w:tr>
        <w:trPr/>
        <w:tc>
          <w:tcPr>
            <w:tcW w:w="25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809" w:type="dxa"/>
            <w:gridSpan w:val="3"/>
            <w:tcBorders/>
            <w:shd w:fill="0A2299"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PART IV</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A2299"/>
          <w:sz w:val="18"/>
        </w:rPr>
      </w:pPr>
      <w:r>
        <w:rPr>
          <w:rFonts w:ascii="Arial;sans-serif" w:hAnsi="Arial;sans-serif"/>
          <w:b/>
          <w:color w:val="0A2299"/>
          <w:sz w:val="18"/>
        </w:rPr>
        <w:t>ITEM 15. EXHIBITS AND FINANCIAL STATEMENT SCHEDULES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(a) We have filed the following documents as part of this Annual Report on Form 10-K:</w:t>
      </w:r>
    </w:p>
    <w:p>
      <w:pPr>
        <w:pStyle w:val="TextBody"/>
        <w:bidi w:val="0"/>
        <w:spacing w:lineRule="auto" w:line="288" w:before="240" w:after="283"/>
        <w:jc w:val="left"/>
        <w:rPr/>
      </w:pPr>
      <w:r>
        <w:rPr>
          <w:rFonts w:ascii="Arial;sans-serif" w:hAnsi="Arial;sans-serif"/>
          <w:b/>
          <w:color w:val="000000"/>
          <w:sz w:val="18"/>
        </w:rPr>
        <w:t>1.</w:t>
      </w:r>
      <w:r>
        <w:rPr>
          <w:rFonts w:ascii="Arial;sans-serif" w:hAnsi="Arial;sans-serif"/>
          <w:b/>
          <w:color w:val="000000"/>
          <w:sz w:val="18"/>
        </w:rPr>
        <w:t>Consolidated Financial Statements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Information in response to this Item is included in Item 8 of Part II of this Annual Report on Form 10-K.</w:t>
      </w:r>
    </w:p>
    <w:p>
      <w:pPr>
        <w:pStyle w:val="TextBody"/>
        <w:bidi w:val="0"/>
        <w:spacing w:lineRule="auto" w:line="288" w:before="240" w:after="283"/>
        <w:jc w:val="left"/>
        <w:rPr/>
      </w:pPr>
      <w:r>
        <w:rPr>
          <w:rFonts w:ascii="Arial;sans-serif" w:hAnsi="Arial;sans-serif"/>
          <w:b/>
          <w:color w:val="000000"/>
          <w:sz w:val="18"/>
        </w:rPr>
        <w:t>2.</w:t>
      </w:r>
      <w:r>
        <w:rPr>
          <w:rFonts w:ascii="Arial;sans-serif" w:hAnsi="Arial;sans-serif"/>
          <w:b/>
          <w:color w:val="000000"/>
          <w:sz w:val="18"/>
        </w:rPr>
        <w:t>Financial Statement Schedules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All financial statement schedules have been omitted because they are not applicable, not material or because the required information is included in Item 8 of Part II of this Annual Report on Form 10-K.</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3.    Exhibits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following documents listed below are incorporated by reference or are filed with this Annual Report on Form 10-K, in each case as indicated therein (numbered in accordance with Item 601 of Regulation S-K).</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Exhibit Index</w:t>
      </w:r>
    </w:p>
    <w:tbl>
      <w:tblPr>
        <w:tblW w:w="10205" w:type="dxa"/>
        <w:jc w:val="left"/>
        <w:tblInd w:w="0" w:type="dxa"/>
        <w:tblLayout w:type="fixed"/>
        <w:tblCellMar>
          <w:top w:w="28" w:type="dxa"/>
          <w:left w:w="28" w:type="dxa"/>
          <w:bottom w:w="28" w:type="dxa"/>
          <w:right w:w="28" w:type="dxa"/>
        </w:tblCellMar>
      </w:tblPr>
      <w:tblGrid>
        <w:gridCol w:w="272"/>
        <w:gridCol w:w="239"/>
        <w:gridCol w:w="240"/>
        <w:gridCol w:w="109"/>
        <w:gridCol w:w="109"/>
        <w:gridCol w:w="109"/>
        <w:gridCol w:w="1376"/>
        <w:gridCol w:w="1336"/>
        <w:gridCol w:w="1350"/>
        <w:gridCol w:w="109"/>
        <w:gridCol w:w="109"/>
        <w:gridCol w:w="109"/>
        <w:gridCol w:w="175"/>
        <w:gridCol w:w="175"/>
        <w:gridCol w:w="176"/>
        <w:gridCol w:w="109"/>
        <w:gridCol w:w="109"/>
        <w:gridCol w:w="109"/>
        <w:gridCol w:w="270"/>
        <w:gridCol w:w="259"/>
        <w:gridCol w:w="153"/>
        <w:gridCol w:w="109"/>
        <w:gridCol w:w="109"/>
        <w:gridCol w:w="109"/>
        <w:gridCol w:w="220"/>
        <w:gridCol w:w="220"/>
        <w:gridCol w:w="221"/>
        <w:gridCol w:w="109"/>
        <w:gridCol w:w="109"/>
        <w:gridCol w:w="109"/>
        <w:gridCol w:w="198"/>
        <w:gridCol w:w="198"/>
        <w:gridCol w:w="199"/>
        <w:gridCol w:w="109"/>
        <w:gridCol w:w="109"/>
        <w:gridCol w:w="109"/>
        <w:gridCol w:w="281"/>
        <w:gridCol w:w="281"/>
        <w:gridCol w:w="404"/>
      </w:tblGrid>
      <w:tr>
        <w:trPr/>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7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File No.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Exhibit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Filing</w:t>
              <w:b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Filed/</w:t>
              <w:br/>
              <w:t>Furnished</w:t>
              <w:br/>
              <w:t>Herewith</w:t>
            </w:r>
          </w:p>
        </w:tc>
      </w:tr>
      <w:tr>
        <w:trPr/>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r:id="rId4">
              <w:r>
                <w:rPr>
                  <w:rStyle w:val="InternetLink"/>
                  <w:rFonts w:ascii="Arial;sans-serif" w:hAnsi="Arial;sans-serif"/>
                  <w:b w:val="false"/>
                  <w:color w:val="0000FF"/>
                  <w:sz w:val="16"/>
                  <w:u w:val="single"/>
                </w:rPr>
                <w:t>Amended and Restated Certificate of Incorporation of GoHealth,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01-39390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8/20/2020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
              <w:r>
                <w:rPr>
                  <w:rStyle w:val="InternetLink"/>
                  <w:rFonts w:ascii="Arial;sans-serif" w:hAnsi="Arial;sans-serif"/>
                  <w:b w:val="false"/>
                  <w:color w:val="0000FF"/>
                  <w:sz w:val="16"/>
                  <w:u w:val="single"/>
                </w:rPr>
                <w:t>Amended and Restated Bylaws of GoHealth,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01-39390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8/20/2020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6">
              <w:r>
                <w:rPr>
                  <w:rStyle w:val="InternetLink"/>
                  <w:rFonts w:ascii="Arial;sans-serif" w:hAnsi="Arial;sans-serif"/>
                  <w:b w:val="false"/>
                  <w:color w:val="0000FF"/>
                  <w:sz w:val="16"/>
                  <w:u w:val="single"/>
                </w:rPr>
                <w:t>Certificate of Designations of Series A Convertible Perpetual Preferred Stock of GoHealth,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01-39390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9/26/2022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7">
              <w:r>
                <w:rPr>
                  <w:rStyle w:val="InternetLink"/>
                  <w:rFonts w:ascii="Arial;sans-serif" w:hAnsi="Arial;sans-serif"/>
                  <w:b w:val="false"/>
                  <w:color w:val="0000FF"/>
                  <w:sz w:val="16"/>
                  <w:u w:val="single"/>
                </w:rPr>
                <w:t>Certificate of Designations of Series A-1 Convertible Non-Voting Perpetual Preferred Stock of GoHealth,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01-39390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9/26/2022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8">
              <w:r>
                <w:rPr>
                  <w:rStyle w:val="InternetLink"/>
                  <w:rFonts w:ascii="Arial;sans-serif" w:hAnsi="Arial;sans-serif"/>
                  <w:b w:val="false"/>
                  <w:color w:val="0000FF"/>
                  <w:sz w:val="16"/>
                  <w:u w:val="single"/>
                </w:rPr>
                <w:t>Certificate of Amendment to Amended and Restated Certificate of Incorporation of GoHealth,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01-39390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11/18/2022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9">
              <w:r>
                <w:rPr>
                  <w:rStyle w:val="InternetLink"/>
                  <w:rFonts w:ascii="Arial;sans-serif" w:hAnsi="Arial;sans-serif"/>
                  <w:b w:val="false"/>
                  <w:color w:val="0000FF"/>
                  <w:sz w:val="16"/>
                  <w:u w:val="single"/>
                </w:rPr>
                <w:t>Specimen Stock Certificate evidencing the shares of Class A common stock.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333-239287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6/19/2020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0">
              <w:r>
                <w:rPr>
                  <w:rStyle w:val="InternetLink"/>
                  <w:rFonts w:ascii="Arial;sans-serif" w:hAnsi="Arial;sans-serif"/>
                  <w:b w:val="false"/>
                  <w:color w:val="0000FF"/>
                  <w:sz w:val="16"/>
                  <w:u w:val="single"/>
                </w:rPr>
                <w:t>Description of Registrant’s Securities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01-39390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3/16/2021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1">
              <w:r>
                <w:rPr>
                  <w:rStyle w:val="InternetLink"/>
                  <w:rFonts w:ascii="Arial;sans-serif" w:hAnsi="Arial;sans-serif"/>
                  <w:b w:val="false"/>
                  <w:color w:val="0000FF"/>
                  <w:sz w:val="16"/>
                  <w:u w:val="single"/>
                </w:rPr>
                <w:t>Incremental Facility Agreement and Technical Amendment No. 2 to Credit Agreement, dated as of May 7, 2020, among Norvax, LLC, as borrower, Blizzard Midco, LLC, as a guarantor, the other guarantors party thereto, Owl Rock Capital Corporation, as administrative agent, collateral agent and swingline lender and the other lenders from time to time party thereto.</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333-239287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6/19/2020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2">
              <w:r>
                <w:rPr>
                  <w:rStyle w:val="InternetLink"/>
                  <w:rFonts w:ascii="Arial;sans-serif" w:hAnsi="Arial;sans-serif"/>
                  <w:b w:val="false"/>
                  <w:color w:val="0000FF"/>
                  <w:sz w:val="16"/>
                  <w:u w:val="single"/>
                </w:rPr>
                <w:t>Incremental Facility Agreement and Technical Amendment No. 3 to Credit Agreement, dated as of June 11, 2020, among Norvax, LLC, as borrower, Blizzard Midco, LLC, as a guarantor, the other guarantors party thereto, Owl Rock Capital Corporation, as administrative agent, collateral agent and swingline lender and the other lenders from time to time party thereto.</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01-39390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8/20/2020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3">
              <w:r>
                <w:rPr>
                  <w:rStyle w:val="InternetLink"/>
                  <w:rFonts w:ascii="Arial;sans-serif" w:hAnsi="Arial;sans-serif"/>
                  <w:b w:val="false"/>
                  <w:color w:val="0000FF"/>
                  <w:sz w:val="16"/>
                  <w:u w:val="single"/>
                </w:rPr>
                <w:t>Amendment No. 4 to the Credit Agreement and Incremental Facility Agreement, dated as of May 7, 2021, among Norvax, LLC, as borrower, Blizzard Midco, LLC, as a guarantor, the other guarantors party thereto, Owl Rock Capital Corporation, as administrative agent, collateral agent and swingline lender and the other lenders from time to time party thereto.</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01-39390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5/13/2021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4">
              <w:r>
                <w:rPr>
                  <w:rStyle w:val="InternetLink"/>
                  <w:rFonts w:ascii="Arial;sans-serif" w:hAnsi="Arial;sans-serif"/>
                  <w:b w:val="false"/>
                  <w:color w:val="0000FF"/>
                  <w:sz w:val="16"/>
                  <w:u w:val="single"/>
                </w:rPr>
                <w:t>Amendment No. 5 to the Credit Agreement and Incremental Facility Agreement, dated as of June 11, 2021, among Norvax, LLC, as borrower, Blizzard Midco, LLC, as a guarantor, the other guarantors party thereto, Owl Rock Capital Corporation, as administrative agent, collateral agent and swingline lender and the other lenders from time to time party thereto.</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001-39390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6/14/2021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716280"/>
                <wp:effectExtent l="0" t="0" r="0" b="0"/>
                <wp:wrapNone/>
                <wp:docPr id="107" name="Frame105"/>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3001" w:type="dxa"/>
                              <w:jc w:val="left"/>
                              <w:tblInd w:w="0" w:type="dxa"/>
                              <w:tblLayout w:type="fixed"/>
                              <w:tblCellMar>
                                <w:top w:w="28" w:type="dxa"/>
                                <w:left w:w="28" w:type="dxa"/>
                                <w:bottom w:w="28" w:type="dxa"/>
                                <w:right w:w="28" w:type="dxa"/>
                              </w:tblCellMar>
                            </w:tblPr>
                            <w:tblGrid>
                              <w:gridCol w:w="424"/>
                              <w:gridCol w:w="372"/>
                              <w:gridCol w:w="374"/>
                              <w:gridCol w:w="429"/>
                              <w:gridCol w:w="429"/>
                              <w:gridCol w:w="432"/>
                              <w:gridCol w:w="158"/>
                              <w:gridCol w:w="158"/>
                              <w:gridCol w:w="225"/>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54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101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3001" w:type="dxa"/>
                        <w:jc w:val="left"/>
                        <w:tblInd w:w="0" w:type="dxa"/>
                        <w:tblLayout w:type="fixed"/>
                        <w:tblCellMar>
                          <w:top w:w="28" w:type="dxa"/>
                          <w:left w:w="28" w:type="dxa"/>
                          <w:bottom w:w="28" w:type="dxa"/>
                          <w:right w:w="28" w:type="dxa"/>
                        </w:tblCellMar>
                      </w:tblPr>
                      <w:tblGrid>
                        <w:gridCol w:w="424"/>
                        <w:gridCol w:w="372"/>
                        <w:gridCol w:w="374"/>
                        <w:gridCol w:w="429"/>
                        <w:gridCol w:w="429"/>
                        <w:gridCol w:w="432"/>
                        <w:gridCol w:w="158"/>
                        <w:gridCol w:w="158"/>
                        <w:gridCol w:w="225"/>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54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101</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tbl>
      <w:tblPr>
        <w:tblW w:w="10205" w:type="dxa"/>
        <w:jc w:val="left"/>
        <w:tblInd w:w="0" w:type="dxa"/>
        <w:tblLayout w:type="fixed"/>
        <w:tblCellMar>
          <w:top w:w="28" w:type="dxa"/>
          <w:left w:w="28" w:type="dxa"/>
          <w:bottom w:w="28" w:type="dxa"/>
          <w:right w:w="28" w:type="dxa"/>
        </w:tblCellMar>
      </w:tblPr>
      <w:tblGrid>
        <w:gridCol w:w="190"/>
        <w:gridCol w:w="166"/>
        <w:gridCol w:w="170"/>
        <w:gridCol w:w="109"/>
        <w:gridCol w:w="109"/>
        <w:gridCol w:w="109"/>
        <w:gridCol w:w="1770"/>
        <w:gridCol w:w="1770"/>
        <w:gridCol w:w="1775"/>
        <w:gridCol w:w="109"/>
        <w:gridCol w:w="109"/>
        <w:gridCol w:w="109"/>
        <w:gridCol w:w="126"/>
        <w:gridCol w:w="124"/>
        <w:gridCol w:w="117"/>
        <w:gridCol w:w="109"/>
        <w:gridCol w:w="109"/>
        <w:gridCol w:w="109"/>
        <w:gridCol w:w="203"/>
        <w:gridCol w:w="203"/>
        <w:gridCol w:w="204"/>
        <w:gridCol w:w="109"/>
        <w:gridCol w:w="109"/>
        <w:gridCol w:w="109"/>
        <w:gridCol w:w="169"/>
        <w:gridCol w:w="169"/>
        <w:gridCol w:w="173"/>
        <w:gridCol w:w="109"/>
        <w:gridCol w:w="109"/>
        <w:gridCol w:w="109"/>
        <w:gridCol w:w="179"/>
        <w:gridCol w:w="179"/>
        <w:gridCol w:w="180"/>
        <w:gridCol w:w="109"/>
        <w:gridCol w:w="109"/>
        <w:gridCol w:w="109"/>
        <w:gridCol w:w="109"/>
        <w:gridCol w:w="109"/>
        <w:gridCol w:w="158"/>
      </w:tblGrid>
      <w:tr>
        <w:trPr/>
        <w:tc>
          <w:tcPr>
            <w:tcW w:w="19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0" w:type="dxa"/>
            <w:tcBorders/>
            <w:vAlign w:val="center"/>
          </w:tcPr>
          <w:p>
            <w:pPr>
              <w:pStyle w:val="TableContents"/>
              <w:bidi w:val="0"/>
              <w:spacing w:before="0" w:after="283"/>
              <w:jc w:val="left"/>
              <w:rPr>
                <w:sz w:val="4"/>
                <w:szCs w:val="4"/>
              </w:rPr>
            </w:pPr>
            <w:r>
              <w:rPr>
                <w:sz w:val="4"/>
                <w:szCs w:val="4"/>
              </w:rPr>
            </w:r>
          </w:p>
        </w:tc>
        <w:tc>
          <w:tcPr>
            <w:tcW w:w="1770" w:type="dxa"/>
            <w:tcBorders/>
            <w:vAlign w:val="center"/>
          </w:tcPr>
          <w:p>
            <w:pPr>
              <w:pStyle w:val="TableContents"/>
              <w:bidi w:val="0"/>
              <w:spacing w:before="0" w:after="283"/>
              <w:jc w:val="left"/>
              <w:rPr>
                <w:sz w:val="4"/>
                <w:szCs w:val="4"/>
              </w:rPr>
            </w:pPr>
            <w:r>
              <w:rPr>
                <w:sz w:val="4"/>
                <w:szCs w:val="4"/>
              </w:rPr>
            </w:r>
          </w:p>
        </w:tc>
        <w:tc>
          <w:tcPr>
            <w:tcW w:w="17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5">
              <w:r>
                <w:rPr>
                  <w:rStyle w:val="InternetLink"/>
                  <w:rFonts w:ascii="Arial;sans-serif" w:hAnsi="Arial;sans-serif"/>
                  <w:b w:val="false"/>
                  <w:color w:val="0000FF"/>
                  <w:sz w:val="16"/>
                  <w:u w:val="single"/>
                </w:rPr>
                <w:t>Amendment No. 6 to the Credit Agreement and Incremental Facility Agreement, dated as of November 10, 2021, among Norvax, LLC, as borrower, Blizzard Midco, LLC, as a guarantor, the other guarantors party thereto, Owl Rock Capital Corporation, as administrative agent, collateral agent and swingline lender and the other lenders from time to time party thereto.</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001-39390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11/10/2021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6">
              <w:r>
                <w:rPr>
                  <w:rStyle w:val="InternetLink"/>
                  <w:rFonts w:ascii="Arial;sans-serif" w:hAnsi="Arial;sans-serif"/>
                  <w:b w:val="false"/>
                  <w:color w:val="0000FF"/>
                  <w:sz w:val="16"/>
                  <w:u w:val="single"/>
                </w:rPr>
                <w:t>Amendment No. 7 to the Credit Agreement and Incremental Facility Agreement, dated as of March 14, 2022, among Norvax, LLC, as borrower, Blizzard Midco, LLC, as a guarantor, the other guarantors party thereto, Owl Rock Capital Corporation, as administrative agent, collateral agent and swingline lender and the other lenders from time to time party thereto.</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001-39390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3/16/2022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7">
              <w:r>
                <w:rPr>
                  <w:rStyle w:val="InternetLink"/>
                  <w:rFonts w:ascii="Arial;sans-serif" w:hAnsi="Arial;sans-serif"/>
                  <w:b w:val="false"/>
                  <w:color w:val="0000FF"/>
                  <w:sz w:val="16"/>
                  <w:u w:val="single"/>
                </w:rPr>
                <w:t>Amendment No. 8 to the Credit Agreement, dated as of August 12, 2022, among Norvax, LLC, as borrower, Blizzard Midco, LLC, as a guarantor, the other guarantors party thereto, Owl Rock Capital Corporation, as administrative agent, collateral agent and swingline lender and the other lenders from time to time party thereto.</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001-39390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8/15/2022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8">
              <w:r>
                <w:rPr>
                  <w:rStyle w:val="InternetLink"/>
                  <w:rFonts w:ascii="Arial;sans-serif" w:hAnsi="Arial;sans-serif"/>
                  <w:b w:val="false"/>
                  <w:color w:val="0000FF"/>
                  <w:sz w:val="16"/>
                  <w:u w:val="single"/>
                </w:rPr>
                <w:t>Amendment No. 9 to the Credit Agreement, dated as of November 9, 2022, among Norvax, LLC, as borrower, Blizzard Midco, LLC, as a guarantor, the other guarantors party thereto, Owl Rock Capital Corporation, as administrative agent, collateral agent and swingline lender and the other lenders from time to time party thereto.</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001-39390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11/14/2022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9">
              <w:r>
                <w:rPr>
                  <w:rStyle w:val="InternetLink"/>
                  <w:rFonts w:ascii="Arial;sans-serif" w:hAnsi="Arial;sans-serif"/>
                  <w:b w:val="false"/>
                  <w:color w:val="0000FF"/>
                  <w:sz w:val="16"/>
                  <w:u w:val="single"/>
                </w:rPr>
                <w:t>Amendment No. 10 to the Credit Agreement, dated as of March 15, 2023, among Norvax, LLC, as borrower, Owl Rock Capital Corporation, as administrative agent, collateral agent and required lenders.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001-39390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3/17/2023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0">
              <w:r>
                <w:rPr>
                  <w:rStyle w:val="InternetLink"/>
                  <w:rFonts w:ascii="Arial;sans-serif" w:hAnsi="Arial;sans-serif"/>
                  <w:b w:val="false"/>
                  <w:color w:val="0000FF"/>
                  <w:sz w:val="16"/>
                  <w:u w:val="single"/>
                </w:rPr>
                <w:t>Amendment No. 11 to the Credit Agreement, dated as of March 12, 2024, among Norvax, LLC, as borrower, Blue Owl Capital Corporation, as administrative agent, collateral agent and required lenders.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001-39390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3/14/2024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1">
              <w:r>
                <w:rPr>
                  <w:rStyle w:val="InternetLink"/>
                  <w:rFonts w:ascii="Arial;sans-serif" w:hAnsi="Arial;sans-serif"/>
                  <w:b w:val="false"/>
                  <w:color w:val="0000FF"/>
                  <w:sz w:val="16"/>
                  <w:u w:val="single"/>
                </w:rPr>
                <w:t>Amendment No. 12 to the Credit Agreement dated as of October 15, 2024, among Norvax LLC, as borrower, Blue Owl Corporation, as administrative agent, collateral agent and required lenders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001-39390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11/7/2024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2">
              <w:r>
                <w:rPr>
                  <w:rStyle w:val="InternetLink"/>
                  <w:rFonts w:ascii="Arial;sans-serif" w:hAnsi="Arial;sans-serif"/>
                  <w:b w:val="false"/>
                  <w:color w:val="0000FF"/>
                  <w:sz w:val="16"/>
                  <w:u w:val="single"/>
                </w:rPr>
                <w:t>Consent Letter to the Credit Agreement, dated as of September 13, 2024, by and among the Borrower, each other Guarantor, Holdings, Blue Owl Capital Corporation, and each of the Lenders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001-39390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11/7/2024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3">
              <w:r>
                <w:rPr>
                  <w:rStyle w:val="InternetLink"/>
                  <w:rFonts w:ascii="Arial;sans-serif" w:hAnsi="Arial;sans-serif"/>
                  <w:b w:val="false"/>
                  <w:color w:val="0000FF"/>
                  <w:sz w:val="16"/>
                  <w:u w:val="single"/>
                </w:rPr>
                <w:t>Amendment and Restatement Agreement, dated as of November 4, 2024, by and among Blizzard Midco, LLC, Norvax, LLC, the lenders party thereto, the issuing banks party thereto, Blue Owl Capital Corporation, as the predecessor agent, and Blue Torch Finance, LLC, as administrative agent and collateral agent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001-39390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11/7/2024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4">
              <w:r>
                <w:rPr>
                  <w:rStyle w:val="InternetLink"/>
                  <w:rFonts w:ascii="Arial;sans-serif" w:hAnsi="Arial;sans-serif"/>
                  <w:b w:val="false"/>
                  <w:color w:val="0000FF"/>
                  <w:sz w:val="16"/>
                  <w:u w:val="single"/>
                </w:rPr>
                <w:t>Amended and Restated Credit Agreement, dated as of November 4, 2024, by and among Blizzard Midco, LLC, Norvax, LLC, the lenders party thereto, the issuing banks party thereto and Blue Torch Finance, LLC, as administrative agent and collateral agent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001-39390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11/7/2024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5">
              <w:r>
                <w:rPr>
                  <w:rStyle w:val="InternetLink"/>
                  <w:rFonts w:ascii="Arial;sans-serif" w:hAnsi="Arial;sans-serif"/>
                  <w:b w:val="false"/>
                  <w:color w:val="0000FF"/>
                  <w:sz w:val="16"/>
                  <w:u w:val="single"/>
                </w:rPr>
                <w:t>Amendment No. 13 to Credit Agreement, dated as of June 30, 2025, by and among Norvax, LLC, as borrower, Blizzard Midco, LLC, the lenders and issuing banks party thereto, and Blue Torch Finance, LLC, as administrative agent and collateral agent (including Annex A which is a conformed version of the Credit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001-39390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6/30/2025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6">
              <w:r>
                <w:rPr>
                  <w:rStyle w:val="InternetLink"/>
                  <w:rFonts w:ascii="Arial;sans-serif" w:hAnsi="Arial;sans-serif"/>
                  <w:b w:val="false"/>
                  <w:color w:val="0000FF"/>
                  <w:sz w:val="16"/>
                  <w:u w:val="single"/>
                </w:rPr>
                <w:t>Amendment No. 14 to Credit Agreement, dated as of August 6, 2025, by and among Norvax, LLC, as borrower, Blizzard Midco, LLC, the lenders and issuing banks party thereto, and Blue Torch Finance, LLC, as administrative agent and collateral agent (including Annex A which is a conformed version of the Credit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001-39390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8/7/2025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7">
              <w:r>
                <w:rPr>
                  <w:rStyle w:val="InternetLink"/>
                  <w:rFonts w:ascii="Arial;sans-serif" w:hAnsi="Arial;sans-serif"/>
                  <w:b w:val="false"/>
                  <w:color w:val="0000FF"/>
                  <w:sz w:val="16"/>
                  <w:u w:val="single"/>
                </w:rPr>
                <w:t>Superpriority Senior Secured Credit Agreement, dated as of August 6, 2025, by and among Norvax, LLC, as borrower, Blizzard Midco, LLC, the lenders and issuing banks party thereto, and Blue Torch Finance, LLC, as administrative agent and collateral agent.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001-39390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8/7/2025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716280"/>
                <wp:effectExtent l="0" t="0" r="0" b="0"/>
                <wp:wrapNone/>
                <wp:docPr id="108" name="Frame106"/>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3001" w:type="dxa"/>
                              <w:jc w:val="left"/>
                              <w:tblInd w:w="0" w:type="dxa"/>
                              <w:tblLayout w:type="fixed"/>
                              <w:tblCellMar>
                                <w:top w:w="28" w:type="dxa"/>
                                <w:left w:w="28" w:type="dxa"/>
                                <w:bottom w:w="28" w:type="dxa"/>
                                <w:right w:w="28" w:type="dxa"/>
                              </w:tblCellMar>
                            </w:tblPr>
                            <w:tblGrid>
                              <w:gridCol w:w="424"/>
                              <w:gridCol w:w="372"/>
                              <w:gridCol w:w="374"/>
                              <w:gridCol w:w="429"/>
                              <w:gridCol w:w="429"/>
                              <w:gridCol w:w="432"/>
                              <w:gridCol w:w="158"/>
                              <w:gridCol w:w="158"/>
                              <w:gridCol w:w="225"/>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54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102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3001" w:type="dxa"/>
                        <w:jc w:val="left"/>
                        <w:tblInd w:w="0" w:type="dxa"/>
                        <w:tblLayout w:type="fixed"/>
                        <w:tblCellMar>
                          <w:top w:w="28" w:type="dxa"/>
                          <w:left w:w="28" w:type="dxa"/>
                          <w:bottom w:w="28" w:type="dxa"/>
                          <w:right w:w="28" w:type="dxa"/>
                        </w:tblCellMar>
                      </w:tblPr>
                      <w:tblGrid>
                        <w:gridCol w:w="424"/>
                        <w:gridCol w:w="372"/>
                        <w:gridCol w:w="374"/>
                        <w:gridCol w:w="429"/>
                        <w:gridCol w:w="429"/>
                        <w:gridCol w:w="432"/>
                        <w:gridCol w:w="158"/>
                        <w:gridCol w:w="158"/>
                        <w:gridCol w:w="225"/>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54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102</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tbl>
      <w:tblPr>
        <w:tblW w:w="10205" w:type="dxa"/>
        <w:jc w:val="left"/>
        <w:tblInd w:w="0" w:type="dxa"/>
        <w:tblLayout w:type="fixed"/>
        <w:tblCellMar>
          <w:top w:w="28" w:type="dxa"/>
          <w:left w:w="28" w:type="dxa"/>
          <w:bottom w:w="28" w:type="dxa"/>
          <w:right w:w="28" w:type="dxa"/>
        </w:tblCellMar>
      </w:tblPr>
      <w:tblGrid>
        <w:gridCol w:w="198"/>
        <w:gridCol w:w="174"/>
        <w:gridCol w:w="176"/>
        <w:gridCol w:w="109"/>
        <w:gridCol w:w="109"/>
        <w:gridCol w:w="109"/>
        <w:gridCol w:w="1820"/>
        <w:gridCol w:w="1642"/>
        <w:gridCol w:w="1647"/>
        <w:gridCol w:w="109"/>
        <w:gridCol w:w="109"/>
        <w:gridCol w:w="109"/>
        <w:gridCol w:w="132"/>
        <w:gridCol w:w="130"/>
        <w:gridCol w:w="124"/>
        <w:gridCol w:w="109"/>
        <w:gridCol w:w="109"/>
        <w:gridCol w:w="109"/>
        <w:gridCol w:w="287"/>
        <w:gridCol w:w="220"/>
        <w:gridCol w:w="222"/>
        <w:gridCol w:w="109"/>
        <w:gridCol w:w="109"/>
        <w:gridCol w:w="109"/>
        <w:gridCol w:w="169"/>
        <w:gridCol w:w="169"/>
        <w:gridCol w:w="173"/>
        <w:gridCol w:w="109"/>
        <w:gridCol w:w="109"/>
        <w:gridCol w:w="109"/>
        <w:gridCol w:w="193"/>
        <w:gridCol w:w="193"/>
        <w:gridCol w:w="194"/>
        <w:gridCol w:w="109"/>
        <w:gridCol w:w="109"/>
        <w:gridCol w:w="109"/>
        <w:gridCol w:w="109"/>
        <w:gridCol w:w="109"/>
        <w:gridCol w:w="162"/>
      </w:tblGrid>
      <w:tr>
        <w:trPr/>
        <w:tc>
          <w:tcPr>
            <w:tcW w:w="19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0" w:type="dxa"/>
            <w:tcBorders/>
            <w:vAlign w:val="center"/>
          </w:tcPr>
          <w:p>
            <w:pPr>
              <w:pStyle w:val="TableContents"/>
              <w:bidi w:val="0"/>
              <w:spacing w:before="0" w:after="283"/>
              <w:jc w:val="left"/>
              <w:rPr>
                <w:sz w:val="4"/>
                <w:szCs w:val="4"/>
              </w:rPr>
            </w:pPr>
            <w:r>
              <w:rPr>
                <w:sz w:val="4"/>
                <w:szCs w:val="4"/>
              </w:rPr>
            </w:r>
          </w:p>
        </w:tc>
        <w:tc>
          <w:tcPr>
            <w:tcW w:w="1642" w:type="dxa"/>
            <w:tcBorders/>
            <w:vAlign w:val="center"/>
          </w:tcPr>
          <w:p>
            <w:pPr>
              <w:pStyle w:val="TableContents"/>
              <w:bidi w:val="0"/>
              <w:spacing w:before="0" w:after="283"/>
              <w:jc w:val="left"/>
              <w:rPr>
                <w:sz w:val="4"/>
                <w:szCs w:val="4"/>
              </w:rPr>
            </w:pPr>
            <w:r>
              <w:rPr>
                <w:sz w:val="4"/>
                <w:szCs w:val="4"/>
              </w:rPr>
            </w:r>
          </w:p>
        </w:tc>
        <w:tc>
          <w:tcPr>
            <w:tcW w:w="16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4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8">
              <w:r>
                <w:rPr>
                  <w:rStyle w:val="InternetLink"/>
                  <w:rFonts w:ascii="Arial;sans-serif" w:hAnsi="Arial;sans-serif"/>
                  <w:b w:val="false"/>
                  <w:color w:val="0000FF"/>
                  <w:sz w:val="16"/>
                  <w:u w:val="single"/>
                </w:rPr>
                <w:t>Tax Receivable Agreement, dated July 15, 2020, by and among the GoHealth, Inc., GoHealth, LLC, CB Blizzard Co-Invest Holdings, L.P., CCP III AIV VII Holdings, L.P. and each of the Members from time to time party thereto.</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001-39390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5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7/17/2020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9">
              <w:r>
                <w:rPr>
                  <w:rStyle w:val="InternetLink"/>
                  <w:rFonts w:ascii="Arial;sans-serif" w:hAnsi="Arial;sans-serif"/>
                  <w:b w:val="false"/>
                  <w:color w:val="0000FF"/>
                  <w:sz w:val="16"/>
                  <w:u w:val="single"/>
                </w:rPr>
                <w:t>Registration Rights Agreement, dated July 15, 2020, by and among GoHealth, Inc. and each other person identified on the schedule of investors attached thereto.</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001-39390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5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7/17/2020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0">
              <w:r>
                <w:rPr>
                  <w:rStyle w:val="InternetLink"/>
                  <w:rFonts w:ascii="Arial;sans-serif" w:hAnsi="Arial;sans-serif"/>
                  <w:b w:val="false"/>
                  <w:color w:val="0000FF"/>
                  <w:sz w:val="16"/>
                  <w:u w:val="single"/>
                </w:rPr>
                <w:t>Second Amended and Restated Limited Liability Company Agreement of GoHealth, LLC, dated July 15, 2020, by and among GoHealth, LLC and its Members.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001-39390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5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7/17/2020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1">
              <w:r>
                <w:rPr>
                  <w:rStyle w:val="InternetLink"/>
                  <w:rFonts w:ascii="Arial;sans-serif" w:hAnsi="Arial;sans-serif"/>
                  <w:b w:val="false"/>
                  <w:color w:val="0000FF"/>
                  <w:sz w:val="16"/>
                  <w:u w:val="single"/>
                </w:rPr>
                <w:t>Stockholders Agreement, dated July 15, 2020, by and among GoHealth, Inc. and the persons and entities listed on the schedules attached thereto.</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001-39390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5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7/17/2020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2">
              <w:r>
                <w:rPr>
                  <w:rStyle w:val="InternetLink"/>
                  <w:rFonts w:ascii="Arial;sans-serif" w:hAnsi="Arial;sans-serif"/>
                  <w:b w:val="false"/>
                  <w:color w:val="0000FF"/>
                  <w:sz w:val="16"/>
                  <w:u w:val="single"/>
                </w:rPr>
                <w:t>Amendment No. 2 to the Second Amended and Restated Limited Liability Company Agreement of GoHealth Holdings, LLC, dated as of September 23, 2022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001-39390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9/26/2022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3">
              <w:r>
                <w:rPr>
                  <w:rStyle w:val="InternetLink"/>
                  <w:rFonts w:ascii="Arial;sans-serif" w:hAnsi="Arial;sans-serif"/>
                  <w:b w:val="false"/>
                  <w:color w:val="0000FF"/>
                  <w:sz w:val="16"/>
                  <w:u w:val="single"/>
                </w:rPr>
                <w:t>Investment Agreement dated as of September 23, 2022 among GoHealth, Inc. and the purchasers identified therein.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001-39390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9/26/2022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4">
              <w:r>
                <w:rPr>
                  <w:rStyle w:val="InternetLink"/>
                  <w:rFonts w:ascii="Arial;sans-serif" w:hAnsi="Arial;sans-serif"/>
                  <w:b w:val="false"/>
                  <w:color w:val="0000FF"/>
                  <w:sz w:val="16"/>
                  <w:u w:val="single"/>
                </w:rPr>
                <w:t>Registration Rights Agreement dated as of September 23, 2022 among GoHealth, Inc. and the persons identified therein.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001-39390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9/26/2022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5">
              <w:r>
                <w:rPr>
                  <w:rStyle w:val="InternetLink"/>
                  <w:rFonts w:ascii="Arial;sans-serif" w:hAnsi="Arial;sans-serif"/>
                  <w:b w:val="false"/>
                  <w:color w:val="0000FF"/>
                  <w:sz w:val="16"/>
                  <w:u w:val="single"/>
                </w:rPr>
                <w:t>Registration Rights Agreement, dated as of August 27, 2025, by and among GoHealth, Inc. and each of the persons identified therein.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001-39390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11/14/2025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6">
              <w:r>
                <w:rPr>
                  <w:rStyle w:val="InternetLink"/>
                  <w:rFonts w:ascii="Arial;sans-serif" w:hAnsi="Arial;sans-serif"/>
                  <w:b w:val="false"/>
                  <w:color w:val="0000FF"/>
                  <w:sz w:val="16"/>
                  <w:u w:val="single"/>
                </w:rPr>
                <w:t>Amendment to Registration Rights Agreement, dated as of October 13, 2025, by and among GoHealth, Inc. and each of the persons identified therein.</w:t>
              </w:r>
            </w:hyperlink>
          </w:p>
          <w:p>
            <w:pPr>
              <w:pStyle w:val="TableContents"/>
              <w:bidi w:val="0"/>
              <w:spacing w:before="0" w:after="0"/>
              <w:jc w:val="left"/>
              <w:rPr/>
            </w:pPr>
            <w:r>
              <w:rPr/>
            </w:r>
          </w:p>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001-39390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11/14/2025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7">
              <w:r>
                <w:rPr>
                  <w:rStyle w:val="InternetLink"/>
                  <w:rFonts w:ascii="Arial;sans-serif" w:hAnsi="Arial;sans-serif"/>
                  <w:b w:val="false"/>
                  <w:color w:val="0000FF"/>
                  <w:sz w:val="16"/>
                  <w:u w:val="single"/>
                </w:rPr>
                <w:t>Form of Indemnification and Advancement Agreement between GoHealth, Inc. and its directors and officers.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333-239287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10.9</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5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6/19/2020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8">
              <w:r>
                <w:rPr>
                  <w:rStyle w:val="InternetLink"/>
                  <w:rFonts w:ascii="Arial;sans-serif" w:hAnsi="Arial;sans-serif"/>
                  <w:b w:val="false"/>
                  <w:color w:val="0000FF"/>
                  <w:sz w:val="16"/>
                  <w:u w:val="single"/>
                </w:rPr>
                <w:t>GoHealth Holdings, LLC Profits Unit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333-239287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10.9</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5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7/6/2020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9">
              <w:r>
                <w:rPr>
                  <w:rStyle w:val="InternetLink"/>
                  <w:rFonts w:ascii="Arial;sans-serif" w:hAnsi="Arial;sans-serif"/>
                  <w:b w:val="false"/>
                  <w:color w:val="0000FF"/>
                  <w:sz w:val="16"/>
                  <w:u w:val="single"/>
                </w:rPr>
                <w:t>Form of Executive Common Unit and Profits Unit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333-239287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10.10</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5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7/6/2020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0">
              <w:r>
                <w:rPr>
                  <w:rStyle w:val="InternetLink"/>
                  <w:rFonts w:ascii="Arial;sans-serif" w:hAnsi="Arial;sans-serif"/>
                  <w:b w:val="false"/>
                  <w:color w:val="0000FF"/>
                  <w:sz w:val="16"/>
                  <w:u w:val="single"/>
                </w:rPr>
                <w:t>Form of Amendment No. 1 to Executive Common Unit and Profits Unit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333-239287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10.11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5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7/8/2020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1">
              <w:r>
                <w:rPr>
                  <w:rStyle w:val="InternetLink"/>
                  <w:rFonts w:ascii="Arial;sans-serif" w:hAnsi="Arial;sans-serif"/>
                  <w:b w:val="false"/>
                  <w:color w:val="0000FF"/>
                  <w:sz w:val="16"/>
                  <w:u w:val="single"/>
                </w:rPr>
                <w:t>GoHealth, Inc. 2020 Incentive Award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333-239287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7/8/2020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2">
              <w:r>
                <w:rPr>
                  <w:rStyle w:val="InternetLink"/>
                  <w:rFonts w:ascii="Arial;sans-serif" w:hAnsi="Arial;sans-serif"/>
                  <w:b w:val="false"/>
                  <w:color w:val="0000FF"/>
                  <w:sz w:val="16"/>
                  <w:u w:val="single"/>
                </w:rPr>
                <w:t>GoHealth, Inc. 2020 Employee Stock Purchase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333-239287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7/8/2020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3">
              <w:r>
                <w:rPr>
                  <w:rStyle w:val="InternetLink"/>
                  <w:rFonts w:ascii="Arial;sans-serif" w:hAnsi="Arial;sans-serif"/>
                  <w:b w:val="false"/>
                  <w:color w:val="0000FF"/>
                  <w:sz w:val="16"/>
                  <w:u w:val="single"/>
                </w:rPr>
                <w:t>GoHealth, Inc. Non-Employee Director Compensation Policy.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333-239287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10.16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5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7/8/2020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4">
              <w:r>
                <w:rPr>
                  <w:rStyle w:val="InternetLink"/>
                  <w:rFonts w:ascii="Arial;sans-serif" w:hAnsi="Arial;sans-serif"/>
                  <w:b w:val="false"/>
                  <w:color w:val="0000FF"/>
                  <w:sz w:val="16"/>
                  <w:u w:val="single"/>
                </w:rPr>
                <w:t>Form Director Profits Unit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333-239287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10.17</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5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7/8/2020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5">
              <w:r>
                <w:rPr>
                  <w:rStyle w:val="InternetLink"/>
                  <w:rFonts w:ascii="Arial;sans-serif" w:hAnsi="Arial;sans-serif"/>
                  <w:b w:val="false"/>
                  <w:color w:val="0000FF"/>
                  <w:sz w:val="16"/>
                  <w:u w:val="single"/>
                </w:rPr>
                <w:t>Form Amendment No. 1 to Director Profits Unit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333-239287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10.18</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5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7/8/2020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6">
              <w:r>
                <w:rPr>
                  <w:rStyle w:val="InternetLink"/>
                  <w:rFonts w:ascii="Arial;sans-serif" w:hAnsi="Arial;sans-serif"/>
                  <w:b w:val="false"/>
                  <w:color w:val="0000FF"/>
                  <w:sz w:val="16"/>
                  <w:u w:val="single"/>
                </w:rPr>
                <w:t>Form of Stock Option Award Grant Notice and Stock Option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333-239287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10.19</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5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7/8/2020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7">
              <w:r>
                <w:rPr>
                  <w:rStyle w:val="InternetLink"/>
                  <w:rFonts w:ascii="Arial;sans-serif" w:hAnsi="Arial;sans-serif"/>
                  <w:b w:val="false"/>
                  <w:color w:val="0000FF"/>
                  <w:sz w:val="16"/>
                  <w:u w:val="single"/>
                </w:rPr>
                <w:t>Form of Restricted Stock Unit Award Grant Notice and Restricted Stock Unit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333-239287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10.20</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5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7/8/2020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10.38#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8">
              <w:r>
                <w:rPr>
                  <w:rStyle w:val="InternetLink"/>
                  <w:rFonts w:ascii="Arial;sans-serif" w:hAnsi="Arial;sans-serif"/>
                  <w:b w:val="false"/>
                  <w:color w:val="0000FF"/>
                  <w:sz w:val="16"/>
                  <w:u w:val="single"/>
                </w:rPr>
                <w:t>GoHealth, Inc. 2021 Inducement Award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S-8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333-239287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12/20/2021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10.39#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9">
              <w:r>
                <w:rPr>
                  <w:rStyle w:val="InternetLink"/>
                  <w:rFonts w:ascii="Arial;sans-serif" w:hAnsi="Arial;sans-serif"/>
                  <w:b w:val="false"/>
                  <w:color w:val="0000FF"/>
                  <w:sz w:val="16"/>
                  <w:u w:val="single"/>
                </w:rPr>
                <w:t>Inducement Award Plan Form of Stock Option Award Grant Notice and Stock Option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S-8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333-239287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12/20/2021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10.40#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50">
              <w:r>
                <w:rPr>
                  <w:rStyle w:val="InternetLink"/>
                  <w:rFonts w:ascii="Arial;sans-serif" w:hAnsi="Arial;sans-serif"/>
                  <w:b w:val="false"/>
                  <w:color w:val="0000FF"/>
                  <w:sz w:val="16"/>
                  <w:u w:val="single"/>
                </w:rPr>
                <w:t>Inducement Award Plan Form of Restricted Stock Unit Award Grant Notice and Restricted Stock Unit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S-8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333-239287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99.3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12/20/2021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1">
              <w:r>
                <w:rPr>
                  <w:rStyle w:val="InternetLink"/>
                  <w:rFonts w:ascii="Arial;sans-serif" w:hAnsi="Arial;sans-serif"/>
                  <w:b w:val="false"/>
                  <w:color w:val="0000FF"/>
                  <w:sz w:val="16"/>
                  <w:u w:val="single"/>
                </w:rPr>
                <w:t>First Amendment to the GoHealth, Inc. 2021 Inducement Award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S-8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333-239287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99.6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6/6/2022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2">
              <w:r>
                <w:rPr>
                  <w:rStyle w:val="InternetLink"/>
                  <w:rFonts w:ascii="Arial;sans-serif" w:hAnsi="Arial;sans-serif"/>
                  <w:b w:val="false"/>
                  <w:color w:val="0000FF"/>
                  <w:sz w:val="16"/>
                  <w:u w:val="single"/>
                </w:rPr>
                <w:t>Incentive Award Plan Form of Stock Appreciation Rights Grant Notice and Stock Appreciation Rights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S-8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333-239287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99.4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6/6/2022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3">
              <w:r>
                <w:rPr>
                  <w:rStyle w:val="InternetLink"/>
                  <w:rFonts w:ascii="Arial;sans-serif" w:hAnsi="Arial;sans-serif"/>
                  <w:b w:val="false"/>
                  <w:color w:val="0000FF"/>
                  <w:sz w:val="16"/>
                  <w:u w:val="single"/>
                </w:rPr>
                <w:t>Inducement Award Plan Form of Stock Option Award Grant Notice and Stock Option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S-8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333-239287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99.7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6/6/2022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4">
              <w:r>
                <w:rPr>
                  <w:rStyle w:val="InternetLink"/>
                  <w:rFonts w:ascii="Arial;sans-serif" w:hAnsi="Arial;sans-serif"/>
                  <w:b w:val="false"/>
                  <w:color w:val="0000FF"/>
                  <w:sz w:val="16"/>
                  <w:u w:val="single"/>
                </w:rPr>
                <w:t>Inducement Award Plan Form of Restricted Stock Unit Award Grant Notice and Restricted Stock Unit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S-8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333-239287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99.8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6/6/2022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5">
              <w:r>
                <w:rPr>
                  <w:rStyle w:val="InternetLink"/>
                  <w:rFonts w:ascii="Arial;sans-serif" w:hAnsi="Arial;sans-serif"/>
                  <w:b w:val="false"/>
                  <w:color w:val="0000FF"/>
                  <w:sz w:val="16"/>
                  <w:u w:val="single"/>
                </w:rPr>
                <w:t>Employment Agreement, dated June 3, 2022, by and among GoHealth, Inc., GoHealth Holdings, LLC, and Vijay Kotte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001-39390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8/16/2022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6">
              <w:r>
                <w:rPr>
                  <w:rStyle w:val="InternetLink"/>
                  <w:rFonts w:ascii="Arial;sans-serif" w:hAnsi="Arial;sans-serif"/>
                  <w:b w:val="false"/>
                  <w:color w:val="0000FF"/>
                  <w:sz w:val="16"/>
                  <w:u w:val="single"/>
                </w:rPr>
                <w:t>Separation and General Release Agreement, dated July 28, 2023, by and between Shane Cruz, Norvax, LLC, GoHealth, Inc., and GoHealth Holdings,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001-39390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8/10/2023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7">
              <w:r>
                <w:rPr>
                  <w:rStyle w:val="InternetLink"/>
                  <w:rFonts w:ascii="Arial;sans-serif" w:hAnsi="Arial;sans-serif"/>
                  <w:b w:val="false"/>
                  <w:color w:val="0000FF"/>
                  <w:sz w:val="16"/>
                  <w:u w:val="single"/>
                </w:rPr>
                <w:t>Amended and Restated Employment Agreement signed May 8, 2024, by and among GoHealth, Inc., GoHealth Holdings, LLC, and Michael Hargis.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001-39390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5/9/2024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716280"/>
                <wp:effectExtent l="0" t="0" r="0" b="0"/>
                <wp:wrapNone/>
                <wp:docPr id="109" name="Frame107"/>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3001" w:type="dxa"/>
                              <w:jc w:val="left"/>
                              <w:tblInd w:w="0" w:type="dxa"/>
                              <w:tblLayout w:type="fixed"/>
                              <w:tblCellMar>
                                <w:top w:w="28" w:type="dxa"/>
                                <w:left w:w="28" w:type="dxa"/>
                                <w:bottom w:w="28" w:type="dxa"/>
                                <w:right w:w="28" w:type="dxa"/>
                              </w:tblCellMar>
                            </w:tblPr>
                            <w:tblGrid>
                              <w:gridCol w:w="424"/>
                              <w:gridCol w:w="372"/>
                              <w:gridCol w:w="374"/>
                              <w:gridCol w:w="429"/>
                              <w:gridCol w:w="429"/>
                              <w:gridCol w:w="432"/>
                              <w:gridCol w:w="158"/>
                              <w:gridCol w:w="158"/>
                              <w:gridCol w:w="225"/>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54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103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3001" w:type="dxa"/>
                        <w:jc w:val="left"/>
                        <w:tblInd w:w="0" w:type="dxa"/>
                        <w:tblLayout w:type="fixed"/>
                        <w:tblCellMar>
                          <w:top w:w="28" w:type="dxa"/>
                          <w:left w:w="28" w:type="dxa"/>
                          <w:bottom w:w="28" w:type="dxa"/>
                          <w:right w:w="28" w:type="dxa"/>
                        </w:tblCellMar>
                      </w:tblPr>
                      <w:tblGrid>
                        <w:gridCol w:w="424"/>
                        <w:gridCol w:w="372"/>
                        <w:gridCol w:w="374"/>
                        <w:gridCol w:w="429"/>
                        <w:gridCol w:w="429"/>
                        <w:gridCol w:w="432"/>
                        <w:gridCol w:w="158"/>
                        <w:gridCol w:w="158"/>
                        <w:gridCol w:w="225"/>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54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103</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tbl>
      <w:tblPr>
        <w:tblW w:w="10205" w:type="dxa"/>
        <w:jc w:val="left"/>
        <w:tblInd w:w="0" w:type="dxa"/>
        <w:tblLayout w:type="fixed"/>
        <w:tblCellMar>
          <w:top w:w="28" w:type="dxa"/>
          <w:left w:w="28" w:type="dxa"/>
          <w:bottom w:w="28" w:type="dxa"/>
          <w:right w:w="28" w:type="dxa"/>
        </w:tblCellMar>
      </w:tblPr>
      <w:tblGrid>
        <w:gridCol w:w="221"/>
        <w:gridCol w:w="194"/>
        <w:gridCol w:w="196"/>
        <w:gridCol w:w="109"/>
        <w:gridCol w:w="109"/>
        <w:gridCol w:w="109"/>
        <w:gridCol w:w="1756"/>
        <w:gridCol w:w="1658"/>
        <w:gridCol w:w="1663"/>
        <w:gridCol w:w="109"/>
        <w:gridCol w:w="109"/>
        <w:gridCol w:w="109"/>
        <w:gridCol w:w="130"/>
        <w:gridCol w:w="128"/>
        <w:gridCol w:w="123"/>
        <w:gridCol w:w="109"/>
        <w:gridCol w:w="109"/>
        <w:gridCol w:w="109"/>
        <w:gridCol w:w="291"/>
        <w:gridCol w:w="232"/>
        <w:gridCol w:w="233"/>
        <w:gridCol w:w="109"/>
        <w:gridCol w:w="109"/>
        <w:gridCol w:w="109"/>
        <w:gridCol w:w="140"/>
        <w:gridCol w:w="140"/>
        <w:gridCol w:w="141"/>
        <w:gridCol w:w="109"/>
        <w:gridCol w:w="109"/>
        <w:gridCol w:w="109"/>
        <w:gridCol w:w="205"/>
        <w:gridCol w:w="205"/>
        <w:gridCol w:w="207"/>
        <w:gridCol w:w="109"/>
        <w:gridCol w:w="109"/>
        <w:gridCol w:w="109"/>
        <w:gridCol w:w="109"/>
        <w:gridCol w:w="109"/>
        <w:gridCol w:w="162"/>
      </w:tblGrid>
      <w:tr>
        <w:trPr/>
        <w:tc>
          <w:tcPr>
            <w:tcW w:w="22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6"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16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8">
              <w:r>
                <w:rPr>
                  <w:rStyle w:val="InternetLink"/>
                  <w:rFonts w:ascii="Arial;sans-serif" w:hAnsi="Arial;sans-serif"/>
                  <w:b w:val="false"/>
                  <w:color w:val="0000FF"/>
                  <w:sz w:val="16"/>
                  <w:u w:val="single"/>
                </w:rPr>
                <w:t>Employment Agreement, dated as of October 4, 2024, by and among Brendan Shanahan, GoHealth, Inc. and Norvax,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001-39390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10/10/2024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9">
              <w:r>
                <w:rPr>
                  <w:rStyle w:val="InternetLink"/>
                  <w:rFonts w:ascii="Arial;sans-serif" w:hAnsi="Arial;sans-serif"/>
                  <w:b w:val="false"/>
                  <w:color w:val="0000FF"/>
                  <w:sz w:val="16"/>
                  <w:u w:val="single"/>
                </w:rPr>
                <w:t>Employment Agreement, dated as of October 4, 2024, by and between Katherine O'Halloran and Norvax,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001-39390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10/10/2024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7" w:type="dxa"/>
            <w:gridSpan w:val="3"/>
            <w:tcBorders/>
            <w:tcMar>
              <w:top w:w="0" w:type="dxa"/>
              <w:left w:w="0" w:type="dxa"/>
              <w:bottom w:w="0" w:type="dxa"/>
              <w:right w:w="0" w:type="dxa"/>
            </w:tcMar>
            <w:vAlign w:val="center"/>
          </w:tcPr>
          <w:p>
            <w:pPr>
              <w:pStyle w:val="TableContents"/>
              <w:bidi w:val="0"/>
              <w:spacing w:lineRule="auto" w:line="288" w:before="0" w:after="0"/>
              <w:jc w:val="left"/>
              <w:rPr/>
            </w:pPr>
            <w:r>
              <w:fldChar w:fldCharType="begin"/>
            </w:r>
            <w:r>
              <w:rPr>
                <w:rStyle w:val="InternetLink"/>
                <w:sz w:val="16"/>
                <w:u w:val="single"/>
                <w:b w:val="false"/>
                <w:rFonts w:ascii="Arial;sans-serif" w:hAnsi="Arial;sans-serif"/>
                <w:color w:val="0000FF"/>
              </w:rPr>
              <w:instrText xml:space="preserve"> HYPERLINK "https://www.sec.gov/ix?doc=/Archives/edgar/data/0001808220/000114036125015892/ny20043889x1_def14a.htm" \l "tAPPA"</w:instrText>
            </w:r>
            <w:r>
              <w:rPr>
                <w:rStyle w:val="InternetLink"/>
                <w:sz w:val="16"/>
                <w:u w:val="single"/>
                <w:b w:val="false"/>
                <w:rFonts w:ascii="Arial;sans-serif" w:hAnsi="Arial;sans-serif"/>
                <w:color w:val="0000FF"/>
              </w:rPr>
              <w:fldChar w:fldCharType="separate"/>
            </w:r>
            <w:r>
              <w:rPr>
                <w:rStyle w:val="InternetLink"/>
                <w:rFonts w:ascii="Arial;sans-serif" w:hAnsi="Arial;sans-serif"/>
                <w:b w:val="false"/>
                <w:color w:val="0000FF"/>
                <w:sz w:val="16"/>
                <w:u w:val="single"/>
              </w:rPr>
              <w:t>GoHealth, Inc. Second Amended and Restated 2020 Incentive Award Plan</w:t>
            </w:r>
            <w:r>
              <w:rPr>
                <w:rStyle w:val="InternetLink"/>
                <w:sz w:val="16"/>
                <w:u w:val="single"/>
                <w:b w:val="false"/>
                <w:rFonts w:ascii="Arial;sans-serif" w:hAnsi="Arial;sans-serif"/>
                <w:color w:val="0000FF"/>
              </w:rPr>
              <w:fldChar w:fldCharType="end"/>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S-8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333-288761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7/18/2025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60">
              <w:r>
                <w:rPr>
                  <w:rStyle w:val="InternetLink"/>
                  <w:rFonts w:ascii="Arial;sans-serif" w:hAnsi="Arial;sans-serif"/>
                  <w:b w:val="false"/>
                  <w:color w:val="0000FF"/>
                  <w:sz w:val="16"/>
                  <w:u w:val="single"/>
                </w:rPr>
                <w:t xml:space="preserve">First Amendment to Employment Agreement, dated as of April 1, 2025, by and among Vijay Kotte, GoHealth, Inc. and GoHealth Holdings, LLC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001-39390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4/7/2025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10.52#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61">
              <w:r>
                <w:rPr>
                  <w:rStyle w:val="InternetLink"/>
                  <w:rFonts w:ascii="Arial;sans-serif" w:hAnsi="Arial;sans-serif"/>
                  <w:b w:val="false"/>
                  <w:color w:val="0000FF"/>
                  <w:sz w:val="16"/>
                  <w:u w:val="single"/>
                </w:rPr>
                <w:t>Letter Agreement, dated as of April 1, 2025, by and among Vijay Kotte and GoHealth,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001-39390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4/7/2025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62">
              <w:r>
                <w:rPr>
                  <w:rStyle w:val="InternetLink"/>
                  <w:rFonts w:ascii="Arial;sans-serif" w:hAnsi="Arial;sans-serif"/>
                  <w:b w:val="false"/>
                  <w:color w:val="0000FF"/>
                  <w:sz w:val="16"/>
                  <w:u w:val="single"/>
                </w:rPr>
                <w:t>GoHealth, Inc. Insider Trading Compliance Policy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w:t>
            </w:r>
          </w:p>
        </w:tc>
      </w:tr>
      <w:tr>
        <w:trPr/>
        <w:tc>
          <w:tcPr>
            <w:tcW w:w="6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goco-20251231xex211xform10.htm">
              <w:r>
                <w:rPr>
                  <w:rStyle w:val="InternetLink"/>
                  <w:rFonts w:ascii="Arial;sans-serif" w:hAnsi="Arial;sans-serif"/>
                  <w:b w:val="false"/>
                  <w:color w:val="0000FF"/>
                  <w:sz w:val="16"/>
                  <w:u w:val="single"/>
                </w:rPr>
                <w:t>Subsidiaries of the Registrant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r>
      <w:tr>
        <w:trPr/>
        <w:tc>
          <w:tcPr>
            <w:tcW w:w="6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goco-20251231xex231xform10.htm">
              <w:r>
                <w:rPr>
                  <w:rStyle w:val="InternetLink"/>
                  <w:rFonts w:ascii="Arial;sans-serif" w:hAnsi="Arial;sans-serif"/>
                  <w:b w:val="false"/>
                  <w:color w:val="0000FF"/>
                  <w:sz w:val="16"/>
                  <w:u w:val="single"/>
                </w:rPr>
                <w:t>Consent of Independent Registered Public Accounting Firm</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r>
      <w:tr>
        <w:trPr/>
        <w:tc>
          <w:tcPr>
            <w:tcW w:w="6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goco-20251231xex311xform10.htm">
              <w:r>
                <w:rPr>
                  <w:rStyle w:val="InternetLink"/>
                  <w:rFonts w:ascii="Arial;sans-serif" w:hAnsi="Arial;sans-serif"/>
                  <w:b w:val="false"/>
                  <w:color w:val="0000FF"/>
                  <w:sz w:val="16"/>
                  <w:u w:val="single"/>
                </w:rPr>
                <w:t>Certification of Chief Executive Officer pursuant to Exchange Act Rule 13a-14(a).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r>
      <w:tr>
        <w:trPr/>
        <w:tc>
          <w:tcPr>
            <w:tcW w:w="6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goco-20251231xex312xform10.htm">
              <w:r>
                <w:rPr>
                  <w:rStyle w:val="InternetLink"/>
                  <w:rFonts w:ascii="Arial;sans-serif" w:hAnsi="Arial;sans-serif"/>
                  <w:b w:val="false"/>
                  <w:color w:val="0000FF"/>
                  <w:sz w:val="16"/>
                  <w:u w:val="single"/>
                </w:rPr>
                <w:t>Certification of Chief Financial Officer pursuant to Exchange Act Rule 13a-14(a).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r>
      <w:tr>
        <w:trPr/>
        <w:tc>
          <w:tcPr>
            <w:tcW w:w="6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goco-20251231xex321xform10.htm">
              <w:r>
                <w:rPr>
                  <w:rStyle w:val="InternetLink"/>
                  <w:rFonts w:ascii="Arial;sans-serif" w:hAnsi="Arial;sans-serif"/>
                  <w:b w:val="false"/>
                  <w:color w:val="0000FF"/>
                  <w:sz w:val="16"/>
                  <w:u w:val="single"/>
                </w:rPr>
                <w:t>Certification of Principal Executive Officer pursuant to 18 U.S.C. Section 1350.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r>
      <w:tr>
        <w:trPr/>
        <w:tc>
          <w:tcPr>
            <w:tcW w:w="6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goco-20251231xex322xform10.htm">
              <w:r>
                <w:rPr>
                  <w:rStyle w:val="InternetLink"/>
                  <w:rFonts w:ascii="Arial;sans-serif" w:hAnsi="Arial;sans-serif"/>
                  <w:b w:val="false"/>
                  <w:color w:val="0000FF"/>
                  <w:sz w:val="16"/>
                  <w:u w:val="single"/>
                </w:rPr>
                <w:t>Certification of Chief Financial Officer pursuant to 18 U.S.C. Section 1350.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r>
      <w:tr>
        <w:trPr/>
        <w:tc>
          <w:tcPr>
            <w:tcW w:w="6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97.1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63">
              <w:r>
                <w:rPr>
                  <w:rStyle w:val="InternetLink"/>
                  <w:rFonts w:ascii="Arial;sans-serif" w:hAnsi="Arial;sans-serif"/>
                  <w:b w:val="false"/>
                  <w:color w:val="0000FF"/>
                  <w:sz w:val="16"/>
                  <w:u w:val="single"/>
                </w:rPr>
                <w:t>GoHealth, Inc. Policy on Recoupment of Incentive Compensation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001-39390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97.1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3/14/2024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Inline XBRL Instance Document – the instance document does not appear in the Interactive Data File because its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r>
      <w:tr>
        <w:trPr/>
        <w:tc>
          <w:tcPr>
            <w:tcW w:w="6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r>
      <w:tr>
        <w:trPr/>
        <w:tc>
          <w:tcPr>
            <w:tcW w:w="6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r>
      <w:tr>
        <w:trPr/>
        <w:tc>
          <w:tcPr>
            <w:tcW w:w="6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r>
      <w:tr>
        <w:trPr/>
        <w:tc>
          <w:tcPr>
            <w:tcW w:w="6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Inline 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r>
      <w:tr>
        <w:trPr/>
        <w:tc>
          <w:tcPr>
            <w:tcW w:w="6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r>
      <w:tr>
        <w:trPr/>
        <w:tc>
          <w:tcPr>
            <w:tcW w:w="6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Cover Page Interactive Data File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0" w:after="0"/>
        <w:ind w:left="0" w:right="0" w:hanging="540"/>
        <w:jc w:val="left"/>
        <w:rPr>
          <w:rFonts w:ascii="Arial;sans-serif" w:hAnsi="Arial;sans-serif"/>
          <w:b w:val="false"/>
          <w:color w:val="000000"/>
          <w:sz w:val="16"/>
        </w:rPr>
      </w:pPr>
      <w:r>
        <w:rPr>
          <w:rFonts w:ascii="Arial;sans-serif" w:hAnsi="Arial;sans-serif"/>
          <w:b w:val="false"/>
          <w:color w:val="000000"/>
          <w:sz w:val="16"/>
        </w:rPr>
        <w:t>*    Filed herewith.</w:t>
      </w:r>
    </w:p>
    <w:p>
      <w:pPr>
        <w:pStyle w:val="TextBody"/>
        <w:bidi w:val="0"/>
        <w:spacing w:lineRule="auto" w:line="288" w:before="0" w:after="0"/>
        <w:ind w:left="0" w:right="0" w:hanging="540"/>
        <w:jc w:val="left"/>
        <w:rPr>
          <w:rFonts w:ascii="Arial;sans-serif" w:hAnsi="Arial;sans-serif"/>
          <w:b w:val="false"/>
          <w:color w:val="000000"/>
          <w:sz w:val="16"/>
        </w:rPr>
      </w:pPr>
      <w:r>
        <w:rPr>
          <w:rFonts w:ascii="Arial;sans-serif" w:hAnsi="Arial;sans-serif"/>
          <w:b w:val="false"/>
          <w:color w:val="000000"/>
          <w:sz w:val="16"/>
        </w:rPr>
        <w:t>**    Furnished herewith.</w:t>
      </w:r>
    </w:p>
    <w:p>
      <w:pPr>
        <w:pStyle w:val="TextBody"/>
        <w:bidi w:val="0"/>
        <w:spacing w:lineRule="auto" w:line="288" w:before="0" w:after="0"/>
        <w:ind w:left="0" w:right="0" w:hanging="540"/>
        <w:jc w:val="left"/>
        <w:rPr>
          <w:rFonts w:ascii="Arial;sans-serif" w:hAnsi="Arial;sans-serif"/>
          <w:b w:val="false"/>
          <w:color w:val="000000"/>
          <w:sz w:val="16"/>
        </w:rPr>
      </w:pPr>
      <w:r>
        <w:rPr>
          <w:rFonts w:ascii="Arial;sans-serif" w:hAnsi="Arial;sans-serif"/>
          <w:b w:val="false"/>
          <w:color w:val="000000"/>
          <w:sz w:val="16"/>
        </w:rPr>
        <w:t>#    Indicates management contract or compensatory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A2299"/>
          <w:sz w:val="18"/>
        </w:rPr>
      </w:pPr>
      <w:r>
        <w:rPr>
          <w:rFonts w:ascii="Arial;sans-serif" w:hAnsi="Arial;sans-serif"/>
          <w:b/>
          <w:color w:val="0A2299"/>
          <w:sz w:val="18"/>
        </w:rPr>
        <w:t>ITEM 16. FORM 10-K SUMMARY</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716280"/>
                <wp:effectExtent l="0" t="0" r="0" b="0"/>
                <wp:wrapNone/>
                <wp:docPr id="110" name="Frame108"/>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300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58"/>
                              <w:gridCol w:w="158"/>
                              <w:gridCol w:w="225"/>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54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104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300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58"/>
                        <w:gridCol w:w="158"/>
                        <w:gridCol w:w="225"/>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54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104</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Arial;sans-serif" w:hAnsi="Arial;sans-serif"/>
          <w:b/>
          <w:color w:val="0A2299"/>
          <w:sz w:val="18"/>
        </w:rPr>
      </w:pPr>
      <w:r>
        <w:rPr>
          <w:rFonts w:ascii="Arial;sans-serif" w:hAnsi="Arial;sans-serif"/>
          <w:b/>
          <w:color w:val="0A2299"/>
          <w:sz w:val="18"/>
        </w:rPr>
        <w:t>SIGNATURES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Pursuant to the requirements of Section 13 or 15(d) of the Securities Exchange Act of 1934, the Registrant has duly caused this report to be signed on its behalf by the undersigned, thereunto duly authorized.</w:t>
      </w:r>
    </w:p>
    <w:tbl>
      <w:tblPr>
        <w:tblW w:w="6253" w:type="dxa"/>
        <w:jc w:val="left"/>
        <w:tblInd w:w="0" w:type="dxa"/>
        <w:tblLayout w:type="fixed"/>
        <w:tblCellMar>
          <w:top w:w="28" w:type="dxa"/>
          <w:left w:w="28" w:type="dxa"/>
          <w:bottom w:w="28" w:type="dxa"/>
          <w:right w:w="28" w:type="dxa"/>
        </w:tblCellMar>
      </w:tblPr>
      <w:tblGrid>
        <w:gridCol w:w="201"/>
        <w:gridCol w:w="176"/>
        <w:gridCol w:w="178"/>
        <w:gridCol w:w="459"/>
        <w:gridCol w:w="459"/>
        <w:gridCol w:w="461"/>
        <w:gridCol w:w="215"/>
        <w:gridCol w:w="215"/>
        <w:gridCol w:w="215"/>
        <w:gridCol w:w="1072"/>
        <w:gridCol w:w="1072"/>
        <w:gridCol w:w="1530"/>
      </w:tblGrid>
      <w:tr>
        <w:trPr/>
        <w:tc>
          <w:tcPr>
            <w:tcW w:w="20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 xml:space="preserve">GoHealth, Inc. </w:t>
              <w:br/>
              <w:t>(Registrant)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Date:</w:t>
            </w:r>
          </w:p>
        </w:tc>
        <w:tc>
          <w:tcPr>
            <w:tcW w:w="13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March 31, 2026</w:t>
            </w:r>
          </w:p>
        </w:tc>
        <w:tc>
          <w:tcPr>
            <w:tcW w:w="64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By:</w:t>
            </w:r>
          </w:p>
        </w:tc>
        <w:tc>
          <w:tcPr>
            <w:tcW w:w="36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 Vijay Kotte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Vijay Kotte</w:t>
            </w:r>
          </w:p>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Chief Executive Officer</w:t>
            </w:r>
          </w:p>
          <w:p>
            <w:pPr>
              <w:pStyle w:val="TableContents"/>
              <w:bidi w:val="0"/>
              <w:spacing w:lineRule="auto" w:line="288" w:before="0" w:after="0"/>
              <w:jc w:val="left"/>
              <w:rPr>
                <w:rFonts w:ascii="Arial;sans-serif" w:hAnsi="Arial;sans-serif"/>
                <w:b w:val="false"/>
                <w:i/>
                <w:color w:val="000000"/>
                <w:sz w:val="18"/>
              </w:rPr>
            </w:pPr>
            <w:r>
              <w:rPr>
                <w:rFonts w:ascii="Arial;sans-serif" w:hAnsi="Arial;sans-serif"/>
                <w:b w:val="false"/>
                <w:i/>
                <w:color w:val="000000"/>
                <w:sz w:val="18"/>
              </w:rPr>
              <w:t>(Principal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Date:</w:t>
            </w:r>
          </w:p>
        </w:tc>
        <w:tc>
          <w:tcPr>
            <w:tcW w:w="13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March 31, 2026</w:t>
            </w:r>
          </w:p>
        </w:tc>
        <w:tc>
          <w:tcPr>
            <w:tcW w:w="64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By:</w:t>
            </w:r>
          </w:p>
        </w:tc>
        <w:tc>
          <w:tcPr>
            <w:tcW w:w="367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/s/ Brendan Shanahan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Brendan Shanahan</w:t>
            </w:r>
          </w:p>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Chief Financial Officer</w:t>
            </w:r>
          </w:p>
          <w:p>
            <w:pPr>
              <w:pStyle w:val="TableContents"/>
              <w:bidi w:val="0"/>
              <w:spacing w:lineRule="auto" w:line="288" w:before="0" w:after="0"/>
              <w:jc w:val="left"/>
              <w:rPr>
                <w:rFonts w:ascii="Arial;sans-serif" w:hAnsi="Arial;sans-serif"/>
                <w:b w:val="false"/>
                <w:i/>
                <w:color w:val="000000"/>
                <w:sz w:val="18"/>
              </w:rPr>
            </w:pPr>
            <w:r>
              <w:rPr>
                <w:rFonts w:ascii="Arial;sans-serif" w:hAnsi="Arial;sans-serif"/>
                <w:b w:val="false"/>
                <w:i/>
                <w:color w:val="000000"/>
                <w:sz w:val="18"/>
              </w:rPr>
              <w:t>(Principal Financial and Accounting Officer)</w:t>
            </w:r>
          </w:p>
        </w:tc>
      </w:tr>
    </w:tbl>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Pursuant to the requirements of the Securities Exchange Act of 1934, this report has been signed below by the following persons on behalf of the Registrant and in the capacities indicated on March 31, 2026.</w:t>
      </w:r>
    </w:p>
    <w:tbl>
      <w:tblPr>
        <w:tblW w:w="7241" w:type="dxa"/>
        <w:jc w:val="left"/>
        <w:tblInd w:w="0" w:type="dxa"/>
        <w:tblLayout w:type="fixed"/>
        <w:tblCellMar>
          <w:top w:w="28" w:type="dxa"/>
          <w:left w:w="28" w:type="dxa"/>
          <w:bottom w:w="28" w:type="dxa"/>
          <w:right w:w="28" w:type="dxa"/>
        </w:tblCellMar>
      </w:tblPr>
      <w:tblGrid>
        <w:gridCol w:w="1175"/>
        <w:gridCol w:w="1030"/>
        <w:gridCol w:w="1035"/>
        <w:gridCol w:w="109"/>
        <w:gridCol w:w="109"/>
        <w:gridCol w:w="109"/>
        <w:gridCol w:w="1074"/>
        <w:gridCol w:w="1074"/>
        <w:gridCol w:w="1526"/>
      </w:tblGrid>
      <w:tr>
        <w:trPr/>
        <w:tc>
          <w:tcPr>
            <w:tcW w:w="1175"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 Vijay Kotte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/s/ Brendan Shanahan</w:t>
            </w:r>
          </w:p>
        </w:tc>
      </w:tr>
      <w:tr>
        <w:trPr/>
        <w:tc>
          <w:tcPr>
            <w:tcW w:w="3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Vijay Kotte</w:t>
            </w:r>
          </w:p>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Chief Executive Officer</w:t>
            </w:r>
          </w:p>
          <w:p>
            <w:pPr>
              <w:pStyle w:val="TableContents"/>
              <w:bidi w:val="0"/>
              <w:spacing w:lineRule="auto" w:line="288" w:before="0" w:after="0"/>
              <w:jc w:val="left"/>
              <w:rPr>
                <w:rFonts w:ascii="Arial;sans-serif" w:hAnsi="Arial;sans-serif"/>
                <w:b w:val="false"/>
                <w:i/>
                <w:color w:val="000000"/>
                <w:sz w:val="18"/>
              </w:rPr>
            </w:pPr>
            <w:r>
              <w:rPr>
                <w:rFonts w:ascii="Arial;sans-serif" w:hAnsi="Arial;sans-serif"/>
                <w:b w:val="false"/>
                <w:i/>
                <w:color w:val="000000"/>
                <w:sz w:val="18"/>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Brendan Shanahan</w:t>
            </w:r>
          </w:p>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Chief Financial Officer</w:t>
            </w:r>
          </w:p>
          <w:p>
            <w:pPr>
              <w:pStyle w:val="TableContents"/>
              <w:bidi w:val="0"/>
              <w:spacing w:lineRule="auto" w:line="288" w:before="0" w:after="0"/>
              <w:jc w:val="left"/>
              <w:rPr>
                <w:rFonts w:ascii="Arial;sans-serif" w:hAnsi="Arial;sans-serif"/>
                <w:b w:val="false"/>
                <w:i/>
                <w:color w:val="000000"/>
                <w:sz w:val="18"/>
              </w:rPr>
            </w:pPr>
            <w:r>
              <w:rPr>
                <w:rFonts w:ascii="Arial;sans-serif" w:hAnsi="Arial;sans-serif"/>
                <w:b w:val="false"/>
                <w:i/>
                <w:color w:val="000000"/>
                <w:sz w:val="18"/>
              </w:rPr>
              <w:t>(Principal Financial and Accounting Officer)</w:t>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/s/ Clinton Jones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/s/ Brandon Cruz</w:t>
            </w:r>
          </w:p>
        </w:tc>
      </w:tr>
      <w:tr>
        <w:trPr/>
        <w:tc>
          <w:tcPr>
            <w:tcW w:w="3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Clinton Jones</w:t>
            </w:r>
          </w:p>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Co-Chairman of the Board of Directors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Brandon Cruz</w:t>
            </w:r>
          </w:p>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Co-Chairman of the Board of Directors</w:t>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 David Fisher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 Bao Truong</w:t>
            </w:r>
          </w:p>
        </w:tc>
      </w:tr>
      <w:tr>
        <w:trPr/>
        <w:tc>
          <w:tcPr>
            <w:tcW w:w="3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David Fisher</w:t>
              <w:b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Bao Truong</w:t>
              <w:br/>
              <w:t>Director</w:t>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 Mark Weinsten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 Timothy Pohl</w:t>
            </w:r>
          </w:p>
        </w:tc>
      </w:tr>
      <w:tr>
        <w:trPr/>
        <w:tc>
          <w:tcPr>
            <w:tcW w:w="3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Mark Weinsten</w:t>
              <w:b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Timothy Pohl</w:t>
              <w:br/>
              <w:t>Director</w:t>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 Alan Carr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 William Transier</w:t>
            </w:r>
          </w:p>
        </w:tc>
      </w:tr>
      <w:tr>
        <w:trPr/>
        <w:tc>
          <w:tcPr>
            <w:tcW w:w="3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Alan Carr</w:t>
              <w:b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William Transier</w:t>
              <w:br/>
              <w:t>Director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716280"/>
                <wp:effectExtent l="0" t="0" r="0" b="0"/>
                <wp:wrapNone/>
                <wp:docPr id="111" name="Frame109"/>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300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58"/>
                              <w:gridCol w:w="158"/>
                              <w:gridCol w:w="225"/>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54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105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300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58"/>
                        <w:gridCol w:w="158"/>
                        <w:gridCol w:w="225"/>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 Form 10-K</w:t>
                            </w:r>
                          </w:p>
                        </w:tc>
                        <w:tc>
                          <w:tcPr>
                            <w:tcW w:w="54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105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40" w:after="283"/>
        <w:jc w:val="right"/>
        <w:rPr>
          <w:rFonts w:ascii="Arial;sans-serif" w:hAnsi="Arial;sans-serif"/>
          <w:b/>
          <w:color w:val="000000"/>
          <w:sz w:val="18"/>
        </w:rPr>
      </w:pPr>
      <w:r>
        <w:rPr>
          <w:rFonts w:ascii="Arial;sans-serif" w:hAnsi="Arial;sans-serif"/>
          <w:b/>
          <w:color w:val="000000"/>
          <w:sz w:val="18"/>
        </w:rPr>
        <w:t>Exhibit 21.1</w:t>
      </w:r>
    </w:p>
    <w:p>
      <w:pPr>
        <w:pStyle w:val="TextBody"/>
        <w:bidi w:val="0"/>
        <w:spacing w:lineRule="auto" w:line="288" w:before="240" w:after="283"/>
        <w:jc w:val="center"/>
        <w:rPr>
          <w:rFonts w:ascii="Arial;sans-serif" w:hAnsi="Arial;sans-serif"/>
          <w:b/>
          <w:color w:val="000000"/>
          <w:sz w:val="18"/>
        </w:rPr>
      </w:pPr>
      <w:r>
        <w:rPr>
          <w:rFonts w:ascii="Arial;sans-serif" w:hAnsi="Arial;sans-serif"/>
          <w:b/>
          <w:color w:val="000000"/>
          <w:sz w:val="18"/>
        </w:rPr>
        <w:t>Subsidiaries of GoHealth, Inc.</w:t>
      </w:r>
    </w:p>
    <w:tbl>
      <w:tblPr>
        <w:tblW w:w="7182" w:type="dxa"/>
        <w:jc w:val="center"/>
        <w:tblInd w:w="0" w:type="dxa"/>
        <w:tblLayout w:type="fixed"/>
        <w:tblCellMar>
          <w:top w:w="28" w:type="dxa"/>
          <w:left w:w="28" w:type="dxa"/>
          <w:bottom w:w="28" w:type="dxa"/>
          <w:right w:w="28" w:type="dxa"/>
        </w:tblCellMar>
      </w:tblPr>
      <w:tblGrid>
        <w:gridCol w:w="1138"/>
        <w:gridCol w:w="993"/>
        <w:gridCol w:w="1004"/>
        <w:gridCol w:w="109"/>
        <w:gridCol w:w="109"/>
        <w:gridCol w:w="109"/>
        <w:gridCol w:w="1088"/>
        <w:gridCol w:w="1088"/>
        <w:gridCol w:w="1544"/>
      </w:tblGrid>
      <w:tr>
        <w:trPr/>
        <w:tc>
          <w:tcPr>
            <w:tcW w:w="1138"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54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Legal 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Jurisdiction of Incorporation or Organization</w:t>
            </w:r>
          </w:p>
        </w:tc>
      </w:tr>
      <w:tr>
        <w:trPr/>
        <w:tc>
          <w:tcPr>
            <w:tcW w:w="31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GoHealth Holdings,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Delaware, USA</w:t>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Blizzard Midco,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Delaware, USA</w:t>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Norvax,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Delaware, USA</w:t>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GoHealth,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Delaware, USA</w:t>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Connected Benefits,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Delaware, USA</w:t>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GoHealth, s.r.o.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Slovakia</w:t>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ETQ Holdings,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Delaware, USA</w:t>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e-TeleQuote Insurance,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Florida, USA</w:t>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ETeleQuote (Private) Limited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Pakistan</w:t>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ETQ HK SPV,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Florida, USA</w:t>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ETelequote Nicaragua Sociedad Anonima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Nicaragua</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75260"/>
                <wp:effectExtent l="0" t="0" r="0" b="0"/>
                <wp:wrapNone/>
                <wp:docPr id="112" name="Frame1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Arial;sans-serif" w:hAnsi="Arial;sans-serif"/>
          <w:b/>
          <w:color w:val="000000"/>
          <w:sz w:val="18"/>
        </w:rPr>
      </w:pPr>
      <w:r>
        <w:rPr>
          <w:rFonts w:ascii="Arial;sans-serif" w:hAnsi="Arial;sans-serif"/>
          <w:b/>
          <w:color w:val="000000"/>
          <w:sz w:val="18"/>
        </w:rPr>
        <w:t>Exhibit 23.1</w:t>
      </w:r>
    </w:p>
    <w:p>
      <w:pPr>
        <w:pStyle w:val="TextBody"/>
        <w:bidi w:val="0"/>
        <w:spacing w:lineRule="auto" w:line="288" w:before="240" w:after="283"/>
        <w:jc w:val="center"/>
        <w:rPr>
          <w:rFonts w:ascii="Arial;sans-serif" w:hAnsi="Arial;sans-serif"/>
          <w:b/>
          <w:color w:val="000000"/>
          <w:sz w:val="18"/>
        </w:rPr>
      </w:pPr>
      <w:r>
        <w:rPr>
          <w:rFonts w:ascii="Arial;sans-serif" w:hAnsi="Arial;sans-serif"/>
          <w:b/>
          <w:color w:val="000000"/>
          <w:sz w:val="18"/>
        </w:rPr>
        <w:t>Consent of Independent Registered Public Accounting Firm</w:t>
      </w:r>
    </w:p>
    <w:p>
      <w:pPr>
        <w:pStyle w:val="TextBody"/>
        <w:bidi w:val="0"/>
        <w:spacing w:lineRule="auto" w:line="288" w:before="240" w:after="283"/>
        <w:jc w:val="both"/>
        <w:rPr>
          <w:rFonts w:ascii="Arial;sans-serif" w:hAnsi="Arial;sans-serif"/>
          <w:b w:val="false"/>
          <w:color w:val="000000"/>
          <w:sz w:val="18"/>
        </w:rPr>
      </w:pPr>
      <w:r>
        <w:rPr>
          <w:rFonts w:ascii="Arial;sans-serif" w:hAnsi="Arial;sans-serif"/>
          <w:b w:val="false"/>
          <w:color w:val="000000"/>
          <w:sz w:val="18"/>
        </w:rPr>
        <w:t>We consent to the incorporation by reference in the following Registration Statements:</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 xml:space="preserve">Registration Statements (Form S-8 Nos. 333-239879, 333-252962, 333-263787, 333-269223, and 333-278112, 333-285605, and 333-288761) pertaining to the 2020 Incentive Award Plan, as amended, and the 2020 Employee Stock Purchase Plan of GoHealth, Inc.;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Registration Statement (Form S-8 No. 333-261770) pertaining to the 2021 Inducement Award Plan of GoHealth, Inc.;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Registration Statement (Form S-8 No. 333-265442) pertaining to the 2020 Incentive Award Plan and the 2021 Inducement Award Plan of GoHealth, Inc.;</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Registration Statement (Form S-3 No. 333-291587 and 333-292177) and related Prospectus of GoHealth, Inc. pertaining to Class A common stock of GoHealth, Inc.;</w:t>
            </w:r>
          </w:p>
        </w:tc>
      </w:tr>
    </w:tbl>
    <w:p>
      <w:pPr>
        <w:pStyle w:val="TextBody"/>
        <w:bidi w:val="0"/>
        <w:spacing w:before="0" w:after="0"/>
        <w:jc w:val="left"/>
        <w:rPr/>
      </w:pPr>
      <w:r>
        <w:rPr/>
      </w:r>
    </w:p>
    <w:p>
      <w:pPr>
        <w:pStyle w:val="TextBody"/>
        <w:bidi w:val="0"/>
        <w:spacing w:lineRule="auto" w:line="256" w:before="0" w:after="0"/>
        <w:jc w:val="left"/>
        <w:rPr/>
      </w:pPr>
      <w:r>
        <w:rPr>
          <w:rFonts w:ascii="Arial;sans-serif" w:hAnsi="Arial;sans-serif"/>
          <w:b w:val="false"/>
          <w:color w:val="000000"/>
          <w:sz w:val="20"/>
        </w:rPr>
        <w:t>o</w:t>
      </w:r>
      <w:r>
        <w:rPr>
          <w:rFonts w:ascii="Arial;sans-serif" w:hAnsi="Arial;sans-serif"/>
          <w:b w:val="false"/>
          <w:color w:val="000000"/>
          <w:sz w:val="18"/>
        </w:rPr>
        <w:t>f our report dated March 31, 2026, with respect to the consolidated financial statements of GoHealth, Inc. included in this Annual Report (Form 10-K) of GoHealth, Inc. for the year ended December 31, 2025.</w:t>
      </w:r>
    </w:p>
    <w:tbl>
      <w:tblPr>
        <w:tblW w:w="2262" w:type="dxa"/>
        <w:jc w:val="left"/>
        <w:tblInd w:w="0" w:type="dxa"/>
        <w:tblLayout w:type="fixed"/>
        <w:tblCellMar>
          <w:top w:w="28" w:type="dxa"/>
          <w:left w:w="28" w:type="dxa"/>
          <w:bottom w:w="28" w:type="dxa"/>
          <w:right w:w="28" w:type="dxa"/>
        </w:tblCellMar>
      </w:tblPr>
      <w:tblGrid>
        <w:gridCol w:w="684"/>
        <w:gridCol w:w="602"/>
        <w:gridCol w:w="604"/>
        <w:gridCol w:w="109"/>
        <w:gridCol w:w="109"/>
        <w:gridCol w:w="154"/>
      </w:tblGrid>
      <w:tr>
        <w:trPr/>
        <w:tc>
          <w:tcPr>
            <w:tcW w:w="684"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Ernst &amp; Young LLP</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Chicago, Illinois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March 31,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75260"/>
                <wp:effectExtent l="0" t="0" r="0" b="0"/>
                <wp:wrapNone/>
                <wp:docPr id="113" name="Frame1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Arial;sans-serif" w:hAnsi="Arial;sans-serif"/>
          <w:b/>
          <w:color w:val="000000"/>
          <w:sz w:val="18"/>
        </w:rPr>
      </w:pPr>
      <w:r>
        <w:rPr>
          <w:rFonts w:ascii="Arial;sans-serif" w:hAnsi="Arial;sans-serif"/>
          <w:b/>
          <w:color w:val="000000"/>
          <w:sz w:val="18"/>
        </w:rPr>
        <w:t>Exhibit 31.1</w:t>
      </w:r>
    </w:p>
    <w:p>
      <w:pPr>
        <w:pStyle w:val="TextBody"/>
        <w:bidi w:val="0"/>
        <w:spacing w:lineRule="auto" w:line="288" w:before="240" w:after="283"/>
        <w:jc w:val="center"/>
        <w:rPr>
          <w:rFonts w:ascii="Arial;sans-serif" w:hAnsi="Arial;sans-serif"/>
          <w:b/>
          <w:color w:val="000000"/>
          <w:sz w:val="18"/>
        </w:rPr>
      </w:pPr>
      <w:r>
        <w:rPr>
          <w:rFonts w:ascii="Arial;sans-serif" w:hAnsi="Arial;sans-serif"/>
          <w:b/>
          <w:color w:val="000000"/>
          <w:sz w:val="18"/>
        </w:rPr>
        <w:t>Certification</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I, Vijay Kotte, certify that:</w:t>
      </w:r>
    </w:p>
    <w:p>
      <w:pPr>
        <w:pStyle w:val="TextBody"/>
        <w:bidi w:val="0"/>
        <w:spacing w:lineRule="auto" w:line="288" w:before="240" w:after="283"/>
        <w:ind w:left="0" w:right="0" w:hanging="540"/>
        <w:jc w:val="left"/>
        <w:rPr>
          <w:rFonts w:ascii="Arial;sans-serif" w:hAnsi="Arial;sans-serif"/>
          <w:b w:val="false"/>
          <w:color w:val="000000"/>
          <w:sz w:val="18"/>
        </w:rPr>
      </w:pPr>
      <w:r>
        <w:rPr>
          <w:rFonts w:ascii="Arial;sans-serif" w:hAnsi="Arial;sans-serif"/>
          <w:b w:val="false"/>
          <w:color w:val="000000"/>
          <w:sz w:val="18"/>
        </w:rPr>
        <w:t>1.I have reviewed this Annual Report on Form 10-K of GoHealth, Inc.;</w:t>
      </w:r>
    </w:p>
    <w:p>
      <w:pPr>
        <w:pStyle w:val="TextBody"/>
        <w:bidi w:val="0"/>
        <w:spacing w:lineRule="auto" w:line="288" w:before="240" w:after="283"/>
        <w:ind w:left="0" w:right="0" w:hanging="540"/>
        <w:jc w:val="left"/>
        <w:rPr>
          <w:rFonts w:ascii="Arial;sans-serif" w:hAnsi="Arial;sans-serif"/>
          <w:b w:val="false"/>
          <w:color w:val="000000"/>
          <w:sz w:val="18"/>
        </w:rPr>
      </w:pPr>
      <w:r>
        <w:rPr>
          <w:rFonts w:ascii="Arial;sans-serif" w:hAnsi="Arial;sans-serif"/>
          <w:b w:val="false"/>
          <w:color w:val="000000"/>
          <w:sz w:val="18"/>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540"/>
        <w:jc w:val="left"/>
        <w:rPr>
          <w:rFonts w:ascii="Arial;sans-serif" w:hAnsi="Arial;sans-serif"/>
          <w:b w:val="false"/>
          <w:color w:val="000000"/>
          <w:sz w:val="18"/>
        </w:rPr>
      </w:pPr>
      <w:r>
        <w:rPr>
          <w:rFonts w:ascii="Arial;sans-serif" w:hAnsi="Arial;sans-serif"/>
          <w:b w:val="false"/>
          <w:color w:val="000000"/>
          <w:sz w:val="18"/>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540"/>
        <w:jc w:val="left"/>
        <w:rPr>
          <w:rFonts w:ascii="Arial;sans-serif" w:hAnsi="Arial;sans-serif"/>
          <w:b w:val="false"/>
          <w:color w:val="000000"/>
          <w:sz w:val="18"/>
        </w:rPr>
      </w:pPr>
      <w:r>
        <w:rPr>
          <w:rFonts w:ascii="Arial;sans-serif" w:hAnsi="Arial;sans-serif"/>
          <w:b w:val="false"/>
          <w:color w:val="000000"/>
          <w:sz w:val="18"/>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540"/>
        <w:jc w:val="left"/>
        <w:rPr>
          <w:rFonts w:ascii="Arial;sans-serif" w:hAnsi="Arial;sans-serif"/>
          <w:b w:val="false"/>
          <w:color w:val="000000"/>
          <w:sz w:val="18"/>
        </w:rPr>
      </w:pPr>
      <w:r>
        <w:rPr>
          <w:rFonts w:ascii="Arial;sans-serif" w:hAnsi="Arial;sans-serif"/>
          <w:b w:val="false"/>
          <w:color w:val="000000"/>
          <w:sz w:val="18"/>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540"/>
        <w:jc w:val="left"/>
        <w:rPr>
          <w:rFonts w:ascii="Arial;sans-serif" w:hAnsi="Arial;sans-serif"/>
          <w:b w:val="false"/>
          <w:color w:val="000000"/>
          <w:sz w:val="18"/>
        </w:rPr>
      </w:pPr>
      <w:r>
        <w:rPr>
          <w:rFonts w:ascii="Arial;sans-serif" w:hAnsi="Arial;sans-serif"/>
          <w:b w:val="false"/>
          <w:color w:val="000000"/>
          <w:sz w:val="18"/>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540"/>
        <w:jc w:val="left"/>
        <w:rPr>
          <w:rFonts w:ascii="Arial;sans-serif" w:hAnsi="Arial;sans-serif"/>
          <w:b w:val="false"/>
          <w:color w:val="000000"/>
          <w:sz w:val="18"/>
        </w:rPr>
      </w:pPr>
      <w:r>
        <w:rPr>
          <w:rFonts w:ascii="Arial;sans-serif" w:hAnsi="Arial;sans-serif"/>
          <w:b w:val="false"/>
          <w:color w:val="000000"/>
          <w:sz w:val="18"/>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540"/>
        <w:jc w:val="left"/>
        <w:rPr>
          <w:rFonts w:ascii="Arial;sans-serif" w:hAnsi="Arial;sans-serif"/>
          <w:b w:val="false"/>
          <w:color w:val="000000"/>
          <w:sz w:val="18"/>
        </w:rPr>
      </w:pPr>
      <w:r>
        <w:rPr>
          <w:rFonts w:ascii="Arial;sans-serif" w:hAnsi="Arial;sans-serif"/>
          <w:b w:val="false"/>
          <w:color w:val="000000"/>
          <w:sz w:val="18"/>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540"/>
        <w:jc w:val="left"/>
        <w:rPr>
          <w:rFonts w:ascii="Arial;sans-serif" w:hAnsi="Arial;sans-serif"/>
          <w:b w:val="false"/>
          <w:color w:val="000000"/>
          <w:sz w:val="18"/>
        </w:rPr>
      </w:pPr>
      <w:r>
        <w:rPr>
          <w:rFonts w:ascii="Arial;sans-serif" w:hAnsi="Arial;sans-serif"/>
          <w:b w:val="false"/>
          <w:color w:val="000000"/>
          <w:sz w:val="18"/>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540"/>
        <w:jc w:val="left"/>
        <w:rPr>
          <w:rFonts w:ascii="Arial;sans-serif" w:hAnsi="Arial;sans-serif"/>
          <w:b w:val="false"/>
          <w:color w:val="000000"/>
          <w:sz w:val="18"/>
        </w:rPr>
      </w:pPr>
      <w:r>
        <w:rPr>
          <w:rFonts w:ascii="Arial;sans-serif" w:hAnsi="Arial;sans-serif"/>
          <w:b w:val="false"/>
          <w:color w:val="000000"/>
          <w:sz w:val="18"/>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540"/>
        <w:jc w:val="left"/>
        <w:rPr>
          <w:rFonts w:ascii="Arial;sans-serif" w:hAnsi="Arial;sans-serif"/>
          <w:b w:val="false"/>
          <w:color w:val="000000"/>
          <w:sz w:val="18"/>
        </w:rPr>
      </w:pPr>
      <w:r>
        <w:rPr>
          <w:rFonts w:ascii="Arial;sans-serif" w:hAnsi="Arial;sans-serif"/>
          <w:b w:val="false"/>
          <w:color w:val="000000"/>
          <w:sz w:val="18"/>
        </w:rPr>
        <w:t>(b)Any fraud, whether or not material, that involves management or other employees who have a significant role in the registrant’s internal control over financial reporting.</w:t>
      </w:r>
    </w:p>
    <w:tbl>
      <w:tblPr>
        <w:tblW w:w="4693" w:type="dxa"/>
        <w:jc w:val="left"/>
        <w:tblInd w:w="0" w:type="dxa"/>
        <w:tblLayout w:type="fixed"/>
        <w:tblCellMar>
          <w:top w:w="28" w:type="dxa"/>
          <w:left w:w="28" w:type="dxa"/>
          <w:bottom w:w="28" w:type="dxa"/>
          <w:right w:w="28" w:type="dxa"/>
        </w:tblCellMar>
      </w:tblPr>
      <w:tblGrid>
        <w:gridCol w:w="201"/>
        <w:gridCol w:w="176"/>
        <w:gridCol w:w="178"/>
        <w:gridCol w:w="459"/>
        <w:gridCol w:w="459"/>
        <w:gridCol w:w="461"/>
        <w:gridCol w:w="120"/>
        <w:gridCol w:w="120"/>
        <w:gridCol w:w="120"/>
        <w:gridCol w:w="700"/>
        <w:gridCol w:w="700"/>
        <w:gridCol w:w="999"/>
      </w:tblGrid>
      <w:tr>
        <w:trPr/>
        <w:tc>
          <w:tcPr>
            <w:tcW w:w="20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Date:</w:t>
            </w:r>
          </w:p>
        </w:tc>
        <w:tc>
          <w:tcPr>
            <w:tcW w:w="13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March 31, 2026</w:t>
            </w:r>
          </w:p>
        </w:tc>
        <w:tc>
          <w:tcPr>
            <w:tcW w:w="3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By:</w:t>
            </w:r>
          </w:p>
        </w:tc>
        <w:tc>
          <w:tcPr>
            <w:tcW w:w="23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 Vijay Kotte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Vijay Kotte</w:t>
            </w:r>
          </w:p>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Chief Executive Officer</w:t>
            </w:r>
          </w:p>
          <w:p>
            <w:pPr>
              <w:pStyle w:val="TableContents"/>
              <w:bidi w:val="0"/>
              <w:spacing w:lineRule="auto" w:line="288" w:before="0" w:after="0"/>
              <w:jc w:val="left"/>
              <w:rPr>
                <w:rFonts w:ascii="Arial;sans-serif" w:hAnsi="Arial;sans-serif"/>
                <w:b w:val="false"/>
                <w:i/>
                <w:color w:val="000000"/>
                <w:sz w:val="18"/>
              </w:rPr>
            </w:pPr>
            <w:r>
              <w:rPr>
                <w:rFonts w:ascii="Arial;sans-serif" w:hAnsi="Arial;sans-serif"/>
                <w:b w:val="false"/>
                <w:i/>
                <w:color w:val="000000"/>
                <w:sz w:val="18"/>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75260"/>
                <wp:effectExtent l="0" t="0" r="0" b="0"/>
                <wp:wrapNone/>
                <wp:docPr id="114" name="Frame1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Arial;sans-serif" w:hAnsi="Arial;sans-serif"/>
          <w:b/>
          <w:color w:val="000000"/>
          <w:sz w:val="18"/>
        </w:rPr>
      </w:pPr>
      <w:r>
        <w:rPr>
          <w:rFonts w:ascii="Arial;sans-serif" w:hAnsi="Arial;sans-serif"/>
          <w:b/>
          <w:color w:val="000000"/>
          <w:sz w:val="18"/>
        </w:rPr>
        <w:t>Exhibit 31.2</w:t>
      </w:r>
    </w:p>
    <w:p>
      <w:pPr>
        <w:pStyle w:val="TextBody"/>
        <w:bidi w:val="0"/>
        <w:spacing w:lineRule="auto" w:line="288" w:before="240" w:after="283"/>
        <w:jc w:val="center"/>
        <w:rPr>
          <w:rFonts w:ascii="Arial;sans-serif" w:hAnsi="Arial;sans-serif"/>
          <w:b/>
          <w:color w:val="000000"/>
          <w:sz w:val="18"/>
        </w:rPr>
      </w:pPr>
      <w:r>
        <w:rPr>
          <w:rFonts w:ascii="Arial;sans-serif" w:hAnsi="Arial;sans-serif"/>
          <w:b/>
          <w:color w:val="000000"/>
          <w:sz w:val="18"/>
        </w:rPr>
        <w:t>Certification</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I, Brendan Shanahan, certify that:</w:t>
      </w:r>
    </w:p>
    <w:p>
      <w:pPr>
        <w:pStyle w:val="TextBody"/>
        <w:bidi w:val="0"/>
        <w:spacing w:lineRule="auto" w:line="288" w:before="240" w:after="283"/>
        <w:ind w:left="0" w:right="0" w:hanging="540"/>
        <w:jc w:val="left"/>
        <w:rPr>
          <w:rFonts w:ascii="Arial;sans-serif" w:hAnsi="Arial;sans-serif"/>
          <w:b w:val="false"/>
          <w:color w:val="000000"/>
          <w:sz w:val="18"/>
        </w:rPr>
      </w:pPr>
      <w:r>
        <w:rPr>
          <w:rFonts w:ascii="Arial;sans-serif" w:hAnsi="Arial;sans-serif"/>
          <w:b w:val="false"/>
          <w:color w:val="000000"/>
          <w:sz w:val="18"/>
        </w:rPr>
        <w:t>1.I have reviewed this Annual Report on Form 10-K of GoHealth, Inc.;</w:t>
      </w:r>
    </w:p>
    <w:p>
      <w:pPr>
        <w:pStyle w:val="TextBody"/>
        <w:bidi w:val="0"/>
        <w:spacing w:lineRule="auto" w:line="288" w:before="240" w:after="283"/>
        <w:ind w:left="0" w:right="0" w:hanging="540"/>
        <w:jc w:val="left"/>
        <w:rPr>
          <w:rFonts w:ascii="Arial;sans-serif" w:hAnsi="Arial;sans-serif"/>
          <w:b w:val="false"/>
          <w:color w:val="000000"/>
          <w:sz w:val="18"/>
        </w:rPr>
      </w:pPr>
      <w:r>
        <w:rPr>
          <w:rFonts w:ascii="Arial;sans-serif" w:hAnsi="Arial;sans-serif"/>
          <w:b w:val="false"/>
          <w:color w:val="000000"/>
          <w:sz w:val="18"/>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540"/>
        <w:jc w:val="left"/>
        <w:rPr>
          <w:rFonts w:ascii="Arial;sans-serif" w:hAnsi="Arial;sans-serif"/>
          <w:b w:val="false"/>
          <w:color w:val="000000"/>
          <w:sz w:val="18"/>
        </w:rPr>
      </w:pPr>
      <w:r>
        <w:rPr>
          <w:rFonts w:ascii="Arial;sans-serif" w:hAnsi="Arial;sans-serif"/>
          <w:b w:val="false"/>
          <w:color w:val="000000"/>
          <w:sz w:val="18"/>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540"/>
        <w:jc w:val="left"/>
        <w:rPr>
          <w:rFonts w:ascii="Arial;sans-serif" w:hAnsi="Arial;sans-serif"/>
          <w:b w:val="false"/>
          <w:color w:val="000000"/>
          <w:sz w:val="18"/>
        </w:rPr>
      </w:pPr>
      <w:r>
        <w:rPr>
          <w:rFonts w:ascii="Arial;sans-serif" w:hAnsi="Arial;sans-serif"/>
          <w:b w:val="false"/>
          <w:color w:val="000000"/>
          <w:sz w:val="18"/>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540"/>
        <w:jc w:val="left"/>
        <w:rPr>
          <w:rFonts w:ascii="Arial;sans-serif" w:hAnsi="Arial;sans-serif"/>
          <w:b w:val="false"/>
          <w:color w:val="000000"/>
          <w:sz w:val="18"/>
        </w:rPr>
      </w:pPr>
      <w:r>
        <w:rPr>
          <w:rFonts w:ascii="Arial;sans-serif" w:hAnsi="Arial;sans-serif"/>
          <w:b w:val="false"/>
          <w:color w:val="000000"/>
          <w:sz w:val="18"/>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540"/>
        <w:jc w:val="left"/>
        <w:rPr>
          <w:rFonts w:ascii="Arial;sans-serif" w:hAnsi="Arial;sans-serif"/>
          <w:b w:val="false"/>
          <w:color w:val="000000"/>
          <w:sz w:val="18"/>
        </w:rPr>
      </w:pPr>
      <w:r>
        <w:rPr>
          <w:rFonts w:ascii="Arial;sans-serif" w:hAnsi="Arial;sans-serif"/>
          <w:b w:val="false"/>
          <w:color w:val="000000"/>
          <w:sz w:val="18"/>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540"/>
        <w:jc w:val="left"/>
        <w:rPr>
          <w:rFonts w:ascii="Arial;sans-serif" w:hAnsi="Arial;sans-serif"/>
          <w:b w:val="false"/>
          <w:color w:val="000000"/>
          <w:sz w:val="18"/>
        </w:rPr>
      </w:pPr>
      <w:r>
        <w:rPr>
          <w:rFonts w:ascii="Arial;sans-serif" w:hAnsi="Arial;sans-serif"/>
          <w:b w:val="false"/>
          <w:color w:val="000000"/>
          <w:sz w:val="18"/>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540"/>
        <w:jc w:val="left"/>
        <w:rPr>
          <w:rFonts w:ascii="Arial;sans-serif" w:hAnsi="Arial;sans-serif"/>
          <w:b w:val="false"/>
          <w:color w:val="000000"/>
          <w:sz w:val="18"/>
        </w:rPr>
      </w:pPr>
      <w:r>
        <w:rPr>
          <w:rFonts w:ascii="Arial;sans-serif" w:hAnsi="Arial;sans-serif"/>
          <w:b w:val="false"/>
          <w:color w:val="000000"/>
          <w:sz w:val="18"/>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540"/>
        <w:jc w:val="left"/>
        <w:rPr>
          <w:rFonts w:ascii="Arial;sans-serif" w:hAnsi="Arial;sans-serif"/>
          <w:b w:val="false"/>
          <w:color w:val="000000"/>
          <w:sz w:val="18"/>
        </w:rPr>
      </w:pPr>
      <w:r>
        <w:rPr>
          <w:rFonts w:ascii="Arial;sans-serif" w:hAnsi="Arial;sans-serif"/>
          <w:b w:val="false"/>
          <w:color w:val="000000"/>
          <w:sz w:val="18"/>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540"/>
        <w:jc w:val="left"/>
        <w:rPr>
          <w:rFonts w:ascii="Arial;sans-serif" w:hAnsi="Arial;sans-serif"/>
          <w:b w:val="false"/>
          <w:color w:val="000000"/>
          <w:sz w:val="18"/>
        </w:rPr>
      </w:pPr>
      <w:r>
        <w:rPr>
          <w:rFonts w:ascii="Arial;sans-serif" w:hAnsi="Arial;sans-serif"/>
          <w:b w:val="false"/>
          <w:color w:val="000000"/>
          <w:sz w:val="18"/>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540"/>
        <w:jc w:val="left"/>
        <w:rPr>
          <w:rFonts w:ascii="Arial;sans-serif" w:hAnsi="Arial;sans-serif"/>
          <w:b w:val="false"/>
          <w:color w:val="000000"/>
          <w:sz w:val="18"/>
        </w:rPr>
      </w:pPr>
      <w:r>
        <w:rPr>
          <w:rFonts w:ascii="Arial;sans-serif" w:hAnsi="Arial;sans-serif"/>
          <w:b w:val="false"/>
          <w:color w:val="000000"/>
          <w:sz w:val="18"/>
        </w:rPr>
        <w:t>(b)Any fraud, whether or not material, that involves management or other employees who have a significant role in the registrant’s internal control over financial reporting.</w:t>
      </w:r>
    </w:p>
    <w:tbl>
      <w:tblPr>
        <w:tblW w:w="5968" w:type="dxa"/>
        <w:jc w:val="left"/>
        <w:tblInd w:w="0" w:type="dxa"/>
        <w:tblLayout w:type="fixed"/>
        <w:tblCellMar>
          <w:top w:w="28" w:type="dxa"/>
          <w:left w:w="28" w:type="dxa"/>
          <w:bottom w:w="28" w:type="dxa"/>
          <w:right w:w="28" w:type="dxa"/>
        </w:tblCellMar>
      </w:tblPr>
      <w:tblGrid>
        <w:gridCol w:w="201"/>
        <w:gridCol w:w="176"/>
        <w:gridCol w:w="178"/>
        <w:gridCol w:w="459"/>
        <w:gridCol w:w="459"/>
        <w:gridCol w:w="461"/>
        <w:gridCol w:w="120"/>
        <w:gridCol w:w="120"/>
        <w:gridCol w:w="120"/>
        <w:gridCol w:w="1073"/>
        <w:gridCol w:w="1073"/>
        <w:gridCol w:w="1528"/>
      </w:tblGrid>
      <w:tr>
        <w:trPr/>
        <w:tc>
          <w:tcPr>
            <w:tcW w:w="20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Date:</w:t>
            </w:r>
          </w:p>
        </w:tc>
        <w:tc>
          <w:tcPr>
            <w:tcW w:w="13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March 31, 2026</w:t>
            </w:r>
          </w:p>
        </w:tc>
        <w:tc>
          <w:tcPr>
            <w:tcW w:w="3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By:</w:t>
            </w:r>
          </w:p>
        </w:tc>
        <w:tc>
          <w:tcPr>
            <w:tcW w:w="367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/s/ Brendan Shanahan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Brendan Shanahan</w:t>
            </w:r>
          </w:p>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Chief Financial Officer</w:t>
            </w:r>
          </w:p>
          <w:p>
            <w:pPr>
              <w:pStyle w:val="TableContents"/>
              <w:bidi w:val="0"/>
              <w:spacing w:lineRule="auto" w:line="288" w:before="0" w:after="0"/>
              <w:jc w:val="left"/>
              <w:rPr>
                <w:rFonts w:ascii="Arial;sans-serif" w:hAnsi="Arial;sans-serif"/>
                <w:b w:val="false"/>
                <w:i/>
                <w:color w:val="000000"/>
                <w:sz w:val="18"/>
              </w:rPr>
            </w:pPr>
            <w:r>
              <w:rPr>
                <w:rFonts w:ascii="Arial;sans-serif" w:hAnsi="Arial;sans-serif"/>
                <w:b w:val="false"/>
                <w:i/>
                <w:color w:val="000000"/>
                <w:sz w:val="18"/>
              </w:rPr>
              <w:t>(Principal Financial and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75260"/>
                <wp:effectExtent l="0" t="0" r="0" b="0"/>
                <wp:wrapNone/>
                <wp:docPr id="115" name="Frame1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Arial;sans-serif" w:hAnsi="Arial;sans-serif"/>
          <w:b/>
          <w:color w:val="000000"/>
          <w:sz w:val="18"/>
        </w:rPr>
      </w:pPr>
      <w:r>
        <w:rPr>
          <w:rFonts w:ascii="Arial;sans-serif" w:hAnsi="Arial;sans-serif"/>
          <w:b/>
          <w:color w:val="000000"/>
          <w:sz w:val="18"/>
        </w:rPr>
        <w:t>Exhibit 32.1</w:t>
      </w:r>
    </w:p>
    <w:p>
      <w:pPr>
        <w:pStyle w:val="TextBody"/>
        <w:bidi w:val="0"/>
        <w:spacing w:lineRule="auto" w:line="288" w:before="240" w:after="283"/>
        <w:jc w:val="center"/>
        <w:rPr>
          <w:rFonts w:ascii="Arial;sans-serif" w:hAnsi="Arial;sans-serif"/>
          <w:b/>
          <w:color w:val="000000"/>
          <w:sz w:val="18"/>
        </w:rPr>
      </w:pPr>
      <w:r>
        <w:rPr>
          <w:rFonts w:ascii="Arial;sans-serif" w:hAnsi="Arial;sans-serif"/>
          <w:b/>
          <w:color w:val="000000"/>
          <w:sz w:val="18"/>
        </w:rPr>
        <w:t>Certification Pursuant to</w:t>
      </w:r>
    </w:p>
    <w:p>
      <w:pPr>
        <w:pStyle w:val="TextBody"/>
        <w:bidi w:val="0"/>
        <w:spacing w:lineRule="auto" w:line="288" w:before="60" w:after="283"/>
        <w:jc w:val="center"/>
        <w:rPr>
          <w:rFonts w:ascii="Arial;sans-serif" w:hAnsi="Arial;sans-serif"/>
          <w:b/>
          <w:color w:val="000000"/>
          <w:sz w:val="18"/>
        </w:rPr>
      </w:pPr>
      <w:r>
        <w:rPr>
          <w:rFonts w:ascii="Arial;sans-serif" w:hAnsi="Arial;sans-serif"/>
          <w:b/>
          <w:color w:val="000000"/>
          <w:sz w:val="18"/>
        </w:rPr>
        <w:t>18 U.S.C. Section 1350, as Adopted Pursuant to</w:t>
      </w:r>
    </w:p>
    <w:p>
      <w:pPr>
        <w:pStyle w:val="TextBody"/>
        <w:bidi w:val="0"/>
        <w:spacing w:lineRule="auto" w:line="288" w:before="60" w:after="283"/>
        <w:jc w:val="center"/>
        <w:rPr>
          <w:rFonts w:ascii="Arial;sans-serif" w:hAnsi="Arial;sans-serif"/>
          <w:b/>
          <w:color w:val="000000"/>
          <w:sz w:val="18"/>
        </w:rPr>
      </w:pPr>
      <w:r>
        <w:rPr>
          <w:rFonts w:ascii="Arial;sans-serif" w:hAnsi="Arial;sans-serif"/>
          <w:b/>
          <w:color w:val="000000"/>
          <w:sz w:val="18"/>
        </w:rPr>
        <w:t>Section 906 of the Sarbanes-Oxley Act of 2002</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In connection with the Annual Report on Form 10-K of GoHealth, Inc. (the “Company”) for the period ended December 31, 2025 as filed with the Securities and Exchange Commission on the date hereof (the “Report”), I certify, pursuant to 18 U.S.C. § 1350, as adopted pursuant to § 906 of the Sarbanes-Oxley Act of 2002, that:</w:t>
      </w:r>
    </w:p>
    <w:p>
      <w:pPr>
        <w:pStyle w:val="TextBody"/>
        <w:bidi w:val="0"/>
        <w:spacing w:lineRule="auto" w:line="288" w:before="240" w:after="283"/>
        <w:ind w:left="0" w:right="0" w:hanging="630"/>
        <w:jc w:val="left"/>
        <w:rPr>
          <w:rFonts w:ascii="Arial;sans-serif" w:hAnsi="Arial;sans-serif"/>
          <w:b w:val="false"/>
          <w:color w:val="000000"/>
          <w:sz w:val="18"/>
        </w:rPr>
      </w:pPr>
      <w:r>
        <w:rPr>
          <w:rFonts w:ascii="Arial;sans-serif" w:hAnsi="Arial;sans-serif"/>
          <w:b w:val="false"/>
          <w:color w:val="000000"/>
          <w:sz w:val="18"/>
        </w:rPr>
        <w:t>(1)The Report fully complies with the requirements of section 13(a) or 15(d) of the Securities Exchange Act of 1934, as amended; and</w:t>
      </w:r>
    </w:p>
    <w:p>
      <w:pPr>
        <w:pStyle w:val="TextBody"/>
        <w:bidi w:val="0"/>
        <w:spacing w:lineRule="auto" w:line="288" w:before="240" w:after="283"/>
        <w:ind w:left="0" w:right="0" w:hanging="630"/>
        <w:jc w:val="left"/>
        <w:rPr>
          <w:rFonts w:ascii="Arial;sans-serif" w:hAnsi="Arial;sans-serif"/>
          <w:b w:val="false"/>
          <w:color w:val="000000"/>
          <w:sz w:val="18"/>
        </w:rPr>
      </w:pPr>
      <w:r>
        <w:rPr>
          <w:rFonts w:ascii="Arial;sans-serif" w:hAnsi="Arial;sans-serif"/>
          <w:b w:val="false"/>
          <w:color w:val="000000"/>
          <w:sz w:val="18"/>
        </w:rPr>
        <w:t>(2)The information contained in the Report fairly presents, in all material respects, the financial condition and results of operations of the Company.</w:t>
      </w:r>
    </w:p>
    <w:tbl>
      <w:tblPr>
        <w:tblW w:w="4693" w:type="dxa"/>
        <w:jc w:val="left"/>
        <w:tblInd w:w="0" w:type="dxa"/>
        <w:tblLayout w:type="fixed"/>
        <w:tblCellMar>
          <w:top w:w="28" w:type="dxa"/>
          <w:left w:w="28" w:type="dxa"/>
          <w:bottom w:w="28" w:type="dxa"/>
          <w:right w:w="28" w:type="dxa"/>
        </w:tblCellMar>
      </w:tblPr>
      <w:tblGrid>
        <w:gridCol w:w="201"/>
        <w:gridCol w:w="176"/>
        <w:gridCol w:w="178"/>
        <w:gridCol w:w="459"/>
        <w:gridCol w:w="459"/>
        <w:gridCol w:w="461"/>
        <w:gridCol w:w="120"/>
        <w:gridCol w:w="120"/>
        <w:gridCol w:w="120"/>
        <w:gridCol w:w="701"/>
        <w:gridCol w:w="701"/>
        <w:gridCol w:w="997"/>
      </w:tblGrid>
      <w:tr>
        <w:trPr/>
        <w:tc>
          <w:tcPr>
            <w:tcW w:w="20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Date:</w:t>
            </w:r>
          </w:p>
        </w:tc>
        <w:tc>
          <w:tcPr>
            <w:tcW w:w="13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March 31, 2026</w:t>
            </w:r>
          </w:p>
        </w:tc>
        <w:tc>
          <w:tcPr>
            <w:tcW w:w="3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By:</w:t>
            </w:r>
          </w:p>
        </w:tc>
        <w:tc>
          <w:tcPr>
            <w:tcW w:w="23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 Vijay Kotte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Vijay Kotte</w:t>
            </w:r>
          </w:p>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Chief Executive Officer</w:t>
            </w:r>
          </w:p>
          <w:p>
            <w:pPr>
              <w:pStyle w:val="TableContents"/>
              <w:bidi w:val="0"/>
              <w:spacing w:lineRule="auto" w:line="240" w:before="0" w:after="0"/>
              <w:jc w:val="left"/>
              <w:rPr>
                <w:rFonts w:ascii="Arial;sans-serif" w:hAnsi="Arial;sans-serif"/>
                <w:b w:val="false"/>
                <w:i/>
                <w:color w:val="000000"/>
                <w:sz w:val="18"/>
              </w:rPr>
            </w:pPr>
            <w:r>
              <w:rPr>
                <w:rFonts w:ascii="Arial;sans-serif" w:hAnsi="Arial;sans-serif"/>
                <w:b w:val="false"/>
                <w:i/>
                <w:color w:val="000000"/>
                <w:sz w:val="18"/>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75260"/>
                <wp:effectExtent l="0" t="0" r="0" b="0"/>
                <wp:wrapNone/>
                <wp:docPr id="116" name="Frame1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Arial;sans-serif" w:hAnsi="Arial;sans-serif"/>
          <w:b/>
          <w:color w:val="000000"/>
          <w:sz w:val="18"/>
        </w:rPr>
      </w:pPr>
      <w:r>
        <w:rPr>
          <w:rFonts w:ascii="Arial;sans-serif" w:hAnsi="Arial;sans-serif"/>
          <w:b/>
          <w:color w:val="000000"/>
          <w:sz w:val="18"/>
        </w:rPr>
        <w:t>Exhibit 32.2</w:t>
      </w:r>
    </w:p>
    <w:p>
      <w:pPr>
        <w:pStyle w:val="TextBody"/>
        <w:bidi w:val="0"/>
        <w:spacing w:lineRule="auto" w:line="288" w:before="240" w:after="283"/>
        <w:jc w:val="center"/>
        <w:rPr>
          <w:rFonts w:ascii="Arial;sans-serif" w:hAnsi="Arial;sans-serif"/>
          <w:b/>
          <w:color w:val="000000"/>
          <w:sz w:val="18"/>
        </w:rPr>
      </w:pPr>
      <w:r>
        <w:rPr>
          <w:rFonts w:ascii="Arial;sans-serif" w:hAnsi="Arial;sans-serif"/>
          <w:b/>
          <w:color w:val="000000"/>
          <w:sz w:val="18"/>
        </w:rPr>
        <w:t>Certification Pursuant to</w:t>
      </w:r>
    </w:p>
    <w:p>
      <w:pPr>
        <w:pStyle w:val="TextBody"/>
        <w:bidi w:val="0"/>
        <w:spacing w:lineRule="auto" w:line="288" w:before="60" w:after="283"/>
        <w:jc w:val="center"/>
        <w:rPr>
          <w:rFonts w:ascii="Arial;sans-serif" w:hAnsi="Arial;sans-serif"/>
          <w:b/>
          <w:color w:val="000000"/>
          <w:sz w:val="18"/>
        </w:rPr>
      </w:pPr>
      <w:r>
        <w:rPr>
          <w:rFonts w:ascii="Arial;sans-serif" w:hAnsi="Arial;sans-serif"/>
          <w:b/>
          <w:color w:val="000000"/>
          <w:sz w:val="18"/>
        </w:rPr>
        <w:t>18 U.S.C. Section 1350, as Adopted Pursuant to</w:t>
      </w:r>
    </w:p>
    <w:p>
      <w:pPr>
        <w:pStyle w:val="TextBody"/>
        <w:bidi w:val="0"/>
        <w:spacing w:lineRule="auto" w:line="288" w:before="60" w:after="283"/>
        <w:jc w:val="center"/>
        <w:rPr>
          <w:rFonts w:ascii="Arial;sans-serif" w:hAnsi="Arial;sans-serif"/>
          <w:b/>
          <w:color w:val="000000"/>
          <w:sz w:val="18"/>
        </w:rPr>
      </w:pPr>
      <w:r>
        <w:rPr>
          <w:rFonts w:ascii="Arial;sans-serif" w:hAnsi="Arial;sans-serif"/>
          <w:b/>
          <w:color w:val="000000"/>
          <w:sz w:val="18"/>
        </w:rPr>
        <w:t>Section 906 of the Sarbanes-Oxley Act of 2002</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In connection with the Annual Report on Form 10-K of GoHealth, Inc. (the “Company”) for the period ended December 31, 2025 as filed with the Securities and Exchange Commission on the date hereof (the “Report”), I certify, pursuant to 18 U.S.C. § 1350, as adopted pursuant to § 906 of the Sarbanes-Oxley Act of 2002, that:</w:t>
      </w:r>
    </w:p>
    <w:p>
      <w:pPr>
        <w:pStyle w:val="TextBody"/>
        <w:bidi w:val="0"/>
        <w:spacing w:lineRule="auto" w:line="288" w:before="240" w:after="283"/>
        <w:ind w:left="0" w:right="0" w:hanging="630"/>
        <w:jc w:val="left"/>
        <w:rPr>
          <w:rFonts w:ascii="Arial;sans-serif" w:hAnsi="Arial;sans-serif"/>
          <w:b w:val="false"/>
          <w:color w:val="000000"/>
          <w:sz w:val="18"/>
        </w:rPr>
      </w:pPr>
      <w:r>
        <w:rPr>
          <w:rFonts w:ascii="Arial;sans-serif" w:hAnsi="Arial;sans-serif"/>
          <w:b w:val="false"/>
          <w:color w:val="000000"/>
          <w:sz w:val="18"/>
        </w:rPr>
        <w:t>(1)The Report fully complies with the requirements of section 13(a) or 15(d) of the Securities Exchange Act of 1934, as amended; and</w:t>
      </w:r>
    </w:p>
    <w:p>
      <w:pPr>
        <w:pStyle w:val="TextBody"/>
        <w:bidi w:val="0"/>
        <w:spacing w:lineRule="auto" w:line="288" w:before="240" w:after="283"/>
        <w:ind w:left="0" w:right="0" w:hanging="630"/>
        <w:jc w:val="left"/>
        <w:rPr>
          <w:rFonts w:ascii="Arial;sans-serif" w:hAnsi="Arial;sans-serif"/>
          <w:b w:val="false"/>
          <w:color w:val="000000"/>
          <w:sz w:val="18"/>
        </w:rPr>
      </w:pPr>
      <w:r>
        <w:rPr>
          <w:rFonts w:ascii="Arial;sans-serif" w:hAnsi="Arial;sans-serif"/>
          <w:b w:val="false"/>
          <w:color w:val="000000"/>
          <w:sz w:val="18"/>
        </w:rPr>
        <w:t>(2)The information contained in the Report fairly presents, in all material respects, the financial condition and results of operations of the Company.</w:t>
      </w:r>
    </w:p>
    <w:tbl>
      <w:tblPr>
        <w:tblW w:w="5968" w:type="dxa"/>
        <w:jc w:val="left"/>
        <w:tblInd w:w="0" w:type="dxa"/>
        <w:tblLayout w:type="fixed"/>
        <w:tblCellMar>
          <w:top w:w="28" w:type="dxa"/>
          <w:left w:w="28" w:type="dxa"/>
          <w:bottom w:w="28" w:type="dxa"/>
          <w:right w:w="28" w:type="dxa"/>
        </w:tblCellMar>
      </w:tblPr>
      <w:tblGrid>
        <w:gridCol w:w="201"/>
        <w:gridCol w:w="176"/>
        <w:gridCol w:w="178"/>
        <w:gridCol w:w="459"/>
        <w:gridCol w:w="459"/>
        <w:gridCol w:w="461"/>
        <w:gridCol w:w="120"/>
        <w:gridCol w:w="120"/>
        <w:gridCol w:w="120"/>
        <w:gridCol w:w="1074"/>
        <w:gridCol w:w="1074"/>
        <w:gridCol w:w="1526"/>
      </w:tblGrid>
      <w:tr>
        <w:trPr/>
        <w:tc>
          <w:tcPr>
            <w:tcW w:w="20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Date:</w:t>
            </w:r>
          </w:p>
        </w:tc>
        <w:tc>
          <w:tcPr>
            <w:tcW w:w="13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March 31, 2026</w:t>
            </w:r>
          </w:p>
        </w:tc>
        <w:tc>
          <w:tcPr>
            <w:tcW w:w="3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By:</w:t>
            </w:r>
          </w:p>
        </w:tc>
        <w:tc>
          <w:tcPr>
            <w:tcW w:w="367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/s/ Brendan Shanahan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Brendan Shanahan</w:t>
            </w:r>
          </w:p>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Chief Financial Officer</w:t>
            </w:r>
          </w:p>
          <w:p>
            <w:pPr>
              <w:pStyle w:val="TableContents"/>
              <w:bidi w:val="0"/>
              <w:spacing w:lineRule="auto" w:line="240" w:before="0" w:after="0"/>
              <w:jc w:val="left"/>
              <w:rPr>
                <w:rFonts w:ascii="Arial;sans-serif" w:hAnsi="Arial;sans-serif"/>
                <w:b w:val="false"/>
                <w:i/>
                <w:color w:val="000000"/>
                <w:sz w:val="18"/>
              </w:rPr>
            </w:pPr>
            <w:r>
              <w:rPr>
                <w:rFonts w:ascii="Arial;sans-serif" w:hAnsi="Arial;sans-serif"/>
                <w:b w:val="false"/>
                <w:i/>
                <w:color w:val="000000"/>
                <w:sz w:val="18"/>
              </w:rPr>
              <w:t>(Principal Financial and Accounting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75260"/>
                <wp:effectExtent l="0" t="0" r="0" b="0"/>
                <wp:wrapNone/>
                <wp:docPr id="117" name="Frame1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s://www.sec.gov/Archives/edgar/data/1808220/000119312520224832/d935246dex31.htm" TargetMode="External"/><Relationship Id="rId5" Type="http://schemas.openxmlformats.org/officeDocument/2006/relationships/hyperlink" Target="https://www.sec.gov/Archives/edgar/data/1808220/000119312520224832/d935246dex32.htm" TargetMode="External"/><Relationship Id="rId6" Type="http://schemas.openxmlformats.org/officeDocument/2006/relationships/hyperlink" Target="https://www.sec.gov/Archives/edgar/data/1808220/000119312522250700/d299834dex31.htm" TargetMode="External"/><Relationship Id="rId7" Type="http://schemas.openxmlformats.org/officeDocument/2006/relationships/hyperlink" Target="https://www.sec.gov/Archives/edgar/data/1808220/000119312522250700/d299834dex32.htm" TargetMode="External"/><Relationship Id="rId8" Type="http://schemas.openxmlformats.org/officeDocument/2006/relationships/hyperlink" Target="https://www.sec.gov/Archives/edgar/data/1808220/000119312522288595/d341111dex31.htm" TargetMode="External"/><Relationship Id="rId9" Type="http://schemas.openxmlformats.org/officeDocument/2006/relationships/hyperlink" Target="https://www.sec.gov/Archives/edgar/data/1808220/000119312520173051/d797183dex41.htm" TargetMode="External"/><Relationship Id="rId10" Type="http://schemas.openxmlformats.org/officeDocument/2006/relationships/hyperlink" Target="https://www.sec.gov/Archives/edgar/data/0001808220/000180822021000010/goco-20201231xex42xform10xk.htm" TargetMode="External"/><Relationship Id="rId11" Type="http://schemas.openxmlformats.org/officeDocument/2006/relationships/hyperlink" Target="https://www.sec.gov/Archives/edgar/data/1808220/000119312520173051/d797183dex105.htm" TargetMode="External"/><Relationship Id="rId12" Type="http://schemas.openxmlformats.org/officeDocument/2006/relationships/hyperlink" Target="https://www.sec.gov/Archives/edgar/data/1808220/000119312520224832/d935246dex102.htm" TargetMode="External"/><Relationship Id="rId13" Type="http://schemas.openxmlformats.org/officeDocument/2006/relationships/hyperlink" Target="https://www.sec.gov/Archives/edgar/data/1808220/000180822021000019/exhibit102.htm" TargetMode="External"/><Relationship Id="rId14" Type="http://schemas.openxmlformats.org/officeDocument/2006/relationships/hyperlink" Target="https://www.sec.gov/Archives/edgar/data/0001808220/000180822021000022/exhibit101toformdated614.htm" TargetMode="External"/><Relationship Id="rId15" Type="http://schemas.openxmlformats.org/officeDocument/2006/relationships/hyperlink" Target="https://www.sec.gov/Archives/edgar/data/0001808220/000180822021000066/exhibit101toformdated111.htm" TargetMode="External"/><Relationship Id="rId16" Type="http://schemas.openxmlformats.org/officeDocument/2006/relationships/hyperlink" Target="https://www.sec.gov/Archives/edgar/data/1808220/000119312522076947/d229647dex101.htm" TargetMode="External"/><Relationship Id="rId17" Type="http://schemas.openxmlformats.org/officeDocument/2006/relationships/hyperlink" Target="https://www.sec.gov/Archives/edgar/data/1808220/000119312522221229/d291134dex101.htm" TargetMode="External"/><Relationship Id="rId18" Type="http://schemas.openxmlformats.org/officeDocument/2006/relationships/hyperlink" Target="https://www.sec.gov/Archives/edgar/data/1808220/000180822022000112/exhibit101.htm" TargetMode="External"/><Relationship Id="rId19" Type="http://schemas.openxmlformats.org/officeDocument/2006/relationships/hyperlink" Target="https://www.sec.gov/Archives/edgar/data/1808220/000119312523073274/d467836dex101.htm" TargetMode="External"/><Relationship Id="rId20" Type="http://schemas.openxmlformats.org/officeDocument/2006/relationships/hyperlink" Target="https://www.sec.gov/Archives/edgar/data/1808220/000180822024000017/gohealth-amendmentno11a0.htm" TargetMode="External"/><Relationship Id="rId21" Type="http://schemas.openxmlformats.org/officeDocument/2006/relationships/hyperlink" Target="https://www.sec.gov/Archives/edgar/data/1808220/000180822024000130/a103-gohealthxamendmentn.htm" TargetMode="External"/><Relationship Id="rId22" Type="http://schemas.openxmlformats.org/officeDocument/2006/relationships/hyperlink" Target="https://www.sec.gov/Archives/edgar/data/1808220/000180822024000130/a104-gohealthxconsentlet.htm" TargetMode="External"/><Relationship Id="rId23" Type="http://schemas.openxmlformats.org/officeDocument/2006/relationships/hyperlink" Target="https://www.sec.gov/Archives/edgar/data/1808220/000180822024000130/a105amendedandrestatemen.htm" TargetMode="External"/><Relationship Id="rId24" Type="http://schemas.openxmlformats.org/officeDocument/2006/relationships/hyperlink" Target="https://www.sec.gov/Archives/edgar/data/1808220/000180822024000130/a106-amendedandrestatedc.htm" TargetMode="External"/><Relationship Id="rId25" Type="http://schemas.openxmlformats.org/officeDocument/2006/relationships/hyperlink" Target="https://www.sec.gov/Archives/edgar/data/1808220/000162828025033527/amendment13-combined.htm" TargetMode="External"/><Relationship Id="rId26" Type="http://schemas.openxmlformats.org/officeDocument/2006/relationships/hyperlink" Target="https://www.sec.gov/Archives/edgar/data/1808220/000162828025038578/amendmentno14tocreditagr.htm" TargetMode="External"/><Relationship Id="rId27" Type="http://schemas.openxmlformats.org/officeDocument/2006/relationships/hyperlink" Target="https://www.sec.gov/Archives/edgar/data/1808220/000162828025038578/superpriorityseniorsecur.htm" TargetMode="External"/><Relationship Id="rId28" Type="http://schemas.openxmlformats.org/officeDocument/2006/relationships/hyperlink" Target="https://www.sec.gov/Archives/edgar/data/1808220/000119312520194605/d924307dex101.htm" TargetMode="External"/><Relationship Id="rId29" Type="http://schemas.openxmlformats.org/officeDocument/2006/relationships/hyperlink" Target="https://www.sec.gov/Archives/edgar/data/1808220/000119312520194605/d924307dex102.htm" TargetMode="External"/><Relationship Id="rId30" Type="http://schemas.openxmlformats.org/officeDocument/2006/relationships/hyperlink" Target="https://www.sec.gov/Archives/edgar/data/1808220/000119312520194605/d924307dex103.htm" TargetMode="External"/><Relationship Id="rId31" Type="http://schemas.openxmlformats.org/officeDocument/2006/relationships/hyperlink" Target="https://www.sec.gov/Archives/edgar/data/1808220/000119312520194605/d924307dex104.htm" TargetMode="External"/><Relationship Id="rId32" Type="http://schemas.openxmlformats.org/officeDocument/2006/relationships/hyperlink" Target="https://www.sec.gov/Archives/edgar/data/1808220/000119312522250700/d299834dex103.htm" TargetMode="External"/><Relationship Id="rId33" Type="http://schemas.openxmlformats.org/officeDocument/2006/relationships/hyperlink" Target="https://www.sec.gov/Archives/edgar/data/1808220/000119312522250700/d299834dex101.htm" TargetMode="External"/><Relationship Id="rId34" Type="http://schemas.openxmlformats.org/officeDocument/2006/relationships/hyperlink" Target="https://www.sec.gov/Archives/edgar/data/1808220/000119312522250700/d299834dex102.htm" TargetMode="External"/><Relationship Id="rId35" Type="http://schemas.openxmlformats.org/officeDocument/2006/relationships/hyperlink" Target="https://www.sec.gov/Archives/edgar/data/1808220/000162828025052376/registrationrightsagreem.htm" TargetMode="External"/><Relationship Id="rId36" Type="http://schemas.openxmlformats.org/officeDocument/2006/relationships/hyperlink" Target="https://www.sec.gov/Archives/edgar/data/1808220/000162828025052376/amendmenttoregistrationr.htm" TargetMode="External"/><Relationship Id="rId37" Type="http://schemas.openxmlformats.org/officeDocument/2006/relationships/hyperlink" Target="https://www.sec.gov/Archives/edgar/data/1808220/000119312520173051/d797183dex109.htm" TargetMode="External"/><Relationship Id="rId38" Type="http://schemas.openxmlformats.org/officeDocument/2006/relationships/hyperlink" Target="https://www.sec.gov/Archives/edgar/data/1808220/000119312520187065/d797183dex109.htm" TargetMode="External"/><Relationship Id="rId39" Type="http://schemas.openxmlformats.org/officeDocument/2006/relationships/hyperlink" Target="https://www.sec.gov/Archives/edgar/data/1808220/000119312520187065/d797183dex1010.htm" TargetMode="External"/><Relationship Id="rId40" Type="http://schemas.openxmlformats.org/officeDocument/2006/relationships/hyperlink" Target="https://www.sec.gov/Archives/edgar/data/1808220/000119312520189225/d797183dex1011.htm" TargetMode="External"/><Relationship Id="rId41" Type="http://schemas.openxmlformats.org/officeDocument/2006/relationships/hyperlink" Target="https://www.sec.gov/Archives/edgar/data/1808220/000119312520189225/d797183dex106.htm" TargetMode="External"/><Relationship Id="rId42" Type="http://schemas.openxmlformats.org/officeDocument/2006/relationships/hyperlink" Target="https://www.sec.gov/Archives/edgar/data/1808220/000119312520189225/d797183dex107.htm" TargetMode="External"/><Relationship Id="rId43" Type="http://schemas.openxmlformats.org/officeDocument/2006/relationships/hyperlink" Target="https://www.sec.gov/Archives/edgar/data/1808220/000119312520189225/d797183dex1016.htm" TargetMode="External"/><Relationship Id="rId44" Type="http://schemas.openxmlformats.org/officeDocument/2006/relationships/hyperlink" Target="https://www.sec.gov/Archives/edgar/data/1808220/000119312520189225/d797183dex1017.htm" TargetMode="External"/><Relationship Id="rId45" Type="http://schemas.openxmlformats.org/officeDocument/2006/relationships/hyperlink" Target="https://www.sec.gov/Archives/edgar/data/1808220/000119312520189225/d797183dex1018.htm" TargetMode="External"/><Relationship Id="rId46" Type="http://schemas.openxmlformats.org/officeDocument/2006/relationships/hyperlink" Target="https://www.sec.gov/Archives/edgar/data/1808220/000119312520189225/d797183dex1019.htm" TargetMode="External"/><Relationship Id="rId47" Type="http://schemas.openxmlformats.org/officeDocument/2006/relationships/hyperlink" Target="https://www.sec.gov/Archives/edgar/data/1808220/000119312520189225/d797183dex1020.htm" TargetMode="External"/><Relationship Id="rId48" Type="http://schemas.openxmlformats.org/officeDocument/2006/relationships/hyperlink" Target="https://www.sec.gov/Archives/edgar/data/0001808220/000119312521362438/d270006dex991.htm" TargetMode="External"/><Relationship Id="rId49" Type="http://schemas.openxmlformats.org/officeDocument/2006/relationships/hyperlink" Target="https://www.sec.gov/Archives/edgar/data/0001808220/000119312521362438/d270006dex992.htm" TargetMode="External"/><Relationship Id="rId50" Type="http://schemas.openxmlformats.org/officeDocument/2006/relationships/hyperlink" Target="https://www.sec.gov/Archives/edgar/data/0001808220/000119312521362438/d270006dex993.htm" TargetMode="External"/><Relationship Id="rId51" Type="http://schemas.openxmlformats.org/officeDocument/2006/relationships/hyperlink" Target="https://www.sec.gov/Archives/edgar/data/1808220/000119312522168376/d365724dex996.htm" TargetMode="External"/><Relationship Id="rId52" Type="http://schemas.openxmlformats.org/officeDocument/2006/relationships/hyperlink" Target="https://www.sec.gov/Archives/edgar/data/1808220/000119312522168376/d365724dex994.htm" TargetMode="External"/><Relationship Id="rId53" Type="http://schemas.openxmlformats.org/officeDocument/2006/relationships/hyperlink" Target="https://www.sec.gov/Archives/edgar/data/1808220/000119312522168376/d365724dex997.htm" TargetMode="External"/><Relationship Id="rId54" Type="http://schemas.openxmlformats.org/officeDocument/2006/relationships/hyperlink" Target="https://www.sec.gov/Archives/edgar/data/1808220/000119312522168376/d365724dex998.htm" TargetMode="External"/><Relationship Id="rId55" Type="http://schemas.openxmlformats.org/officeDocument/2006/relationships/hyperlink" Target="https://www.sec.gov/Archives/edgar/data/1808220/000180822022000090/exhibit101.htm" TargetMode="External"/><Relationship Id="rId56" Type="http://schemas.openxmlformats.org/officeDocument/2006/relationships/hyperlink" Target="https://www.sec.gov/Archives/edgar/data/1808220/000180822023000090/exhibit10_1.htm" TargetMode="External"/><Relationship Id="rId57" Type="http://schemas.openxmlformats.org/officeDocument/2006/relationships/hyperlink" Target="https://www.sec.gov/Archives/edgar/data/1808220/000180822024000053/hargisemploymentagreemen.htm" TargetMode="External"/><Relationship Id="rId58" Type="http://schemas.openxmlformats.org/officeDocument/2006/relationships/hyperlink" Target="https://www.sec.gov/Archives/edgar/data/0001808220/000180822024000118/shanahan_brendanemployme.htm" TargetMode="External"/><Relationship Id="rId59" Type="http://schemas.openxmlformats.org/officeDocument/2006/relationships/hyperlink" Target="https://www.sec.gov/Archives/edgar/data/0001808220/000180822024000118/ohalloran_katherinecaoem.htm" TargetMode="External"/><Relationship Id="rId60" Type="http://schemas.openxmlformats.org/officeDocument/2006/relationships/hyperlink" Target="https://www.sec.gov/Archives/edgar/data/1808220/000180822025000037/firstamendmenttoemployme.htm" TargetMode="External"/><Relationship Id="rId61" Type="http://schemas.openxmlformats.org/officeDocument/2006/relationships/hyperlink" Target="https://www.sec.gov/Archives/edgar/data/1808220/000180822025000037/letteragreementdatedasof.htm" TargetMode="External"/><Relationship Id="rId62" Type="http://schemas.openxmlformats.org/officeDocument/2006/relationships/hyperlink" Target="https://www.sec.gov/Archives/edgar/data/1808220/000180822025000010/gohealthinsidertradingpo.htm" TargetMode="External"/><Relationship Id="rId63" Type="http://schemas.openxmlformats.org/officeDocument/2006/relationships/hyperlink" Target="https://www.sec.gov/Archives/edgar/data/0001808220/000180822024000017/compensationclawbackpoli.htm" TargetMode="External"/><Relationship Id="rId64" Type="http://schemas.openxmlformats.org/officeDocument/2006/relationships/fontTable" Target="fontTable.xml"/><Relationship Id="rId6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78495</Words>
  <Characters>442363</Characters>
  <CharactersWithSpaces>517899</CharactersWithSpaces>
  <Paragraphs>4273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