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300"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0" w:lineRule="exact"/>
        <w:rPr>
          <w:sz w:val="24"/>
          <w:szCs w:val="24"/>
          <w:color w:val="auto"/>
        </w:rPr>
      </w:pPr>
    </w:p>
    <w:p>
      <w:pPr>
        <w:ind w:left="400" w:hanging="374"/>
        <w:spacing w:after="0" w:line="285" w:lineRule="auto"/>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9"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 the quarterly period ended June 30, 2024</w:t>
      </w:r>
    </w:p>
    <w:p>
      <w:pPr>
        <w:spacing w:after="0" w:line="127"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hanging="374"/>
        <w:spacing w:after="0" w:line="285" w:lineRule="auto"/>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-4445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80645</wp:posOffset>
            </wp:positionV>
            <wp:extent cx="2143125" cy="112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GoHealth, Inc.</w:t>
      </w:r>
    </w:p>
    <w:p>
      <w:pPr>
        <w:spacing w:after="0" w:line="142"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pacing w:after="0" w:line="127"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72"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5320" w:type="dxa"/>
            <w:vAlign w:val="bottom"/>
          </w:tcPr>
          <w:p>
            <w:pPr>
              <w:jc w:val="center"/>
              <w:ind w:right="1044"/>
              <w:spacing w:after="0"/>
              <w:rPr>
                <w:sz w:val="20"/>
                <w:szCs w:val="20"/>
                <w:color w:val="auto"/>
              </w:rPr>
            </w:pPr>
            <w:r>
              <w:rPr>
                <w:rFonts w:ascii="Arial" w:cs="Arial" w:eastAsia="Arial" w:hAnsi="Arial"/>
                <w:sz w:val="14"/>
                <w:szCs w:val="14"/>
                <w:b w:val="1"/>
                <w:bCs w:val="1"/>
                <w:color w:val="auto"/>
              </w:rPr>
              <w:t>Delaware</w:t>
            </w:r>
          </w:p>
        </w:tc>
        <w:tc>
          <w:tcPr>
            <w:tcW w:w="3640" w:type="dxa"/>
            <w:vAlign w:val="bottom"/>
          </w:tcPr>
          <w:p>
            <w:pPr>
              <w:jc w:val="right"/>
              <w:ind w:right="784"/>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243"/>
        </w:trPr>
        <w:tc>
          <w:tcPr>
            <w:tcW w:w="5320" w:type="dxa"/>
            <w:vAlign w:val="bottom"/>
          </w:tcPr>
          <w:p>
            <w:pPr>
              <w:jc w:val="center"/>
              <w:ind w:right="1064"/>
              <w:spacing w:after="0"/>
              <w:rPr>
                <w:sz w:val="20"/>
                <w:szCs w:val="20"/>
                <w:color w:val="auto"/>
              </w:rPr>
            </w:pPr>
            <w:r>
              <w:rPr>
                <w:rFonts w:ascii="Arial" w:cs="Arial" w:eastAsia="Arial" w:hAnsi="Arial"/>
                <w:sz w:val="16"/>
                <w:szCs w:val="16"/>
                <w:color w:val="auto"/>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486"/>
        </w:trPr>
        <w:tc>
          <w:tcPr>
            <w:tcW w:w="5320" w:type="dxa"/>
            <w:vAlign w:val="bottom"/>
          </w:tcPr>
          <w:p>
            <w:pPr>
              <w:jc w:val="center"/>
              <w:ind w:right="1044"/>
              <w:spacing w:after="0"/>
              <w:rPr>
                <w:sz w:val="20"/>
                <w:szCs w:val="20"/>
                <w:color w:val="auto"/>
              </w:rPr>
            </w:pPr>
            <w:r>
              <w:rPr>
                <w:rFonts w:ascii="Arial" w:cs="Arial" w:eastAsia="Arial" w:hAnsi="Arial"/>
                <w:sz w:val="14"/>
                <w:szCs w:val="14"/>
                <w:b w:val="1"/>
                <w:bCs w:val="1"/>
                <w:color w:val="auto"/>
              </w:rPr>
              <w:t>222 W Merchandise Mart Plaza, Suite 1750</w:t>
            </w:r>
          </w:p>
        </w:tc>
        <w:tc>
          <w:tcPr>
            <w:tcW w:w="3640" w:type="dxa"/>
            <w:vAlign w:val="bottom"/>
            <w:vMerge w:val="restart"/>
          </w:tcPr>
          <w:p>
            <w:pPr>
              <w:jc w:val="right"/>
              <w:ind w:right="964"/>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08"/>
        </w:trPr>
        <w:tc>
          <w:tcPr>
            <w:tcW w:w="532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Chicago, Illinois</w:t>
            </w: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32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320" w:type="dxa"/>
            <w:vAlign w:val="bottom"/>
          </w:tcPr>
          <w:p>
            <w:pPr>
              <w:jc w:val="center"/>
              <w:ind w:right="1044"/>
              <w:spacing w:after="0"/>
              <w:rPr>
                <w:sz w:val="20"/>
                <w:szCs w:val="20"/>
                <w:color w:val="auto"/>
              </w:rPr>
            </w:pPr>
            <w:r>
              <w:rPr>
                <w:rFonts w:ascii="Arial" w:cs="Arial" w:eastAsia="Arial" w:hAnsi="Arial"/>
                <w:sz w:val="16"/>
                <w:szCs w:val="16"/>
                <w:color w:val="auto"/>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(312) 386-8200</w:t>
      </w:r>
    </w:p>
    <w:p>
      <w:pPr>
        <w:spacing w:after="0" w:line="113"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6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5"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0"/>
          <w:szCs w:val="20"/>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0"/>
          <w:szCs w:val="20"/>
          <w:color w:val="auto"/>
        </w:rPr>
      </w:pPr>
    </w:p>
    <w:p>
      <w:pPr>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68" w:lineRule="exact"/>
        <w:rPr>
          <w:sz w:val="20"/>
          <w:szCs w:val="20"/>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5" w:lineRule="exact"/>
        <w:rPr>
          <w:sz w:val="20"/>
          <w:szCs w:val="20"/>
          <w:color w:val="auto"/>
        </w:rPr>
      </w:pPr>
    </w:p>
    <w:p>
      <w:pPr>
        <w:spacing w:after="0" w:line="184" w:lineRule="exact"/>
        <w:tabs>
          <w:tab w:leader="none" w:pos="8260" w:val="left"/>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149"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As of July 31, 2024, the registrant had 10,059,526 shares of Class A common stock, $0.0001 par value per share, outstanding and 12,779,342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364490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390525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00" w:type="dxa"/>
            <w:vAlign w:val="bottom"/>
            <w:gridSpan w:val="11"/>
          </w:tcPr>
          <w:p>
            <w:pPr>
              <w:jc w:val="center"/>
              <w:ind w:right="304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5"/>
          </w:tcPr>
          <w:p>
            <w:pPr>
              <w:ind w:left="380"/>
              <w:spacing w:after="0"/>
              <w:rPr>
                <w:sz w:val="20"/>
                <w:szCs w:val="20"/>
                <w:color w:val="auto"/>
              </w:rPr>
            </w:pPr>
            <w:r>
              <w:rPr>
                <w:rFonts w:ascii="Arial" w:cs="Arial" w:eastAsia="Arial" w:hAnsi="Arial"/>
                <w:sz w:val="16"/>
                <w:szCs w:val="16"/>
                <w:color w:val="auto"/>
              </w:rPr>
              <w:t>PAGE</w:t>
            </w:r>
          </w:p>
        </w:tc>
      </w:tr>
      <w:tr>
        <w:trPr>
          <w:trHeight w:val="217"/>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6240" w:type="dxa"/>
            <w:vAlign w:val="bottom"/>
            <w:gridSpan w:val="12"/>
            <w:shd w:val="clear" w:color="auto" w:fill="00497F"/>
          </w:tcPr>
          <w:p>
            <w:pPr>
              <w:jc w:val="center"/>
              <w:ind w:right="2520"/>
              <w:spacing w:after="0"/>
              <w:rPr>
                <w:sz w:val="20"/>
                <w:szCs w:val="20"/>
                <w:color w:val="auto"/>
              </w:rPr>
            </w:pPr>
            <w:r>
              <w:rPr>
                <w:rFonts w:ascii="Arial" w:cs="Arial" w:eastAsia="Arial" w:hAnsi="Arial"/>
                <w:sz w:val="16"/>
                <w:szCs w:val="16"/>
                <w:b w:val="1"/>
                <w:bCs w:val="1"/>
                <w:color w:val="FFFFFF"/>
              </w:rPr>
              <w:t>PART I - FINANCIAL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8760" w:type="dxa"/>
            <w:vAlign w:val="bottom"/>
            <w:gridSpan w:val="21"/>
          </w:tcPr>
          <w:p>
            <w:pPr>
              <w:spacing w:after="0" w:line="175" w:lineRule="exact"/>
              <w:rPr>
                <w:sz w:val="20"/>
                <w:szCs w:val="20"/>
                <w:color w:val="auto"/>
              </w:rPr>
            </w:pPr>
            <w:r>
              <w:rPr>
                <w:rFonts w:ascii="Arial" w:cs="Arial" w:eastAsia="Arial" w:hAnsi="Arial"/>
                <w:sz w:val="16"/>
                <w:szCs w:val="16"/>
                <w:color w:val="0000FF"/>
              </w:rPr>
              <w:t>FINANCIAL STATEMENTS.</w:t>
            </w:r>
          </w:p>
        </w:tc>
        <w:tc>
          <w:tcPr>
            <w:tcW w:w="680" w:type="dxa"/>
            <w:vAlign w:val="bottom"/>
            <w:gridSpan w:val="4"/>
          </w:tcPr>
          <w:p>
            <w:pPr>
              <w:jc w:val="center"/>
              <w:ind w:left="419"/>
              <w:spacing w:after="0" w:line="175" w:lineRule="exact"/>
              <w:rPr>
                <w:sz w:val="20"/>
                <w:szCs w:val="20"/>
                <w:color w:val="auto"/>
              </w:rPr>
            </w:pPr>
            <w:r>
              <w:rPr>
                <w:rFonts w:ascii="Arial" w:cs="Arial" w:eastAsia="Arial" w:hAnsi="Arial"/>
                <w:sz w:val="16"/>
                <w:szCs w:val="16"/>
                <w:color w:val="0000FF"/>
              </w:rPr>
              <w:t>4</w:t>
            </w:r>
          </w:p>
        </w:tc>
        <w:tc>
          <w:tcPr>
            <w:tcW w:w="56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sz w:val="20"/>
                <w:szCs w:val="20"/>
                <w:color w:val="auto"/>
              </w:rPr>
            </w:pPr>
            <w:r>
              <w:rPr>
                <w:rFonts w:ascii="Arial" w:cs="Arial" w:eastAsia="Arial" w:hAnsi="Arial"/>
                <w:sz w:val="16"/>
                <w:szCs w:val="16"/>
                <w:color w:val="0000FF"/>
              </w:rPr>
              <w:t>CONDENSED CONSOLIDATED FINANCIAL STATEMENTS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4</w:t>
            </w:r>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CONDENSED CONSOLIDATED STATEMENTS OF OPERATIONS</w:t>
            </w:r>
          </w:p>
        </w:tc>
        <w:tc>
          <w:tcPr>
            <w:tcW w:w="3720" w:type="dxa"/>
            <w:vAlign w:val="bottom"/>
            <w:gridSpan w:val="8"/>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COMPREHENSIVE INCOME (LOSS)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5</w:t>
            </w: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BALANCE SHEETS</w:t>
            </w:r>
          </w:p>
        </w:tc>
        <w:tc>
          <w:tcPr>
            <w:tcW w:w="2620" w:type="dxa"/>
            <w:vAlign w:val="bottom"/>
            <w:tcBorders>
              <w:top w:val="single" w:sz="8" w:color="0000FF"/>
            </w:tcBorders>
            <w:gridSpan w:val="7"/>
          </w:tcPr>
          <w:p>
            <w:pPr>
              <w:spacing w:after="0"/>
              <w:rPr>
                <w:sz w:val="17"/>
                <w:szCs w:val="17"/>
                <w:color w:val="auto"/>
              </w:rPr>
            </w:pPr>
          </w:p>
        </w:tc>
        <w:tc>
          <w:tcPr>
            <w:tcW w:w="2080" w:type="dxa"/>
            <w:vAlign w:val="bottom"/>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CHANGES IN STOCKHOLDERS’ EQUITY</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7</w:t>
            </w: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CASH FLOWS</w:t>
            </w:r>
          </w:p>
        </w:tc>
        <w:tc>
          <w:tcPr>
            <w:tcW w:w="2000" w:type="dxa"/>
            <w:vAlign w:val="bottom"/>
            <w:tcBorders>
              <w:top w:val="single" w:sz="8" w:color="0000FF"/>
            </w:tcBorders>
            <w:gridSpan w:val="5"/>
          </w:tcPr>
          <w:p>
            <w:pPr>
              <w:spacing w:after="0"/>
              <w:rPr>
                <w:sz w:val="17"/>
                <w:szCs w:val="17"/>
                <w:color w:val="auto"/>
              </w:rPr>
            </w:pPr>
          </w:p>
        </w:tc>
        <w:tc>
          <w:tcPr>
            <w:tcW w:w="170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9</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332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10</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3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MANAGEMENT’S DISCUSSION AND ANALYSIS OF FINANCIAL CONDITIONS AND RESULTS OF OPERATIONS.</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23</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6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34</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76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34</w:t>
            </w:r>
          </w:p>
        </w:tc>
        <w:tc>
          <w:tcPr>
            <w:tcW w:w="560" w:type="dxa"/>
            <w:vAlign w:val="bottom"/>
          </w:tcPr>
          <w:p>
            <w:pPr>
              <w:spacing w:after="0"/>
              <w:rPr>
                <w:sz w:val="17"/>
                <w:szCs w:val="17"/>
                <w:color w:val="auto"/>
              </w:rPr>
            </w:pPr>
          </w:p>
        </w:tc>
      </w:tr>
      <w:tr>
        <w:trPr>
          <w:trHeight w:val="74"/>
        </w:trPr>
        <w:tc>
          <w:tcPr>
            <w:tcW w:w="12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r>
      <w:tr>
        <w:trPr>
          <w:trHeight w:val="216"/>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5700" w:type="dxa"/>
            <w:vAlign w:val="bottom"/>
            <w:gridSpan w:val="11"/>
            <w:shd w:val="clear" w:color="auto" w:fill="00497F"/>
          </w:tcPr>
          <w:p>
            <w:pPr>
              <w:jc w:val="center"/>
              <w:ind w:right="3060"/>
              <w:spacing w:after="0"/>
              <w:rPr>
                <w:sz w:val="20"/>
                <w:szCs w:val="20"/>
                <w:color w:val="auto"/>
              </w:rPr>
            </w:pPr>
            <w:r>
              <w:rPr>
                <w:rFonts w:ascii="Arial" w:cs="Arial" w:eastAsia="Arial" w:hAnsi="Arial"/>
                <w:sz w:val="16"/>
                <w:szCs w:val="16"/>
                <w:b w:val="1"/>
                <w:bCs w:val="1"/>
                <w:color w:val="FFFFFF"/>
                <w:w w:val="99"/>
              </w:rPr>
              <w:t>PART II - OTHER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1820" w:type="dxa"/>
            <w:vAlign w:val="bottom"/>
            <w:tcBorders>
              <w:bottom w:val="single" w:sz="8" w:color="0000FF"/>
            </w:tcBorders>
            <w:gridSpan w:val="6"/>
          </w:tcPr>
          <w:p>
            <w:pPr>
              <w:spacing w:after="0" w:line="175" w:lineRule="exact"/>
              <w:rPr>
                <w:sz w:val="20"/>
                <w:szCs w:val="20"/>
                <w:color w:val="auto"/>
              </w:rPr>
            </w:pPr>
            <w:r>
              <w:rPr>
                <w:rFonts w:ascii="Arial" w:cs="Arial" w:eastAsia="Arial" w:hAnsi="Arial"/>
                <w:sz w:val="16"/>
                <w:szCs w:val="16"/>
                <w:color w:val="0000FF"/>
              </w:rPr>
              <w:t>LEGAL PROCEEDINGS.</w:t>
            </w:r>
          </w:p>
        </w:tc>
        <w:tc>
          <w:tcPr>
            <w:tcW w:w="6940" w:type="dxa"/>
            <w:vAlign w:val="bottom"/>
            <w:gridSpan w:val="15"/>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gridSpan w:val="3"/>
          </w:tcPr>
          <w:p>
            <w:pPr>
              <w:jc w:val="center"/>
              <w:spacing w:after="0" w:line="175" w:lineRule="exact"/>
              <w:rPr>
                <w:sz w:val="20"/>
                <w:szCs w:val="20"/>
                <w:color w:val="auto"/>
              </w:rPr>
            </w:pPr>
            <w:r>
              <w:rPr>
                <w:rFonts w:ascii="Arial" w:cs="Arial" w:eastAsia="Arial" w:hAnsi="Arial"/>
                <w:sz w:val="16"/>
                <w:szCs w:val="16"/>
                <w:color w:val="0000FF"/>
              </w:rPr>
              <w:t>35</w:t>
            </w:r>
          </w:p>
        </w:tc>
        <w:tc>
          <w:tcPr>
            <w:tcW w:w="560" w:type="dxa"/>
            <w:vAlign w:val="bottom"/>
          </w:tcPr>
          <w:p>
            <w:pPr>
              <w:spacing w:after="0"/>
              <w:rPr>
                <w:sz w:val="15"/>
                <w:szCs w:val="15"/>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12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RISK FACTORS.</w:t>
            </w:r>
          </w:p>
        </w:tc>
        <w:tc>
          <w:tcPr>
            <w:tcW w:w="75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760" w:type="dxa"/>
            <w:vAlign w:val="bottom"/>
            <w:gridSpan w:val="2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8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DEFAULTS UPON SENIOR SECURITIES.</w:t>
            </w:r>
          </w:p>
        </w:tc>
        <w:tc>
          <w:tcPr>
            <w:tcW w:w="29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2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MINE SAFETY DISCLOSURES.</w:t>
            </w:r>
          </w:p>
        </w:tc>
        <w:tc>
          <w:tcPr>
            <w:tcW w:w="720" w:type="dxa"/>
            <w:vAlign w:val="bottom"/>
            <w:tcBorders>
              <w:top w:val="single" w:sz="8" w:color="0000FF"/>
            </w:tcBorders>
            <w:gridSpan w:val="2"/>
          </w:tcPr>
          <w:p>
            <w:pPr>
              <w:spacing w:after="0"/>
              <w:rPr>
                <w:sz w:val="17"/>
                <w:szCs w:val="17"/>
                <w:color w:val="auto"/>
              </w:rPr>
            </w:pPr>
          </w:p>
        </w:tc>
        <w:tc>
          <w:tcPr>
            <w:tcW w:w="570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5.</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9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8760" w:type="dxa"/>
            <w:vAlign w:val="bottom"/>
            <w:gridSpan w:val="21"/>
          </w:tcPr>
          <w:p>
            <w:pPr>
              <w:spacing w:after="0"/>
              <w:rPr>
                <w:sz w:val="20"/>
                <w:szCs w:val="20"/>
                <w:color w:val="auto"/>
              </w:rPr>
            </w:pPr>
            <w:r>
              <w:rPr>
                <w:rFonts w:ascii="Arial" w:cs="Arial" w:eastAsia="Arial" w:hAnsi="Arial"/>
                <w:sz w:val="16"/>
                <w:szCs w:val="16"/>
                <w:color w:val="0000FF"/>
              </w:rPr>
              <w:t>EXHIBITS.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36</w:t>
            </w:r>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2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sz w:val="20"/>
                <w:szCs w:val="20"/>
                <w:color w:val="auto"/>
              </w:rPr>
            </w:pPr>
            <w:r>
              <w:rPr>
                <w:rFonts w:ascii="Arial" w:cs="Arial" w:eastAsia="Arial" w:hAnsi="Arial"/>
                <w:sz w:val="16"/>
                <w:szCs w:val="16"/>
                <w:color w:val="0000FF"/>
              </w:rPr>
              <w:t>SIGNATURES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37</w:t>
            </w:r>
          </w:p>
        </w:tc>
        <w:tc>
          <w:tcPr>
            <w:tcW w:w="560" w:type="dxa"/>
            <w:vAlign w:val="bottom"/>
          </w:tcPr>
          <w:p>
            <w:pPr>
              <w:spacing w:after="0"/>
              <w:rPr>
                <w:sz w:val="17"/>
                <w:szCs w:val="17"/>
                <w:color w:val="auto"/>
              </w:rPr>
            </w:pPr>
          </w:p>
        </w:tc>
      </w:tr>
      <w:tr>
        <w:trPr>
          <w:trHeight w:val="1000"/>
        </w:trPr>
        <w:tc>
          <w:tcPr>
            <w:tcW w:w="124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and adoption and use of artificial intelligence technologies, are forward-looking statements.</w:t>
      </w:r>
    </w:p>
    <w:p>
      <w:pPr>
        <w:spacing w:after="0" w:line="21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our Quarterly Report on Form 10-Q for the first fiscal quarter ended March 31, 2024 and in our other filings with the Securities and Exchange Commission.</w:t>
      </w:r>
    </w:p>
    <w:p>
      <w:pPr>
        <w:spacing w:after="0" w:line="17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8"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CERTAIN DEFINITIONS AND KEY TERMS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Quarterly Report on Form 10-Q, unless the context otherwise requires:</w:t>
      </w:r>
    </w:p>
    <w:p>
      <w:pPr>
        <w:spacing w:after="0" w:line="235" w:lineRule="exact"/>
        <w:rPr>
          <w:sz w:val="20"/>
          <w:szCs w:val="20"/>
          <w:color w:val="auto"/>
        </w:rPr>
      </w:pPr>
    </w:p>
    <w:p>
      <w:pPr>
        <w:ind w:left="660" w:right="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to GoHealth, Inc., and unless otherwise stated, all of its direct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including GoHealth Holdings, LLC (“GHH, LLC”).</w:t>
      </w:r>
    </w:p>
    <w:p>
      <w:pPr>
        <w:spacing w:after="0" w:line="169" w:lineRule="exact"/>
        <w:rPr>
          <w:rFonts w:ascii="Arial" w:cs="Arial" w:eastAsia="Arial" w:hAnsi="Arial"/>
          <w:sz w:val="16"/>
          <w:szCs w:val="16"/>
          <w:color w:val="auto"/>
        </w:rPr>
      </w:pPr>
    </w:p>
    <w:p>
      <w:pPr>
        <w:ind w:left="660" w:right="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“Blocker Company” </w:t>
      </w:r>
      <w:r>
        <w:rPr>
          <w:rFonts w:ascii="Arial" w:cs="Arial" w:eastAsia="Arial" w:hAnsi="Arial"/>
          <w:sz w:val="16"/>
          <w:szCs w:val="16"/>
          <w:color w:val="auto"/>
        </w:rPr>
        <w:t>refers to an entity affiliated with Centerbridge that was an indirect owner of LLC Interests in GHH, LLC prior to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is taxable as a corporation for U.S. federal income tax purposes.</w:t>
      </w:r>
    </w:p>
    <w:p>
      <w:pPr>
        <w:spacing w:after="0" w:line="155"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41" w:lineRule="exact"/>
        <w:rPr>
          <w:rFonts w:ascii="Arial" w:cs="Arial" w:eastAsia="Arial" w:hAnsi="Arial"/>
          <w:sz w:val="16"/>
          <w:szCs w:val="16"/>
          <w:color w:val="auto"/>
        </w:rPr>
      </w:pPr>
    </w:p>
    <w:p>
      <w:pPr>
        <w:ind w:left="660" w:right="18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spacing w:after="0" w:line="164" w:lineRule="exact"/>
        <w:rPr>
          <w:rFonts w:ascii="Arial" w:cs="Arial" w:eastAsia="Arial" w:hAnsi="Arial"/>
          <w:sz w:val="16"/>
          <w:szCs w:val="16"/>
          <w:color w:val="auto"/>
        </w:rPr>
      </w:pPr>
    </w:p>
    <w:p>
      <w:pPr>
        <w:ind w:left="660" w:right="80" w:hanging="328"/>
        <w:spacing w:after="0" w:line="26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73" w:lineRule="exact"/>
        <w:rPr>
          <w:rFonts w:ascii="Arial" w:cs="Arial" w:eastAsia="Arial" w:hAnsi="Arial"/>
          <w:sz w:val="16"/>
          <w:szCs w:val="16"/>
          <w:color w:val="auto"/>
        </w:rPr>
      </w:pPr>
    </w:p>
    <w:p>
      <w:pPr>
        <w:ind w:left="660" w:right="24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M. Cruz, our Co-Founder and Co-Chairman of the Board of Directors and Clinton P. Jones, our Co-Founder and Co-Chairman of the Board of Directors.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4" w:name="page5"/>
    <w:bookmarkEnd w:id="4"/>
    <w:p>
      <w:pPr>
        <w:ind w:left="660" w:right="120" w:hanging="328"/>
        <w:spacing w:after="0" w:line="26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spacing w:after="0" w:line="176" w:lineRule="exact"/>
        <w:rPr>
          <w:rFonts w:ascii="Arial" w:cs="Arial" w:eastAsia="Arial" w:hAnsi="Arial"/>
          <w:sz w:val="16"/>
          <w:szCs w:val="16"/>
          <w:color w:val="auto"/>
        </w:rPr>
      </w:pPr>
    </w:p>
    <w:p>
      <w:pPr>
        <w:ind w:left="660" w:right="50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“GHH, LLC Agreement” </w:t>
      </w:r>
      <w:r>
        <w:rPr>
          <w:rFonts w:ascii="Arial" w:cs="Arial" w:eastAsia="Arial" w:hAnsi="Arial"/>
          <w:sz w:val="16"/>
          <w:szCs w:val="16"/>
          <w:color w:val="auto"/>
        </w:rPr>
        <w:t>refers to GHH, LLC’s amended and restated limited liability company agreement, as further amended, which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substantially concurrently with or prior to the consummation of our IPO.</w:t>
      </w:r>
    </w:p>
    <w:p>
      <w:pPr>
        <w:spacing w:after="0" w:line="14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GHH, LLC, including those that we purchased with a portion of the net proceeds from our IPO.</w:t>
      </w:r>
    </w:p>
    <w:p>
      <w:pPr>
        <w:spacing w:after="0" w:line="234" w:lineRule="exact"/>
        <w:rPr>
          <w:rFonts w:ascii="Arial" w:cs="Arial" w:eastAsia="Arial" w:hAnsi="Arial"/>
          <w:sz w:val="16"/>
          <w:szCs w:val="16"/>
          <w:color w:val="auto"/>
        </w:rPr>
      </w:pPr>
    </w:p>
    <w:p>
      <w:pPr>
        <w:jc w:val="both"/>
        <w:ind w:left="660" w:right="140" w:hanging="328"/>
        <w:spacing w:after="0" w:line="26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184" w:lineRule="exact"/>
        <w:rPr>
          <w:rFonts w:ascii="Arial" w:cs="Arial" w:eastAsia="Arial" w:hAnsi="Arial"/>
          <w:sz w:val="16"/>
          <w:szCs w:val="16"/>
          <w:color w:val="auto"/>
        </w:rPr>
      </w:pPr>
    </w:p>
    <w:p>
      <w:pPr>
        <w:ind w:left="660" w:right="38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“Non-Encompass BPO Services” </w:t>
      </w:r>
      <w:r>
        <w:rPr>
          <w:rFonts w:ascii="Arial" w:cs="Arial" w:eastAsia="Arial" w:hAnsi="Arial"/>
          <w:sz w:val="16"/>
          <w:szCs w:val="16"/>
          <w:color w:val="auto"/>
        </w:rPr>
        <w:t>refer to programs in which GoHealth-employed agents are dedicated to certain health plans and agencies we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with outside of the Encompass operating model.</w:t>
      </w:r>
    </w:p>
    <w:p>
      <w:pPr>
        <w:spacing w:after="0" w:line="15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refers to Norvax, LLC, a Delaware limited liability company and a subsidiary of GHH, LLC.</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21" w:lineRule="exact"/>
        <w:rPr>
          <w:rFonts w:ascii="Arial" w:cs="Arial" w:eastAsia="Arial" w:hAnsi="Arial"/>
          <w:sz w:val="16"/>
          <w:szCs w:val="16"/>
          <w:color w:val="auto"/>
        </w:rPr>
      </w:pPr>
    </w:p>
    <w:p>
      <w:pPr>
        <w:ind w:left="660" w:right="16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GHH, LLC, and its principal asset consists of LLC Interests.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jc w:val="both"/>
        <w:ind w:right="440"/>
        <w:spacing w:after="0" w:line="275" w:lineRule="auto"/>
        <w:rPr>
          <w:sz w:val="20"/>
          <w:szCs w:val="20"/>
          <w:color w:val="auto"/>
        </w:rPr>
      </w:pPr>
      <w:r>
        <w:rPr>
          <w:rFonts w:ascii="Arial" w:cs="Arial" w:eastAsia="Arial" w:hAnsi="Arial"/>
          <w:sz w:val="16"/>
          <w:szCs w:val="16"/>
          <w:color w:val="auto"/>
        </w:rPr>
        <w:t>Throughout this Quarterly Report on Form 10-Q,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GAAP. We define these non-GAAP financial measures as follows:</w:t>
      </w:r>
    </w:p>
    <w:p>
      <w:pPr>
        <w:spacing w:after="0" w:line="164" w:lineRule="exact"/>
        <w:rPr>
          <w:sz w:val="20"/>
          <w:szCs w:val="20"/>
          <w:color w:val="auto"/>
        </w:rPr>
      </w:pPr>
    </w:p>
    <w:p>
      <w:pPr>
        <w:ind w:left="660" w:right="480" w:hanging="328"/>
        <w:spacing w:after="0" w:line="286" w:lineRule="auto"/>
        <w:tabs>
          <w:tab w:leader="none" w:pos="6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discussed in Item 2.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Analysis of Financial Condition and Results of Operations.”</w:t>
      </w:r>
    </w:p>
    <w:p>
      <w:pPr>
        <w:spacing w:after="0" w:line="169" w:lineRule="exact"/>
        <w:rPr>
          <w:rFonts w:ascii="Arial" w:cs="Arial" w:eastAsia="Arial" w:hAnsi="Arial"/>
          <w:sz w:val="16"/>
          <w:szCs w:val="16"/>
          <w:i w:val="1"/>
          <w:iCs w:val="1"/>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PERFORMANCE INDICATORS</w:t>
      </w:r>
    </w:p>
    <w:p>
      <w:pPr>
        <w:spacing w:after="0" w:line="2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Throughout this Quarterly Report on Form 10-Q, we use a number of key performance indicators used by management. We define these key performance indicators as follows:</w:t>
      </w:r>
    </w:p>
    <w:p>
      <w:pPr>
        <w:spacing w:after="0" w:line="169" w:lineRule="exact"/>
        <w:rPr>
          <w:sz w:val="20"/>
          <w:szCs w:val="20"/>
          <w:color w:val="auto"/>
        </w:rPr>
      </w:pPr>
    </w:p>
    <w:p>
      <w:pPr>
        <w:ind w:left="660" w:right="1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“Adjusted Direct Operating Margin per Submission” </w:t>
      </w:r>
      <w:r>
        <w:rPr>
          <w:rFonts w:ascii="Arial" w:cs="Arial" w:eastAsia="Arial" w:hAnsi="Arial"/>
          <w:sz w:val="16"/>
          <w:szCs w:val="16"/>
          <w:color w:val="auto"/>
        </w:rPr>
        <w:t>refers to Sales per Submission less Direct Cost per Submission. Adjusted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Margin per Submission, previously referred to as “Adjusted Gross Margin per Submission,” reflects a name change only and does not require any financial information to be reclassified from previous periods.</w:t>
      </w:r>
    </w:p>
    <w:p>
      <w:pPr>
        <w:spacing w:after="0" w:line="164" w:lineRule="exact"/>
        <w:rPr>
          <w:rFonts w:ascii="Arial" w:cs="Arial" w:eastAsia="Arial" w:hAnsi="Arial"/>
          <w:sz w:val="16"/>
          <w:szCs w:val="16"/>
          <w:color w:val="auto"/>
        </w:rPr>
      </w:pPr>
    </w:p>
    <w:p>
      <w:pPr>
        <w:ind w:left="660" w:right="22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Cost of Submission” </w:t>
      </w:r>
      <w:r>
        <w:rPr>
          <w:rFonts w:ascii="Arial" w:cs="Arial" w:eastAsia="Arial" w:hAnsi="Arial"/>
          <w:sz w:val="16"/>
          <w:szCs w:val="16"/>
          <w:color w:val="auto"/>
        </w:rPr>
        <w:t>refers to the aggregate direct cost to convert prospects into Submissions during a particular period. Direct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Submission is comprised of revenue share, marketing and advertising expenses and consumer care and enrollment expenses, excluding share-based compensation expense, the impact of revenue adjustments recorded in the period, but relating to performance obligations satisfied in prior periods and such expenses related to Non-Encompass BPO Services. Direct Cost of Submission, previously referred to as “Cost of Submission,” reflects a name change only and does not require any financial information to be reclassified from previous periods.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 w:name="page6"/>
    <w:bookmarkEnd w:id="5"/>
    <w:p>
      <w:pPr>
        <w:ind w:left="660" w:right="14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“Direct Cost per Submission” </w:t>
      </w:r>
      <w:r>
        <w:rPr>
          <w:rFonts w:ascii="Arial" w:cs="Arial" w:eastAsia="Arial" w:hAnsi="Arial"/>
          <w:sz w:val="16"/>
          <w:szCs w:val="16"/>
          <w:color w:val="auto"/>
        </w:rPr>
        <w:t>refers to (x) the aggregate direct cost to convert prospects into Submissions for a particular period (comprised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share, marketing and advertising expenses and consumer care and enrollment expenses, excluding share-based compensation expense and such expenses related to Non-Encompass BPO Services) divided by (y) the number of Submissions for such period. Direct Cost per Submission, previously referred to as “Cost per Submission,” reflects a name change only and does not require any financial information to be reclassified from previous periods.</w:t>
      </w:r>
    </w:p>
    <w:p>
      <w:pPr>
        <w:spacing w:after="0" w:line="172" w:lineRule="exact"/>
        <w:rPr>
          <w:rFonts w:ascii="Arial" w:cs="Arial" w:eastAsia="Arial" w:hAnsi="Arial"/>
          <w:sz w:val="16"/>
          <w:szCs w:val="16"/>
          <w:color w:val="auto"/>
        </w:rPr>
      </w:pPr>
    </w:p>
    <w:p>
      <w:pPr>
        <w:ind w:left="660" w:right="80" w:hanging="328"/>
        <w:spacing w:after="0" w:line="259"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“Sales/Direct Cost of Submission” </w:t>
      </w:r>
      <w:r>
        <w:rPr>
          <w:rFonts w:ascii="Arial" w:cs="Arial" w:eastAsia="Arial" w:hAnsi="Arial"/>
          <w:sz w:val="16"/>
          <w:szCs w:val="16"/>
          <w:color w:val="auto"/>
        </w:rPr>
        <w:t>refers to (x) the sum of (i) aggregate commissions estimated to be collected over the estimated life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aggregate direct cost to convert prospects into Submissions (comprised of revenue share, marketing and advertising expenses and consumer care and enrollment expenses, excluding share-based compensation expense) for such period. Sales and Direct Cost of Submission excludes amounts related to Non-Encompass BPO Services. Sales/Direct Cost of Submission, previously referred to as “Sales/Cost of Submission,” reflects a name change only and does not require any financial information to be reclassified from previous periods.</w:t>
      </w:r>
    </w:p>
    <w:p>
      <w:pPr>
        <w:spacing w:after="0" w:line="180" w:lineRule="exact"/>
        <w:rPr>
          <w:rFonts w:ascii="Arial" w:cs="Arial" w:eastAsia="Arial" w:hAnsi="Arial"/>
          <w:sz w:val="16"/>
          <w:szCs w:val="16"/>
          <w:color w:val="auto"/>
        </w:rPr>
      </w:pPr>
    </w:p>
    <w:p>
      <w:pPr>
        <w:ind w:left="660" w:right="4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refers to (x) the sum of (i) aggregate commissions estimated to be collected over the estimated life of all commissionable</w:t>
      </w:r>
      <w:r>
        <w:rPr>
          <w:rFonts w:ascii="Arial" w:cs="Arial" w:eastAsia="Arial" w:hAnsi="Arial"/>
          <w:sz w:val="16"/>
          <w:szCs w:val="16"/>
          <w:i w:val="1"/>
          <w:iCs w:val="1"/>
          <w:color w:val="auto"/>
        </w:rPr>
        <w:t xml:space="preserve"> </w:t>
      </w:r>
      <w:r>
        <w:rPr>
          <w:rFonts w:ascii="Arial" w:cs="Arial" w:eastAsia="Arial" w:hAnsi="Arial"/>
          <w:sz w:val="16"/>
          <w:szCs w:val="16"/>
          <w:color w:val="auto"/>
        </w:rPr>
        <w:t>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w:t>
      </w:r>
    </w:p>
    <w:p>
      <w:pPr>
        <w:spacing w:after="0" w:line="172"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19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the business and monitor the results of operations.</w:t>
      </w:r>
    </w:p>
    <w:p>
      <w:pPr>
        <w:spacing w:after="0" w:line="186"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2. “Management’s Discussion and Analysis of Financial Condition and Results of Operations” of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7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Sales per Submission, Direct Cost per Submission and Adjusted Direct Operating Margin per Submission are key operating metrics used by management to understand the Company’s underlying financial performance and trends.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3</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FINANCIAL STATEMENTS</w:t>
      </w:r>
    </w:p>
    <w:p>
      <w:pPr>
        <w:spacing w:after="0" w:line="235"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00497F"/>
        </w:rPr>
        <w:t>CONDENSED CONSOLIDATED STATEMENTS OF OPERATIONS</w:t>
      </w:r>
    </w:p>
    <w:p>
      <w:pPr>
        <w:spacing w:after="0" w:line="61"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 30,</w:t>
            </w:r>
          </w:p>
        </w:tc>
        <w:tc>
          <w:tcPr>
            <w:tcW w:w="280" w:type="dxa"/>
            <w:vAlign w:val="bottom"/>
          </w:tcPr>
          <w:p>
            <w:pPr>
              <w:spacing w:after="0"/>
              <w:rPr>
                <w:sz w:val="17"/>
                <w:szCs w:val="17"/>
                <w:color w:val="auto"/>
              </w:rPr>
            </w:pPr>
          </w:p>
        </w:tc>
        <w:tc>
          <w:tcPr>
            <w:tcW w:w="24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 30,</w:t>
            </w:r>
          </w:p>
        </w:tc>
      </w:tr>
      <w:tr>
        <w:trPr>
          <w:trHeight w:val="196"/>
        </w:trPr>
        <w:tc>
          <w:tcPr>
            <w:tcW w:w="57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97"/>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105,870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142,779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291,470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325,937</w:t>
            </w:r>
          </w:p>
        </w:tc>
      </w:tr>
      <w:tr>
        <w:trPr>
          <w:trHeight w:val="178"/>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7"/>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Revenue share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81,884</w:t>
            </w:r>
          </w:p>
        </w:tc>
      </w:tr>
      <w:tr>
        <w:trPr>
          <w:trHeight w:val="198"/>
        </w:trPr>
        <w:tc>
          <w:tcPr>
            <w:tcW w:w="572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38,004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39,269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90,779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85,012</w:t>
            </w:r>
          </w:p>
        </w:tc>
      </w:tr>
      <w:tr>
        <w:trPr>
          <w:trHeight w:val="207"/>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care and enrollment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45,536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87,175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87,563</w:t>
            </w:r>
          </w:p>
        </w:tc>
      </w:tr>
      <w:tr>
        <w:trPr>
          <w:trHeight w:val="198"/>
        </w:trPr>
        <w:tc>
          <w:tcPr>
            <w:tcW w:w="572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10,511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19,120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20,054</w:t>
            </w:r>
          </w:p>
        </w:tc>
      </w:tr>
      <w:tr>
        <w:trPr>
          <w:trHeight w:val="207"/>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60,473</w:t>
            </w:r>
          </w:p>
        </w:tc>
      </w:tr>
      <w:tr>
        <w:trPr>
          <w:trHeight w:val="198"/>
        </w:trPr>
        <w:tc>
          <w:tcPr>
            <w:tcW w:w="572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23,515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47,028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47,029</w:t>
            </w:r>
          </w:p>
        </w:tc>
      </w:tr>
      <w:tr>
        <w:trPr>
          <w:trHeight w:val="207"/>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impairment charges</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w:t>
            </w:r>
          </w:p>
        </w:tc>
      </w:tr>
      <w:tr>
        <w:trPr>
          <w:trHeight w:val="19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146,480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195,795</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336,112</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384,702</w:t>
            </w:r>
          </w:p>
        </w:tc>
      </w:tr>
      <w:tr>
        <w:trPr>
          <w:trHeight w:val="20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(53,016)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(58,765)</w:t>
            </w:r>
          </w:p>
        </w:tc>
      </w:tr>
      <w:tr>
        <w:trPr>
          <w:trHeight w:val="198"/>
        </w:trPr>
        <w:tc>
          <w:tcPr>
            <w:tcW w:w="57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17,265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36,047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34,156</w:t>
            </w:r>
          </w:p>
        </w:tc>
      </w:tr>
      <w:tr>
        <w:trPr>
          <w:trHeight w:val="207"/>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(70,302)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(80,771)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(92,889)</w:t>
            </w:r>
          </w:p>
        </w:tc>
      </w:tr>
      <w:tr>
        <w:trPr>
          <w:trHeight w:val="20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9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(70,229)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(80,660)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(92,772)</w:t>
            </w:r>
          </w:p>
        </w:tc>
      </w:tr>
      <w:tr>
        <w:trPr>
          <w:trHeight w:val="19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(54,651)</w:t>
            </w:r>
          </w:p>
        </w:tc>
      </w:tr>
      <w:tr>
        <w:trPr>
          <w:trHeight w:val="200"/>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(28,942)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(38,121)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loss per share (Note 7):</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8"/>
        </w:trPr>
        <w:tc>
          <w:tcPr>
            <w:tcW w:w="572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(3.27)</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(4.41)</w:t>
            </w:r>
          </w:p>
        </w:tc>
      </w:tr>
      <w:tr>
        <w:trPr>
          <w:trHeight w:val="207"/>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9,044</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COMPREHENSIVE INCOME (LOSS)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 30,</w:t>
            </w:r>
          </w:p>
        </w:tc>
        <w:tc>
          <w:tcPr>
            <w:tcW w:w="280" w:type="dxa"/>
            <w:vAlign w:val="bottom"/>
          </w:tcPr>
          <w:p>
            <w:pPr>
              <w:spacing w:after="0"/>
              <w:rPr>
                <w:sz w:val="17"/>
                <w:szCs w:val="17"/>
                <w:color w:val="auto"/>
              </w:rPr>
            </w:pPr>
          </w:p>
        </w:tc>
        <w:tc>
          <w:tcPr>
            <w:tcW w:w="24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 30,</w:t>
            </w:r>
          </w:p>
        </w:tc>
      </w:tr>
      <w:tr>
        <w:trPr>
          <w:trHeight w:val="196"/>
        </w:trPr>
        <w:tc>
          <w:tcPr>
            <w:tcW w:w="57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97"/>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(92,772)</w:t>
            </w:r>
          </w:p>
        </w:tc>
      </w:tr>
      <w:tr>
        <w:trPr>
          <w:trHeight w:val="198"/>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(59,361)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(70,188)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(92,726)</w:t>
            </w:r>
          </w:p>
        </w:tc>
      </w:tr>
      <w:tr>
        <w:trPr>
          <w:trHeight w:val="19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(54,624)</w:t>
            </w:r>
          </w:p>
        </w:tc>
      </w:tr>
      <w:tr>
        <w:trPr>
          <w:trHeight w:val="200"/>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(28,925)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(38,102)</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00497F"/>
        </w:rPr>
        <w:t>CONDENSED CONSOLIDATED BALANCE SHEETS</w:t>
      </w:r>
    </w:p>
    <w:p>
      <w:pPr>
        <w:spacing w:after="0" w:line="75"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 30, 2024</w:t>
            </w:r>
          </w:p>
        </w:tc>
        <w:tc>
          <w:tcPr>
            <w:tcW w:w="26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3"/>
                <w:szCs w:val="13"/>
                <w:b w:val="1"/>
                <w:bCs w:val="1"/>
                <w:color w:val="auto"/>
              </w:rPr>
              <w:t>Dec. 31, 2023</w:t>
            </w:r>
          </w:p>
        </w:tc>
        <w:tc>
          <w:tcPr>
            <w:tcW w:w="0" w:type="dxa"/>
            <w:vAlign w:val="bottom"/>
          </w:tcPr>
          <w:p>
            <w:pPr>
              <w:spacing w:after="0"/>
              <w:rPr>
                <w:sz w:val="1"/>
                <w:szCs w:val="1"/>
                <w:color w:val="auto"/>
              </w:rPr>
            </w:pPr>
          </w:p>
        </w:tc>
      </w:tr>
      <w:tr>
        <w:trPr>
          <w:trHeight w:val="16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90,809</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$6 in 2024 and $27 in 2023</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13,469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336,215</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49,166</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301,172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476,440</w:t>
            </w:r>
          </w:p>
        </w:tc>
        <w:tc>
          <w:tcPr>
            <w:tcW w:w="0" w:type="dxa"/>
            <w:vAlign w:val="bottom"/>
          </w:tcPr>
          <w:p>
            <w:pPr>
              <w:spacing w:after="0"/>
              <w:rPr>
                <w:sz w:val="1"/>
                <w:szCs w:val="1"/>
                <w:color w:val="auto"/>
              </w:rPr>
            </w:pPr>
          </w:p>
        </w:tc>
      </w:tr>
      <w:tr>
        <w:trPr>
          <w:trHeight w:val="164"/>
        </w:trPr>
        <w:tc>
          <w:tcPr>
            <w:tcW w:w="7860" w:type="dxa"/>
            <w:vAlign w:val="bottom"/>
          </w:tcPr>
          <w:p>
            <w:pPr>
              <w:ind w:left="20"/>
              <w:spacing w:after="0" w:line="146" w:lineRule="exact"/>
              <w:rPr>
                <w:sz w:val="20"/>
                <w:szCs w:val="20"/>
                <w:color w:val="auto"/>
              </w:rPr>
            </w:pPr>
            <w:r>
              <w:rPr>
                <w:rFonts w:ascii="Arial" w:cs="Arial" w:eastAsia="Arial" w:hAnsi="Arial"/>
                <w:sz w:val="13"/>
                <w:szCs w:val="13"/>
                <w:color w:val="auto"/>
              </w:rPr>
              <w:t>Commissions receivable - non-current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554,000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575,482</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21,995</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29,842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26,843</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349,526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396,554</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2,256</w:t>
            </w:r>
          </w:p>
        </w:tc>
        <w:tc>
          <w:tcPr>
            <w:tcW w:w="0" w:type="dxa"/>
            <w:vAlign w:val="bottom"/>
          </w:tcPr>
          <w:p>
            <w:pPr>
              <w:spacing w:after="0"/>
              <w:rPr>
                <w:sz w:val="1"/>
                <w:szCs w:val="1"/>
                <w:color w:val="auto"/>
              </w:rPr>
            </w:pPr>
          </w:p>
        </w:tc>
      </w:tr>
      <w:tr>
        <w:trPr>
          <w:trHeight w:val="19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1,257,075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1,499,570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10,073</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17,705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86,254</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88,219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118,732</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5,797</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27,806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52,403</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14,122</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234,038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370,013</w:t>
            </w:r>
          </w:p>
        </w:tc>
        <w:tc>
          <w:tcPr>
            <w:tcW w:w="0" w:type="dxa"/>
            <w:vAlign w:val="bottom"/>
          </w:tcPr>
          <w:p>
            <w:pPr>
              <w:spacing w:after="0"/>
              <w:rPr>
                <w:sz w:val="1"/>
                <w:szCs w:val="1"/>
                <w:color w:val="auto"/>
              </w:rPr>
            </w:pPr>
          </w:p>
        </w:tc>
      </w:tr>
      <w:tr>
        <w:trPr>
          <w:trHeight w:val="150"/>
        </w:trPr>
        <w:tc>
          <w:tcPr>
            <w:tcW w:w="786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203,255</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36,827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39,547</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413,328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422,705</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9,095</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644,138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674,602</w:t>
            </w:r>
          </w:p>
        </w:tc>
        <w:tc>
          <w:tcPr>
            <w:tcW w:w="0" w:type="dxa"/>
            <w:vAlign w:val="bottom"/>
          </w:tcPr>
          <w:p>
            <w:pPr>
              <w:spacing w:after="0"/>
              <w:rPr>
                <w:sz w:val="1"/>
                <w:szCs w:val="1"/>
                <w:color w:val="auto"/>
              </w:rPr>
            </w:pPr>
          </w:p>
        </w:tc>
      </w:tr>
      <w:tr>
        <w:trPr>
          <w:trHeight w:val="151"/>
        </w:trPr>
        <w:tc>
          <w:tcPr>
            <w:tcW w:w="7860" w:type="dxa"/>
            <w:vAlign w:val="bottom"/>
          </w:tcPr>
          <w:p>
            <w:pPr>
              <w:ind w:left="20"/>
              <w:spacing w:after="0" w:line="146" w:lineRule="exact"/>
              <w:rPr>
                <w:sz w:val="20"/>
                <w:szCs w:val="20"/>
                <w:color w:val="auto"/>
              </w:rPr>
            </w:pPr>
            <w:r>
              <w:rPr>
                <w:rFonts w:ascii="Arial" w:cs="Arial" w:eastAsia="Arial" w:hAnsi="Arial"/>
                <w:sz w:val="13"/>
                <w:szCs w:val="13"/>
                <w:color w:val="auto"/>
              </w:rPr>
              <w:t>Commitments and Contingencies (Note 11)</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860" w:type="dxa"/>
            <w:vAlign w:val="bottom"/>
            <w:shd w:val="clear" w:color="auto" w:fill="CCEEFF"/>
          </w:tcPr>
          <w:p>
            <w:pPr>
              <w:ind w:left="240"/>
              <w:spacing w:after="0" w:line="136" w:lineRule="exact"/>
              <w:rPr>
                <w:sz w:val="20"/>
                <w:szCs w:val="20"/>
                <w:color w:val="auto"/>
              </w:rPr>
            </w:pPr>
            <w:r>
              <w:rPr>
                <w:rFonts w:ascii="Arial" w:cs="Arial" w:eastAsia="Arial" w:hAnsi="Arial"/>
                <w:sz w:val="13"/>
                <w:szCs w:val="13"/>
                <w:color w:val="auto"/>
                <w:w w:val="99"/>
              </w:rPr>
              <w:t>Series A redeemable convertible preferred stock — $0.0001 par value; 50 shares authorized; 50 shares issued and outstanding as of</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51,100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49,302</w:t>
            </w:r>
          </w:p>
        </w:tc>
        <w:tc>
          <w:tcPr>
            <w:tcW w:w="0" w:type="dxa"/>
            <w:vAlign w:val="bottom"/>
          </w:tcPr>
          <w:p>
            <w:pPr>
              <w:spacing w:after="0"/>
              <w:rPr>
                <w:sz w:val="1"/>
                <w:szCs w:val="1"/>
                <w:color w:val="auto"/>
              </w:rPr>
            </w:pPr>
          </w:p>
        </w:tc>
      </w:tr>
      <w:tr>
        <w:trPr>
          <w:trHeight w:val="126"/>
        </w:trPr>
        <w:tc>
          <w:tcPr>
            <w:tcW w:w="786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rPr>
              <w:t>both June 30, 2024 and December 31, 2023. Liquidation preference of $52.7 million and $50.9 million as of June 30, 2024 and</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2023,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60" w:type="dxa"/>
            <w:vAlign w:val="bottom"/>
            <w:shd w:val="clear" w:color="auto" w:fill="CCEEFF"/>
          </w:tcPr>
          <w:p>
            <w:pPr>
              <w:ind w:left="240"/>
              <w:spacing w:after="0" w:line="136" w:lineRule="exact"/>
              <w:rPr>
                <w:sz w:val="20"/>
                <w:szCs w:val="20"/>
                <w:color w:val="auto"/>
              </w:rPr>
            </w:pPr>
            <w:r>
              <w:rPr>
                <w:rFonts w:ascii="Arial" w:cs="Arial" w:eastAsia="Arial" w:hAnsi="Arial"/>
                <w:sz w:val="13"/>
                <w:szCs w:val="13"/>
                <w:color w:val="auto"/>
                <w:w w:val="99"/>
              </w:rPr>
              <w:t>Class A common stock – $0.0001 par value; 1,100,000 shares authorized; 10,360 and 9,823 shares issued; 10,059 and 9,651 shares</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as of June 30, 2024 and December 31, 2023,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rPr>
              <w:t>Class B common stock – $0.0001 par value; 615,984 and 616,018 shares authorized; 12,780 and 12,814 shares issued and</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3"/>
        </w:trPr>
        <w:tc>
          <w:tcPr>
            <w:tcW w:w="7860" w:type="dxa"/>
            <w:vAlign w:val="bottom"/>
          </w:tcPr>
          <w:p>
            <w:pPr>
              <w:ind w:left="240"/>
              <w:spacing w:after="0"/>
              <w:rPr>
                <w:sz w:val="20"/>
                <w:szCs w:val="20"/>
                <w:color w:val="auto"/>
              </w:rPr>
            </w:pPr>
            <w:r>
              <w:rPr>
                <w:rFonts w:ascii="Arial" w:cs="Arial" w:eastAsia="Arial" w:hAnsi="Arial"/>
                <w:sz w:val="13"/>
                <w:szCs w:val="13"/>
                <w:color w:val="auto"/>
              </w:rPr>
              <w:t>outstanding as of June 30, 2024 and December 31, 2023, respectively.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86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Preferred stock – $0.0001 par value; 20,000 shares authorized (including 50 shares of Series A redeemable convertible preferred</w:t>
            </w: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786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rPr>
              <w:t>stock authorized and 200 shares of Series A-1 convertible preferred stock authorized); 50 shares issued and outstanding as of both</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June 30, 2024 and December 31, 2023.</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w w:val="98"/>
              </w:rPr>
              <w:t>Series A-1 convertible preferred stock— $0.0001 par value; 200 shares authorized; no shares issued and outstanding as of both June</w:t>
            </w:r>
          </w:p>
        </w:tc>
        <w:tc>
          <w:tcPr>
            <w:tcW w:w="260" w:type="dxa"/>
            <w:vAlign w:val="bottom"/>
          </w:tcPr>
          <w:p>
            <w:pPr>
              <w:spacing w:after="0"/>
              <w:rPr>
                <w:sz w:val="11"/>
                <w:szCs w:val="11"/>
                <w:color w:val="auto"/>
              </w:rPr>
            </w:pPr>
          </w:p>
        </w:tc>
        <w:tc>
          <w:tcPr>
            <w:tcW w:w="14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7860" w:type="dxa"/>
            <w:vAlign w:val="bottom"/>
          </w:tcPr>
          <w:p>
            <w:pPr>
              <w:ind w:left="240"/>
              <w:spacing w:after="0"/>
              <w:rPr>
                <w:sz w:val="20"/>
                <w:szCs w:val="20"/>
                <w:color w:val="auto"/>
              </w:rPr>
            </w:pPr>
            <w:r>
              <w:rPr>
                <w:rFonts w:ascii="Arial" w:cs="Arial" w:eastAsia="Arial" w:hAnsi="Arial"/>
                <w:sz w:val="13"/>
                <w:szCs w:val="13"/>
                <w:color w:val="auto"/>
              </w:rPr>
              <w:t>30, 2024 and December 31, 2023.</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302 and 173 shares of Class A common stock as of June 30, 2024 and December 31, 2023,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662,347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654,059</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(455,492)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(420,280)</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202,732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231,014</w:t>
            </w:r>
          </w:p>
        </w:tc>
        <w:tc>
          <w:tcPr>
            <w:tcW w:w="0" w:type="dxa"/>
            <w:vAlign w:val="bottom"/>
          </w:tcPr>
          <w:p>
            <w:pPr>
              <w:spacing w:after="0"/>
              <w:rPr>
                <w:sz w:val="1"/>
                <w:szCs w:val="1"/>
                <w:color w:val="auto"/>
              </w:rPr>
            </w:pP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125,067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174,639</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327,799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405,653</w:t>
            </w:r>
          </w:p>
        </w:tc>
        <w:tc>
          <w:tcPr>
            <w:tcW w:w="0" w:type="dxa"/>
            <w:vAlign w:val="bottom"/>
          </w:tcPr>
          <w:p>
            <w:pPr>
              <w:spacing w:after="0"/>
              <w:rPr>
                <w:sz w:val="1"/>
                <w:szCs w:val="1"/>
                <w:color w:val="auto"/>
              </w:rPr>
            </w:pPr>
          </w:p>
        </w:tc>
      </w:tr>
      <w:tr>
        <w:trPr>
          <w:trHeight w:val="167"/>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1,257,075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1,499,570</w:t>
            </w:r>
          </w:p>
        </w:tc>
        <w:tc>
          <w:tcPr>
            <w:tcW w:w="0" w:type="dxa"/>
            <w:vAlign w:val="bottom"/>
          </w:tcPr>
          <w:p>
            <w:pPr>
              <w:spacing w:after="0"/>
              <w:rPr>
                <w:sz w:val="1"/>
                <w:szCs w:val="1"/>
                <w:color w:val="auto"/>
              </w:rPr>
            </w:pPr>
          </w:p>
        </w:tc>
      </w:tr>
      <w:tr>
        <w:trPr>
          <w:trHeight w:val="22"/>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260"/>
        <w:spacing w:after="0" w:line="333" w:lineRule="auto"/>
        <w:rPr>
          <w:sz w:val="20"/>
          <w:szCs w:val="20"/>
          <w:color w:val="auto"/>
        </w:rPr>
      </w:pPr>
      <w:r>
        <w:rPr>
          <w:rFonts w:ascii="Arial" w:cs="Arial" w:eastAsia="Arial" w:hAnsi="Arial"/>
          <w:sz w:val="11"/>
          <w:szCs w:val="11"/>
          <w:b w:val="1"/>
          <w:bCs w:val="1"/>
          <w:color w:val="auto"/>
        </w:rPr>
        <w:t xml:space="preserve">Balance at Apr. 1, 2024 </w:t>
      </w:r>
      <w:r>
        <w:rPr>
          <w:rFonts w:ascii="Arial" w:cs="Arial" w:eastAsia="Arial" w:hAnsi="Arial"/>
          <w:sz w:val="11"/>
          <w:szCs w:val="11"/>
          <w:color w:val="auto"/>
        </w:rPr>
        <w:t>Net income (loss)</w:t>
      </w:r>
    </w:p>
    <w:p>
      <w:pPr>
        <w:jc w:val="both"/>
        <w:ind w:left="20"/>
        <w:spacing w:after="0" w:line="226"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1" w:lineRule="exact"/>
        <w:rPr>
          <w:sz w:val="20"/>
          <w:szCs w:val="20"/>
          <w:color w:val="auto"/>
        </w:rPr>
      </w:pPr>
    </w:p>
    <w:p>
      <w:pPr>
        <w:ind w:left="20" w:right="120"/>
        <w:spacing w:after="0" w:line="236" w:lineRule="auto"/>
        <w:rPr>
          <w:sz w:val="20"/>
          <w:szCs w:val="20"/>
          <w:color w:val="auto"/>
        </w:rPr>
      </w:pPr>
      <w:r>
        <w:rPr>
          <w:rFonts w:ascii="Arial" w:cs="Arial" w:eastAsia="Arial" w:hAnsi="Arial"/>
          <w:sz w:val="11"/>
          <w:szCs w:val="11"/>
          <w:color w:val="auto"/>
        </w:rPr>
        <w:t>Share-based compensation expense</w:t>
      </w:r>
    </w:p>
    <w:p>
      <w:pPr>
        <w:spacing w:after="0" w:line="21" w:lineRule="exact"/>
        <w:rPr>
          <w:sz w:val="20"/>
          <w:szCs w:val="20"/>
          <w:color w:val="auto"/>
        </w:rPr>
      </w:pPr>
    </w:p>
    <w:p>
      <w:pPr>
        <w:ind w:left="20" w:right="100"/>
        <w:spacing w:after="0" w:line="236" w:lineRule="auto"/>
        <w:rPr>
          <w:sz w:val="20"/>
          <w:szCs w:val="20"/>
          <w:color w:val="auto"/>
        </w:rPr>
      </w:pPr>
      <w:r>
        <w:rPr>
          <w:rFonts w:ascii="Arial" w:cs="Arial" w:eastAsia="Arial" w:hAnsi="Arial"/>
          <w:sz w:val="11"/>
          <w:szCs w:val="11"/>
          <w:color w:val="auto"/>
        </w:rPr>
        <w:t>Foreign currency translation adjustments</w:t>
      </w:r>
    </w:p>
    <w:p>
      <w:pPr>
        <w:spacing w:after="0" w:line="21" w:lineRule="exact"/>
        <w:rPr>
          <w:sz w:val="20"/>
          <w:szCs w:val="20"/>
          <w:color w:val="auto"/>
        </w:rPr>
      </w:pPr>
    </w:p>
    <w:p>
      <w:pPr>
        <w:ind w:left="20"/>
        <w:spacing w:after="0" w:line="226" w:lineRule="auto"/>
        <w:rPr>
          <w:sz w:val="20"/>
          <w:szCs w:val="20"/>
          <w:color w:val="auto"/>
        </w:rPr>
      </w:pPr>
      <w:r>
        <w:rPr>
          <w:rFonts w:ascii="Arial" w:cs="Arial" w:eastAsia="Arial" w:hAnsi="Arial"/>
          <w:sz w:val="11"/>
          <w:szCs w:val="11"/>
          <w:color w:val="auto"/>
        </w:rPr>
        <w:t>Class A common shares repurchased for employee tax withholdings</w:t>
      </w:r>
    </w:p>
    <w:p>
      <w:pPr>
        <w:spacing w:after="0" w:line="21" w:lineRule="exact"/>
        <w:rPr>
          <w:sz w:val="20"/>
          <w:szCs w:val="20"/>
          <w:color w:val="auto"/>
        </w:rPr>
      </w:pPr>
    </w:p>
    <w:p>
      <w:pPr>
        <w:ind w:left="20" w:right="160"/>
        <w:spacing w:after="0" w:line="253" w:lineRule="auto"/>
        <w:rPr>
          <w:sz w:val="20"/>
          <w:szCs w:val="20"/>
          <w:color w:val="auto"/>
        </w:rPr>
      </w:pPr>
      <w:r>
        <w:rPr>
          <w:rFonts w:ascii="Arial" w:cs="Arial" w:eastAsia="Arial" w:hAnsi="Arial"/>
          <w:sz w:val="10"/>
          <w:szCs w:val="10"/>
          <w:color w:val="auto"/>
        </w:rPr>
        <w:t>Dividends accumulated on Series A redeemable convertible preferred stock</w:t>
      </w:r>
    </w:p>
    <w:p>
      <w:pPr>
        <w:spacing w:after="0" w:line="14" w:lineRule="exact"/>
        <w:rPr>
          <w:sz w:val="20"/>
          <w:szCs w:val="20"/>
          <w:color w:val="auto"/>
        </w:rPr>
      </w:pPr>
    </w:p>
    <w:p>
      <w:pPr>
        <w:ind w:left="20" w:right="140"/>
        <w:spacing w:after="0" w:line="236" w:lineRule="auto"/>
        <w:rPr>
          <w:sz w:val="20"/>
          <w:szCs w:val="20"/>
          <w:color w:val="auto"/>
        </w:rPr>
      </w:pPr>
      <w:r>
        <w:rPr>
          <w:rFonts w:ascii="Arial" w:cs="Arial" w:eastAsia="Arial" w:hAnsi="Arial"/>
          <w:sz w:val="11"/>
          <w:szCs w:val="11"/>
          <w:color w:val="auto"/>
        </w:rPr>
        <w:t>Forfeitures of Time-Vesting Units</w:t>
      </w:r>
    </w:p>
    <w:p>
      <w:pPr>
        <w:spacing w:after="0" w:line="21" w:lineRule="exact"/>
        <w:rPr>
          <w:sz w:val="20"/>
          <w:szCs w:val="20"/>
          <w:color w:val="auto"/>
        </w:rPr>
      </w:pPr>
    </w:p>
    <w:p>
      <w:pPr>
        <w:ind w:left="20" w:right="60"/>
        <w:spacing w:after="0" w:line="406" w:lineRule="auto"/>
        <w:rPr>
          <w:sz w:val="20"/>
          <w:szCs w:val="20"/>
          <w:color w:val="auto"/>
        </w:rPr>
      </w:pPr>
      <w:r>
        <w:rPr>
          <w:rFonts w:ascii="Arial" w:cs="Arial" w:eastAsia="Arial" w:hAnsi="Arial"/>
          <w:sz w:val="10"/>
          <w:szCs w:val="10"/>
          <w:color w:val="auto"/>
        </w:rPr>
        <w:t xml:space="preserve">Redemption of LLC Interests </w:t>
      </w:r>
      <w:r>
        <w:rPr>
          <w:rFonts w:ascii="Arial" w:cs="Arial" w:eastAsia="Arial" w:hAnsi="Arial"/>
          <w:sz w:val="10"/>
          <w:szCs w:val="10"/>
          <w:b w:val="1"/>
          <w:bCs w:val="1"/>
          <w:color w:val="auto"/>
        </w:rPr>
        <w:t>Balance at Jun. 30, 2024</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00497F"/>
        </w:rPr>
        <w:t>CONDENSED CONSOLIDATED STATEMENTS OF CHANGES IN STOCKHOLDERS’ EQUITY</w:t>
      </w:r>
    </w:p>
    <w:p>
      <w:pPr>
        <w:spacing w:after="0" w:line="75" w:lineRule="exact"/>
        <w:rPr>
          <w:sz w:val="20"/>
          <w:szCs w:val="20"/>
          <w:color w:val="auto"/>
        </w:rPr>
      </w:pPr>
    </w:p>
    <w:p>
      <w:pPr>
        <w:ind w:left="3060"/>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Jun. 30,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60" w:type="dxa"/>
            <w:vAlign w:val="bottom"/>
            <w:tcBorders>
              <w:top w:val="single" w:sz="8" w:color="auto"/>
              <w:bottom w:val="single" w:sz="8" w:color="auto"/>
            </w:tcBorders>
            <w:gridSpan w:val="4"/>
          </w:tcPr>
          <w:p>
            <w:pPr>
              <w:jc w:val="right"/>
              <w:ind w:right="26"/>
              <w:spacing w:after="0"/>
              <w:rPr>
                <w:sz w:val="20"/>
                <w:szCs w:val="20"/>
                <w:color w:val="auto"/>
              </w:rPr>
            </w:pPr>
            <w:r>
              <w:rPr>
                <w:rFonts w:ascii="Arial" w:cs="Arial" w:eastAsia="Arial" w:hAnsi="Arial"/>
                <w:sz w:val="11"/>
                <w:szCs w:val="11"/>
                <w:b w:val="1"/>
                <w:bCs w:val="1"/>
                <w:color w:val="auto"/>
              </w:rPr>
              <w:t>Class A Common Stock</w:t>
            </w:r>
          </w:p>
        </w:tc>
        <w:tc>
          <w:tcPr>
            <w:tcW w:w="8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246"/>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08"/>
        </w:trPr>
        <w:tc>
          <w:tcPr>
            <w:tcW w:w="72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104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7"/>
              </w:rPr>
              <w:t>Additional Paid-</w:t>
            </w:r>
          </w:p>
        </w:tc>
        <w:tc>
          <w:tcPr>
            <w:tcW w:w="12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1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Accumulated Other</w:t>
            </w:r>
          </w:p>
        </w:tc>
        <w:tc>
          <w:tcPr>
            <w:tcW w:w="10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20" w:type="dxa"/>
            <w:vAlign w:val="bottom"/>
          </w:tcPr>
          <w:p>
            <w:pPr>
              <w:spacing w:after="0"/>
              <w:rPr>
                <w:sz w:val="9"/>
                <w:szCs w:val="9"/>
                <w:color w:val="auto"/>
              </w:rPr>
            </w:pPr>
          </w:p>
        </w:tc>
        <w:tc>
          <w:tcPr>
            <w:tcW w:w="86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95"/>
        </w:trPr>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In Capital</w:t>
            </w: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8"/>
                <w:szCs w:val="8"/>
                <w:color w:val="auto"/>
              </w:rPr>
            </w:pPr>
          </w:p>
        </w:tc>
        <w:tc>
          <w:tcPr>
            <w:tcW w:w="10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82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Interest</w:t>
            </w:r>
          </w:p>
        </w:tc>
        <w:tc>
          <w:tcPr>
            <w:tcW w:w="120" w:type="dxa"/>
            <w:vAlign w:val="bottom"/>
          </w:tcPr>
          <w:p>
            <w:pPr>
              <w:spacing w:after="0"/>
              <w:rPr>
                <w:sz w:val="8"/>
                <w:szCs w:val="8"/>
                <w:color w:val="auto"/>
              </w:rPr>
            </w:pPr>
          </w:p>
        </w:tc>
        <w:tc>
          <w:tcPr>
            <w:tcW w:w="860" w:type="dxa"/>
            <w:vAlign w:val="bottom"/>
          </w:tcPr>
          <w:p>
            <w:pPr>
              <w:jc w:val="right"/>
              <w:ind w:right="266"/>
              <w:spacing w:after="0" w:line="95" w:lineRule="exact"/>
              <w:rPr>
                <w:sz w:val="20"/>
                <w:szCs w:val="20"/>
                <w:color w:val="auto"/>
              </w:rPr>
            </w:pPr>
            <w:r>
              <w:rPr>
                <w:rFonts w:ascii="Arial" w:cs="Arial" w:eastAsia="Arial" w:hAnsi="Arial"/>
                <w:sz w:val="10"/>
                <w:szCs w:val="10"/>
                <w:b w:val="1"/>
                <w:bCs w:val="1"/>
                <w:color w:val="auto"/>
              </w:rPr>
              <w:t>Equity</w:t>
            </w:r>
          </w:p>
        </w:tc>
      </w:tr>
      <w:tr>
        <w:trPr>
          <w:trHeight w:val="155"/>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10,160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12,783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(3,582)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659,080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(429,496)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159,765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385,640</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(25,996)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(33,318)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(59,314)</w:t>
            </w: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446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446</w:t>
            </w:r>
          </w:p>
        </w:tc>
      </w:tr>
      <w:tr>
        <w:trPr>
          <w:trHeight w:val="37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2,374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2,374</w:t>
            </w:r>
          </w:p>
        </w:tc>
      </w:tr>
      <w:tr>
        <w:trPr>
          <w:trHeight w:val="270"/>
        </w:trPr>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(47)</w:t>
            </w:r>
          </w:p>
        </w:tc>
      </w:tr>
      <w:tr>
        <w:trPr>
          <w:trHeight w:val="270"/>
        </w:trPr>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(393)</w:t>
            </w:r>
          </w:p>
        </w:tc>
      </w:tr>
      <w:tr>
        <w:trPr>
          <w:trHeight w:val="37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(907)</w:t>
            </w:r>
          </w:p>
        </w:tc>
      </w:tr>
      <w:tr>
        <w:trPr>
          <w:trHeight w:val="37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83"/>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1,354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(1,354)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5"/>
        </w:trPr>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10,360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12,780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(3,975)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662,347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(455,492)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(150)</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125,067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327,799</w:t>
            </w:r>
          </w:p>
        </w:tc>
      </w:tr>
      <w:tr>
        <w:trPr>
          <w:trHeight w:val="27"/>
        </w:trPr>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-1704975</wp:posOffset>
            </wp:positionV>
            <wp:extent cx="7132320"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-1482090</wp:posOffset>
            </wp:positionV>
            <wp:extent cx="71323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-1071245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-659130</wp:posOffset>
            </wp:positionV>
            <wp:extent cx="71323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-248285</wp:posOffset>
            </wp:positionV>
            <wp:extent cx="71323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180"/>
            <w:col w:w="9600"/>
          </w:cols>
          <w:pgMar w:left="320" w:top="13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right="260"/>
        <w:spacing w:after="0" w:line="333" w:lineRule="auto"/>
        <w:rPr>
          <w:sz w:val="20"/>
          <w:szCs w:val="20"/>
          <w:color w:val="auto"/>
        </w:rPr>
      </w:pPr>
      <w:r>
        <w:rPr>
          <w:rFonts w:ascii="Arial" w:cs="Arial" w:eastAsia="Arial" w:hAnsi="Arial"/>
          <w:sz w:val="11"/>
          <w:szCs w:val="11"/>
          <w:b w:val="1"/>
          <w:bCs w:val="1"/>
          <w:color w:val="auto"/>
        </w:rPr>
        <w:t xml:space="preserve">Balance at Apr. 1, 2023 </w:t>
      </w:r>
      <w:r>
        <w:rPr>
          <w:rFonts w:ascii="Arial" w:cs="Arial" w:eastAsia="Arial" w:hAnsi="Arial"/>
          <w:sz w:val="11"/>
          <w:szCs w:val="11"/>
          <w:color w:val="auto"/>
        </w:rPr>
        <w:t>Net income (loss)</w:t>
      </w:r>
    </w:p>
    <w:p>
      <w:pPr>
        <w:jc w:val="both"/>
        <w:ind w:left="20"/>
        <w:spacing w:after="0" w:line="226"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1" w:lineRule="exact"/>
        <w:rPr>
          <w:sz w:val="20"/>
          <w:szCs w:val="20"/>
          <w:color w:val="auto"/>
        </w:rPr>
      </w:pPr>
    </w:p>
    <w:p>
      <w:pPr>
        <w:ind w:left="20" w:right="120"/>
        <w:spacing w:after="0" w:line="236" w:lineRule="auto"/>
        <w:rPr>
          <w:sz w:val="20"/>
          <w:szCs w:val="20"/>
          <w:color w:val="auto"/>
        </w:rPr>
      </w:pPr>
      <w:r>
        <w:rPr>
          <w:rFonts w:ascii="Arial" w:cs="Arial" w:eastAsia="Arial" w:hAnsi="Arial"/>
          <w:sz w:val="11"/>
          <w:szCs w:val="11"/>
          <w:color w:val="auto"/>
        </w:rPr>
        <w:t>Share-based compensation expense</w:t>
      </w:r>
    </w:p>
    <w:p>
      <w:pPr>
        <w:spacing w:after="0" w:line="21" w:lineRule="exact"/>
        <w:rPr>
          <w:sz w:val="20"/>
          <w:szCs w:val="20"/>
          <w:color w:val="auto"/>
        </w:rPr>
      </w:pPr>
    </w:p>
    <w:p>
      <w:pPr>
        <w:ind w:left="20" w:right="100"/>
        <w:spacing w:after="0" w:line="236" w:lineRule="auto"/>
        <w:rPr>
          <w:sz w:val="20"/>
          <w:szCs w:val="20"/>
          <w:color w:val="auto"/>
        </w:rPr>
      </w:pPr>
      <w:r>
        <w:rPr>
          <w:rFonts w:ascii="Arial" w:cs="Arial" w:eastAsia="Arial" w:hAnsi="Arial"/>
          <w:sz w:val="11"/>
          <w:szCs w:val="11"/>
          <w:color w:val="auto"/>
        </w:rPr>
        <w:t>Foreign currency translation adjustments</w:t>
      </w:r>
    </w:p>
    <w:p>
      <w:pPr>
        <w:spacing w:after="0" w:line="21" w:lineRule="exact"/>
        <w:rPr>
          <w:sz w:val="20"/>
          <w:szCs w:val="20"/>
          <w:color w:val="auto"/>
        </w:rPr>
      </w:pPr>
    </w:p>
    <w:p>
      <w:pPr>
        <w:ind w:left="20"/>
        <w:spacing w:after="0" w:line="226" w:lineRule="auto"/>
        <w:rPr>
          <w:sz w:val="20"/>
          <w:szCs w:val="20"/>
          <w:color w:val="auto"/>
        </w:rPr>
      </w:pPr>
      <w:r>
        <w:rPr>
          <w:rFonts w:ascii="Arial" w:cs="Arial" w:eastAsia="Arial" w:hAnsi="Arial"/>
          <w:sz w:val="11"/>
          <w:szCs w:val="11"/>
          <w:color w:val="auto"/>
        </w:rPr>
        <w:t>Class A common shares repurchased for employee tax withholdings</w:t>
      </w:r>
    </w:p>
    <w:p>
      <w:pPr>
        <w:spacing w:after="0" w:line="21" w:lineRule="exact"/>
        <w:rPr>
          <w:sz w:val="20"/>
          <w:szCs w:val="20"/>
          <w:color w:val="auto"/>
        </w:rPr>
      </w:pPr>
    </w:p>
    <w:p>
      <w:pPr>
        <w:ind w:left="20" w:right="160"/>
        <w:spacing w:after="0" w:line="253" w:lineRule="auto"/>
        <w:rPr>
          <w:sz w:val="20"/>
          <w:szCs w:val="20"/>
          <w:color w:val="auto"/>
        </w:rPr>
      </w:pPr>
      <w:r>
        <w:rPr>
          <w:rFonts w:ascii="Arial" w:cs="Arial" w:eastAsia="Arial" w:hAnsi="Arial"/>
          <w:sz w:val="10"/>
          <w:szCs w:val="10"/>
          <w:color w:val="auto"/>
        </w:rPr>
        <w:t>Dividends accumulated on Series A redeemable convertible preferred stock</w:t>
      </w:r>
    </w:p>
    <w:p>
      <w:pPr>
        <w:spacing w:after="0" w:line="14" w:lineRule="exact"/>
        <w:rPr>
          <w:sz w:val="20"/>
          <w:szCs w:val="20"/>
          <w:color w:val="auto"/>
        </w:rPr>
      </w:pPr>
    </w:p>
    <w:p>
      <w:pPr>
        <w:ind w:left="20" w:right="140"/>
        <w:spacing w:after="0" w:line="236" w:lineRule="auto"/>
        <w:rPr>
          <w:sz w:val="20"/>
          <w:szCs w:val="20"/>
          <w:color w:val="auto"/>
        </w:rPr>
      </w:pPr>
      <w:r>
        <w:rPr>
          <w:rFonts w:ascii="Arial" w:cs="Arial" w:eastAsia="Arial" w:hAnsi="Arial"/>
          <w:sz w:val="11"/>
          <w:szCs w:val="11"/>
          <w:color w:val="auto"/>
        </w:rPr>
        <w:t>Forfeitures of Time-Vesting Units</w:t>
      </w:r>
    </w:p>
    <w:p>
      <w:pPr>
        <w:spacing w:after="0" w:line="21" w:lineRule="exact"/>
        <w:rPr>
          <w:sz w:val="20"/>
          <w:szCs w:val="20"/>
          <w:color w:val="auto"/>
        </w:rPr>
      </w:pPr>
    </w:p>
    <w:p>
      <w:pPr>
        <w:ind w:left="20" w:right="60"/>
        <w:spacing w:after="0" w:line="406" w:lineRule="auto"/>
        <w:rPr>
          <w:sz w:val="20"/>
          <w:szCs w:val="20"/>
          <w:color w:val="auto"/>
        </w:rPr>
      </w:pPr>
      <w:r>
        <w:rPr>
          <w:rFonts w:ascii="Arial" w:cs="Arial" w:eastAsia="Arial" w:hAnsi="Arial"/>
          <w:sz w:val="10"/>
          <w:szCs w:val="10"/>
          <w:color w:val="auto"/>
        </w:rPr>
        <w:t xml:space="preserve">Redemption of LLC Interests </w:t>
      </w:r>
      <w:r>
        <w:rPr>
          <w:rFonts w:ascii="Arial" w:cs="Arial" w:eastAsia="Arial" w:hAnsi="Arial"/>
          <w:sz w:val="10"/>
          <w:szCs w:val="10"/>
          <w:b w:val="1"/>
          <w:bCs w:val="1"/>
          <w:color w:val="auto"/>
        </w:rPr>
        <w:t>Balance at Jun.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Jun. 30,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A Common Stock</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08"/>
        </w:trPr>
        <w:tc>
          <w:tcPr>
            <w:tcW w:w="100" w:type="dxa"/>
            <w:vAlign w:val="bottom"/>
          </w:tcPr>
          <w:p>
            <w:pPr>
              <w:spacing w:after="0"/>
              <w:rPr>
                <w:sz w:val="9"/>
                <w:szCs w:val="9"/>
                <w:color w:val="auto"/>
              </w:rPr>
            </w:pPr>
          </w:p>
        </w:tc>
        <w:tc>
          <w:tcPr>
            <w:tcW w:w="70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106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Additional Paid-In</w:t>
            </w:r>
          </w:p>
        </w:tc>
        <w:tc>
          <w:tcPr>
            <w:tcW w:w="100" w:type="dxa"/>
            <w:vAlign w:val="bottom"/>
          </w:tcPr>
          <w:p>
            <w:pPr>
              <w:spacing w:after="0"/>
              <w:rPr>
                <w:sz w:val="9"/>
                <w:szCs w:val="9"/>
                <w:color w:val="auto"/>
              </w:rPr>
            </w:pPr>
          </w:p>
        </w:tc>
        <w:tc>
          <w:tcPr>
            <w:tcW w:w="9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16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Accumulated Other</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20" w:type="dxa"/>
            <w:vAlign w:val="bottom"/>
          </w:tcPr>
          <w:p>
            <w:pPr>
              <w:spacing w:after="0"/>
              <w:rPr>
                <w:sz w:val="9"/>
                <w:szCs w:val="9"/>
                <w:color w:val="auto"/>
              </w:rPr>
            </w:pPr>
          </w:p>
        </w:tc>
        <w:tc>
          <w:tcPr>
            <w:tcW w:w="86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95"/>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8"/>
                <w:szCs w:val="8"/>
                <w:color w:val="auto"/>
              </w:rPr>
            </w:pPr>
          </w:p>
        </w:tc>
        <w:tc>
          <w:tcPr>
            <w:tcW w:w="9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8"/>
                <w:szCs w:val="8"/>
                <w:color w:val="auto"/>
              </w:rPr>
            </w:pPr>
          </w:p>
        </w:tc>
        <w:tc>
          <w:tcPr>
            <w:tcW w:w="10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860" w:type="dxa"/>
            <w:vAlign w:val="bottom"/>
            <w:gridSpan w:val="2"/>
          </w:tcPr>
          <w:p>
            <w:pPr>
              <w:jc w:val="center"/>
              <w:ind w:right="280"/>
              <w:spacing w:after="0" w:line="95" w:lineRule="exact"/>
              <w:rPr>
                <w:sz w:val="20"/>
                <w:szCs w:val="20"/>
                <w:color w:val="auto"/>
              </w:rPr>
            </w:pPr>
            <w:r>
              <w:rPr>
                <w:rFonts w:ascii="Arial" w:cs="Arial" w:eastAsia="Arial" w:hAnsi="Arial"/>
                <w:sz w:val="10"/>
                <w:szCs w:val="10"/>
                <w:b w:val="1"/>
                <w:bCs w:val="1"/>
                <w:color w:val="auto"/>
              </w:rPr>
              <w:t>Interest</w:t>
            </w:r>
          </w:p>
        </w:tc>
        <w:tc>
          <w:tcPr>
            <w:tcW w:w="120" w:type="dxa"/>
            <w:vAlign w:val="bottom"/>
          </w:tcPr>
          <w:p>
            <w:pPr>
              <w:spacing w:after="0"/>
              <w:rPr>
                <w:sz w:val="8"/>
                <w:szCs w:val="8"/>
                <w:color w:val="auto"/>
              </w:rPr>
            </w:pPr>
          </w:p>
        </w:tc>
        <w:tc>
          <w:tcPr>
            <w:tcW w:w="860" w:type="dxa"/>
            <w:vAlign w:val="bottom"/>
          </w:tcPr>
          <w:p>
            <w:pPr>
              <w:jc w:val="right"/>
              <w:ind w:right="266"/>
              <w:spacing w:after="0" w:line="95" w:lineRule="exact"/>
              <w:rPr>
                <w:sz w:val="20"/>
                <w:szCs w:val="20"/>
                <w:color w:val="auto"/>
              </w:rPr>
            </w:pPr>
            <w:r>
              <w:rPr>
                <w:rFonts w:ascii="Arial" w:cs="Arial" w:eastAsia="Arial" w:hAnsi="Arial"/>
                <w:sz w:val="10"/>
                <w:szCs w:val="10"/>
                <w:b w:val="1"/>
                <w:bCs w:val="1"/>
                <w:color w:val="auto"/>
              </w:rPr>
              <w:t>Equity</w:t>
            </w:r>
          </w:p>
        </w:tc>
      </w:tr>
      <w:tr>
        <w:trPr>
          <w:trHeight w:val="155"/>
        </w:trPr>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9,002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13,052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630,316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(366,202)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259,784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523,299</w:t>
            </w:r>
          </w:p>
        </w:tc>
      </w:tr>
      <w:tr>
        <w:trPr>
          <w:trHeight w:val="142"/>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(28,942)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(41,287)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(70,229)</w:t>
            </w:r>
          </w:p>
        </w:tc>
      </w:tr>
      <w:tr>
        <w:trPr>
          <w:trHeight w:val="162"/>
        </w:trPr>
        <w:tc>
          <w:tcPr>
            <w:tcW w:w="1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450</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8,681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8,681</w:t>
            </w:r>
          </w:p>
        </w:tc>
      </w:tr>
      <w:tr>
        <w:trPr>
          <w:trHeight w:val="270"/>
        </w:trPr>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41</w:t>
            </w:r>
          </w:p>
        </w:tc>
      </w:tr>
      <w:tr>
        <w:trPr>
          <w:trHeight w:val="270"/>
        </w:trPr>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(592)</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(891)</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83"/>
        </w:trPr>
        <w:tc>
          <w:tcPr>
            <w:tcW w:w="10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7,676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(7,676)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6"/>
        </w:trPr>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9,499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12,818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(1,051)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646,232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(395,144)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210,845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460,759</w:t>
            </w:r>
          </w:p>
        </w:tc>
      </w:tr>
      <w:tr>
        <w:trPr>
          <w:trHeight w:val="27"/>
        </w:trPr>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-1704975</wp:posOffset>
            </wp:positionV>
            <wp:extent cx="713232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-1482090</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-1071245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-659765</wp:posOffset>
            </wp:positionV>
            <wp:extent cx="71323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-248285</wp:posOffset>
            </wp:positionV>
            <wp:extent cx="71323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60"/>
            <w:col w:w="9720"/>
          </w:cols>
          <w:pgMar w:left="320" w:top="1327"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line="333" w:lineRule="auto"/>
        <w:rPr>
          <w:sz w:val="20"/>
          <w:szCs w:val="20"/>
          <w:color w:val="auto"/>
        </w:rPr>
      </w:pPr>
      <w:r>
        <w:rPr>
          <w:rFonts w:ascii="Arial" w:cs="Arial" w:eastAsia="Arial" w:hAnsi="Arial"/>
          <w:sz w:val="11"/>
          <w:szCs w:val="11"/>
          <w:b w:val="1"/>
          <w:bCs w:val="1"/>
          <w:color w:val="auto"/>
        </w:rPr>
        <w:t xml:space="preserve">Balance at Jan. 1, 2024 </w:t>
      </w:r>
      <w:r>
        <w:rPr>
          <w:rFonts w:ascii="Arial" w:cs="Arial" w:eastAsia="Arial" w:hAnsi="Arial"/>
          <w:sz w:val="11"/>
          <w:szCs w:val="11"/>
          <w:color w:val="auto"/>
        </w:rPr>
        <w:t>Net income (loss)</w:t>
      </w:r>
    </w:p>
    <w:p>
      <w:pPr>
        <w:ind w:left="20" w:right="40"/>
        <w:spacing w:after="0" w:line="220"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2" w:lineRule="exact"/>
        <w:rPr>
          <w:sz w:val="20"/>
          <w:szCs w:val="20"/>
          <w:color w:val="auto"/>
        </w:rPr>
      </w:pPr>
    </w:p>
    <w:p>
      <w:pPr>
        <w:ind w:left="20" w:right="60"/>
        <w:spacing w:after="0" w:line="281" w:lineRule="auto"/>
        <w:rPr>
          <w:sz w:val="20"/>
          <w:szCs w:val="20"/>
          <w:color w:val="auto"/>
        </w:rPr>
      </w:pPr>
      <w:r>
        <w:rPr>
          <w:rFonts w:ascii="Arial" w:cs="Arial" w:eastAsia="Arial" w:hAnsi="Arial"/>
          <w:sz w:val="10"/>
          <w:szCs w:val="10"/>
          <w:color w:val="auto"/>
        </w:rPr>
        <w:t>Share-based compensation expense</w:t>
      </w:r>
    </w:p>
    <w:p>
      <w:pPr>
        <w:spacing w:after="0" w:line="1" w:lineRule="exact"/>
        <w:rPr>
          <w:sz w:val="20"/>
          <w:szCs w:val="20"/>
          <w:color w:val="auto"/>
        </w:rPr>
      </w:pPr>
    </w:p>
    <w:p>
      <w:pPr>
        <w:ind w:left="20" w:right="60"/>
        <w:spacing w:after="0" w:line="281" w:lineRule="auto"/>
        <w:rPr>
          <w:sz w:val="20"/>
          <w:szCs w:val="20"/>
          <w:color w:val="auto"/>
        </w:rPr>
      </w:pPr>
      <w:r>
        <w:rPr>
          <w:rFonts w:ascii="Arial" w:cs="Arial" w:eastAsia="Arial" w:hAnsi="Arial"/>
          <w:sz w:val="10"/>
          <w:szCs w:val="10"/>
          <w:color w:val="auto"/>
        </w:rPr>
        <w:t>Foreign currency translation adjustments</w:t>
      </w:r>
    </w:p>
    <w:p>
      <w:pPr>
        <w:spacing w:after="0" w:line="1" w:lineRule="exact"/>
        <w:rPr>
          <w:sz w:val="20"/>
          <w:szCs w:val="20"/>
          <w:color w:val="auto"/>
        </w:rPr>
      </w:pPr>
    </w:p>
    <w:p>
      <w:pPr>
        <w:ind w:left="20"/>
        <w:spacing w:after="0" w:line="220" w:lineRule="auto"/>
        <w:rPr>
          <w:sz w:val="20"/>
          <w:szCs w:val="20"/>
          <w:color w:val="auto"/>
        </w:rPr>
      </w:pPr>
      <w:r>
        <w:rPr>
          <w:rFonts w:ascii="Arial" w:cs="Arial" w:eastAsia="Arial" w:hAnsi="Arial"/>
          <w:sz w:val="11"/>
          <w:szCs w:val="11"/>
          <w:color w:val="auto"/>
        </w:rPr>
        <w:t>Class A common shares repurchased for employee tax withholdings</w:t>
      </w:r>
    </w:p>
    <w:p>
      <w:pPr>
        <w:spacing w:after="0" w:line="22" w:lineRule="exact"/>
        <w:rPr>
          <w:sz w:val="20"/>
          <w:szCs w:val="20"/>
          <w:color w:val="auto"/>
        </w:rPr>
      </w:pPr>
    </w:p>
    <w:p>
      <w:pPr>
        <w:ind w:left="20" w:right="20"/>
        <w:spacing w:after="0" w:line="220" w:lineRule="auto"/>
        <w:rPr>
          <w:sz w:val="20"/>
          <w:szCs w:val="20"/>
          <w:color w:val="auto"/>
        </w:rPr>
      </w:pPr>
      <w:r>
        <w:rPr>
          <w:rFonts w:ascii="Arial" w:cs="Arial" w:eastAsia="Arial" w:hAnsi="Arial"/>
          <w:sz w:val="11"/>
          <w:szCs w:val="11"/>
          <w:color w:val="auto"/>
        </w:rPr>
        <w:t>Dividends accumulated on Series A redeemable convertible preferred stock</w:t>
      </w:r>
    </w:p>
    <w:p>
      <w:pPr>
        <w:spacing w:after="0" w:line="22" w:lineRule="exact"/>
        <w:rPr>
          <w:sz w:val="20"/>
          <w:szCs w:val="20"/>
          <w:color w:val="auto"/>
        </w:rPr>
      </w:pPr>
    </w:p>
    <w:p>
      <w:pPr>
        <w:ind w:left="20" w:right="240"/>
        <w:spacing w:after="0" w:line="236" w:lineRule="auto"/>
        <w:rPr>
          <w:sz w:val="20"/>
          <w:szCs w:val="20"/>
          <w:color w:val="auto"/>
        </w:rPr>
      </w:pPr>
      <w:r>
        <w:rPr>
          <w:rFonts w:ascii="Arial" w:cs="Arial" w:eastAsia="Arial" w:hAnsi="Arial"/>
          <w:sz w:val="11"/>
          <w:szCs w:val="11"/>
          <w:color w:val="auto"/>
        </w:rPr>
        <w:t>Forfeitures of Time-Vesting Units</w:t>
      </w:r>
    </w:p>
    <w:p>
      <w:pPr>
        <w:spacing w:after="0" w:line="21" w:lineRule="exact"/>
        <w:rPr>
          <w:sz w:val="20"/>
          <w:szCs w:val="20"/>
          <w:color w:val="auto"/>
        </w:rPr>
      </w:pPr>
    </w:p>
    <w:p>
      <w:pPr>
        <w:ind w:left="20" w:right="240"/>
        <w:spacing w:after="0" w:line="236" w:lineRule="auto"/>
        <w:rPr>
          <w:sz w:val="20"/>
          <w:szCs w:val="20"/>
          <w:color w:val="auto"/>
        </w:rPr>
      </w:pPr>
      <w:r>
        <w:rPr>
          <w:rFonts w:ascii="Arial" w:cs="Arial" w:eastAsia="Arial" w:hAnsi="Arial"/>
          <w:sz w:val="11"/>
          <w:szCs w:val="11"/>
          <w:color w:val="auto"/>
        </w:rPr>
        <w:t>Redemption of LLC Interests</w:t>
      </w:r>
    </w:p>
    <w:p>
      <w:pPr>
        <w:spacing w:after="0" w:line="21" w:lineRule="exact"/>
        <w:rPr>
          <w:sz w:val="20"/>
          <w:szCs w:val="20"/>
          <w:color w:val="auto"/>
        </w:rPr>
      </w:pPr>
    </w:p>
    <w:p>
      <w:pPr>
        <w:ind w:left="20" w:right="200"/>
        <w:spacing w:after="0" w:line="245" w:lineRule="auto"/>
        <w:rPr>
          <w:sz w:val="20"/>
          <w:szCs w:val="20"/>
          <w:color w:val="auto"/>
        </w:rPr>
      </w:pPr>
      <w:r>
        <w:rPr>
          <w:rFonts w:ascii="Arial" w:cs="Arial" w:eastAsia="Arial" w:hAnsi="Arial"/>
          <w:sz w:val="11"/>
          <w:szCs w:val="11"/>
          <w:b w:val="1"/>
          <w:bCs w:val="1"/>
          <w:color w:val="auto"/>
        </w:rPr>
        <w:t>Balance at Jun.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line="333" w:lineRule="auto"/>
        <w:rPr>
          <w:sz w:val="20"/>
          <w:szCs w:val="20"/>
          <w:color w:val="auto"/>
        </w:rPr>
      </w:pPr>
      <w:r>
        <w:rPr>
          <w:rFonts w:ascii="Arial" w:cs="Arial" w:eastAsia="Arial" w:hAnsi="Arial"/>
          <w:sz w:val="11"/>
          <w:szCs w:val="11"/>
          <w:b w:val="1"/>
          <w:bCs w:val="1"/>
          <w:color w:val="auto"/>
        </w:rPr>
        <w:t xml:space="preserve">Balance at Jan. 1, 2023 </w:t>
      </w:r>
      <w:r>
        <w:rPr>
          <w:rFonts w:ascii="Arial" w:cs="Arial" w:eastAsia="Arial" w:hAnsi="Arial"/>
          <w:sz w:val="11"/>
          <w:szCs w:val="11"/>
          <w:color w:val="auto"/>
        </w:rPr>
        <w:t>Net income (loss)</w:t>
      </w:r>
    </w:p>
    <w:p>
      <w:pPr>
        <w:ind w:left="20" w:right="40"/>
        <w:spacing w:after="0" w:line="220"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2" w:lineRule="exact"/>
        <w:rPr>
          <w:sz w:val="20"/>
          <w:szCs w:val="20"/>
          <w:color w:val="auto"/>
        </w:rPr>
      </w:pPr>
    </w:p>
    <w:p>
      <w:pPr>
        <w:ind w:left="20" w:right="60"/>
        <w:spacing w:after="0" w:line="281" w:lineRule="auto"/>
        <w:rPr>
          <w:sz w:val="20"/>
          <w:szCs w:val="20"/>
          <w:color w:val="auto"/>
        </w:rPr>
      </w:pPr>
      <w:r>
        <w:rPr>
          <w:rFonts w:ascii="Arial" w:cs="Arial" w:eastAsia="Arial" w:hAnsi="Arial"/>
          <w:sz w:val="10"/>
          <w:szCs w:val="10"/>
          <w:color w:val="auto"/>
        </w:rPr>
        <w:t>Share-based compensation expense</w:t>
      </w:r>
    </w:p>
    <w:p>
      <w:pPr>
        <w:spacing w:after="0" w:line="1" w:lineRule="exact"/>
        <w:rPr>
          <w:sz w:val="20"/>
          <w:szCs w:val="20"/>
          <w:color w:val="auto"/>
        </w:rPr>
      </w:pPr>
    </w:p>
    <w:p>
      <w:pPr>
        <w:ind w:left="20" w:right="60"/>
        <w:spacing w:after="0" w:line="281" w:lineRule="auto"/>
        <w:rPr>
          <w:sz w:val="20"/>
          <w:szCs w:val="20"/>
          <w:color w:val="auto"/>
        </w:rPr>
      </w:pPr>
      <w:r>
        <w:rPr>
          <w:rFonts w:ascii="Arial" w:cs="Arial" w:eastAsia="Arial" w:hAnsi="Arial"/>
          <w:sz w:val="10"/>
          <w:szCs w:val="10"/>
          <w:color w:val="auto"/>
        </w:rPr>
        <w:t>Foreign currency translation adjustments</w:t>
      </w:r>
    </w:p>
    <w:p>
      <w:pPr>
        <w:spacing w:after="0" w:line="1" w:lineRule="exact"/>
        <w:rPr>
          <w:sz w:val="20"/>
          <w:szCs w:val="20"/>
          <w:color w:val="auto"/>
        </w:rPr>
      </w:pPr>
    </w:p>
    <w:p>
      <w:pPr>
        <w:ind w:left="20"/>
        <w:spacing w:after="0" w:line="220" w:lineRule="auto"/>
        <w:rPr>
          <w:sz w:val="20"/>
          <w:szCs w:val="20"/>
          <w:color w:val="auto"/>
        </w:rPr>
      </w:pPr>
      <w:r>
        <w:rPr>
          <w:rFonts w:ascii="Arial" w:cs="Arial" w:eastAsia="Arial" w:hAnsi="Arial"/>
          <w:sz w:val="11"/>
          <w:szCs w:val="11"/>
          <w:color w:val="auto"/>
        </w:rPr>
        <w:t>Class A common shares repurchased for employee tax withholdings</w:t>
      </w:r>
    </w:p>
    <w:p>
      <w:pPr>
        <w:spacing w:after="0" w:line="22" w:lineRule="exact"/>
        <w:rPr>
          <w:sz w:val="20"/>
          <w:szCs w:val="20"/>
          <w:color w:val="auto"/>
        </w:rPr>
      </w:pPr>
    </w:p>
    <w:p>
      <w:pPr>
        <w:ind w:left="20" w:right="20"/>
        <w:spacing w:after="0" w:line="220" w:lineRule="auto"/>
        <w:rPr>
          <w:sz w:val="20"/>
          <w:szCs w:val="20"/>
          <w:color w:val="auto"/>
        </w:rPr>
      </w:pPr>
      <w:r>
        <w:rPr>
          <w:rFonts w:ascii="Arial" w:cs="Arial" w:eastAsia="Arial" w:hAnsi="Arial"/>
          <w:sz w:val="11"/>
          <w:szCs w:val="11"/>
          <w:color w:val="auto"/>
        </w:rPr>
        <w:t>Dividends accumulated on Series A redeemable convertible preferred stock</w:t>
      </w:r>
    </w:p>
    <w:p>
      <w:pPr>
        <w:spacing w:after="0" w:line="22" w:lineRule="exact"/>
        <w:rPr>
          <w:sz w:val="20"/>
          <w:szCs w:val="20"/>
          <w:color w:val="auto"/>
        </w:rPr>
      </w:pPr>
    </w:p>
    <w:p>
      <w:pPr>
        <w:ind w:left="20" w:right="240"/>
        <w:spacing w:after="0" w:line="236" w:lineRule="auto"/>
        <w:rPr>
          <w:sz w:val="20"/>
          <w:szCs w:val="20"/>
          <w:color w:val="auto"/>
        </w:rPr>
      </w:pPr>
      <w:r>
        <w:rPr>
          <w:rFonts w:ascii="Arial" w:cs="Arial" w:eastAsia="Arial" w:hAnsi="Arial"/>
          <w:sz w:val="11"/>
          <w:szCs w:val="11"/>
          <w:color w:val="auto"/>
        </w:rPr>
        <w:t>Forfeitures of Time-Vesting Units</w:t>
      </w:r>
    </w:p>
    <w:p>
      <w:pPr>
        <w:spacing w:after="0" w:line="21" w:lineRule="exact"/>
        <w:rPr>
          <w:sz w:val="20"/>
          <w:szCs w:val="20"/>
          <w:color w:val="auto"/>
        </w:rPr>
      </w:pPr>
    </w:p>
    <w:p>
      <w:pPr>
        <w:ind w:left="20" w:right="240"/>
        <w:spacing w:after="0" w:line="236" w:lineRule="auto"/>
        <w:rPr>
          <w:sz w:val="20"/>
          <w:szCs w:val="20"/>
          <w:color w:val="auto"/>
        </w:rPr>
      </w:pPr>
      <w:r>
        <w:rPr>
          <w:rFonts w:ascii="Arial" w:cs="Arial" w:eastAsia="Arial" w:hAnsi="Arial"/>
          <w:sz w:val="11"/>
          <w:szCs w:val="11"/>
          <w:color w:val="auto"/>
        </w:rPr>
        <w:t>Redemption of LLC Interests</w:t>
      </w:r>
    </w:p>
    <w:p>
      <w:pPr>
        <w:spacing w:after="0" w:line="21" w:lineRule="exact"/>
        <w:rPr>
          <w:sz w:val="20"/>
          <w:szCs w:val="20"/>
          <w:color w:val="auto"/>
        </w:rPr>
      </w:pPr>
    </w:p>
    <w:p>
      <w:pPr>
        <w:ind w:left="20" w:right="200"/>
        <w:spacing w:after="0" w:line="245" w:lineRule="auto"/>
        <w:rPr>
          <w:sz w:val="20"/>
          <w:szCs w:val="20"/>
          <w:color w:val="auto"/>
        </w:rPr>
      </w:pPr>
      <w:r>
        <w:rPr>
          <w:rFonts w:ascii="Arial" w:cs="Arial" w:eastAsia="Arial" w:hAnsi="Arial"/>
          <w:sz w:val="11"/>
          <w:szCs w:val="11"/>
          <w:b w:val="1"/>
          <w:bCs w:val="1"/>
          <w:color w:val="auto"/>
        </w:rPr>
        <w:t>Balance at Jun. 30, 2023</w:t>
      </w:r>
    </w:p>
    <w:p>
      <w:pPr>
        <w:spacing w:after="0" w:line="20" w:lineRule="exact"/>
        <w:rPr>
          <w:sz w:val="20"/>
          <w:szCs w:val="20"/>
          <w:color w:val="auto"/>
        </w:rPr>
      </w:pPr>
      <w:r>
        <w:rPr>
          <w:sz w:val="20"/>
          <w:szCs w:val="20"/>
          <w:color w:val="auto"/>
        </w:rPr>
        <w:br w:type="column"/>
      </w:r>
    </w:p>
    <w:p>
      <w:pPr>
        <w:jc w:val="center"/>
        <w:ind w:right="1320"/>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ind w:right="1320"/>
        <w:spacing w:after="0"/>
        <w:rPr>
          <w:sz w:val="20"/>
          <w:szCs w:val="20"/>
          <w:color w:val="auto"/>
        </w:rPr>
      </w:pPr>
      <w:r>
        <w:rPr>
          <w:rFonts w:ascii="Arial" w:cs="Arial" w:eastAsia="Arial" w:hAnsi="Arial"/>
          <w:sz w:val="16"/>
          <w:szCs w:val="16"/>
          <w:b w:val="1"/>
          <w:bCs w:val="1"/>
          <w:color w:val="00497F"/>
        </w:rPr>
        <w:t>CONDENSED CONSOLIDATED STATEMENTS OF CHANGES IN STOCKHOLDERS’ EQUITY</w:t>
      </w:r>
    </w:p>
    <w:p>
      <w:pPr>
        <w:spacing w:after="0" w:line="75" w:lineRule="exact"/>
        <w:rPr>
          <w:sz w:val="20"/>
          <w:szCs w:val="20"/>
          <w:color w:val="auto"/>
        </w:rPr>
      </w:pPr>
    </w:p>
    <w:p>
      <w:pPr>
        <w:ind w:left="3380"/>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Six months ended Jun. 30,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5"/>
          </w:tcPr>
          <w:p>
            <w:pPr>
              <w:jc w:val="right"/>
              <w:ind w:right="6"/>
              <w:spacing w:after="0"/>
              <w:rPr>
                <w:sz w:val="20"/>
                <w:szCs w:val="20"/>
                <w:color w:val="auto"/>
              </w:rPr>
            </w:pPr>
            <w:r>
              <w:rPr>
                <w:rFonts w:ascii="Arial" w:cs="Arial" w:eastAsia="Arial" w:hAnsi="Arial"/>
                <w:sz w:val="11"/>
                <w:szCs w:val="11"/>
                <w:b w:val="1"/>
                <w:bCs w:val="1"/>
                <w:color w:val="auto"/>
                <w:w w:val="99"/>
              </w:rPr>
              <w:t>Class A Common Stock</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gridSpan w:val="2"/>
          </w:tcPr>
          <w:p>
            <w:pPr>
              <w:spacing w:after="0"/>
              <w:rPr>
                <w:sz w:val="14"/>
                <w:szCs w:val="14"/>
                <w:color w:val="auto"/>
              </w:rPr>
            </w:pPr>
          </w:p>
        </w:tc>
        <w:tc>
          <w:tcPr>
            <w:tcW w:w="1340" w:type="dxa"/>
            <w:vAlign w:val="bottom"/>
            <w:tcBorders>
              <w:top w:val="single" w:sz="8" w:color="auto"/>
              <w:bottom w:val="single" w:sz="8" w:color="auto"/>
            </w:tcBorders>
            <w:gridSpan w:val="6"/>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Borders>
              <w:top w:val="single" w:sz="8" w:color="auto"/>
            </w:tcBorders>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08"/>
        </w:trPr>
        <w:tc>
          <w:tcPr>
            <w:tcW w:w="20" w:type="dxa"/>
            <w:vAlign w:val="bottom"/>
          </w:tcPr>
          <w:p>
            <w:pPr>
              <w:spacing w:after="0"/>
              <w:rPr>
                <w:sz w:val="9"/>
                <w:szCs w:val="9"/>
                <w:color w:val="auto"/>
              </w:rPr>
            </w:pPr>
          </w:p>
        </w:tc>
        <w:tc>
          <w:tcPr>
            <w:tcW w:w="700" w:type="dxa"/>
            <w:vAlign w:val="bottom"/>
            <w:gridSpan w:val="3"/>
          </w:tcPr>
          <w:p>
            <w:pPr>
              <w:ind w:left="10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0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700" w:type="dxa"/>
            <w:vAlign w:val="bottom"/>
            <w:gridSpan w:val="3"/>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10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Additional Paid-In</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9"/>
                <w:szCs w:val="9"/>
                <w:color w:val="auto"/>
              </w:rPr>
            </w:pPr>
          </w:p>
        </w:tc>
        <w:tc>
          <w:tcPr>
            <w:tcW w:w="112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rPr>
              <w:t>Accumulated Other</w:t>
            </w:r>
          </w:p>
        </w:tc>
        <w:tc>
          <w:tcPr>
            <w:tcW w:w="60" w:type="dxa"/>
            <w:vAlign w:val="bottom"/>
          </w:tcPr>
          <w:p>
            <w:pPr>
              <w:spacing w:after="0"/>
              <w:rPr>
                <w:sz w:val="9"/>
                <w:szCs w:val="9"/>
                <w:color w:val="auto"/>
              </w:rPr>
            </w:pPr>
          </w:p>
        </w:tc>
        <w:tc>
          <w:tcPr>
            <w:tcW w:w="1140" w:type="dxa"/>
            <w:vAlign w:val="bottom"/>
            <w:gridSpan w:val="5"/>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00" w:type="dxa"/>
            <w:vAlign w:val="bottom"/>
          </w:tcPr>
          <w:p>
            <w:pPr>
              <w:spacing w:after="0"/>
              <w:rPr>
                <w:sz w:val="9"/>
                <w:szCs w:val="9"/>
                <w:color w:val="auto"/>
              </w:rPr>
            </w:pPr>
          </w:p>
        </w:tc>
        <w:tc>
          <w:tcPr>
            <w:tcW w:w="9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3"/>
          </w:tcPr>
          <w:p>
            <w:pPr>
              <w:ind w:left="120"/>
              <w:spacing w:after="0" w:line="95" w:lineRule="exact"/>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jc w:val="center"/>
              <w:ind w:right="260"/>
              <w:spacing w:after="0" w:line="95" w:lineRule="exact"/>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3"/>
          </w:tcPr>
          <w:p>
            <w:pPr>
              <w:jc w:val="center"/>
              <w:ind w:right="220"/>
              <w:spacing w:after="0" w:line="95" w:lineRule="exact"/>
              <w:rPr>
                <w:sz w:val="20"/>
                <w:szCs w:val="20"/>
                <w:color w:val="auto"/>
              </w:rPr>
            </w:pPr>
            <w:r>
              <w:rPr>
                <w:rFonts w:ascii="Arial" w:cs="Arial" w:eastAsia="Arial" w:hAnsi="Arial"/>
                <w:sz w:val="10"/>
                <w:szCs w:val="10"/>
                <w:b w:val="1"/>
                <w:bCs w:val="1"/>
                <w:color w:val="auto"/>
              </w:rPr>
              <w:t>Comprehensive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4"/>
          </w:tcPr>
          <w:p>
            <w:pPr>
              <w:jc w:val="center"/>
              <w:ind w:right="340"/>
              <w:spacing w:after="0" w:line="95" w:lineRule="exact"/>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8"/>
                <w:szCs w:val="8"/>
                <w:color w:val="auto"/>
              </w:rPr>
            </w:pPr>
          </w:p>
        </w:tc>
        <w:tc>
          <w:tcPr>
            <w:tcW w:w="92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Equity</w:t>
            </w: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9"/>
              </w:rPr>
              <w:t>Income (Loss)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6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9,823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12,814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654,059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(420,280)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174,639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405,653</w:t>
            </w: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(35,212)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(45,448)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(80,660)</w:t>
            </w:r>
          </w:p>
        </w:tc>
      </w:tr>
      <w:tr>
        <w:trPr>
          <w:trHeight w:val="486"/>
        </w:trPr>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505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446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446</w:t>
            </w: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5,546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5,546</w:t>
            </w: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w:t>
            </w:r>
          </w:p>
        </w:tc>
      </w:tr>
      <w:tr>
        <w:trPr>
          <w:trHeight w:val="4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(1,335)</w:t>
            </w:r>
          </w:p>
        </w:tc>
      </w:tr>
      <w:tr>
        <w:trPr>
          <w:trHeight w:val="4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(1,799)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(1,799)</w:t>
            </w: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83"/>
        </w:trPr>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4,095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(4,095)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3"/>
        </w:trPr>
        <w:tc>
          <w:tcPr>
            <w:tcW w:w="6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10,360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12,780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662,347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(455,492)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125,067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327,799</w:t>
            </w:r>
          </w:p>
        </w:tc>
      </w:tr>
      <w:tr>
        <w:trPr>
          <w:trHeight w:val="27"/>
        </w:trPr>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87"/>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3"/>
          </w:tcPr>
          <w:p>
            <w:pPr>
              <w:ind w:left="440"/>
              <w:spacing w:after="0"/>
              <w:rPr>
                <w:sz w:val="20"/>
                <w:szCs w:val="20"/>
                <w:color w:val="auto"/>
              </w:rPr>
            </w:pPr>
            <w:r>
              <w:rPr>
                <w:rFonts w:ascii="Arial" w:cs="Arial" w:eastAsia="Arial" w:hAnsi="Arial"/>
                <w:sz w:val="11"/>
                <w:szCs w:val="11"/>
                <w:b w:val="1"/>
                <w:bCs w:val="1"/>
                <w:color w:val="auto"/>
              </w:rPr>
              <w:t>Six months ended Jun. 30, 2023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320" w:type="dxa"/>
            <w:vAlign w:val="bottom"/>
            <w:tcBorders>
              <w:bottom w:val="single" w:sz="8" w:color="auto"/>
            </w:tcBorders>
            <w:gridSpan w:val="5"/>
          </w:tcPr>
          <w:p>
            <w:pPr>
              <w:jc w:val="right"/>
              <w:ind w:right="6"/>
              <w:spacing w:after="0"/>
              <w:rPr>
                <w:sz w:val="20"/>
                <w:szCs w:val="20"/>
                <w:color w:val="auto"/>
              </w:rPr>
            </w:pPr>
            <w:r>
              <w:rPr>
                <w:rFonts w:ascii="Arial" w:cs="Arial" w:eastAsia="Arial" w:hAnsi="Arial"/>
                <w:sz w:val="11"/>
                <w:szCs w:val="11"/>
                <w:b w:val="1"/>
                <w:bCs w:val="1"/>
                <w:color w:val="auto"/>
                <w:w w:val="99"/>
              </w:rPr>
              <w:t>Class A Common 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bottom w:val="single" w:sz="8" w:color="auto"/>
            </w:tcBorders>
            <w:gridSpan w:val="7"/>
          </w:tcPr>
          <w:p>
            <w:pPr>
              <w:ind w:left="60"/>
              <w:spacing w:after="0"/>
              <w:rPr>
                <w:sz w:val="20"/>
                <w:szCs w:val="20"/>
                <w:color w:val="auto"/>
              </w:rPr>
            </w:pPr>
            <w:r>
              <w:rPr>
                <w:rFonts w:ascii="Arial" w:cs="Arial" w:eastAsia="Arial" w:hAnsi="Arial"/>
                <w:sz w:val="11"/>
                <w:szCs w:val="11"/>
                <w:b w:val="1"/>
                <w:bCs w:val="1"/>
                <w:color w:val="auto"/>
              </w:rPr>
              <w:t>Class B Common Stock</w:t>
            </w:r>
          </w:p>
        </w:tc>
        <w:tc>
          <w:tcPr>
            <w:tcW w:w="80" w:type="dxa"/>
            <w:vAlign w:val="bottom"/>
          </w:tcPr>
          <w:p>
            <w:pPr>
              <w:spacing w:after="0"/>
              <w:rPr>
                <w:sz w:val="13"/>
                <w:szCs w:val="13"/>
                <w:color w:val="auto"/>
              </w:rPr>
            </w:pPr>
          </w:p>
        </w:tc>
        <w:tc>
          <w:tcPr>
            <w:tcW w:w="1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700" w:type="dxa"/>
            <w:vAlign w:val="bottom"/>
            <w:gridSpan w:val="3"/>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0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700" w:type="dxa"/>
            <w:vAlign w:val="bottom"/>
            <w:gridSpan w:val="3"/>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1080" w:type="dxa"/>
            <w:vAlign w:val="bottom"/>
            <w:gridSpan w:val="4"/>
          </w:tcPr>
          <w:p>
            <w:pPr>
              <w:jc w:val="center"/>
              <w:ind w:right="60"/>
              <w:spacing w:after="0" w:line="108" w:lineRule="exact"/>
              <w:rPr>
                <w:sz w:val="20"/>
                <w:szCs w:val="20"/>
                <w:color w:val="auto"/>
              </w:rPr>
            </w:pPr>
            <w:r>
              <w:rPr>
                <w:rFonts w:ascii="Arial" w:cs="Arial" w:eastAsia="Arial" w:hAnsi="Arial"/>
                <w:sz w:val="11"/>
                <w:szCs w:val="11"/>
                <w:b w:val="1"/>
                <w:bCs w:val="1"/>
                <w:color w:val="auto"/>
                <w:w w:val="96"/>
              </w:rPr>
              <w:t>Additional Paid-In</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9"/>
                <w:szCs w:val="9"/>
                <w:color w:val="auto"/>
              </w:rPr>
            </w:pPr>
          </w:p>
        </w:tc>
        <w:tc>
          <w:tcPr>
            <w:tcW w:w="1120" w:type="dxa"/>
            <w:vAlign w:val="bottom"/>
            <w:gridSpan w:val="4"/>
          </w:tcPr>
          <w:p>
            <w:pPr>
              <w:jc w:val="center"/>
              <w:ind w:right="40"/>
              <w:spacing w:after="0" w:line="108" w:lineRule="exact"/>
              <w:rPr>
                <w:sz w:val="20"/>
                <w:szCs w:val="20"/>
                <w:color w:val="auto"/>
              </w:rPr>
            </w:pPr>
            <w:r>
              <w:rPr>
                <w:rFonts w:ascii="Arial" w:cs="Arial" w:eastAsia="Arial" w:hAnsi="Arial"/>
                <w:sz w:val="11"/>
                <w:szCs w:val="11"/>
                <w:b w:val="1"/>
                <w:bCs w:val="1"/>
                <w:color w:val="auto"/>
                <w:w w:val="98"/>
              </w:rPr>
              <w:t>Accumulated 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00" w:type="dxa"/>
            <w:vAlign w:val="bottom"/>
          </w:tcPr>
          <w:p>
            <w:pPr>
              <w:spacing w:after="0"/>
              <w:rPr>
                <w:sz w:val="9"/>
                <w:szCs w:val="9"/>
                <w:color w:val="auto"/>
              </w:rPr>
            </w:pPr>
          </w:p>
        </w:tc>
        <w:tc>
          <w:tcPr>
            <w:tcW w:w="9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3"/>
          </w:tcPr>
          <w:p>
            <w:pPr>
              <w:jc w:val="center"/>
              <w:ind w:right="220"/>
              <w:spacing w:after="0" w:line="95" w:lineRule="exact"/>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jc w:val="center"/>
              <w:ind w:right="180"/>
              <w:spacing w:after="0" w:line="95" w:lineRule="exact"/>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rPr>
              <w:t>Comprehensive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4"/>
          </w:tcPr>
          <w:p>
            <w:pPr>
              <w:jc w:val="center"/>
              <w:ind w:right="220"/>
              <w:spacing w:after="0" w:line="95" w:lineRule="exact"/>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8"/>
                <w:szCs w:val="8"/>
                <w:color w:val="auto"/>
              </w:rPr>
            </w:pPr>
          </w:p>
        </w:tc>
        <w:tc>
          <w:tcPr>
            <w:tcW w:w="920" w:type="dxa"/>
            <w:vAlign w:val="bottom"/>
          </w:tcPr>
          <w:p>
            <w:pPr>
              <w:jc w:val="center"/>
              <w:ind w:right="66"/>
              <w:spacing w:after="0" w:line="95" w:lineRule="exact"/>
              <w:rPr>
                <w:sz w:val="20"/>
                <w:szCs w:val="20"/>
                <w:color w:val="auto"/>
              </w:rPr>
            </w:pPr>
            <w:r>
              <w:rPr>
                <w:rFonts w:ascii="Arial" w:cs="Arial" w:eastAsia="Arial" w:hAnsi="Arial"/>
                <w:sz w:val="10"/>
                <w:szCs w:val="10"/>
                <w:b w:val="1"/>
                <w:bCs w:val="1"/>
                <w:color w:val="auto"/>
              </w:rPr>
              <w:t>Equity</w:t>
            </w:r>
          </w:p>
        </w:tc>
      </w:tr>
      <w:tr>
        <w:trPr>
          <w:trHeight w:val="155"/>
        </w:trPr>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6"/>
              </w:rPr>
              <w:t>Income (Loss)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rPr>
              <w:t>8,963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rPr>
              <w:t>13,054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(13)</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(345)</w:t>
            </w:r>
          </w:p>
        </w:tc>
        <w:tc>
          <w:tcPr>
            <w:tcW w:w="80" w:type="dxa"/>
            <w:vAlign w:val="bottom"/>
          </w:tcPr>
          <w:p>
            <w:pPr>
              <w:spacing w:after="0"/>
              <w:rPr>
                <w:sz w:val="13"/>
                <w:szCs w:val="13"/>
                <w:color w:val="auto"/>
              </w:rPr>
            </w:pPr>
          </w:p>
        </w:tc>
        <w:tc>
          <w:tcPr>
            <w:tcW w:w="200" w:type="dxa"/>
            <w:vAlign w:val="bottom"/>
            <w:gridSpan w:val="2"/>
          </w:tcPr>
          <w:p>
            <w:pPr>
              <w:ind w:left="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626,269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(357,023)</w:t>
            </w:r>
          </w:p>
        </w:tc>
        <w:tc>
          <w:tcPr>
            <w:tcW w:w="60" w:type="dxa"/>
            <w:vAlign w:val="bottom"/>
          </w:tcPr>
          <w:p>
            <w:pPr>
              <w:spacing w:after="0"/>
              <w:rPr>
                <w:sz w:val="13"/>
                <w:szCs w:val="13"/>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(144)</w:t>
            </w:r>
          </w:p>
        </w:tc>
        <w:tc>
          <w:tcPr>
            <w:tcW w:w="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273,640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542,399</w:t>
            </w:r>
          </w:p>
        </w:tc>
      </w:tr>
      <w:tr>
        <w:trPr>
          <w:trHeight w:val="142"/>
        </w:trPr>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(38,121)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(54,651)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(92,772)</w:t>
            </w:r>
          </w:p>
        </w:tc>
      </w:tr>
      <w:tr>
        <w:trPr>
          <w:trHeight w:val="486"/>
        </w:trPr>
        <w:tc>
          <w:tcPr>
            <w:tcW w:w="620" w:type="dxa"/>
            <w:vAlign w:val="bottom"/>
            <w:gridSpan w:val="2"/>
          </w:tcPr>
          <w:p>
            <w:pPr>
              <w:jc w:val="right"/>
              <w:spacing w:after="0"/>
              <w:rPr>
                <w:sz w:val="20"/>
                <w:szCs w:val="20"/>
                <w:color w:val="auto"/>
              </w:rPr>
            </w:pPr>
            <w:r>
              <w:rPr>
                <w:rFonts w:ascii="Arial" w:cs="Arial" w:eastAsia="Arial" w:hAnsi="Arial"/>
                <w:sz w:val="11"/>
                <w:szCs w:val="11"/>
                <w:color w:val="auto"/>
              </w:rPr>
              <w:t>302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450</w:t>
            </w: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13,125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13,125</w:t>
            </w: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46</w:t>
            </w:r>
          </w:p>
        </w:tc>
      </w:tr>
      <w:tr>
        <w:trPr>
          <w:trHeight w:val="4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(68)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(706)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(706)</w:t>
            </w:r>
          </w:p>
        </w:tc>
      </w:tr>
      <w:tr>
        <w:trPr>
          <w:trHeight w:val="4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(1,783)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(1,783)</w:t>
            </w: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83"/>
        </w:trPr>
        <w:tc>
          <w:tcPr>
            <w:tcW w:w="2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8,171</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(8,171)</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223"/>
        </w:trPr>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rPr>
              <w:t>9,499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rPr>
              <w:t>12,818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(81)</w:t>
            </w: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(1,051)</w:t>
            </w:r>
          </w:p>
        </w:tc>
        <w:tc>
          <w:tcPr>
            <w:tcW w:w="8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646,232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(395,144)</w:t>
            </w:r>
          </w:p>
        </w:tc>
        <w:tc>
          <w:tcPr>
            <w:tcW w:w="6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(125)</w:t>
            </w:r>
          </w:p>
        </w:tc>
        <w:tc>
          <w:tcPr>
            <w:tcW w:w="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210,845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460,759</w:t>
            </w:r>
          </w:p>
        </w:tc>
      </w:tr>
      <w:tr>
        <w:trPr>
          <w:trHeight w:val="27"/>
        </w:trPr>
        <w:tc>
          <w:tcPr>
            <w:tcW w:w="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-4714240</wp:posOffset>
            </wp:positionV>
            <wp:extent cx="71323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-4491355</wp:posOffset>
            </wp:positionV>
            <wp:extent cx="71323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-4011295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-3531235</wp:posOffset>
            </wp:positionV>
            <wp:extent cx="713232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-3051175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-2022475</wp:posOffset>
            </wp:positionV>
            <wp:extent cx="713232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-1799590</wp:posOffset>
            </wp:positionV>
            <wp:extent cx="713232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-1319530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-839470</wp:posOffset>
            </wp:positionV>
            <wp:extent cx="71323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-359410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00" w:space="120"/>
            <w:col w:w="9920"/>
          </w:cols>
          <w:pgMar w:left="320" w:top="1327"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8</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CASH FLOWS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Six months ended Jun. 30,</w:t>
            </w:r>
          </w:p>
        </w:tc>
      </w:tr>
      <w:tr>
        <w:trPr>
          <w:trHeight w:val="171"/>
        </w:trPr>
        <w:tc>
          <w:tcPr>
            <w:tcW w:w="87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2023</w:t>
            </w:r>
          </w:p>
        </w:tc>
      </w:tr>
      <w:tr>
        <w:trPr>
          <w:trHeight w:val="157"/>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(80,660)</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(92,772)</w:t>
            </w:r>
          </w:p>
        </w:tc>
      </w:tr>
      <w:tr>
        <w:trPr>
          <w:trHeight w:val="180"/>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13,125</w:t>
            </w:r>
          </w:p>
        </w:tc>
      </w:tr>
      <w:tr>
        <w:trPr>
          <w:trHeight w:val="180"/>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5,606</w:t>
            </w:r>
          </w:p>
        </w:tc>
      </w:tr>
      <w:tr>
        <w:trPr>
          <w:trHeight w:val="171"/>
        </w:trPr>
        <w:tc>
          <w:tcPr>
            <w:tcW w:w="87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47,028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47,029</w:t>
            </w:r>
          </w:p>
        </w:tc>
      </w:tr>
      <w:tr>
        <w:trPr>
          <w:trHeight w:val="180"/>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w:t>
            </w:r>
          </w:p>
        </w:tc>
      </w:tr>
      <w:tr>
        <w:trPr>
          <w:trHeight w:val="171"/>
        </w:trPr>
        <w:tc>
          <w:tcPr>
            <w:tcW w:w="874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2,063</w:t>
            </w:r>
          </w:p>
        </w:tc>
      </w:tr>
      <w:tr>
        <w:trPr>
          <w:trHeight w:val="180"/>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w:t>
            </w:r>
          </w:p>
        </w:tc>
      </w:tr>
      <w:tr>
        <w:trPr>
          <w:trHeight w:val="171"/>
        </w:trPr>
        <w:tc>
          <w:tcPr>
            <w:tcW w:w="8740" w:type="dxa"/>
            <w:vAlign w:val="bottom"/>
          </w:tcPr>
          <w:p>
            <w:pPr>
              <w:ind w:left="240"/>
              <w:spacing w:after="0"/>
              <w:rPr>
                <w:sz w:val="20"/>
                <w:szCs w:val="20"/>
                <w:color w:val="auto"/>
              </w:rPr>
            </w:pPr>
            <w:r>
              <w:rPr>
                <w:rFonts w:ascii="Arial" w:cs="Arial" w:eastAsia="Arial" w:hAnsi="Arial"/>
                <w:sz w:val="13"/>
                <w:szCs w:val="13"/>
                <w:color w:val="auto"/>
              </w:rPr>
              <w:t>Other non-cash items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(191)</w:t>
            </w:r>
          </w:p>
        </w:tc>
      </w:tr>
      <w:tr>
        <w:trPr>
          <w:trHeight w:val="180"/>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874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(31,057)</w:t>
            </w:r>
          </w:p>
        </w:tc>
      </w:tr>
      <w:tr>
        <w:trPr>
          <w:trHeight w:val="180"/>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119,838</w:t>
            </w:r>
          </w:p>
        </w:tc>
      </w:tr>
      <w:tr>
        <w:trPr>
          <w:trHeight w:val="171"/>
        </w:trPr>
        <w:tc>
          <w:tcPr>
            <w:tcW w:w="87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36,281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44,521</w:t>
            </w:r>
          </w:p>
        </w:tc>
      </w:tr>
      <w:tr>
        <w:trPr>
          <w:trHeight w:val="180"/>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(6,460)</w:t>
            </w:r>
          </w:p>
        </w:tc>
      </w:tr>
      <w:tr>
        <w:trPr>
          <w:trHeight w:val="171"/>
        </w:trPr>
        <w:tc>
          <w:tcPr>
            <w:tcW w:w="874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(42,408)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(3,531)</w:t>
            </w:r>
          </w:p>
        </w:tc>
      </w:tr>
      <w:tr>
        <w:trPr>
          <w:trHeight w:val="180"/>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(24,598)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(22,873)</w:t>
            </w:r>
          </w:p>
        </w:tc>
      </w:tr>
      <w:tr>
        <w:trPr>
          <w:trHeight w:val="171"/>
        </w:trPr>
        <w:tc>
          <w:tcPr>
            <w:tcW w:w="874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(46,623)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(50,535)</w:t>
            </w:r>
          </w:p>
        </w:tc>
      </w:tr>
      <w:tr>
        <w:trPr>
          <w:trHeight w:val="180"/>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(5,341)</w:t>
            </w:r>
          </w:p>
        </w:tc>
      </w:tr>
      <w:tr>
        <w:trPr>
          <w:trHeight w:val="171"/>
        </w:trPr>
        <w:tc>
          <w:tcPr>
            <w:tcW w:w="87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7,567</w:t>
            </w:r>
          </w:p>
        </w:tc>
      </w:tr>
      <w:tr>
        <w:trPr>
          <w:trHeight w:val="17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(23,984)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31,340</w:t>
            </w:r>
          </w:p>
        </w:tc>
      </w:tr>
      <w:tr>
        <w:trPr>
          <w:trHeight w:val="154"/>
        </w:trPr>
        <w:tc>
          <w:tcPr>
            <w:tcW w:w="87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7"/>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(4,660)</w:t>
            </w:r>
          </w:p>
        </w:tc>
      </w:tr>
      <w:tr>
        <w:trPr>
          <w:trHeight w:val="164"/>
        </w:trPr>
        <w:tc>
          <w:tcPr>
            <w:tcW w:w="87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Net cash provided by (used in) investing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(4,660)</w:t>
            </w:r>
          </w:p>
        </w:tc>
      </w:tr>
      <w:tr>
        <w:trPr>
          <w:trHeight w:val="160"/>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1"/>
        </w:trPr>
        <w:tc>
          <w:tcPr>
            <w:tcW w:w="8740" w:type="dxa"/>
            <w:vAlign w:val="bottom"/>
          </w:tcPr>
          <w:p>
            <w:pPr>
              <w:ind w:left="20"/>
              <w:spacing w:after="0"/>
              <w:rPr>
                <w:sz w:val="20"/>
                <w:szCs w:val="20"/>
                <w:color w:val="auto"/>
              </w:rPr>
            </w:pPr>
            <w:r>
              <w:rPr>
                <w:rFonts w:ascii="Arial" w:cs="Arial" w:eastAsia="Arial" w:hAnsi="Arial"/>
                <w:sz w:val="13"/>
                <w:szCs w:val="13"/>
                <w:color w:val="auto"/>
              </w:rPr>
              <w:t>Repayment of borrowings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(15,402)</w:t>
            </w:r>
          </w:p>
        </w:tc>
      </w:tr>
      <w:tr>
        <w:trPr>
          <w:trHeight w:val="180"/>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borrowings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7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w:t>
            </w:r>
          </w:p>
        </w:tc>
      </w:tr>
      <w:tr>
        <w:trPr>
          <w:trHeight w:val="171"/>
        </w:trPr>
        <w:tc>
          <w:tcPr>
            <w:tcW w:w="8740" w:type="dxa"/>
            <w:vAlign w:val="bottom"/>
          </w:tcPr>
          <w:p>
            <w:pPr>
              <w:ind w:left="20"/>
              <w:spacing w:after="0"/>
              <w:rPr>
                <w:sz w:val="20"/>
                <w:szCs w:val="20"/>
                <w:color w:val="auto"/>
              </w:rPr>
            </w:pPr>
            <w:r>
              <w:rPr>
                <w:rFonts w:ascii="Arial" w:cs="Arial" w:eastAsia="Arial" w:hAnsi="Arial"/>
                <w:sz w:val="13"/>
                <w:szCs w:val="13"/>
                <w:color w:val="auto"/>
              </w:rPr>
              <w:t>Payment of preferred stock dividends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(1,783)</w:t>
            </w:r>
          </w:p>
        </w:tc>
      </w:tr>
      <w:tr>
        <w:trPr>
          <w:trHeight w:val="180"/>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 exercises</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4"/>
        </w:trPr>
        <w:tc>
          <w:tcPr>
            <w:tcW w:w="87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Net cash provided by (used in)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(45,391)</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(17,826)</w:t>
            </w:r>
          </w:p>
        </w:tc>
      </w:tr>
      <w:tr>
        <w:trPr>
          <w:trHeight w:val="17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4"/>
        </w:trPr>
        <w:tc>
          <w:tcPr>
            <w:tcW w:w="87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Increase (decrease) in cash and cash equivalents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(76,685)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8,900</w:t>
            </w:r>
          </w:p>
        </w:tc>
      </w:tr>
      <w:tr>
        <w:trPr>
          <w:trHeight w:val="17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90,809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16,464</w:t>
            </w:r>
          </w:p>
        </w:tc>
      </w:tr>
      <w:tr>
        <w:trPr>
          <w:trHeight w:val="167"/>
        </w:trPr>
        <w:tc>
          <w:tcPr>
            <w:tcW w:w="87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14,124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25,364</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4"/>
        </w:trPr>
        <w:tc>
          <w:tcPr>
            <w:tcW w:w="87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0"/>
        </w:trPr>
        <w:tc>
          <w:tcPr>
            <w:tcW w:w="8740" w:type="dxa"/>
            <w:vAlign w:val="bottom"/>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NOTES TO CONDENSED CONSOLIDATED FINANCIAL STATEMENTS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19" w:lineRule="exact"/>
        <w:rPr>
          <w:sz w:val="20"/>
          <w:szCs w:val="20"/>
          <w:color w:val="auto"/>
        </w:rPr>
      </w:pPr>
    </w:p>
    <w:p>
      <w:pPr>
        <w:ind w:right="5380" w:firstLine="8"/>
        <w:spacing w:after="0" w:line="554" w:lineRule="auto"/>
        <w:tabs>
          <w:tab w:leader="none" w:pos="180" w:val="left"/>
        </w:tabs>
        <w:numPr>
          <w:ilvl w:val="0"/>
          <w:numId w:val="8"/>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DESCRIPTION OF BUSINESS AND SIGNIFICANT ACCOUNTING POLICIES </w:t>
      </w:r>
      <w:r>
        <w:rPr>
          <w:rFonts w:ascii="Arial" w:cs="Arial" w:eastAsia="Arial" w:hAnsi="Arial"/>
          <w:sz w:val="16"/>
          <w:szCs w:val="16"/>
          <w:b w:val="1"/>
          <w:bCs w:val="1"/>
          <w:color w:val="000000"/>
        </w:rPr>
        <w:t>Description of Business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65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across the nation that provide access to high quality health plans across all 50 states.</w:t>
      </w:r>
    </w:p>
    <w:p>
      <w:pPr>
        <w:spacing w:after="0" w:line="12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primarily offer Medicare plans, including, but not limited to, Medicare Advantage, Medicare Supplement and prescription drug plans. Our proprietary technology platform leverages modern machine-learning algorithms, powered by over two decades of insurance purchasing behavior, to reimagine the process of matching a health plan to a consumer’s specific needs. Our unbiased, technology-driven marketplace coupled with highly skilled licensed agents has facilitated the enrollment of millions of consumers in Medicare plans since GoHealth’s inception. Health plan partners benefit from our platform by gaining access to the large and rapidly growing Medicare-eligible population. We believe health plan partners utilize our large-scale data, technology and efficient marketing processes to maximize scale and reduce their cost of submission, compared to health plan partner-employed agent workforces.</w:t>
      </w:r>
    </w:p>
    <w:p>
      <w:pPr>
        <w:spacing w:after="0" w:line="13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believe our streamlined, consumer-centric Encompass operating model drives both high quality enrollments and a strong consumer experience. Our consumer-centric approach positions us to be a trusted, high-quality enrollment partner for both consumers and health plan partners.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Condensed Consolidated Financial Statements and reports non-controlling interests for the economic interest in GHH, LLC held by the Continuing Equity Owners.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2023 Annual Report on Form 10-K, which was filed with the Securities and Exchange Commission on March 14, 2024.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76"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“Consumer care and enrollment” on the Condensed Consolidated Statements of Operations, previously referred to as “customer care and enrollment” reflects a name change only and does not require any financial information to be reclassified from previous periods.</w:t>
      </w:r>
    </w:p>
    <w:p>
      <w:pPr>
        <w:spacing w:after="0" w:line="14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There have been no material changes to the Company’s significant accounting policies from those disclosed in the notes to the Company’s audited Consolidated Financial Statements as of and for the year ended December 31, 2023, which were included in the Company’s 2023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3" w:name="page14"/>
    <w:bookmarkEnd w:id="13"/>
    <w:p>
      <w:pPr>
        <w:ind w:right="80"/>
        <w:spacing w:after="0" w:line="265"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67"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Medicare annual enrollment period (“AEP”) occurs from October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December 7</w:t>
      </w:r>
      <w:r>
        <w:rPr>
          <w:rFonts w:ascii="Arial" w:cs="Arial" w:eastAsia="Arial" w:hAnsi="Arial"/>
          <w:sz w:val="21"/>
          <w:szCs w:val="21"/>
          <w:color w:val="auto"/>
          <w:vertAlign w:val="superscript"/>
        </w:rPr>
        <w:t>th</w:t>
      </w:r>
      <w:r>
        <w:rPr>
          <w:rFonts w:ascii="Arial" w:cs="Arial" w:eastAsia="Arial" w:hAnsi="Arial"/>
          <w:sz w:val="16"/>
          <w:szCs w:val="16"/>
          <w:color w:val="auto"/>
        </w:rPr>
        <w:t>. As a result, and in general,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March 31</w:t>
      </w:r>
      <w:r>
        <w:rPr>
          <w:rFonts w:ascii="Arial" w:cs="Arial" w:eastAsia="Arial" w:hAnsi="Arial"/>
          <w:sz w:val="21"/>
          <w:szCs w:val="21"/>
          <w:color w:val="auto"/>
          <w:vertAlign w:val="superscript"/>
        </w:rPr>
        <w:t>st</w:t>
      </w:r>
      <w:r>
        <w:rPr>
          <w:rFonts w:ascii="Arial" w:cs="Arial" w:eastAsia="Arial" w:hAnsi="Arial"/>
          <w:sz w:val="16"/>
          <w:szCs w:val="16"/>
          <w:color w:val="auto"/>
        </w:rPr>
        <w:t>, Medicare Submissions are typically second-highest in our first quarter. The second and third quarters are known as special election periods, during which Medicare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2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The Company has one operating and reportable segment.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 xml:space="preserve">In November 2023, the Financial Accounting Standards Board (the “FASB”) issued ASU 2023-07, </w:t>
      </w:r>
      <w:r>
        <w:rPr>
          <w:rFonts w:ascii="Arial" w:cs="Arial" w:eastAsia="Arial" w:hAnsi="Arial"/>
          <w:sz w:val="16"/>
          <w:szCs w:val="16"/>
          <w:i w:val="1"/>
          <w:iCs w:val="1"/>
          <w:color w:val="auto"/>
        </w:rPr>
        <w:t>Segment Reporting (Topic 280):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Reportable Segment Disclosures </w:t>
      </w:r>
      <w:r>
        <w:rPr>
          <w:rFonts w:ascii="Arial" w:cs="Arial" w:eastAsia="Arial" w:hAnsi="Arial"/>
          <w:sz w:val="16"/>
          <w:szCs w:val="16"/>
          <w:color w:val="auto"/>
        </w:rPr>
        <w:t>(“ASU 2023-07”), which aims to improve reportable segment disclosure requirements, primarily through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about significant segment expenses. The amendments in ASU 2023-07 do not change how a public entity identifies its operating segments, aggregates those operating segments or applies the quantitative thresholds to determine its reportable segments. ASU 2023-07 is effective for fiscal years beginning after December 15, 2023, and for interim periods beginning after December 15, 2024, with early adoption permitted. The Company is currently assessing the impact on our related disclosures.</w:t>
      </w:r>
    </w:p>
    <w:p>
      <w:pPr>
        <w:spacing w:after="0" w:line="19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("ASU 2023-09"). ASU 2023-09 enhanced annual disclosures regarding the income tax rate reconciliation and income taxes paid information. ASU 2023-09 is effective for annual periods beginning after December 15, 2024 for public business entities and annual periods beginning after December 15, 2025 for all other entities. The Company is currently assessing the impact on our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FAIR VALUE MEASUREMENTS</w:t>
      </w:r>
    </w:p>
    <w:p>
      <w:pPr>
        <w:spacing w:after="0" w:line="26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p>
      <w:pPr>
        <w:sectPr>
          <w:pgSz w:w="11900" w:h="16838" w:orient="portrait"/>
          <w:cols w:equalWidth="0" w:num="1">
            <w:col w:w="11240"/>
          </w:cols>
          <w:pgMar w:left="320" w:top="1327" w:right="339" w:bottom="1440" w:gutter="0" w:footer="0" w:header="0"/>
        </w:sect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3716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71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57003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57003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712" w:lineRule="exact"/>
        <w:rPr>
          <w:sz w:val="20"/>
          <w:szCs w:val="20"/>
          <w:color w:val="auto"/>
        </w:rPr>
      </w:pPr>
    </w:p>
    <w:p>
      <w:pPr>
        <w:sectPr>
          <w:pgSz w:w="11900" w:h="16838" w:orient="portrait"/>
          <w:cols w:equalWidth="0" w:num="2">
            <w:col w:w="1960" w:space="320"/>
            <w:col w:w="8960"/>
          </w:cols>
          <w:pgMar w:left="320" w:top="1327" w:right="339" w:bottom="1440" w:gutter="0" w:footer="0" w:header="0"/>
          <w:type w:val="continuous"/>
        </w:sectPr>
      </w:pPr>
    </w:p>
    <w:p>
      <w:pPr>
        <w:spacing w:after="0" w:line="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508"/>
              <w:spacing w:after="0"/>
              <w:rPr>
                <w:sz w:val="20"/>
                <w:szCs w:val="20"/>
                <w:color w:val="auto"/>
              </w:rPr>
            </w:pPr>
            <w:r>
              <w:rPr>
                <w:rFonts w:ascii="Arial" w:cs="Arial" w:eastAsia="Arial" w:hAnsi="Arial"/>
                <w:sz w:val="14"/>
                <w:szCs w:val="14"/>
                <w:color w:val="auto"/>
              </w:rPr>
              <w:t>11</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4" w:name="page15"/>
    <w:bookmarkEnd w:id="14"/>
    <w:p>
      <w:pPr>
        <w:ind w:right="120"/>
        <w:spacing w:after="0" w:line="260"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operating lease impairment charges of $2.7 million for the three and six months ended June 30, 2023. The Company recorded no operating lease impairment charges for the three and six months ended June 30, 2024. The Company continues to evaluate its portfolio of properties, and thus it is possible that impairments could be identified in future periods, and such amounts could be material. The operating lease impairment charges reduce the carrying value of the associated right-of-use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37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During the twelve months ended December 31, 2023, the Company recorded indefinite-lived intangible asset impairment charges of $10.0 million in connection with its indefinite-lived trade names. The Company recorded no indefinite-lived intangible asset impairment charges for the three and six months ended June 30, 2024 and 2023. Determination of the fair value of the indefinite-lived trade names involves estimates and assumptions which are considered a level 3 input in the fair value hierarchy. For more information, refer to Note 3 “Intangible Assets, Net.”</w:t>
      </w:r>
    </w:p>
    <w:p>
      <w:pPr>
        <w:spacing w:after="0" w:line="186" w:lineRule="exact"/>
        <w:rPr>
          <w:sz w:val="20"/>
          <w:szCs w:val="20"/>
          <w:color w:val="auto"/>
        </w:rPr>
      </w:pPr>
    </w:p>
    <w:p>
      <w:pPr>
        <w:ind w:right="8960" w:firstLine="8"/>
        <w:spacing w:after="0" w:line="529" w:lineRule="auto"/>
        <w:tabs>
          <w:tab w:leader="none" w:pos="180" w:val="left"/>
        </w:tabs>
        <w:numPr>
          <w:ilvl w:val="0"/>
          <w:numId w:val="9"/>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INTANGIBLE ASSETS, NET </w:t>
      </w:r>
      <w:r>
        <w:rPr>
          <w:rFonts w:ascii="Arial" w:cs="Arial" w:eastAsia="Arial" w:hAnsi="Arial"/>
          <w:sz w:val="16"/>
          <w:szCs w:val="16"/>
          <w:b w:val="1"/>
          <w:bCs w:val="1"/>
          <w:color w:val="000000"/>
        </w:rPr>
        <w:t>Intangible Assets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2023 Indefinite-Lived Intangible Asset Impairment Charges</w:t>
      </w:r>
    </w:p>
    <w:p>
      <w:pPr>
        <w:spacing w:after="0" w:line="23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connection with its annual indefinite-lived impairment test performed as of November 30, 2023, the Company determined that the fair value of its indefinite-lived trade names no longer exceeded their carrying value. As a result, during the twelve months ended December 31, 2023, the Company recorded indefinite-lived intangible asset impairment charges of $10.0 million to write down the carrying value of the indefinite-lived trade names to their fair value of $73.0 million. Determination of fair value involves utilizing the relief-from-royalty under the income approach which contains significant estimates and assumptions including, among others, revenue projections as well as selecting appropriate royalty and discount rates, which are considered level 3 inputs in the fair value hierarchy. The indefinite-lived intangible asset impairment charge was a result of an increase in the discount rate driven by changes in forecast assumptions from the prior year. While the Company believes the judgments and assumptions are reasonable, different assumptions could change the estimated fair value and, therefore, additional impairments could be required.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intangible assets for the three and six months ended June 30, 2024 and 2023.</w:t>
      </w:r>
    </w:p>
    <w:p>
      <w:pPr>
        <w:spacing w:after="0" w:line="22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gross carrying amounts, accumulated amortization and net carrying amounts of the Company’s definite-lived amortizable intangible assets, as well as its indefinite-lived intangible trade names,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 30, 2024</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6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155,886</w:t>
            </w:r>
          </w:p>
        </w:tc>
        <w:tc>
          <w:tcPr>
            <w:tcW w:w="0" w:type="dxa"/>
            <w:vAlign w:val="bottom"/>
          </w:tcPr>
          <w:p>
            <w:pPr>
              <w:spacing w:after="0"/>
              <w:rPr>
                <w:sz w:val="1"/>
                <w:szCs w:val="1"/>
                <w:color w:val="auto"/>
              </w:rPr>
            </w:pPr>
          </w:p>
        </w:tc>
      </w:tr>
      <w:tr>
        <w:trPr>
          <w:trHeight w:val="19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120,640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451,474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276,526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349,526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Dec. 31, 2023</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304,686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191,314</w:t>
            </w:r>
          </w:p>
        </w:tc>
        <w:tc>
          <w:tcPr>
            <w:tcW w:w="0" w:type="dxa"/>
            <w:vAlign w:val="bottom"/>
          </w:tcPr>
          <w:p>
            <w:pPr>
              <w:spacing w:after="0"/>
              <w:rPr>
                <w:sz w:val="1"/>
                <w:szCs w:val="1"/>
                <w:color w:val="auto"/>
              </w:rPr>
            </w:pPr>
          </w:p>
        </w:tc>
      </w:tr>
      <w:tr>
        <w:trPr>
          <w:trHeight w:val="19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132,240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404,446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323,554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396,554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expected amortization expense related to intangible assets for each of the five succeeding years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Developed Technology</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Customer</w:t>
            </w: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100" w:type="dxa"/>
            <w:vAlign w:val="bottom"/>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35,429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47,029</w:t>
            </w:r>
          </w:p>
        </w:tc>
        <w:tc>
          <w:tcPr>
            <w:tcW w:w="0" w:type="dxa"/>
            <w:vAlign w:val="bottom"/>
          </w:tcPr>
          <w:p>
            <w:pPr>
              <w:spacing w:after="0"/>
              <w:rPr>
                <w:sz w:val="1"/>
                <w:szCs w:val="1"/>
                <w:color w:val="auto"/>
              </w:rPr>
            </w:pP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2025</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72,800</w:t>
            </w:r>
          </w:p>
        </w:tc>
        <w:tc>
          <w:tcPr>
            <w:tcW w:w="0" w:type="dxa"/>
            <w:vAlign w:val="bottom"/>
          </w:tcPr>
          <w:p>
            <w:pPr>
              <w:spacing w:after="0"/>
              <w:rPr>
                <w:sz w:val="1"/>
                <w:szCs w:val="1"/>
                <w:color w:val="auto"/>
              </w:rPr>
            </w:pP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2027</w:t>
            </w:r>
          </w:p>
        </w:tc>
        <w:tc>
          <w:tcPr>
            <w:tcW w:w="5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23,200</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0" w:type="dxa"/>
            <w:vAlign w:val="bottom"/>
          </w:tcPr>
          <w:p>
            <w:pPr>
              <w:spacing w:after="0"/>
              <w:rPr>
                <w:sz w:val="1"/>
                <w:szCs w:val="1"/>
                <w:color w:val="auto"/>
              </w:rPr>
            </w:pP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16,240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16,240</w:t>
            </w:r>
          </w:p>
        </w:tc>
        <w:tc>
          <w:tcPr>
            <w:tcW w:w="0" w:type="dxa"/>
            <w:vAlign w:val="bottom"/>
          </w:tcPr>
          <w:p>
            <w:pPr>
              <w:spacing w:after="0"/>
              <w:rPr>
                <w:sz w:val="1"/>
                <w:szCs w:val="1"/>
                <w:color w:val="auto"/>
              </w:rPr>
            </w:pPr>
          </w:p>
        </w:tc>
      </w:tr>
      <w:tr>
        <w:trPr>
          <w:trHeight w:val="22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276,526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4.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 30, 2024</w:t>
            </w:r>
          </w:p>
        </w:tc>
        <w:tc>
          <w:tcPr>
            <w:tcW w:w="22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2023</w:t>
            </w:r>
          </w:p>
        </w:tc>
      </w:tr>
      <w:tr>
        <w:trPr>
          <w:trHeight w:val="19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Facilities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452,796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502,796</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Revolving Credit Facilities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(5,091)</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453,328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497,705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long-term debt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413,328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422,705</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Future maturities of long-term debt are $28.1 million due and payable during the remainder of 2024, with the remaining balance of $439.7 million due and payable in 2025 upon maturity.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Facilities</w:t>
      </w:r>
    </w:p>
    <w:p>
      <w:pPr>
        <w:spacing w:after="0" w:line="22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During 2019, Norvax (the “Borrower”) entered into a first lien credit agreement (as amended from time to time, the “Credit Agreement”) which provided for, among other items as further described below, (i) $117.0 million of incremental term loans (the “Incremental Term Loan Facility”), (ii) a new class of incremental term loans (the “2021 Incremental Term Loans”) in an aggregate principal amount equal to $310.0 million and (iii) a new class of incremental term loans (the “2021-2 Incremental Term Loans”) in an aggregate principal amount equal to $100.0 million. The Company collectively refers to the Incremental Term Loan Facility, the 2021 Incremental Term Loans and the 2021-2 Incremental Term Loans as the “Term Loan Facilities.”</w:t>
      </w:r>
    </w:p>
    <w:p>
      <w:pPr>
        <w:spacing w:after="0" w:line="1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Term Loan Facilities all bear interest at either (i) ABR plus 6.5% per annum or (ii) SOFR plus 7.5% per annum. Per Amendment No. 11 to the Credit Agreement (“Amendment No. 11”), as further described below, after August 31, 2024 the Term Loan Facilities all bear interest at either (i) ABR plus 7.0% per annum or (ii) SOFR plus 8.0% per annum.</w:t>
      </w:r>
    </w:p>
    <w:p>
      <w:pPr>
        <w:spacing w:after="0" w:line="1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June 30, 2024, the Borrower had a principal amount of $99.5 million, $266.8 million and $86.5 million outstanding under the Incremental Term Loan Facility, the 2021 Incremental Term Loans, and the 2021-2 Incremental Term Loans, respectively. As of December 31, 2023, the Borrower had a principal amount of $110.4 million, $296.3 million and $96.1 million outstanding under the Incremental Term Loan Facility, the 2021 Incremental Term Loans, and the 2021-2 Incremental Term Loans, respectively. The effective interest rate of the Term Loan Facilities was 12.9% at June 30, 2024 and 13.0% at December 31, 2023.</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On March 12, 2024, the Borrower entered into Amendment No. 11. Pursuant to Amendment No. 11, the Borrower repaid $50.0 million in borrowings under the Term Loan Facilities in April 2024. Per Amendment No. 11, the Borrower is required to repay an additional $25.0 million in borrowings under the Term Loan Facilities in October 2024. The remaining unpaid balance on the Term Loan Facilities, together with all accrued and unpaid interest thereon, is due and payable on or prior to September 13, 2025.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Term Loan Facilities, the Credit Agreement provides for senior secured revolving credit facilities (collectively, the “Revolving Credit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Facilities”). Prior to Amendment No. 11, the Revolving Credit Facilities were separated into two classes of revolving commitments consisting of Class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Revolving Commitments in the amount of $30.0 million (the “Class A Revolving Commitments”) and Class B Revolving Commitments in the amount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$170.0 million (the “Class B Revolving Commitments”), each maturing on September 13, 2024. In connection with Amendment No. 11, each existing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under the Class A Revolving Commitments and the Class B Revolving Commitments received the option to extend the maturity of their respective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commitments through June 30, 2025. Under the terms of Amendment No. 11, the lenders consenting to the extension formed a new tranche of Class 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Revolving Commitments (the “New Class A Revolving Commitments”) and the non-consenting lenders remain part of the existing Class B Revolving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Commitments (the “Remaining Class B Revolving Commitments”). Each consenting lender received a 50.0% commitment reduction, resulting in a total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$88.5 million available to the Borrower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28270"/>
                    </a:xfrm>
                    <a:prstGeom prst="rect">
                      <a:avLst/>
                    </a:prstGeom>
                    <a:noFill/>
                  </pic:spPr>
                </pic:pic>
              </a:graphicData>
            </a:graphic>
          </wp:anchor>
        </w:drawing>
      </w:r>
    </w:p>
    <w:p>
      <w:pPr>
        <w:sectPr>
          <w:pgSz w:w="11900" w:h="16838" w:orient="portrait"/>
          <w:cols w:equalWidth="0" w:num="1">
            <w:col w:w="11240"/>
          </w:cols>
          <w:pgMar w:left="320" w:top="1360"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2024 Form 10-Q</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0" w:right="339" w:bottom="1440" w:gutter="0" w:footer="0" w:header="0"/>
          <w:type w:val="continuous"/>
        </w:sectPr>
      </w:pPr>
    </w:p>
    <w:bookmarkStart w:id="16" w:name="page17"/>
    <w:bookmarkEnd w:id="16"/>
    <w:p>
      <w:pPr>
        <w:ind w:right="80"/>
        <w:spacing w:after="0" w:line="265" w:lineRule="auto"/>
        <w:rPr>
          <w:sz w:val="20"/>
          <w:szCs w:val="20"/>
          <w:color w:val="auto"/>
        </w:rPr>
      </w:pPr>
      <w:r>
        <w:rPr>
          <w:rFonts w:ascii="Arial" w:cs="Arial" w:eastAsia="Arial" w:hAnsi="Arial"/>
          <w:sz w:val="16"/>
          <w:szCs w:val="16"/>
          <w:color w:val="auto"/>
        </w:rPr>
        <w:t>the New Class A Revolving Commitments, with $23.0 million remaining available to the Borrower under the Remaining Class B Revolving Commitments. The New Class A Revolving Commitments mature on June 30, 2025 and bear interest at either ABR plus 5.5% per annum or SOFR plus 6.5% per annum. The Remaining Class B Revolving Commitments continue to mature on September 13, 2024 and bear interest at either ABR plus 3.0% per annum or SOFR plus 4.0% per annum. Amendment No. 11 also provides that if the Borrower undertakes a securitization transaction prior to the maturity of the New Class A Revolving Commitments, the New Class A Revolving Commitments will further be reduced by 50.0%.</w:t>
      </w:r>
    </w:p>
    <w:p>
      <w:pPr>
        <w:spacing w:after="0" w:line="19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Borrower had $15.0 million outstanding under the Revolving Credit Facilities as of June 30, 2024 and no amounts outstanding under the Revolving Credit Facilities as of December 31, 2023. The Revolving Credit Facilities have a remaining capacity of $96.5 million and $200.0 million in the aggregate as of June 30, 2024 and December 31, 2023, respectively. The Borrower is required to pay a commitment fee of 0.5% per annum under the Revolving Credit Facilities.</w:t>
      </w:r>
    </w:p>
    <w:p>
      <w:pPr>
        <w:spacing w:after="0" w:line="18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In addition, Amendment No. 11 amended the Credit Agreement to, among other things, modify the financial covenant testing to be based on a Net Cash Leverage Ratio, as defined in Amendment No. 11, for reporting periods from December 31, 2023 and onwards. The Company is in compliance with all covenants as of June 30, 2024.</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STOCKHOLDERS' EQUITY</w:t>
      </w:r>
    </w:p>
    <w:p>
      <w:pPr>
        <w:spacing w:after="0" w:line="2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8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spacing w:after="0" w:line="17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three and six months ended June 30, 2024 were 56.2% and 56.5%, respectively. The non-controlling interest holders' weighted average ownership percentages for the three and six months ended June 30, 2023 were 58.8% and 59.0%, respectively.</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ind w:right="20"/>
        <w:spacing w:after="0" w:line="265"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Convertible Preferred Stock</w:t>
      </w:r>
    </w:p>
    <w:p>
      <w:pPr>
        <w:spacing w:after="0" w:line="221"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color w:val="auto"/>
        </w:rPr>
        <w:t>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w:t>
      </w:r>
    </w:p>
    <w:p>
      <w:pPr>
        <w:spacing w:after="0" w:line="16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is authorized to issue 20,000,000 shares of preferred stock with a par value of $0.0001 per share as of both June 30, 2024 and December 31, 2023,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three and six months ended June 30, 2024, the Company accrued $0.9 million and $1.8 million, respectively, of dividends relating to the Series A redeemable convertible preferred stock that were not paid in cash. The accrued dividends are included in temporary equity on the Condensed Consolidated Balance Sheets. For the three and six months ended June 30, 2023, the Company paid in cash $0.9 million and $1.8 million, respectively, of dividends relating to the Series A redeemable convertible preferred stock.</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June 30, 2024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spacing w:after="0" w:line="37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Nasdaq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15</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8" w:name="page19"/>
    <w:bookmarkEnd w:id="18"/>
    <w:p>
      <w:pPr>
        <w:ind w:right="160"/>
        <w:spacing w:after="0" w:line="265" w:lineRule="auto"/>
        <w:rPr>
          <w:sz w:val="20"/>
          <w:szCs w:val="20"/>
          <w:color w:val="auto"/>
        </w:rPr>
      </w:pPr>
      <w:r>
        <w:rPr>
          <w:rFonts w:ascii="Arial" w:cs="Arial" w:eastAsia="Arial" w:hAnsi="Arial"/>
          <w:sz w:val="16"/>
          <w:szCs w:val="16"/>
          <w:color w:val="auto"/>
        </w:rPr>
        <w:t>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Nasdaq Rules. The Series A-1 convertible preferred stock is not entitled to vote with the Class A common stock on matters submitted to a vote of the holders of the Class A common stock and will have no voting rights except as required by applicable law.</w:t>
      </w:r>
    </w:p>
    <w:p>
      <w:pPr>
        <w:spacing w:after="0" w:line="192"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spacing w:after="0" w:line="1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w:t>
      </w:r>
    </w:p>
    <w:p>
      <w:pPr>
        <w:spacing w:after="0" w:line="20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6. SHARE-BASED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presented: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 30,</w:t>
            </w:r>
          </w:p>
        </w:tc>
        <w:tc>
          <w:tcPr>
            <w:tcW w:w="260" w:type="dxa"/>
            <w:vAlign w:val="bottom"/>
          </w:tcPr>
          <w:p>
            <w:pPr>
              <w:spacing w:after="0"/>
              <w:rPr>
                <w:sz w:val="17"/>
                <w:szCs w:val="17"/>
                <w:color w:val="auto"/>
              </w:rPr>
            </w:pPr>
          </w:p>
        </w:tc>
        <w:tc>
          <w:tcPr>
            <w:tcW w:w="23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 Jun. 30,</w:t>
            </w: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Consumer care and enrollment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20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r>
      <w:tr>
        <w:trPr>
          <w:trHeight w:val="203"/>
        </w:trPr>
        <w:tc>
          <w:tcPr>
            <w:tcW w:w="59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13,457</w:t>
            </w:r>
          </w:p>
        </w:tc>
      </w:tr>
      <w:tr>
        <w:trPr>
          <w:trHeight w:val="221"/>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10,120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16,704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340" w:firstLine="8"/>
        <w:spacing w:after="0" w:line="261" w:lineRule="auto"/>
        <w:tabs>
          <w:tab w:leader="none" w:pos="189"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For the three and six months ended June 30, 2024 and 2023, share-based compensation expense includes expense (benefit) related to the stock appreciation rights (“SARs”), which are liability classified awards.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7. NET LOSS PER SHARE</w:t>
      </w:r>
    </w:p>
    <w:p>
      <w:pPr>
        <w:spacing w:after="0" w:line="22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 and denominator used in the calculation of basic and diluted net loss per share of Class A common stock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 30,</w:t>
            </w:r>
          </w:p>
        </w:tc>
        <w:tc>
          <w:tcPr>
            <w:tcW w:w="280" w:type="dxa"/>
            <w:vAlign w:val="bottom"/>
          </w:tcPr>
          <w:p>
            <w:pPr>
              <w:spacing w:after="0"/>
              <w:rPr>
                <w:sz w:val="17"/>
                <w:szCs w:val="17"/>
                <w:color w:val="auto"/>
              </w:rPr>
            </w:pPr>
          </w:p>
        </w:tc>
        <w:tc>
          <w:tcPr>
            <w:tcW w:w="24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 30,</w:t>
            </w:r>
          </w:p>
        </w:tc>
      </w:tr>
      <w:tr>
        <w:trPr>
          <w:trHeight w:val="19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4"/>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8"/>
        </w:trPr>
        <w:tc>
          <w:tcPr>
            <w:tcW w:w="57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(59,314)</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(70,229)</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(80,660)</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(92,772)</w:t>
            </w:r>
          </w:p>
        </w:tc>
      </w:tr>
      <w:tr>
        <w:trPr>
          <w:trHeight w:val="206"/>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loss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(54,651)</w:t>
            </w:r>
          </w:p>
        </w:tc>
      </w:tr>
      <w:tr>
        <w:trPr>
          <w:trHeight w:val="19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GoHealth, Inc.</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(38,121)</w:t>
            </w:r>
          </w:p>
        </w:tc>
      </w:tr>
      <w:tr>
        <w:trPr>
          <w:trHeight w:val="200"/>
        </w:trPr>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Dividends accumulated on redeemable convertible preferred stock</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w:t>
            </w:r>
          </w:p>
        </w:tc>
      </w:tr>
      <w:tr>
        <w:trPr>
          <w:trHeight w:val="19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(29,833)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(39,904)</w:t>
            </w:r>
          </w:p>
        </w:tc>
      </w:tr>
      <w:tr>
        <w:trPr>
          <w:trHeight w:val="187"/>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Denominator:</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8"/>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Weighted-average shares of Class A common stock outstanding—basic and diluted</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w:t>
            </w: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of Class A common stock—basic and 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following number of shares were excluded from the calculation of diluted loss per share because the effect of including such potentially dilutive shares would have been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Jun. 30,</w:t>
            </w:r>
          </w:p>
        </w:tc>
        <w:tc>
          <w:tcPr>
            <w:tcW w:w="1020" w:type="dxa"/>
            <w:vAlign w:val="bottom"/>
            <w:tcBorders>
              <w:bottom w:val="single" w:sz="8" w:color="auto"/>
            </w:tcBorders>
          </w:tcPr>
          <w:p>
            <w:pPr>
              <w:spacing w:after="0"/>
              <w:rPr>
                <w:sz w:val="17"/>
                <w:szCs w:val="17"/>
                <w:color w:val="auto"/>
              </w:rPr>
            </w:pPr>
          </w:p>
        </w:tc>
      </w:tr>
      <w:tr>
        <w:trPr>
          <w:trHeight w:val="19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issuable pursuant to equity awards</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Class A common stock issuable pursuant to conversion of redeemable convertible preferred stock</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3,989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3,873</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B common stock</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12,780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12,818</w:t>
            </w:r>
          </w:p>
        </w:tc>
      </w:tr>
    </w:tbl>
    <w:p>
      <w:pPr>
        <w:spacing w:after="0" w:line="2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8. INCOME TAXES</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foreign subsidiary, which is treated as a foreign disregarded entity. As a partnership, GHH, LLC does not pay any federal income taxes, as income or loss is included in the tax returns of the individual members. Prior to April 1, 2023, certain of the Company’s wholly-owned entities were taxed as corporations and subject to federal and state income taxes in the jurisdictions in which they operated. Additionally, the Company’s foreign subsidiary is subject to foreign income taxes in the jurisdiction in which it operates. The accruals for such taxes are included in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294640</wp:posOffset>
            </wp:positionV>
            <wp:extent cx="825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294640</wp:posOffset>
            </wp:positionV>
            <wp:extent cx="889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2024 Form 10-Q</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20" w:name="page21"/>
    <w:bookmarkEnd w:id="20"/>
    <w:p>
      <w:pPr>
        <w:ind w:right="180"/>
        <w:spacing w:after="0" w:line="265" w:lineRule="auto"/>
        <w:rPr>
          <w:sz w:val="20"/>
          <w:szCs w:val="20"/>
          <w:color w:val="auto"/>
        </w:rPr>
      </w:pPr>
      <w:r>
        <w:rPr>
          <w:rFonts w:ascii="Arial" w:cs="Arial" w:eastAsia="Arial" w:hAnsi="Arial"/>
          <w:sz w:val="16"/>
          <w:szCs w:val="16"/>
          <w:color w:val="auto"/>
        </w:rPr>
        <w:t>The Company’s effective tax rate for the three and six months ended June 30, 2024 was 0.07% and 0.14%, respectively. The Company’s effective tax rate for the three and six months ended June 30, 2023 was 0.10% and 0.13%,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Receivable Agreement</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both June 30, 2024 and December 31, 2023 the liability related to the Tax Receivable Agreement was $0.8 million. Should the Company determine that any additional Tax Receivable Agreement liability is considered probable at a future date based on new information, any changes will be recorded within earnings at that time.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9.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for Variable Consideration</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Company’s variable consideration includes the expected amount of initial commissions received from the health plan partners and any renewal commissions to be paid on such placement as long as the policyholder remains with the same insurance product, also known as the total estimated LTV of the policy.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spacing w:after="0" w:line="19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and six months ended June 30, 2024 and 2023, the Company recorded no revenue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 30,</w:t>
            </w:r>
          </w:p>
        </w:tc>
        <w:tc>
          <w:tcPr>
            <w:tcW w:w="240" w:type="dxa"/>
            <w:vAlign w:val="bottom"/>
          </w:tcPr>
          <w:p>
            <w:pPr>
              <w:spacing w:after="0"/>
              <w:rPr>
                <w:sz w:val="17"/>
                <w:szCs w:val="17"/>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 30,</w:t>
            </w:r>
          </w:p>
        </w:tc>
      </w:tr>
      <w:tr>
        <w:trPr>
          <w:trHeight w:val="19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183"/>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Revenue</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9"/>
        </w:trPr>
        <w:tc>
          <w:tcPr>
            <w:tcW w:w="590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5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184,934</w:t>
            </w:r>
          </w:p>
        </w:tc>
      </w:tr>
      <w:tr>
        <w:trPr>
          <w:trHeight w:val="199"/>
        </w:trPr>
        <w:tc>
          <w:tcPr>
            <w:tcW w:w="59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Partner Marketing and Other Revenue</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50,319</w:t>
            </w:r>
          </w:p>
        </w:tc>
      </w:tr>
      <w:tr>
        <w:trPr>
          <w:trHeight w:val="200"/>
        </w:trPr>
        <w:tc>
          <w:tcPr>
            <w:tcW w:w="5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Agency Revenue</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84,680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235,253</w:t>
            </w:r>
          </w:p>
        </w:tc>
      </w:tr>
      <w:tr>
        <w:trPr>
          <w:trHeight w:val="192"/>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Non-Agency Revenue</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73,076</w:t>
            </w:r>
          </w:p>
        </w:tc>
      </w:tr>
      <w:tr>
        <w:trPr>
          <w:trHeight w:val="20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 Revenue</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290,149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308,329</w:t>
            </w:r>
          </w:p>
        </w:tc>
      </w:tr>
      <w:tr>
        <w:trPr>
          <w:trHeight w:val="178"/>
        </w:trPr>
        <w:tc>
          <w:tcPr>
            <w:tcW w:w="590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7"/>
        </w:trPr>
        <w:tc>
          <w:tcPr>
            <w:tcW w:w="5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Non-Encompass BPO Services Revenue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9,322</w:t>
            </w:r>
          </w:p>
        </w:tc>
      </w:tr>
      <w:tr>
        <w:trPr>
          <w:trHeight w:val="198"/>
        </w:trPr>
        <w:tc>
          <w:tcPr>
            <w:tcW w:w="59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8,286</w:t>
            </w:r>
          </w:p>
        </w:tc>
      </w:tr>
      <w:tr>
        <w:trPr>
          <w:trHeight w:val="196"/>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Revenue</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17,608</w:t>
            </w:r>
          </w:p>
        </w:tc>
      </w:tr>
      <w:tr>
        <w:trPr>
          <w:trHeight w:val="200"/>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105,870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142,779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291,470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325,937</w:t>
            </w: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the Company’s Non-Encompass BPO Services as well as from the sale of individual and family plan insurance products.</w:t>
      </w:r>
    </w:p>
    <w:p>
      <w:pPr>
        <w:spacing w:after="0" w:line="244" w:lineRule="exact"/>
        <w:rPr>
          <w:sz w:val="20"/>
          <w:szCs w:val="20"/>
          <w:color w:val="auto"/>
        </w:rPr>
      </w:pPr>
    </w:p>
    <w:p>
      <w:pPr>
        <w:jc w:val="both"/>
        <w:ind w:right="140"/>
        <w:spacing w:after="0" w:line="265" w:lineRule="auto"/>
        <w:rPr>
          <w:sz w:val="20"/>
          <w:szCs w:val="20"/>
          <w:color w:val="auto"/>
        </w:rPr>
      </w:pPr>
      <w:r>
        <w:rPr>
          <w:rFonts w:ascii="Arial" w:cs="Arial" w:eastAsia="Arial" w:hAnsi="Arial"/>
          <w:sz w:val="16"/>
          <w:szCs w:val="16"/>
          <w:i w:val="1"/>
          <w:iCs w:val="1"/>
          <w:color w:val="auto"/>
        </w:rPr>
        <w:t xml:space="preserve">Medicare Revenue: </w:t>
      </w:r>
      <w:r>
        <w:rPr>
          <w:rFonts w:ascii="Arial" w:cs="Arial" w:eastAsia="Arial" w:hAnsi="Arial"/>
          <w:sz w:val="16"/>
          <w:szCs w:val="16"/>
          <w:color w:val="auto"/>
        </w:rPr>
        <w:t>The primary services provided by the Company relate to the sale and administration of Medicare insurance products through either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agency model or the non-agency model. The agency model refers to the commission revenue and partner marketing revenue the Company receives when GoHealth agents or the Company’s independent network of outsourced agents, or external agents, enroll the consumer and submit the policy application to the health plan partner, becoming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290195</wp:posOffset>
            </wp:positionV>
            <wp:extent cx="825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290195</wp:posOffset>
            </wp:positionV>
            <wp:extent cx="889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2024 Form 10-Q</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21" w:name="page22"/>
    <w:bookmarkEnd w:id="21"/>
    <w:p>
      <w:pPr>
        <w:ind w:right="160"/>
        <w:spacing w:after="0" w:line="261" w:lineRule="auto"/>
        <w:rPr>
          <w:sz w:val="20"/>
          <w:szCs w:val="20"/>
          <w:color w:val="auto"/>
        </w:rPr>
      </w:pPr>
      <w:r>
        <w:rPr>
          <w:rFonts w:ascii="Arial" w:cs="Arial" w:eastAsia="Arial" w:hAnsi="Arial"/>
          <w:sz w:val="16"/>
          <w:szCs w:val="16"/>
          <w:color w:val="auto"/>
        </w:rPr>
        <w:t>of record. 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which represents the LTV it expects to receive for selling the product after the health plan partner approves an application. As part of its estimation process, the Company constrains revenue such that the amount of revenue recognized is the amount the Company believes is probable will not result in a significant reversal in the future. The Company records partner marketing services over time based on delivering call volumes or providing marketing services.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our participating partners.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Other revenue is comprised of Non-Encompass BPO Services, which refers to programs in which GoHealth-employed agents are dedicated</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health plans and agencies we partner with outside of the Encompass model. These services include commission revenue and partner marketing revenue that is directly attributable to Non-Encompass BPO Services. The remaining revenue relates primarily to revenue generated from the sale of individual and family plan insurance products and ancillary services.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22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partners.</w:t>
      </w:r>
    </w:p>
    <w:p>
      <w:pPr>
        <w:spacing w:after="0" w:line="17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Company had unbilled receivables for performance-based enrollment fees and non-agency revenue as of June 30, 2024 and December 31, 2023 of $1.6 million and $36.0 million, respectively, which are recorded in prepaid expenses and other current assets on the Condensed Consolidated Balance Sheets. In addition, the Company had accrued payments for revenue share as of June 30, 2024 and December 31, 2023 of $6.0 million and $14.8 million, respectively, which are recorded in accrued liabilities. There are no other contract assets or contract liabilities recorded by the Company.</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Deferred revenue includes amounts collected for partner marketing services and non-agency revenue in advance of the Company satisfying its performance obligations for such customers. The decrease in deferred revenue during the six months ended June 30, 2024 compared to December 31, 2023 was primarily due to less cash received as of June 30, 2024 compared to December 31, 2023 for marketing, administrative and enrollment fees in advance of performing such services that the Company expects to satisfy within the next twelve months. During the three months ended June 30, 2024 and 2023, the Company recognized revenue that was recorded in deferred revenue on the Condensed Consolidated Balance Sheets at the beginning of the respective fiscal year of $8.6 million and $4.8 million, respectively. During the six months ended June 30, 2024 and 2023, the Company recognized revenue that was recorded in deferred revenue on the Condensed Consolidated Balance Sheets at the beginning of the respective fiscal year of $43.5 million and $45.3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62"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Six months ended Jun.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911,697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1,031,433</w:t>
            </w:r>
          </w:p>
        </w:tc>
      </w:tr>
      <w:tr>
        <w:trPr>
          <w:trHeight w:val="202"/>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152,313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188,157</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(308,061)</w:t>
            </w:r>
          </w:p>
        </w:tc>
      </w:tr>
      <w:tr>
        <w:trPr>
          <w:trHeight w:val="19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815,052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911,562</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Commissions receivable - current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261,052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294,319</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617,243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19</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ind w:left="320" w:hanging="312"/>
        <w:spacing w:after="0"/>
        <w:tabs>
          <w:tab w:leader="none" w:pos="32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includes commissions generated through the Company’s Non-Encompass BPO Services as well as from the sale of individual and family plan insurance products.</w:t>
      </w:r>
    </w:p>
    <w:p>
      <w:pPr>
        <w:spacing w:after="0" w:line="21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health plan partners representing 10% or more of the Company’s total net revenues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 Jun. 30,</w:t>
            </w:r>
          </w:p>
        </w:tc>
        <w:tc>
          <w:tcPr>
            <w:tcW w:w="10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Six months ended Jun. 30,</w:t>
            </w:r>
          </w:p>
        </w:tc>
      </w:tr>
      <w:tr>
        <w:trPr>
          <w:trHeight w:val="196"/>
        </w:trPr>
        <w:tc>
          <w:tcPr>
            <w:tcW w:w="56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9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Humana</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39.2 %</w:t>
            </w:r>
          </w:p>
        </w:tc>
      </w:tr>
      <w:tr>
        <w:trPr>
          <w:trHeight w:val="198"/>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United</w:t>
            </w:r>
          </w:p>
        </w:tc>
        <w:tc>
          <w:tcPr>
            <w:tcW w:w="480" w:type="dxa"/>
            <w:vAlign w:val="bottom"/>
          </w:tcPr>
          <w:p>
            <w:pPr>
              <w:jc w:val="right"/>
              <w:spacing w:after="0"/>
              <w:rPr>
                <w:sz w:val="20"/>
                <w:szCs w:val="20"/>
                <w:color w:val="auto"/>
              </w:rPr>
            </w:pPr>
            <w:r>
              <w:rPr>
                <w:rFonts w:ascii="Arial" w:cs="Arial" w:eastAsia="Arial" w:hAnsi="Arial"/>
                <w:sz w:val="14"/>
                <w:szCs w:val="14"/>
                <w:color w:val="auto"/>
              </w:rPr>
              <w:t>22.2 %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20.3 %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20.4 %</w:t>
            </w:r>
          </w:p>
        </w:tc>
      </w:tr>
      <w:tr>
        <w:trPr>
          <w:trHeight w:val="20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Aetna</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r>
      <w:tr>
        <w:trPr>
          <w:trHeight w:val="198"/>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Elevance Health</w:t>
            </w:r>
          </w:p>
        </w:tc>
        <w:tc>
          <w:tcPr>
            <w:tcW w:w="480" w:type="dxa"/>
            <w:vAlign w:val="bottom"/>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20.1 %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17.6 %</w:t>
            </w:r>
          </w:p>
        </w:tc>
      </w:tr>
      <w:tr>
        <w:trPr>
          <w:trHeight w:val="20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Centene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does not require collateral or other security in granting credit. As of June 30, 2024, two customers each represented 10% or more of the Company’s total accounts receivable and unbilled receivables and, in aggregate, represented 91.6%, or $13.8 million, of the combined total. As of December 31, 2023, three customers each represented 10% or more of the Company’s total accounts receivable and unbilled receivables and, in aggregate, represented 88.3%, or $32.1 million, of the combined total. Unbilled receivables are included in prepaid expense and other current assets on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10. LEASES</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Company has entered into operating agreements with lease periods expiring between 2024 and 2032. Lease expense for operating lease payments is recognized on a straight-line basis over the lease term.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Components of lease expense are as follows, all recorded within operating expenses in the Condensed Consolidated Statement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Jun.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Six months ended Jun. 30,</w:t>
            </w: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97"/>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198"/>
        </w:trPr>
        <w:tc>
          <w:tcPr>
            <w:tcW w:w="4420" w:type="dxa"/>
            <w:vAlign w:val="bottom"/>
          </w:tcPr>
          <w:p>
            <w:pPr>
              <w:ind w:left="20"/>
              <w:spacing w:after="0"/>
              <w:rPr>
                <w:sz w:val="20"/>
                <w:szCs w:val="20"/>
                <w:color w:val="auto"/>
              </w:rPr>
            </w:pPr>
            <w:r>
              <w:rPr>
                <w:rFonts w:ascii="Arial" w:cs="Arial" w:eastAsia="Arial" w:hAnsi="Arial"/>
                <w:sz w:val="14"/>
                <w:szCs w:val="14"/>
                <w:color w:val="auto"/>
              </w:rPr>
              <w:t>Short-term lease cost</w:t>
            </w:r>
            <w:r>
              <w:rPr>
                <w:rFonts w:ascii="Arial" w:cs="Arial" w:eastAsia="Arial" w:hAnsi="Arial"/>
                <w:sz w:val="9"/>
                <w:szCs w:val="9"/>
                <w:color w:val="auto"/>
              </w:rPr>
              <w:t>(1)</w:t>
            </w:r>
          </w:p>
        </w:tc>
        <w:tc>
          <w:tcPr>
            <w:tcW w:w="1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7"/>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cost</w:t>
            </w:r>
            <w:r>
              <w:rPr>
                <w:rFonts w:ascii="Arial" w:cs="Arial" w:eastAsia="Arial" w:hAnsi="Arial"/>
                <w:sz w:val="9"/>
                <w:szCs w:val="9"/>
                <w:color w:val="auto"/>
              </w:rPr>
              <w:t>(2)</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9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r>
      <w:tr>
        <w:trPr>
          <w:trHeight w:val="22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net lease expense</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1,457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3,079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costs related to leases, which at the commencement date, have a lease term of 12 months or less.</w:t>
      </w:r>
    </w:p>
    <w:p>
      <w:pPr>
        <w:spacing w:after="0" w:line="9" w:lineRule="exact"/>
        <w:rPr>
          <w:rFonts w:ascii="Arial" w:cs="Arial" w:eastAsia="Arial" w:hAnsi="Arial"/>
          <w:sz w:val="13"/>
          <w:szCs w:val="13"/>
          <w:i w:val="1"/>
          <w:iCs w:val="1"/>
          <w:color w:val="auto"/>
        </w:rPr>
      </w:pPr>
    </w:p>
    <w:p>
      <w:pPr>
        <w:ind w:left="340" w:right="300" w:hanging="332"/>
        <w:spacing w:after="0" w:line="245" w:lineRule="auto"/>
        <w:tabs>
          <w:tab w:leader="none" w:pos="332"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costs incurred by the Company for the right to use an underlying asset that vary because of changes in facts or circumstances occurring after the commencement date, other than the passage of time.</w:t>
      </w:r>
    </w:p>
    <w:p>
      <w:pPr>
        <w:spacing w:after="0" w:line="227"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operating lease impairment charges of $2.7 million for the three and six months ended June 30, 2023. The Company recorded no operating lease impairment charges for the three and six months ended June 30, 2024. Refer to Note 2. “Fair Value Measurements”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future minimum lease payments for operating leases consisted of the following:</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97"/>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98"/>
        </w:trPr>
        <w:tc>
          <w:tcPr>
            <w:tcW w:w="9600" w:type="dxa"/>
            <w:vAlign w:val="bottom"/>
          </w:tcPr>
          <w:p>
            <w:pPr>
              <w:ind w:left="20"/>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207"/>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7,754</w:t>
            </w:r>
          </w:p>
        </w:tc>
        <w:tc>
          <w:tcPr>
            <w:tcW w:w="0" w:type="dxa"/>
            <w:vAlign w:val="bottom"/>
          </w:tcPr>
          <w:p>
            <w:pPr>
              <w:spacing w:after="0"/>
              <w:rPr>
                <w:sz w:val="1"/>
                <w:szCs w:val="1"/>
                <w:color w:val="auto"/>
              </w:rPr>
            </w:pPr>
          </w:p>
        </w:tc>
      </w:tr>
      <w:tr>
        <w:trPr>
          <w:trHeight w:val="198"/>
        </w:trPr>
        <w:tc>
          <w:tcPr>
            <w:tcW w:w="9600" w:type="dxa"/>
            <w:vAlign w:val="bottom"/>
          </w:tcPr>
          <w:p>
            <w:pPr>
              <w:ind w:left="20"/>
              <w:spacing w:after="0"/>
              <w:rPr>
                <w:sz w:val="20"/>
                <w:szCs w:val="20"/>
                <w:color w:val="auto"/>
              </w:rPr>
            </w:pPr>
            <w:r>
              <w:rPr>
                <w:rFonts w:ascii="Arial" w:cs="Arial" w:eastAsia="Arial" w:hAnsi="Arial"/>
                <w:sz w:val="14"/>
                <w:szCs w:val="14"/>
                <w:color w:val="auto"/>
              </w:rPr>
              <w:t>2027</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207"/>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7,025</w:t>
            </w:r>
          </w:p>
        </w:tc>
        <w:tc>
          <w:tcPr>
            <w:tcW w:w="0" w:type="dxa"/>
            <w:vAlign w:val="bottom"/>
          </w:tcPr>
          <w:p>
            <w:pPr>
              <w:spacing w:after="0"/>
              <w:rPr>
                <w:sz w:val="1"/>
                <w:szCs w:val="1"/>
                <w:color w:val="auto"/>
              </w:rPr>
            </w:pPr>
          </w:p>
        </w:tc>
      </w:tr>
      <w:tr>
        <w:trPr>
          <w:trHeight w:val="198"/>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20,431</w:t>
            </w:r>
          </w:p>
        </w:tc>
        <w:tc>
          <w:tcPr>
            <w:tcW w:w="0" w:type="dxa"/>
            <w:vAlign w:val="bottom"/>
          </w:tcPr>
          <w:p>
            <w:pPr>
              <w:spacing w:after="0"/>
              <w:rPr>
                <w:sz w:val="1"/>
                <w:szCs w:val="1"/>
                <w:color w:val="auto"/>
              </w:rPr>
            </w:pPr>
          </w:p>
        </w:tc>
      </w:tr>
      <w:tr>
        <w:trPr>
          <w:trHeight w:val="22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56,206</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Imputed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(14,530)</w:t>
            </w:r>
          </w:p>
        </w:tc>
        <w:tc>
          <w:tcPr>
            <w:tcW w:w="0" w:type="dxa"/>
            <w:vAlign w:val="bottom"/>
          </w:tcPr>
          <w:p>
            <w:pPr>
              <w:spacing w:after="0"/>
              <w:rPr>
                <w:sz w:val="1"/>
                <w:szCs w:val="1"/>
                <w:color w:val="auto"/>
              </w:rPr>
            </w:pPr>
          </w:p>
        </w:tc>
      </w:tr>
      <w:tr>
        <w:trPr>
          <w:trHeight w:val="22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41,676</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are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800" w:type="dxa"/>
            <w:vAlign w:val="bottom"/>
            <w:gridSpan w:val="3"/>
          </w:tcPr>
          <w:p>
            <w:pPr>
              <w:ind w:left="360"/>
              <w:spacing w:after="0"/>
              <w:rPr>
                <w:sz w:val="20"/>
                <w:szCs w:val="20"/>
                <w:color w:val="auto"/>
              </w:rPr>
            </w:pPr>
            <w:r>
              <w:rPr>
                <w:rFonts w:ascii="Arial" w:cs="Arial" w:eastAsia="Arial" w:hAnsi="Arial"/>
                <w:sz w:val="14"/>
                <w:szCs w:val="14"/>
                <w:b w:val="1"/>
                <w:bCs w:val="1"/>
                <w:color w:val="auto"/>
              </w:rPr>
              <w:t>Three months ended Jun. 30,</w:t>
            </w:r>
          </w:p>
        </w:tc>
        <w:tc>
          <w:tcPr>
            <w:tcW w:w="27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Six months ended Jun. 30,</w:t>
            </w:r>
          </w:p>
        </w:tc>
      </w:tr>
      <w:tr>
        <w:trPr>
          <w:trHeight w:val="196"/>
        </w:trPr>
        <w:tc>
          <w:tcPr>
            <w:tcW w:w="5700" w:type="dxa"/>
            <w:vAlign w:val="bottom"/>
          </w:tcPr>
          <w:p>
            <w:pPr>
              <w:spacing w:after="0"/>
              <w:rPr>
                <w:sz w:val="20"/>
                <w:szCs w:val="20"/>
                <w:color w:val="auto"/>
              </w:rPr>
            </w:pPr>
            <w:r>
              <w:rPr>
                <w:rFonts w:ascii="Arial" w:cs="Arial" w:eastAsia="Arial" w:hAnsi="Arial"/>
                <w:sz w:val="14"/>
                <w:szCs w:val="14"/>
                <w:color w:val="auto"/>
              </w:rPr>
              <w:t>(in thousands)</w:t>
            </w:r>
          </w:p>
        </w:tc>
        <w:tc>
          <w:tcPr>
            <w:tcW w:w="136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auto"/>
        </w:rPr>
        <w:t>Cash paid for amounts included in the measurement of lease liabilities:</w:t>
      </w:r>
    </w:p>
    <w:p>
      <w:pPr>
        <w:spacing w:after="0" w:line="40" w:lineRule="exact"/>
        <w:rPr>
          <w:sz w:val="20"/>
          <w:szCs w:val="20"/>
          <w:color w:val="auto"/>
        </w:rPr>
      </w:pPr>
    </w:p>
    <w:p>
      <w:pPr>
        <w:ind w:left="240"/>
        <w:spacing w:after="0"/>
        <w:tabs>
          <w:tab w:leader="none" w:pos="5720" w:val="left"/>
          <w:tab w:leader="none" w:pos="6580" w:val="left"/>
          <w:tab w:leader="none" w:pos="7120" w:val="left"/>
          <w:tab w:leader="none" w:pos="7980" w:val="left"/>
          <w:tab w:leader="none" w:pos="8520" w:val="left"/>
          <w:tab w:leader="none" w:pos="9380" w:val="left"/>
          <w:tab w:leader="none" w:pos="9920" w:val="left"/>
          <w:tab w:leader="none" w:pos="10800" w:val="left"/>
        </w:tabs>
        <w:rPr>
          <w:sz w:val="20"/>
          <w:szCs w:val="20"/>
          <w:color w:val="auto"/>
        </w:rPr>
      </w:pPr>
      <w:r>
        <w:rPr>
          <w:rFonts w:ascii="Arial" w:cs="Arial" w:eastAsia="Arial" w:hAnsi="Arial"/>
          <w:sz w:val="14"/>
          <w:szCs w:val="14"/>
          <w:color w:val="auto"/>
        </w:rPr>
        <w:t>Operating cash flows from operating leases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2,680</w:t>
        <w:tab/>
        <w:t>$</w:t>
      </w:r>
      <w:r>
        <w:rPr>
          <w:sz w:val="20"/>
          <w:szCs w:val="20"/>
          <w:color w:val="auto"/>
        </w:rPr>
        <w:tab/>
      </w:r>
      <w:r>
        <w:rPr>
          <w:rFonts w:ascii="Arial" w:cs="Arial" w:eastAsia="Arial" w:hAnsi="Arial"/>
          <w:sz w:val="14"/>
          <w:szCs w:val="14"/>
          <w:color w:val="auto"/>
        </w:rPr>
        <w:t>3,705</w:t>
        <w:tab/>
        <w:t>$</w:t>
      </w:r>
      <w:r>
        <w:rPr>
          <w:sz w:val="20"/>
          <w:szCs w:val="20"/>
          <w:color w:val="auto"/>
        </w:rPr>
        <w:tab/>
      </w:r>
      <w:r>
        <w:rPr>
          <w:rFonts w:ascii="Arial" w:cs="Arial" w:eastAsia="Arial" w:hAnsi="Arial"/>
          <w:sz w:val="14"/>
          <w:szCs w:val="14"/>
          <w:color w:val="auto"/>
        </w:rPr>
        <w:t>5,443</w:t>
        <w:tab/>
        <w:t>$</w:t>
      </w:r>
      <w:r>
        <w:rPr>
          <w:sz w:val="20"/>
          <w:szCs w:val="20"/>
          <w:color w:val="auto"/>
        </w:rPr>
        <w:tab/>
      </w:r>
      <w:r>
        <w:rPr>
          <w:rFonts w:ascii="Arial" w:cs="Arial" w:eastAsia="Arial" w:hAnsi="Arial"/>
          <w:sz w:val="14"/>
          <w:szCs w:val="14"/>
          <w:color w:val="auto"/>
        </w:rPr>
        <w:t>7,048</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operating lease term and discount rate are as follows:</w:t>
      </w:r>
    </w:p>
    <w:p>
      <w:pPr>
        <w:spacing w:after="0" w:line="266"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Jun.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97"/>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 years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years</w:t>
            </w:r>
          </w:p>
        </w:tc>
      </w:tr>
      <w:tr>
        <w:trPr>
          <w:trHeight w:val="195"/>
        </w:trPr>
        <w:tc>
          <w:tcPr>
            <w:tcW w:w="87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66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8.1 %</w:t>
            </w:r>
          </w:p>
        </w:tc>
      </w:tr>
    </w:tbl>
    <w:p>
      <w:pPr>
        <w:spacing w:after="0" w:line="304" w:lineRule="exact"/>
        <w:rPr>
          <w:sz w:val="20"/>
          <w:szCs w:val="20"/>
          <w:color w:val="auto"/>
        </w:rPr>
      </w:pPr>
    </w:p>
    <w:p>
      <w:pPr>
        <w:ind w:right="7960" w:firstLine="8"/>
        <w:spacing w:after="0" w:line="554" w:lineRule="auto"/>
        <w:tabs>
          <w:tab w:leader="none" w:pos="261" w:val="left"/>
        </w:tabs>
        <w:numPr>
          <w:ilvl w:val="0"/>
          <w:numId w:val="14"/>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COMMITMENTS AND CONTINGENCIES </w:t>
      </w:r>
      <w:r>
        <w:rPr>
          <w:rFonts w:ascii="Arial" w:cs="Arial" w:eastAsia="Arial" w:hAnsi="Arial"/>
          <w:sz w:val="16"/>
          <w:szCs w:val="16"/>
          <w:b w:val="1"/>
          <w:bCs w:val="1"/>
          <w:color w:val="000000"/>
        </w:rPr>
        <w:t>Legal Proceedings</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September 2020, three purported securities class action complaints were filed in the U.S.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In December 2023, the parties notified the court that they had reached an agreement in principle to settle the Securities Class Action. On February 7, 2024, the plaintiffs filed an application with the court seeking preliminary approval of the parties’ proposed settlement, which application was granted by the court on February 27, 2024. The terms of the parties’ settlement agreement are contained in the settlement documents filed with the court on February 7, 2024. On May 22, 2024, the Court granted its final approval of the settlement, fully resolving the Securities Class Action.</w:t>
      </w:r>
    </w:p>
    <w:p>
      <w:pPr>
        <w:spacing w:after="0" w:line="21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On May 19, 2021, a derivative action (the “Derivative Action”) was filed in the U.S.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 The settlement in the Securities Class Action will not resolve the Derivative Action. The Company is contesting the Derivative Action, but may pursue settlement negotiations, as it deems appropriate.</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Although outcomes of unresolved cases are uncertain until final disposition, the Company establishes an accrual for such matters when a loss is deemed to be probable and reasonably estimable. The Company previously disclosed that it recorded a $12.0 million accrual for the Securities Class Action and the Derivative Action. On March 13, 2024, the Company paid $10.5 million toward the Securities Class Action settlement. This payment was the remaining amount of the retention amount for which the Company was responsible under its applicable directors’ and officers’ liability insurance policies. The Company does not expect to make any further contribution to the settlement amount in the Securities Class Action. The remaining settlement amount was paid by the Company’s insurance carriers under the applicable insurance policies and pursuant to the terms of the approved settlement.</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21</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00497F"/>
        </w:rPr>
        <w:t>12. RELATED PARTY TRANSACTIONS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is party to various lease agreements with 214 W Huron LLC, 220 W Huron Street Holdings LLC, 215 W Superior LLC and Wilson Tech 5, LLC, each of which is controlled by significant stockholders of the Company, to lease its former corporate offices in Chicago, Illinois and offices in Lindon, Utah. The Company pays rent, operating expenses, maintenance and utilities under the terms of the leases. For both the three months ended June 30, 2024 and 2023, the Company made aggregate lease payments of $1.5 million. For the six months ended June 30, 2024 and 2023, the Company made aggregate lease payments of $3.0 million and $2.9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13. RESTRUCTURING COSTS</w:t>
      </w: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consumer care and enrollment group. The majority of the restructuring charges incurred relate to employee termination benefits and will be settled in cash through the third quarter of 2024. The restructuring activities related to this plan were materially complete as of December 31, 2022. The Company evaluates restructuring charges in accordance with ASC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and ASC 712 </w:t>
      </w:r>
      <w:r>
        <w:rPr>
          <w:rFonts w:ascii="Arial" w:cs="Arial" w:eastAsia="Arial" w:hAnsi="Arial"/>
          <w:sz w:val="16"/>
          <w:szCs w:val="16"/>
          <w:i w:val="1"/>
          <w:iCs w:val="1"/>
          <w:color w:val="auto"/>
        </w:rPr>
        <w:t>Compensation—Nonretirement Post-Employment Benefits.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no restructuring and other related charges during the three and six months ended June 30, 2024 and 2023.</w:t>
      </w:r>
    </w:p>
    <w:p>
      <w:pPr>
        <w:spacing w:after="0" w:line="23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provides the changes in the Company’s restructuring and other related charges that will be settled in cash, included in accrued liabilities on the 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Six months ended Jun. 30,</w:t>
            </w:r>
          </w:p>
        </w:tc>
        <w:tc>
          <w:tcPr>
            <w:tcW w:w="0" w:type="dxa"/>
            <w:vAlign w:val="bottom"/>
          </w:tcPr>
          <w:p>
            <w:pPr>
              <w:spacing w:after="0"/>
              <w:rPr>
                <w:sz w:val="1"/>
                <w:szCs w:val="1"/>
                <w:color w:val="auto"/>
              </w:rPr>
            </w:pPr>
          </w:p>
        </w:tc>
      </w:tr>
      <w:tr>
        <w:trPr>
          <w:trHeight w:val="19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tcBorders>
              <w:lef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198"/>
        </w:trPr>
        <w:tc>
          <w:tcPr>
            <w:tcW w:w="4840" w:type="dxa"/>
            <w:vAlign w:val="bottom"/>
          </w:tcPr>
          <w:p>
            <w:pPr>
              <w:ind w:left="140"/>
              <w:spacing w:after="0"/>
              <w:rPr>
                <w:sz w:val="20"/>
                <w:szCs w:val="20"/>
                <w:color w:val="auto"/>
              </w:rPr>
            </w:pPr>
            <w:r>
              <w:rPr>
                <w:rFonts w:ascii="Arial" w:cs="Arial" w:eastAsia="Arial" w:hAnsi="Arial"/>
                <w:sz w:val="14"/>
                <w:szCs w:val="14"/>
                <w:color w:val="auto"/>
              </w:rPr>
              <w:t>Charges incurred</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w:t>
            </w: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Ending balance</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1,257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660"/>
              <w:spacing w:after="0"/>
              <w:rPr>
                <w:sz w:val="20"/>
                <w:szCs w:val="20"/>
                <w:color w:val="auto"/>
              </w:rPr>
            </w:pPr>
            <w:r>
              <w:rPr>
                <w:rFonts w:ascii="Arial" w:cs="Arial" w:eastAsia="Arial" w:hAnsi="Arial"/>
                <w:sz w:val="14"/>
                <w:szCs w:val="14"/>
                <w:color w:val="auto"/>
              </w:rPr>
              <w:t>GoHealth, Inc.</w:t>
            </w:r>
          </w:p>
        </w:tc>
        <w:tc>
          <w:tcPr>
            <w:tcW w:w="20" w:type="dxa"/>
            <w:vAlign w:val="bottom"/>
          </w:tcPr>
          <w:p>
            <w:pPr>
              <w:spacing w:after="0" w:line="20" w:lineRule="exact"/>
              <w:rPr>
                <w:sz w:val="1"/>
                <w:szCs w:val="1"/>
                <w:color w:val="auto"/>
              </w:rPr>
            </w:pPr>
          </w:p>
        </w:tc>
        <w:tc>
          <w:tcPr>
            <w:tcW w:w="1540" w:type="dxa"/>
            <w:vAlign w:val="bottom"/>
            <w:vMerge w:val="restart"/>
          </w:tcPr>
          <w:p>
            <w:pPr>
              <w:ind w:left="240"/>
              <w:spacing w:after="0"/>
              <w:rPr>
                <w:sz w:val="20"/>
                <w:szCs w:val="20"/>
                <w:color w:val="auto"/>
              </w:rPr>
            </w:pPr>
            <w:r>
              <w:rPr>
                <w:rFonts w:ascii="Arial" w:cs="Arial" w:eastAsia="Arial" w:hAnsi="Arial"/>
                <w:sz w:val="14"/>
                <w:szCs w:val="14"/>
                <w:color w:val="auto"/>
              </w:rPr>
              <w:t>2024 Form 10-Q</w:t>
            </w: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540" w:type="dxa"/>
            <w:vAlign w:val="bottom"/>
            <w:vMerge w:val="continue"/>
          </w:tcPr>
          <w:p>
            <w:pPr>
              <w:spacing w:after="0"/>
              <w:rPr>
                <w:sz w:val="17"/>
                <w:szCs w:val="17"/>
                <w:color w:val="auto"/>
              </w:rPr>
            </w:pPr>
          </w:p>
        </w:tc>
        <w:tc>
          <w:tcPr>
            <w:tcW w:w="700" w:type="dxa"/>
            <w:vAlign w:val="bottom"/>
            <w:tcBorders>
              <w:left w:val="single" w:sz="8" w:color="auto"/>
            </w:tcBorders>
          </w:tcPr>
          <w:p>
            <w:pPr>
              <w:jc w:val="right"/>
              <w:ind w:right="348"/>
              <w:spacing w:after="0"/>
              <w:rPr>
                <w:sz w:val="20"/>
                <w:szCs w:val="20"/>
                <w:color w:val="auto"/>
              </w:rPr>
            </w:pPr>
            <w:r>
              <w:rPr>
                <w:rFonts w:ascii="Arial" w:cs="Arial" w:eastAsia="Arial" w:hAnsi="Arial"/>
                <w:sz w:val="14"/>
                <w:szCs w:val="14"/>
                <w:color w:val="auto"/>
              </w:rPr>
              <w:t>22</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FFFFFF"/>
        </w:rPr>
        <w:t>ITEM 2. MANAGEMENT’S DISCUSSION AND ANALYSIS OF FINANCIAL CONDITIONS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358"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 titled “Cautionary Note Regarding Forward-Looking Statements” in this Quarterly Report on Form 10-Q, and the sections titled “Cautionary Note Regarding Forward-Looking Statements,” “Summary Risk Factors” and “Risk Factors” in our 2023 Annual Report on Form 10-K. The risks and uncertainties described in our 2023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all dollars are in thousands. In certain cases, numbers and percentages in the tables below may not foot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are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65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across the nation that provide access to high quality health plans across all 50 states.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 on Business Trends and Strategy</w:t>
      </w:r>
    </w:p>
    <w:p>
      <w:pPr>
        <w:spacing w:after="0" w:line="26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GoHealth has evolved from a traditional Medicare enrollment company to a Medicare engagement company, focusing on forging high-quality relationships with our consumers. This shift emphasizes a more integrated and interactive approach to consumer care and reflects how our Encompass operating model, which is now operating at scale with all key health plan partners,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Encompass operating model supports all Medicare services, including agency and non-agency revenue. Agency revenue refers to the commission revenue and partner marketing and other revenue we receive when GoHealth’s internal agents or our external agents enroll the consumer and submit the policy application to the health plan partner, becoming the agent of record. Non-agency revenue refers to services we provide that support enrollment and engagement activities in which GoHealth is not the agent of record. During the second quarter of 2023 we began offering these enrollment and engagement services to our external agents, which we refer to as our vConnect program. The non-agency model moves away from the agency structure in that cash is collected in advance or in close proximity to the point in time revenue is recognized.</w:t>
      </w: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enrollment and engagement services offered through our non-agency model are strategically designed to enhance the consumer experience, reflecting our focus on building trusted, long-term relationships with our consumers. Non-agency revenue slightly decreased from 20% of total Medicare revenue for the three months ended June 30, 2023 to 19% of total Medicare revenue for the three months ended June 30, 2024. The shift from non-agency to agency revenue is a result of changing carrier mix within the non-agency channel. Non-agency revenue increased from 24% of total Medicare revenue for the six months ended June 30, 2023 to 37% of total Medicare revenue during the six months ended June 30, 2024. The mix of agency and non-agency contracts is dependent on the plans most suitable for the consumers we serve and is impacted by changing market dynamics as further described below.</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continue to refine our Encompass operating model through investments in technology. Last year, we introduced PlanFit CheckUp, utilizing analytics from nearly thirty million consumer touchpoints and machine learning to help our licensed agents accurately match consumers with the best Medicare plans for their needs. PlanFit CheckUp enables consumers to regularly assess the appropriateness of their current plan through a data-driven customized process, guided by the trusted expertise of 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26" w:name="page27"/>
    <w:bookmarkEnd w:id="26"/>
    <w:p>
      <w:pPr>
        <w:ind w:right="140"/>
        <w:spacing w:after="0" w:line="286" w:lineRule="auto"/>
        <w:rPr>
          <w:sz w:val="20"/>
          <w:szCs w:val="20"/>
          <w:color w:val="auto"/>
        </w:rPr>
      </w:pPr>
      <w:r>
        <w:rPr>
          <w:rFonts w:ascii="Arial" w:cs="Arial" w:eastAsia="Arial" w:hAnsi="Arial"/>
          <w:sz w:val="16"/>
          <w:szCs w:val="16"/>
          <w:color w:val="auto"/>
        </w:rPr>
        <w:t>licensed GoHealth agent. In addition to further developing PlanFit Checkups, we are investing in technologies like Customer 360. Customer 360 provides a unified view of the consumer across every touchpoint to ensure high-quality, personalized service at every point of the consumer journey.</w:t>
      </w:r>
    </w:p>
    <w:p>
      <w:pPr>
        <w:spacing w:after="0" w:line="19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This year, driven by artificial intelligence and automation, we are focusing on streamlining processes and improving call handle times. As part of this effort, we launched Encompass Express, an enhanced, consumer-centric operating model built on the foundation of our original Encompass workflow. Encompass Express includes streamlined scripting and hand-offs, utilizing technology-driven standardization and automation to deliver efficiency and enhance the consumer experience while maintaining quality.</w:t>
      </w:r>
    </w:p>
    <w:p>
      <w:pPr>
        <w:spacing w:after="0" w:line="200"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the 2023 AEP we observed a unique set of market dynamics where for the first time in recent years the health plan partners on average made very little change to benefits, with many reducing benefits for the average Medicare consumer. As a result, we observed higher shopping but lower switching. In response to these observed market dynamics we enhanced our targeted marketing efforts to identify consumers in need of new health plan options.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introduction in April 2024 of the Centers for Medicare and Medicaid Services (“CMS”) final rate notice on commissions for the 2025 plan year and the Final 2025 Marketing Rule (the “CMS Final Rule”) has implications for Medicare Advantage plans, potentially affecting benefit structures and necessitating more dynamic consumer shopping behaviors during the upcoming AEP. We continue to enhance our targeted marketing efforts to help health plan partners achieve targeted growth in specific markets and products. As the landscape becomes more complex, we believe GoHealth’s role as a reliable guide becomes increasingly critical. We are analyzing the implications of the CMS Final Rule with our health plan partners and closely monitoring its effects on the Medicare landscape. Further discussion of how changes and developments in the laws and regulations governing the health insurance markets in the U.S. could materially affect our business, operating results, financial condition and qualified prospects is included under the heading “Item 1A. Risk Factors” in our 2023 Annual Report on Form 10-K.</w:t>
      </w:r>
    </w:p>
    <w:p>
      <w:pPr>
        <w:spacing w:after="0" w:line="21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Additionally, the Company made the strategic decision to exit its Non-Encompass BPO Services, or services in which we dedicate certain agents to specific health plan partners and agencies outside of the Encompass model, to focus on our core business. The exit was completed during the second quarter of 2023. During the three and six months ended June 30, 2023, Non-Encompass BPO Services contributed $2.5 million and $9.3 million of net revenues, respectively.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and six months ended June 30, 2024 was 56.2% and 56.5%, respectively. The non-controlling interest holders' weighted average ownership percentages for the three and six months ended June 30, 2023 were 58.8% and 59.0%,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June 30,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149225</wp:posOffset>
            </wp:positionV>
            <wp:extent cx="5143500" cy="2143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ind w:right="200"/>
        <w:spacing w:after="0" w:line="275" w:lineRule="auto"/>
        <w:rPr>
          <w:sz w:val="20"/>
          <w:szCs w:val="20"/>
          <w:color w:val="auto"/>
        </w:rPr>
      </w:pPr>
      <w:r>
        <w:rPr>
          <w:rFonts w:ascii="Arial" w:cs="Arial" w:eastAsia="Arial" w:hAnsi="Arial"/>
          <w:sz w:val="16"/>
          <w:szCs w:val="16"/>
          <w:color w:val="auto"/>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Condensed Consolidated Financial Statements.</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6"/>
          <w:szCs w:val="16"/>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consolidated results of operations for the three and six months ended June 30,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color w:val="auto"/>
              </w:rPr>
              <w:t>Three months ended Jun. 30,</w:t>
            </w:r>
          </w:p>
        </w:tc>
        <w:tc>
          <w:tcPr>
            <w:tcW w:w="340" w:type="dxa"/>
            <w:vAlign w:val="bottom"/>
          </w:tcPr>
          <w:p>
            <w:pPr>
              <w:spacing w:after="0"/>
              <w:rPr>
                <w:sz w:val="17"/>
                <w:szCs w:val="17"/>
                <w:color w:val="auto"/>
              </w:rPr>
            </w:pPr>
          </w:p>
        </w:tc>
        <w:tc>
          <w:tcPr>
            <w:tcW w:w="2840" w:type="dxa"/>
            <w:vAlign w:val="bottom"/>
            <w:gridSpan w:val="4"/>
          </w:tcPr>
          <w:p>
            <w:pPr>
              <w:jc w:val="center"/>
              <w:ind w:right="268"/>
              <w:spacing w:after="0"/>
              <w:rPr>
                <w:sz w:val="20"/>
                <w:szCs w:val="20"/>
                <w:color w:val="auto"/>
              </w:rPr>
            </w:pPr>
            <w:r>
              <w:rPr>
                <w:rFonts w:ascii="Arial" w:cs="Arial" w:eastAsia="Arial" w:hAnsi="Arial"/>
                <w:sz w:val="14"/>
                <w:szCs w:val="14"/>
                <w:color w:val="auto"/>
              </w:rPr>
              <w:t>Six months ended Jun. 30,</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ind w:left="24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105,870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142,779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291,470</w:t>
            </w:r>
          </w:p>
        </w:tc>
        <w:tc>
          <w:tcPr>
            <w:tcW w:w="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325,937</w:t>
            </w:r>
          </w:p>
        </w:tc>
        <w:tc>
          <w:tcPr>
            <w:tcW w:w="0" w:type="dxa"/>
            <w:vAlign w:val="bottom"/>
          </w:tcPr>
          <w:p>
            <w:pPr>
              <w:spacing w:after="0"/>
              <w:rPr>
                <w:sz w:val="1"/>
                <w:szCs w:val="1"/>
                <w:color w:val="auto"/>
              </w:rPr>
            </w:pPr>
          </w:p>
        </w:tc>
      </w:tr>
      <w:tr>
        <w:trPr>
          <w:trHeight w:val="177"/>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tcBorders>
              <w:top w:val="single" w:sz="8" w:color="929292"/>
            </w:tcBorders>
            <w:shd w:val="clear" w:color="auto" w:fill="929292"/>
          </w:tcPr>
          <w:p>
            <w:pPr>
              <w:spacing w:after="0"/>
              <w:rPr>
                <w:sz w:val="15"/>
                <w:szCs w:val="15"/>
                <w:color w:val="auto"/>
              </w:rPr>
            </w:pPr>
          </w:p>
        </w:tc>
        <w:tc>
          <w:tcPr>
            <w:tcW w:w="340" w:type="dxa"/>
            <w:vAlign w:val="bottom"/>
            <w:tcBorders>
              <w:top w:val="single" w:sz="8" w:color="929292"/>
            </w:tcBorders>
          </w:tcPr>
          <w:p>
            <w:pPr>
              <w:spacing w:after="0"/>
              <w:rPr>
                <w:sz w:val="15"/>
                <w:szCs w:val="15"/>
                <w:color w:val="auto"/>
              </w:rPr>
            </w:pPr>
          </w:p>
        </w:tc>
        <w:tc>
          <w:tcPr>
            <w:tcW w:w="1140" w:type="dxa"/>
            <w:vAlign w:val="bottom"/>
            <w:tcBorders>
              <w:top w:val="single" w:sz="8" w:color="929292"/>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929292"/>
            </w:tcBorders>
          </w:tcPr>
          <w:p>
            <w:pPr>
              <w:spacing w:after="0"/>
              <w:rPr>
                <w:sz w:val="15"/>
                <w:szCs w:val="15"/>
                <w:color w:val="auto"/>
              </w:rPr>
            </w:pPr>
          </w:p>
        </w:tc>
        <w:tc>
          <w:tcPr>
            <w:tcW w:w="1140" w:type="dxa"/>
            <w:vAlign w:val="bottom"/>
            <w:tcBorders>
              <w:top w:val="single" w:sz="8" w:color="929292"/>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929292"/>
            </w:tcBorders>
          </w:tcPr>
          <w:p>
            <w:pPr>
              <w:spacing w:after="0"/>
              <w:rPr>
                <w:sz w:val="15"/>
                <w:szCs w:val="15"/>
                <w:color w:val="auto"/>
              </w:rPr>
            </w:pPr>
          </w:p>
        </w:tc>
        <w:tc>
          <w:tcPr>
            <w:tcW w:w="1140" w:type="dxa"/>
            <w:vAlign w:val="bottom"/>
            <w:tcBorders>
              <w:top w:val="single" w:sz="8" w:color="929292"/>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929292"/>
            </w:tcBorders>
          </w:tcPr>
          <w:p>
            <w:pPr>
              <w:spacing w:after="0"/>
              <w:rPr>
                <w:sz w:val="15"/>
                <w:szCs w:val="15"/>
                <w:color w:val="auto"/>
              </w:rPr>
            </w:pPr>
          </w:p>
        </w:tc>
        <w:tc>
          <w:tcPr>
            <w:tcW w:w="1140" w:type="dxa"/>
            <w:vAlign w:val="bottom"/>
            <w:tcBorders>
              <w:top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20,680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36,422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58,693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81,884</w:t>
            </w: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38,004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39,269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90,779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85,012</w:t>
            </w: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39,314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45,536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87,175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87,563</w:t>
            </w: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8,570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10,511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19,120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20,054</w:t>
            </w: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16,398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37,855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33,317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60,473</w:t>
            </w: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23,515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47,028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47,029</w:t>
            </w:r>
          </w:p>
        </w:tc>
        <w:tc>
          <w:tcPr>
            <w:tcW w:w="0" w:type="dxa"/>
            <w:vAlign w:val="bottom"/>
          </w:tcPr>
          <w:p>
            <w:pPr>
              <w:spacing w:after="0"/>
              <w:rPr>
                <w:sz w:val="1"/>
                <w:szCs w:val="1"/>
                <w:color w:val="auto"/>
              </w:rPr>
            </w:pPr>
          </w:p>
        </w:tc>
      </w:tr>
      <w:tr>
        <w:trPr>
          <w:trHeight w:val="208"/>
        </w:trPr>
        <w:tc>
          <w:tcPr>
            <w:tcW w:w="482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tcBorders>
              <w:bottom w:val="single" w:sz="8" w:color="929292"/>
            </w:tcBorders>
            <w:shd w:val="clear" w:color="auto" w:fill="929292"/>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146,480</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195,795</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336,112</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384,702</w:t>
            </w:r>
          </w:p>
        </w:tc>
        <w:tc>
          <w:tcPr>
            <w:tcW w:w="0" w:type="dxa"/>
            <w:vAlign w:val="bottom"/>
          </w:tcPr>
          <w:p>
            <w:pPr>
              <w:spacing w:after="0"/>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(40,610)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(53,016)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(44,642)</w:t>
            </w:r>
          </w:p>
        </w:tc>
        <w:tc>
          <w:tcPr>
            <w:tcW w:w="5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(58,765)</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18,096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17,265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36,047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34,156</w:t>
            </w: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0"/>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rPr>
              <w:t>(59,354)</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(70,302)</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(80,771)</w:t>
            </w:r>
          </w:p>
        </w:tc>
        <w:tc>
          <w:tcPr>
            <w:tcW w:w="22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(92,889)</w:t>
            </w:r>
          </w:p>
        </w:tc>
        <w:tc>
          <w:tcPr>
            <w:tcW w:w="0" w:type="dxa"/>
            <w:vAlign w:val="bottom"/>
          </w:tcPr>
          <w:p>
            <w:pPr>
              <w:spacing w:after="0"/>
              <w:rPr>
                <w:sz w:val="1"/>
                <w:szCs w:val="1"/>
                <w:color w:val="auto"/>
              </w:rPr>
            </w:pPr>
          </w:p>
        </w:tc>
      </w:tr>
      <w:tr>
        <w:trPr>
          <w:trHeight w:val="192"/>
        </w:trPr>
        <w:tc>
          <w:tcPr>
            <w:tcW w:w="482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0"/>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rPr>
              <w:t>(59,314)</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(70,229)</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(80,660)</w:t>
            </w:r>
          </w:p>
        </w:tc>
        <w:tc>
          <w:tcPr>
            <w:tcW w:w="22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(92,772)</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(33,318)</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(41,287)</w:t>
            </w:r>
          </w:p>
        </w:tc>
        <w:tc>
          <w:tcPr>
            <w:tcW w:w="10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(45,448)</w:t>
            </w:r>
          </w:p>
        </w:tc>
        <w:tc>
          <w:tcPr>
            <w:tcW w:w="22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(54,651)</w:t>
            </w:r>
          </w:p>
        </w:tc>
        <w:tc>
          <w:tcPr>
            <w:tcW w:w="0" w:type="dxa"/>
            <w:vAlign w:val="bottom"/>
          </w:tcPr>
          <w:p>
            <w:pPr>
              <w:spacing w:after="0"/>
              <w:rPr>
                <w:sz w:val="1"/>
                <w:szCs w:val="1"/>
                <w:color w:val="auto"/>
              </w:rPr>
            </w:pPr>
          </w:p>
        </w:tc>
      </w:tr>
      <w:tr>
        <w:trPr>
          <w:trHeight w:val="200"/>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shd w:val="clear" w:color="auto" w:fill="929292"/>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(25,996)</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(28,942)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(35,212)</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(38,121)</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top w:val="single" w:sz="8" w:color="929292"/>
              <w:bottom w:val="single" w:sz="8" w:color="929292"/>
            </w:tcBorders>
            <w:shd w:val="clear" w:color="auto" w:fill="929292"/>
          </w:tcPr>
          <w:p>
            <w:pPr>
              <w:spacing w:after="0" w:line="20" w:lineRule="exact"/>
              <w:rPr>
                <w:sz w:val="1"/>
                <w:szCs w:val="1"/>
                <w:color w:val="auto"/>
              </w:rPr>
            </w:pPr>
          </w:p>
        </w:tc>
        <w:tc>
          <w:tcPr>
            <w:tcW w:w="340" w:type="dxa"/>
            <w:vAlign w:val="bottom"/>
            <w:tcBorders>
              <w:top w:val="single" w:sz="8" w:color="929292"/>
              <w:bottom w:val="single" w:sz="8" w:color="929292"/>
            </w:tcBorders>
          </w:tcPr>
          <w:p>
            <w:pPr>
              <w:spacing w:after="0" w:line="20" w:lineRule="exact"/>
              <w:rPr>
                <w:sz w:val="1"/>
                <w:szCs w:val="1"/>
                <w:color w:val="auto"/>
              </w:rPr>
            </w:pPr>
          </w:p>
        </w:tc>
        <w:tc>
          <w:tcPr>
            <w:tcW w:w="1140" w:type="dxa"/>
            <w:vAlign w:val="bottom"/>
            <w:tcBorders>
              <w:top w:val="single" w:sz="8" w:color="929292"/>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929292"/>
              <w:bottom w:val="single" w:sz="8" w:color="929292"/>
            </w:tcBorders>
          </w:tcPr>
          <w:p>
            <w:pPr>
              <w:spacing w:after="0" w:line="20" w:lineRule="exact"/>
              <w:rPr>
                <w:sz w:val="1"/>
                <w:szCs w:val="1"/>
                <w:color w:val="auto"/>
              </w:rPr>
            </w:pPr>
          </w:p>
        </w:tc>
        <w:tc>
          <w:tcPr>
            <w:tcW w:w="1140" w:type="dxa"/>
            <w:vAlign w:val="bottom"/>
            <w:tcBorders>
              <w:top w:val="single" w:sz="8" w:color="929292"/>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929292"/>
              <w:bottom w:val="single" w:sz="8" w:color="929292"/>
            </w:tcBorders>
          </w:tcPr>
          <w:p>
            <w:pPr>
              <w:spacing w:after="0" w:line="20" w:lineRule="exact"/>
              <w:rPr>
                <w:sz w:val="1"/>
                <w:szCs w:val="1"/>
                <w:color w:val="auto"/>
              </w:rPr>
            </w:pPr>
          </w:p>
        </w:tc>
        <w:tc>
          <w:tcPr>
            <w:tcW w:w="1140" w:type="dxa"/>
            <w:vAlign w:val="bottom"/>
            <w:tcBorders>
              <w:top w:val="single" w:sz="8" w:color="929292"/>
              <w:bottom w:val="single" w:sz="8" w:color="92929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929292"/>
              <w:bottom w:val="single" w:sz="8" w:color="929292"/>
            </w:tcBorders>
          </w:tcPr>
          <w:p>
            <w:pPr>
              <w:spacing w:after="0" w:line="20" w:lineRule="exact"/>
              <w:rPr>
                <w:sz w:val="1"/>
                <w:szCs w:val="1"/>
                <w:color w:val="auto"/>
              </w:rPr>
            </w:pPr>
          </w:p>
        </w:tc>
        <w:tc>
          <w:tcPr>
            <w:tcW w:w="1140" w:type="dxa"/>
            <w:vAlign w:val="bottom"/>
            <w:tcBorders>
              <w:top w:val="single" w:sz="8" w:color="929292"/>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2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(14,960)</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(26,669)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7,819</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(12,308)</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14,585</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29,566</w:t>
            </w:r>
          </w:p>
        </w:tc>
        <w:tc>
          <w:tcPr>
            <w:tcW w:w="0" w:type="dxa"/>
            <w:vAlign w:val="bottom"/>
          </w:tcPr>
          <w:p>
            <w:pPr>
              <w:spacing w:after="0"/>
              <w:rPr>
                <w:sz w:val="1"/>
                <w:szCs w:val="1"/>
                <w:color w:val="auto"/>
              </w:rPr>
            </w:pPr>
          </w:p>
        </w:tc>
      </w:tr>
      <w:tr>
        <w:trPr>
          <w:trHeight w:val="211"/>
        </w:trPr>
        <w:tc>
          <w:tcPr>
            <w:tcW w:w="482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5.0 %</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net revenues for the three and six months ended June 30, 2024 and 2023:</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10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510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 Change</w:t>
            </w:r>
          </w:p>
        </w:tc>
      </w:tr>
      <w:tr>
        <w:trPr>
          <w:trHeight w:val="192"/>
        </w:trPr>
        <w:tc>
          <w:tcPr>
            <w:tcW w:w="510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105,870</w:t>
            </w:r>
          </w:p>
        </w:tc>
        <w:tc>
          <w:tcPr>
            <w:tcW w:w="100" w:type="dxa"/>
            <w:vAlign w:val="bottom"/>
          </w:tcPr>
          <w:p>
            <w:pPr>
              <w:spacing w:after="0"/>
              <w:rPr>
                <w:sz w:val="16"/>
                <w:szCs w:val="16"/>
                <w:color w:val="auto"/>
              </w:rPr>
            </w:pPr>
          </w:p>
        </w:tc>
        <w:tc>
          <w:tcPr>
            <w:tcW w:w="320" w:type="dxa"/>
            <w:vAlign w:val="bottom"/>
            <w:tcBorders>
              <w:top w:val="single" w:sz="8" w:color="929292"/>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142,779</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(36,909)</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(25.9)%</w:t>
            </w:r>
          </w:p>
        </w:tc>
      </w:tr>
      <w:tr>
        <w:trPr>
          <w:trHeight w:val="222"/>
        </w:trPr>
        <w:tc>
          <w:tcPr>
            <w:tcW w:w="5100" w:type="dxa"/>
            <w:vAlign w:val="bottom"/>
            <w:tcBorders>
              <w:left w:val="single" w:sz="8" w:color="929292"/>
            </w:tcBorders>
          </w:tcPr>
          <w:p>
            <w:pPr>
              <w:ind w:left="2080"/>
              <w:spacing w:after="0"/>
              <w:rPr>
                <w:sz w:val="20"/>
                <w:szCs w:val="20"/>
                <w:color w:val="auto"/>
              </w:rPr>
            </w:pPr>
            <w:r>
              <w:rPr>
                <w:rFonts w:ascii="Arial" w:cs="Arial" w:eastAsia="Arial" w:hAnsi="Arial"/>
                <w:sz w:val="14"/>
                <w:szCs w:val="14"/>
                <w:b w:val="1"/>
                <w:bCs w:val="1"/>
                <w:color w:val="0A2299"/>
              </w:rPr>
              <w:t>Net Revenues</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0"/>
        </w:trPr>
        <w:tc>
          <w:tcPr>
            <w:tcW w:w="510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5100" w:type="dxa"/>
            <w:vAlign w:val="bottom"/>
            <w:tcBorders>
              <w:left w:val="single" w:sz="8" w:color="929292"/>
            </w:tcBorders>
          </w:tcPr>
          <w:p>
            <w:pPr>
              <w:spacing w:after="0"/>
              <w:rPr>
                <w:sz w:val="19"/>
                <w:szCs w:val="19"/>
                <w:color w:val="auto"/>
              </w:rPr>
            </w:pP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 Change</w:t>
            </w:r>
          </w:p>
        </w:tc>
      </w:tr>
      <w:tr>
        <w:trPr>
          <w:trHeight w:val="196"/>
        </w:trPr>
        <w:tc>
          <w:tcPr>
            <w:tcW w:w="510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291,470</w:t>
            </w:r>
          </w:p>
        </w:tc>
        <w:tc>
          <w:tcPr>
            <w:tcW w:w="100" w:type="dxa"/>
            <w:vAlign w:val="bottom"/>
          </w:tcPr>
          <w:p>
            <w:pPr>
              <w:spacing w:after="0"/>
              <w:rPr>
                <w:sz w:val="17"/>
                <w:szCs w:val="17"/>
                <w:color w:val="auto"/>
              </w:rPr>
            </w:pPr>
          </w:p>
        </w:tc>
        <w:tc>
          <w:tcPr>
            <w:tcW w:w="320" w:type="dxa"/>
            <w:vAlign w:val="bottom"/>
            <w:tcBorders>
              <w:top w:val="single" w:sz="8" w:color="929292"/>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325,937</w:t>
            </w:r>
          </w:p>
        </w:tc>
        <w:tc>
          <w:tcPr>
            <w:tcW w:w="100" w:type="dxa"/>
            <w:vAlign w:val="bottom"/>
            <w:tcBorders>
              <w:top w:val="single" w:sz="8" w:color="929292"/>
            </w:tcBorders>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(34,467)</w:t>
            </w:r>
          </w:p>
        </w:tc>
        <w:tc>
          <w:tcPr>
            <w:tcW w:w="100" w:type="dxa"/>
            <w:vAlign w:val="bottom"/>
          </w:tcPr>
          <w:p>
            <w:pPr>
              <w:spacing w:after="0"/>
              <w:rPr>
                <w:sz w:val="17"/>
                <w:szCs w:val="17"/>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(10.6)%</w:t>
            </w:r>
          </w:p>
        </w:tc>
      </w:tr>
    </w:tbl>
    <w:p>
      <w:pPr>
        <w:spacing w:after="0" w:line="296"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The decrease for the three months ended June 30, 2024 compared to the prior year period was primarily attributable to a 6.4% decrease in Submissions compared to the prior year period, coupled with a shift from non-agency to agency revenue as a result of changing carrier mix within the non-agency channel. The decrease was further attributable to a decline in LTV rates due to lower persistency, as well as a decrease in revenues associated with the strategic decision to exit our Non-Encompass BPO Services, which was completed during the second quarter of 2023. The decrease for the six months ended June 30, 2024 compared to the prior year period was primarily attributable to a decrease in agency revenue driven by a decline in Submissions for which GoHealth is the agent of record and a decrease in revenues associated with the strategic decision to exit our Non-Encompass BPO Services. The decrease was partially offset by an increase in non-agency revenue, which includes the enrollment and engagement services offered through the Encompass Connect and Encompass Engage programs.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key components of operating expenses and results thereof for the three and six months ended June 30, 2024 and 2023:</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08"/>
        </w:trPr>
        <w:tc>
          <w:tcPr>
            <w:tcW w:w="25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4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4"/>
        </w:trPr>
        <w:tc>
          <w:tcPr>
            <w:tcW w:w="254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20,680</w:t>
            </w:r>
          </w:p>
        </w:tc>
        <w:tc>
          <w:tcPr>
            <w:tcW w:w="80" w:type="dxa"/>
            <w:vAlign w:val="bottom"/>
          </w:tcPr>
          <w:p>
            <w:pPr>
              <w:spacing w:after="0"/>
              <w:rPr>
                <w:sz w:val="16"/>
                <w:szCs w:val="16"/>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36,422</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(15,742)</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6"/>
                <w:szCs w:val="16"/>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19.5%</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25.5%</w:t>
            </w:r>
          </w:p>
        </w:tc>
      </w:tr>
      <w:tr>
        <w:trPr>
          <w:trHeight w:val="222"/>
        </w:trPr>
        <w:tc>
          <w:tcPr>
            <w:tcW w:w="2540" w:type="dxa"/>
            <w:vAlign w:val="bottom"/>
            <w:tcBorders>
              <w:left w:val="single" w:sz="8" w:color="929292"/>
            </w:tcBorders>
          </w:tcPr>
          <w:p>
            <w:pPr>
              <w:ind w:left="780"/>
              <w:spacing w:after="0"/>
              <w:rPr>
                <w:sz w:val="20"/>
                <w:szCs w:val="20"/>
                <w:color w:val="auto"/>
              </w:rPr>
            </w:pPr>
            <w:r>
              <w:rPr>
                <w:rFonts w:ascii="Arial" w:cs="Arial" w:eastAsia="Arial" w:hAnsi="Arial"/>
                <w:sz w:val="14"/>
                <w:szCs w:val="14"/>
                <w:b w:val="1"/>
                <w:bCs w:val="1"/>
                <w:color w:val="0A2299"/>
              </w:rPr>
              <w:t>Revenue share</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254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4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8"/>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58,693</w:t>
            </w:r>
          </w:p>
        </w:tc>
        <w:tc>
          <w:tcPr>
            <w:tcW w:w="80" w:type="dxa"/>
            <w:vAlign w:val="bottom"/>
          </w:tcPr>
          <w:p>
            <w:pPr>
              <w:spacing w:after="0"/>
              <w:rPr>
                <w:sz w:val="17"/>
                <w:szCs w:val="17"/>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81,884</w:t>
            </w:r>
          </w:p>
        </w:tc>
        <w:tc>
          <w:tcPr>
            <w:tcW w:w="10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(23,191)</w:t>
            </w:r>
          </w:p>
        </w:tc>
        <w:tc>
          <w:tcPr>
            <w:tcW w:w="100" w:type="dxa"/>
            <w:vAlign w:val="bottom"/>
          </w:tcPr>
          <w:p>
            <w:pPr>
              <w:spacing w:after="0"/>
              <w:rPr>
                <w:sz w:val="17"/>
                <w:szCs w:val="17"/>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7"/>
                <w:szCs w:val="17"/>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20.1%</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-694055</wp:posOffset>
            </wp:positionV>
            <wp:extent cx="15773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7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decreases for both the three and six months ended June 30, 2024 compared to the prior year periods were primarily driven by a decrease in Submissions generated by our external agents, which decreased the amount of expense we recognized pursuant to our revenue-sharing agreements with our external partners. The decreases were partially offset by increases in expense recognized pursuant to the revenue-sharing components of our vConnect program, which launched during the second quarter of 2023 but did not operate at full scale until the beginning of AEP 2023.</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56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5"/>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20" w:type="dxa"/>
            <w:vAlign w:val="bottom"/>
            <w:gridSpan w:val="2"/>
          </w:tcPr>
          <w:p>
            <w:pPr>
              <w:ind w:left="44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4"/>
        </w:trPr>
        <w:tc>
          <w:tcPr>
            <w:tcW w:w="256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38,004</w:t>
            </w:r>
          </w:p>
        </w:tc>
        <w:tc>
          <w:tcPr>
            <w:tcW w:w="100" w:type="dxa"/>
            <w:vAlign w:val="bottom"/>
          </w:tcPr>
          <w:p>
            <w:pPr>
              <w:spacing w:after="0"/>
              <w:rPr>
                <w:sz w:val="16"/>
                <w:szCs w:val="16"/>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39,269</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6"/>
                <w:szCs w:val="16"/>
                <w:color w:val="auto"/>
              </w:rPr>
            </w:pPr>
          </w:p>
        </w:tc>
        <w:tc>
          <w:tcPr>
            <w:tcW w:w="15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35.9%</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27.5%</w:t>
            </w:r>
          </w:p>
        </w:tc>
      </w:tr>
      <w:tr>
        <w:trPr>
          <w:trHeight w:val="222"/>
        </w:trPr>
        <w:tc>
          <w:tcPr>
            <w:tcW w:w="2560" w:type="dxa"/>
            <w:vAlign w:val="bottom"/>
            <w:tcBorders>
              <w:left w:val="single" w:sz="8" w:color="929292"/>
            </w:tcBorders>
          </w:tcPr>
          <w:p>
            <w:pPr>
              <w:ind w:left="100"/>
              <w:spacing w:after="0"/>
              <w:rPr>
                <w:sz w:val="20"/>
                <w:szCs w:val="20"/>
                <w:color w:val="auto"/>
              </w:rPr>
            </w:pPr>
            <w:r>
              <w:rPr>
                <w:rFonts w:ascii="Arial" w:cs="Arial" w:eastAsia="Arial" w:hAnsi="Arial"/>
                <w:sz w:val="14"/>
                <w:szCs w:val="14"/>
                <w:b w:val="1"/>
                <w:bCs w:val="1"/>
                <w:color w:val="0A2299"/>
              </w:rPr>
              <w:t>Marketing and advertising expense</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20" w:type="dxa"/>
            <w:vAlign w:val="bottom"/>
            <w:gridSpan w:val="2"/>
          </w:tcPr>
          <w:p>
            <w:pPr>
              <w:ind w:left="44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8"/>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90,779</w:t>
            </w:r>
          </w:p>
        </w:tc>
        <w:tc>
          <w:tcPr>
            <w:tcW w:w="100" w:type="dxa"/>
            <w:vAlign w:val="bottom"/>
          </w:tcPr>
          <w:p>
            <w:pPr>
              <w:spacing w:after="0"/>
              <w:rPr>
                <w:sz w:val="17"/>
                <w:szCs w:val="17"/>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85,012</w:t>
            </w:r>
          </w:p>
        </w:tc>
        <w:tc>
          <w:tcPr>
            <w:tcW w:w="10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5,767</w:t>
            </w:r>
          </w:p>
        </w:tc>
        <w:tc>
          <w:tcPr>
            <w:tcW w:w="80" w:type="dxa"/>
            <w:vAlign w:val="bottom"/>
          </w:tcPr>
          <w:p>
            <w:pPr>
              <w:spacing w:after="0"/>
              <w:rPr>
                <w:sz w:val="17"/>
                <w:szCs w:val="17"/>
                <w:color w:val="auto"/>
              </w:rPr>
            </w:pPr>
          </w:p>
        </w:tc>
        <w:tc>
          <w:tcPr>
            <w:tcW w:w="15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7"/>
                <w:szCs w:val="17"/>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31.1%</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-693420</wp:posOffset>
            </wp:positionV>
            <wp:extent cx="15773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decrease for the three months ended June 30, 2024 compared to the prior year period was primarily attributable to a decline in payments to our external marketing partners driven by a decline in Submissions generated by our external agents, partially offset by investments in our targeted marketing efforts. The increase for the six months ended June 30, 2024 was primarily attributable to enhancements in our targeted marketing efforts to identify consumers in need of new health plan options as well as an intentional pullback on marketing and advertising spend during the prior year period, partially offset by a decline in payments to our external marketing partners.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56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5"/>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4"/>
        </w:trPr>
        <w:tc>
          <w:tcPr>
            <w:tcW w:w="256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39,314</w:t>
            </w:r>
          </w:p>
        </w:tc>
        <w:tc>
          <w:tcPr>
            <w:tcW w:w="100" w:type="dxa"/>
            <w:vAlign w:val="bottom"/>
          </w:tcPr>
          <w:p>
            <w:pPr>
              <w:spacing w:after="0"/>
              <w:rPr>
                <w:sz w:val="16"/>
                <w:szCs w:val="16"/>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45,536</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(6,222)</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6"/>
                <w:szCs w:val="16"/>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37.1%</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31.9%</w:t>
            </w:r>
          </w:p>
        </w:tc>
      </w:tr>
      <w:tr>
        <w:trPr>
          <w:trHeight w:val="222"/>
        </w:trPr>
        <w:tc>
          <w:tcPr>
            <w:tcW w:w="2560" w:type="dxa"/>
            <w:vAlign w:val="bottom"/>
            <w:tcBorders>
              <w:left w:val="single" w:sz="8" w:color="929292"/>
            </w:tcBorders>
          </w:tcPr>
          <w:p>
            <w:pPr>
              <w:ind w:left="240"/>
              <w:spacing w:after="0"/>
              <w:rPr>
                <w:sz w:val="20"/>
                <w:szCs w:val="20"/>
                <w:color w:val="auto"/>
              </w:rPr>
            </w:pPr>
            <w:r>
              <w:rPr>
                <w:rFonts w:ascii="Arial" w:cs="Arial" w:eastAsia="Arial" w:hAnsi="Arial"/>
                <w:sz w:val="14"/>
                <w:szCs w:val="14"/>
                <w:b w:val="1"/>
                <w:bCs w:val="1"/>
                <w:color w:val="0A2299"/>
              </w:rPr>
              <w:t>Consumer care and enrollment</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8"/>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87,175</w:t>
            </w:r>
          </w:p>
        </w:tc>
        <w:tc>
          <w:tcPr>
            <w:tcW w:w="100" w:type="dxa"/>
            <w:vAlign w:val="bottom"/>
          </w:tcPr>
          <w:p>
            <w:pPr>
              <w:spacing w:after="0"/>
              <w:rPr>
                <w:sz w:val="17"/>
                <w:szCs w:val="17"/>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87,563</w:t>
            </w:r>
          </w:p>
        </w:tc>
        <w:tc>
          <w:tcPr>
            <w:tcW w:w="10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7"/>
                <w:szCs w:val="17"/>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29.9%</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-693420</wp:posOffset>
            </wp:positionV>
            <wp:extent cx="15773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63"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decreases for the three and six months ended June 30, 2024 compared to the prior year periods were primarily attributable to a reduced agent headcount and the realization of strategic cost saving initiatives. The slight decrease for the six months ended June 30, 2024 compared to the prior year period was partially offset by an increased agent headcount during the three months ended March 31, 2024 compared to the prior year period.</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56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15"/>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2023</w:t>
            </w:r>
          </w:p>
        </w:tc>
      </w:tr>
      <w:tr>
        <w:trPr>
          <w:trHeight w:val="195"/>
        </w:trPr>
        <w:tc>
          <w:tcPr>
            <w:tcW w:w="256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8,570</w:t>
            </w:r>
          </w:p>
        </w:tc>
        <w:tc>
          <w:tcPr>
            <w:tcW w:w="100" w:type="dxa"/>
            <w:vAlign w:val="bottom"/>
          </w:tcPr>
          <w:p>
            <w:pPr>
              <w:spacing w:after="0"/>
              <w:rPr>
                <w:sz w:val="16"/>
                <w:szCs w:val="16"/>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10,511</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(1,941)</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260" w:type="dxa"/>
            <w:vAlign w:val="bottom"/>
            <w:tcBorders>
              <w:top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8.1%</w:t>
            </w:r>
          </w:p>
        </w:tc>
        <w:tc>
          <w:tcPr>
            <w:tcW w:w="1240" w:type="dxa"/>
            <w:vAlign w:val="bottom"/>
            <w:tcBorders>
              <w:top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7.4%</w:t>
            </w:r>
          </w:p>
        </w:tc>
      </w:tr>
      <w:tr>
        <w:trPr>
          <w:trHeight w:val="224"/>
        </w:trPr>
        <w:tc>
          <w:tcPr>
            <w:tcW w:w="2560" w:type="dxa"/>
            <w:vAlign w:val="bottom"/>
            <w:tcBorders>
              <w:left w:val="single" w:sz="8" w:color="929292"/>
            </w:tcBorders>
          </w:tcPr>
          <w:p>
            <w:pPr>
              <w:ind w:left="580"/>
              <w:spacing w:after="0"/>
              <w:rPr>
                <w:sz w:val="20"/>
                <w:szCs w:val="20"/>
                <w:color w:val="auto"/>
              </w:rPr>
            </w:pPr>
            <w:r>
              <w:rPr>
                <w:rFonts w:ascii="Arial" w:cs="Arial" w:eastAsia="Arial" w:hAnsi="Arial"/>
                <w:sz w:val="14"/>
                <w:szCs w:val="14"/>
                <w:b w:val="1"/>
                <w:bCs w:val="1"/>
                <w:color w:val="0A2299"/>
              </w:rPr>
              <w:t>Technology expense</w:t>
            </w:r>
          </w:p>
        </w:tc>
        <w:tc>
          <w:tcPr>
            <w:tcW w:w="100" w:type="dxa"/>
            <w:vAlign w:val="bottom"/>
            <w:shd w:val="clear" w:color="auto" w:fill="929292"/>
          </w:tcPr>
          <w:p>
            <w:pPr>
              <w:spacing w:after="0"/>
              <w:rPr>
                <w:sz w:val="19"/>
                <w:szCs w:val="19"/>
                <w:color w:val="auto"/>
              </w:rPr>
            </w:pPr>
          </w:p>
        </w:tc>
        <w:tc>
          <w:tcPr>
            <w:tcW w:w="300" w:type="dxa"/>
            <w:vAlign w:val="bottom"/>
            <w:tcBorders>
              <w:left w:val="single" w:sz="8" w:color="929292"/>
            </w:tcBorders>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08"/>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18"/>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2023</w:t>
            </w:r>
          </w:p>
        </w:tc>
      </w:tr>
      <w:tr>
        <w:trPr>
          <w:trHeight w:val="198"/>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19,120</w:t>
            </w:r>
          </w:p>
        </w:tc>
        <w:tc>
          <w:tcPr>
            <w:tcW w:w="100" w:type="dxa"/>
            <w:vAlign w:val="bottom"/>
          </w:tcPr>
          <w:p>
            <w:pPr>
              <w:spacing w:after="0"/>
              <w:rPr>
                <w:sz w:val="17"/>
                <w:szCs w:val="17"/>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20,054</w:t>
            </w:r>
          </w:p>
        </w:tc>
        <w:tc>
          <w:tcPr>
            <w:tcW w:w="10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7"/>
                <w:szCs w:val="17"/>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7"/>
                <w:szCs w:val="17"/>
                <w:color w:val="auto"/>
              </w:rPr>
            </w:pPr>
          </w:p>
        </w:tc>
        <w:tc>
          <w:tcPr>
            <w:tcW w:w="1260" w:type="dxa"/>
            <w:vAlign w:val="bottom"/>
            <w:tcBorders>
              <w:top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6.6%</w:t>
            </w:r>
          </w:p>
        </w:tc>
        <w:tc>
          <w:tcPr>
            <w:tcW w:w="1240" w:type="dxa"/>
            <w:vAlign w:val="bottom"/>
            <w:tcBorders>
              <w:top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-693420</wp:posOffset>
            </wp:positionV>
            <wp:extent cx="15773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6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decreases for both the three and six months ended June 30, 2024 compared to the prior year periods were primarily attributable to reduced headcounts in our technology support functions.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10"/>
        </w:trPr>
        <w:tc>
          <w:tcPr>
            <w:tcW w:w="256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5"/>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4"/>
        </w:trPr>
        <w:tc>
          <w:tcPr>
            <w:tcW w:w="256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16,398</w:t>
            </w:r>
          </w:p>
        </w:tc>
        <w:tc>
          <w:tcPr>
            <w:tcW w:w="100" w:type="dxa"/>
            <w:vAlign w:val="bottom"/>
          </w:tcPr>
          <w:p>
            <w:pPr>
              <w:spacing w:after="0"/>
              <w:rPr>
                <w:sz w:val="16"/>
                <w:szCs w:val="16"/>
                <w:color w:val="auto"/>
              </w:rPr>
            </w:pPr>
          </w:p>
        </w:tc>
        <w:tc>
          <w:tcPr>
            <w:tcW w:w="320" w:type="dxa"/>
            <w:vAlign w:val="bottom"/>
            <w:tcBorders>
              <w:top w:val="single" w:sz="8" w:color="929292"/>
            </w:tcBorders>
          </w:tcPr>
          <w:p>
            <w:pPr>
              <w:spacing w:after="0"/>
              <w:rPr>
                <w:sz w:val="16"/>
                <w:szCs w:val="16"/>
                <w:color w:val="auto"/>
              </w:rPr>
            </w:pP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37,855</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(21,457)</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6"/>
                <w:szCs w:val="16"/>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15.5%</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26.5%</w:t>
            </w:r>
          </w:p>
        </w:tc>
      </w:tr>
      <w:tr>
        <w:trPr>
          <w:trHeight w:val="222"/>
        </w:trPr>
        <w:tc>
          <w:tcPr>
            <w:tcW w:w="2560" w:type="dxa"/>
            <w:vAlign w:val="bottom"/>
            <w:tcBorders>
              <w:left w:val="single" w:sz="8" w:color="929292"/>
            </w:tcBorders>
          </w:tcPr>
          <w:p>
            <w:pPr>
              <w:ind w:left="60"/>
              <w:spacing w:after="0"/>
              <w:rPr>
                <w:sz w:val="20"/>
                <w:szCs w:val="20"/>
                <w:color w:val="auto"/>
              </w:rPr>
            </w:pPr>
            <w:r>
              <w:rPr>
                <w:rFonts w:ascii="Arial" w:cs="Arial" w:eastAsia="Arial" w:hAnsi="Arial"/>
                <w:sz w:val="14"/>
                <w:szCs w:val="14"/>
                <w:b w:val="1"/>
                <w:bCs w:val="1"/>
                <w:color w:val="0A2299"/>
              </w:rPr>
              <w:t>General and administrative expense</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60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9"/>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33,317</w:t>
            </w:r>
          </w:p>
        </w:tc>
        <w:tc>
          <w:tcPr>
            <w:tcW w:w="100" w:type="dxa"/>
            <w:vAlign w:val="bottom"/>
          </w:tcPr>
          <w:p>
            <w:pPr>
              <w:spacing w:after="0"/>
              <w:rPr>
                <w:sz w:val="17"/>
                <w:szCs w:val="17"/>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60,473</w:t>
            </w:r>
          </w:p>
        </w:tc>
        <w:tc>
          <w:tcPr>
            <w:tcW w:w="10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(27,156)</w:t>
            </w:r>
          </w:p>
        </w:tc>
        <w:tc>
          <w:tcPr>
            <w:tcW w:w="100" w:type="dxa"/>
            <w:vAlign w:val="bottom"/>
          </w:tcPr>
          <w:p>
            <w:pPr>
              <w:spacing w:after="0"/>
              <w:rPr>
                <w:sz w:val="17"/>
                <w:szCs w:val="17"/>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(44.9)%</w:t>
            </w:r>
          </w:p>
        </w:tc>
        <w:tc>
          <w:tcPr>
            <w:tcW w:w="80" w:type="dxa"/>
            <w:vAlign w:val="bottom"/>
          </w:tcPr>
          <w:p>
            <w:pPr>
              <w:spacing w:after="0"/>
              <w:rPr>
                <w:sz w:val="17"/>
                <w:szCs w:val="17"/>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w w:val="95"/>
              </w:rPr>
              <w:t>11.4%</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-694055</wp:posOffset>
            </wp:positionV>
            <wp:extent cx="15773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7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decreases for the three and six months ended June 30, 2024 compared to the prior year periods were primarily attributable to decreases in expense related to legal fees for the Securities Class Action, share-based compensation expense and reduced headcounts.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56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5"/>
        </w:trPr>
        <w:tc>
          <w:tcPr>
            <w:tcW w:w="2560" w:type="dxa"/>
            <w:vAlign w:val="bottom"/>
            <w:tcBorders>
              <w:left w:val="single" w:sz="8" w:color="929292"/>
            </w:tcBorders>
          </w:tcPr>
          <w:p>
            <w:pPr>
              <w:spacing w:after="0"/>
              <w:rPr>
                <w:sz w:val="18"/>
                <w:szCs w:val="18"/>
                <w:color w:val="auto"/>
              </w:rPr>
            </w:pPr>
          </w:p>
        </w:tc>
        <w:tc>
          <w:tcPr>
            <w:tcW w:w="100" w:type="dxa"/>
            <w:vAlign w:val="bottom"/>
            <w:tcBorders>
              <w:bottom w:val="single" w:sz="8" w:color="929292"/>
            </w:tcBorders>
            <w:shd w:val="clear" w:color="auto" w:fill="929292"/>
          </w:tcPr>
          <w:p>
            <w:pPr>
              <w:spacing w:after="0"/>
              <w:rPr>
                <w:sz w:val="18"/>
                <w:szCs w:val="18"/>
                <w:color w:val="auto"/>
              </w:rPr>
            </w:pPr>
          </w:p>
        </w:tc>
        <w:tc>
          <w:tcPr>
            <w:tcW w:w="300" w:type="dxa"/>
            <w:vAlign w:val="bottom"/>
            <w:tcBorders>
              <w:bottom w:val="single" w:sz="8" w:color="929292"/>
            </w:tcBorders>
          </w:tcPr>
          <w:p>
            <w:pPr>
              <w:spacing w:after="0"/>
              <w:rPr>
                <w:sz w:val="18"/>
                <w:szCs w:val="18"/>
                <w:color w:val="auto"/>
              </w:rPr>
            </w:pPr>
          </w:p>
        </w:tc>
        <w:tc>
          <w:tcPr>
            <w:tcW w:w="1080" w:type="dxa"/>
            <w:vAlign w:val="bottom"/>
            <w:tcBorders>
              <w:bottom w:val="single" w:sz="8" w:color="929292"/>
            </w:tcBorders>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Borders>
              <w:bottom w:val="single" w:sz="8" w:color="929292"/>
            </w:tcBorders>
          </w:tcPr>
          <w:p>
            <w:pPr>
              <w:spacing w:after="0"/>
              <w:rPr>
                <w:sz w:val="18"/>
                <w:szCs w:val="18"/>
                <w:color w:val="auto"/>
              </w:rPr>
            </w:pPr>
          </w:p>
        </w:tc>
        <w:tc>
          <w:tcPr>
            <w:tcW w:w="106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Borders>
              <w:bottom w:val="single" w:sz="8" w:color="929292"/>
            </w:tcBorders>
          </w:tcPr>
          <w:p>
            <w:pPr>
              <w:spacing w:after="0"/>
              <w:rPr>
                <w:sz w:val="18"/>
                <w:szCs w:val="18"/>
                <w:color w:val="auto"/>
              </w:rPr>
            </w:pPr>
          </w:p>
        </w:tc>
        <w:tc>
          <w:tcPr>
            <w:tcW w:w="116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8"/>
                <w:szCs w:val="18"/>
                <w:color w:val="auto"/>
              </w:rPr>
            </w:pPr>
          </w:p>
        </w:tc>
        <w:tc>
          <w:tcPr>
            <w:tcW w:w="1540" w:type="dxa"/>
            <w:vAlign w:val="bottom"/>
            <w:tcBorders>
              <w:bottom w:val="single" w:sz="8" w:color="929292"/>
            </w:tcBorders>
          </w:tcPr>
          <w:p>
            <w:pPr>
              <w:ind w:left="44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8"/>
                <w:szCs w:val="18"/>
                <w:color w:val="auto"/>
              </w:rPr>
            </w:pP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4"/>
        </w:trPr>
        <w:tc>
          <w:tcPr>
            <w:tcW w:w="256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20" w:type="dxa"/>
            <w:vAlign w:val="bottom"/>
            <w:gridSpan w:val="2"/>
          </w:tcPr>
          <w:p>
            <w:pPr>
              <w:ind w:left="120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22.2%</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16.5%</w:t>
            </w:r>
          </w:p>
        </w:tc>
      </w:tr>
      <w:tr>
        <w:trPr>
          <w:trHeight w:val="222"/>
        </w:trPr>
        <w:tc>
          <w:tcPr>
            <w:tcW w:w="2560" w:type="dxa"/>
            <w:vAlign w:val="bottom"/>
            <w:tcBorders>
              <w:left w:val="single" w:sz="8" w:color="929292"/>
            </w:tcBorders>
          </w:tcPr>
          <w:p>
            <w:pPr>
              <w:ind w:left="160"/>
              <w:spacing w:after="0"/>
              <w:rPr>
                <w:sz w:val="20"/>
                <w:szCs w:val="20"/>
                <w:color w:val="auto"/>
              </w:rPr>
            </w:pPr>
            <w:r>
              <w:rPr>
                <w:rFonts w:ascii="Arial" w:cs="Arial" w:eastAsia="Arial" w:hAnsi="Arial"/>
                <w:sz w:val="14"/>
                <w:szCs w:val="14"/>
                <w:b w:val="1"/>
                <w:bCs w:val="1"/>
                <w:color w:val="0A2299"/>
              </w:rPr>
              <w:t>Amortization of intangible assets</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256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60" w:type="dxa"/>
            <w:vAlign w:val="bottom"/>
            <w:tcBorders>
              <w:left w:val="single" w:sz="8" w:color="929292"/>
            </w:tcBorders>
          </w:tcPr>
          <w:p>
            <w:pPr>
              <w:spacing w:after="0"/>
              <w:rPr>
                <w:sz w:val="18"/>
                <w:szCs w:val="18"/>
                <w:color w:val="auto"/>
              </w:rPr>
            </w:pPr>
          </w:p>
        </w:tc>
        <w:tc>
          <w:tcPr>
            <w:tcW w:w="100" w:type="dxa"/>
            <w:vAlign w:val="bottom"/>
            <w:tcBorders>
              <w:bottom w:val="single" w:sz="8" w:color="929292"/>
            </w:tcBorders>
            <w:shd w:val="clear" w:color="auto" w:fill="929292"/>
          </w:tcPr>
          <w:p>
            <w:pPr>
              <w:spacing w:after="0"/>
              <w:rPr>
                <w:sz w:val="18"/>
                <w:szCs w:val="18"/>
                <w:color w:val="auto"/>
              </w:rPr>
            </w:pPr>
          </w:p>
        </w:tc>
        <w:tc>
          <w:tcPr>
            <w:tcW w:w="300" w:type="dxa"/>
            <w:vAlign w:val="bottom"/>
            <w:tcBorders>
              <w:bottom w:val="single" w:sz="8" w:color="929292"/>
            </w:tcBorders>
          </w:tcPr>
          <w:p>
            <w:pPr>
              <w:spacing w:after="0"/>
              <w:rPr>
                <w:sz w:val="18"/>
                <w:szCs w:val="18"/>
                <w:color w:val="auto"/>
              </w:rPr>
            </w:pPr>
          </w:p>
        </w:tc>
        <w:tc>
          <w:tcPr>
            <w:tcW w:w="1080" w:type="dxa"/>
            <w:vAlign w:val="bottom"/>
            <w:tcBorders>
              <w:bottom w:val="single" w:sz="8" w:color="929292"/>
            </w:tcBorders>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Borders>
              <w:bottom w:val="single" w:sz="8" w:color="929292"/>
            </w:tcBorders>
          </w:tcPr>
          <w:p>
            <w:pPr>
              <w:spacing w:after="0"/>
              <w:rPr>
                <w:sz w:val="18"/>
                <w:szCs w:val="18"/>
                <w:color w:val="auto"/>
              </w:rPr>
            </w:pPr>
          </w:p>
        </w:tc>
        <w:tc>
          <w:tcPr>
            <w:tcW w:w="106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Borders>
              <w:bottom w:val="single" w:sz="8" w:color="929292"/>
            </w:tcBorders>
          </w:tcPr>
          <w:p>
            <w:pPr>
              <w:spacing w:after="0"/>
              <w:rPr>
                <w:sz w:val="18"/>
                <w:szCs w:val="18"/>
                <w:color w:val="auto"/>
              </w:rPr>
            </w:pPr>
          </w:p>
        </w:tc>
        <w:tc>
          <w:tcPr>
            <w:tcW w:w="116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8"/>
                <w:szCs w:val="18"/>
                <w:color w:val="auto"/>
              </w:rPr>
            </w:pPr>
          </w:p>
        </w:tc>
        <w:tc>
          <w:tcPr>
            <w:tcW w:w="1540" w:type="dxa"/>
            <w:vAlign w:val="bottom"/>
            <w:tcBorders>
              <w:bottom w:val="single" w:sz="8" w:color="929292"/>
            </w:tcBorders>
          </w:tcPr>
          <w:p>
            <w:pPr>
              <w:ind w:left="44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8"/>
                <w:szCs w:val="18"/>
                <w:color w:val="auto"/>
              </w:rPr>
            </w:pP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8"/>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47,028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47,029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620" w:type="dxa"/>
            <w:vAlign w:val="bottom"/>
            <w:gridSpan w:val="2"/>
          </w:tcPr>
          <w:p>
            <w:pPr>
              <w:ind w:left="120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16.1%</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-693420</wp:posOffset>
            </wp:positionV>
            <wp:extent cx="15773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76"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Amortization of intangible assets expense was $23.5 million for both the three and six months ended June 30, 2024 and 2023. Amortization of intangible assets expense relates to the amortization of developed technology and customer relationships.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5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5"/>
        </w:trPr>
        <w:tc>
          <w:tcPr>
            <w:tcW w:w="254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20" w:type="dxa"/>
            <w:vAlign w:val="bottom"/>
            <w:gridSpan w:val="2"/>
          </w:tcPr>
          <w:p>
            <w:pPr>
              <w:ind w:left="44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5"/>
        </w:trPr>
        <w:tc>
          <w:tcPr>
            <w:tcW w:w="254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18,096</w:t>
            </w:r>
          </w:p>
        </w:tc>
        <w:tc>
          <w:tcPr>
            <w:tcW w:w="80" w:type="dxa"/>
            <w:vAlign w:val="bottom"/>
          </w:tcPr>
          <w:p>
            <w:pPr>
              <w:spacing w:after="0"/>
              <w:rPr>
                <w:sz w:val="16"/>
                <w:szCs w:val="16"/>
                <w:color w:val="auto"/>
              </w:rPr>
            </w:pPr>
          </w:p>
        </w:tc>
        <w:tc>
          <w:tcPr>
            <w:tcW w:w="3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17,265</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6"/>
                <w:szCs w:val="16"/>
                <w:color w:val="auto"/>
              </w:rPr>
            </w:pPr>
          </w:p>
        </w:tc>
        <w:tc>
          <w:tcPr>
            <w:tcW w:w="15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4.8 %</w:t>
            </w:r>
          </w:p>
        </w:tc>
        <w:tc>
          <w:tcPr>
            <w:tcW w:w="80" w:type="dxa"/>
            <w:vAlign w:val="bottom"/>
          </w:tcPr>
          <w:p>
            <w:pPr>
              <w:spacing w:after="0"/>
              <w:rPr>
                <w:sz w:val="16"/>
                <w:szCs w:val="16"/>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17.1%</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12.1%</w:t>
            </w:r>
          </w:p>
        </w:tc>
      </w:tr>
      <w:tr>
        <w:trPr>
          <w:trHeight w:val="222"/>
        </w:trPr>
        <w:tc>
          <w:tcPr>
            <w:tcW w:w="2540" w:type="dxa"/>
            <w:vAlign w:val="bottom"/>
            <w:tcBorders>
              <w:left w:val="single" w:sz="8" w:color="929292"/>
            </w:tcBorders>
          </w:tcPr>
          <w:p>
            <w:pPr>
              <w:ind w:left="720"/>
              <w:spacing w:after="0"/>
              <w:rPr>
                <w:sz w:val="20"/>
                <w:szCs w:val="20"/>
                <w:color w:val="auto"/>
              </w:rPr>
            </w:pPr>
            <w:r>
              <w:rPr>
                <w:rFonts w:ascii="Arial" w:cs="Arial" w:eastAsia="Arial" w:hAnsi="Arial"/>
                <w:sz w:val="14"/>
                <w:szCs w:val="14"/>
                <w:b w:val="1"/>
                <w:bCs w:val="1"/>
                <w:color w:val="0A2299"/>
              </w:rPr>
              <w:t>Interest expense</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254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Six months ended Jun.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18"/>
        </w:trPr>
        <w:tc>
          <w:tcPr>
            <w:tcW w:w="254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20" w:type="dxa"/>
            <w:vAlign w:val="bottom"/>
            <w:gridSpan w:val="2"/>
          </w:tcPr>
          <w:p>
            <w:pPr>
              <w:ind w:left="440"/>
              <w:spacing w:after="0"/>
              <w:rPr>
                <w:sz w:val="20"/>
                <w:szCs w:val="20"/>
                <w:color w:val="auto"/>
              </w:rPr>
            </w:pPr>
            <w:r>
              <w:rPr>
                <w:rFonts w:ascii="Arial" w:cs="Arial" w:eastAsia="Arial" w:hAnsi="Arial"/>
                <w:sz w:val="14"/>
                <w:szCs w:val="14"/>
                <w:color w:val="auto"/>
              </w:rPr>
              <w:t>% Change</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2023</w:t>
            </w:r>
          </w:p>
        </w:tc>
      </w:tr>
      <w:tr>
        <w:trPr>
          <w:trHeight w:val="198"/>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36,047</w:t>
            </w:r>
          </w:p>
        </w:tc>
        <w:tc>
          <w:tcPr>
            <w:tcW w:w="80" w:type="dxa"/>
            <w:vAlign w:val="bottom"/>
          </w:tcPr>
          <w:p>
            <w:pPr>
              <w:spacing w:after="0"/>
              <w:rPr>
                <w:sz w:val="17"/>
                <w:szCs w:val="17"/>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34,156</w:t>
            </w:r>
          </w:p>
        </w:tc>
        <w:tc>
          <w:tcPr>
            <w:tcW w:w="10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1,891</w:t>
            </w:r>
          </w:p>
        </w:tc>
        <w:tc>
          <w:tcPr>
            <w:tcW w:w="80" w:type="dxa"/>
            <w:vAlign w:val="bottom"/>
          </w:tcPr>
          <w:p>
            <w:pPr>
              <w:spacing w:after="0"/>
              <w:rPr>
                <w:sz w:val="17"/>
                <w:szCs w:val="17"/>
                <w:color w:val="auto"/>
              </w:rPr>
            </w:pPr>
          </w:p>
        </w:tc>
        <w:tc>
          <w:tcPr>
            <w:tcW w:w="15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5.5 %</w:t>
            </w:r>
          </w:p>
        </w:tc>
        <w:tc>
          <w:tcPr>
            <w:tcW w:w="80" w:type="dxa"/>
            <w:vAlign w:val="bottom"/>
          </w:tcPr>
          <w:p>
            <w:pPr>
              <w:spacing w:after="0"/>
              <w:rPr>
                <w:sz w:val="17"/>
                <w:szCs w:val="17"/>
                <w:color w:val="auto"/>
              </w:rPr>
            </w:pPr>
          </w:p>
        </w:tc>
        <w:tc>
          <w:tcPr>
            <w:tcW w:w="126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12.4%</w:t>
            </w:r>
          </w:p>
        </w:tc>
        <w:tc>
          <w:tcPr>
            <w:tcW w:w="124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-693420</wp:posOffset>
            </wp:positionV>
            <wp:extent cx="15773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7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increases for the three and six months ended June 30, 2024 compared to the prior year periods were primarily attributable to an increase in amortization expense related to debt issuance costs, an increase in interest rates related to our Term Loan Facilities, partially offset by interest savings related to the $50.0 million reduction of principal related to our Term Loan Facilities.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the business and to monitor its results of operations. Adjusted EBITDA represents, as applicable for the period, EBITDA as further adjusted for certain items summarized in the table furnished below. Adjusted EBITDA Margin represents Adjusted EBITDA divided by net revenues.</w:t>
      </w:r>
    </w:p>
    <w:p>
      <w:pPr>
        <w:spacing w:after="0" w:line="190"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7"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284480</wp:posOffset>
            </wp:positionV>
            <wp:extent cx="825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284480</wp:posOffset>
            </wp:positionV>
            <wp:extent cx="889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2024 Form 10-Q</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type w:val="continuous"/>
        </w:sectPr>
      </w:pPr>
    </w:p>
    <w:bookmarkStart w:id="31" w:name="page32"/>
    <w:bookmarkEnd w:id="31"/>
    <w:p>
      <w:pPr>
        <w:ind w:right="120"/>
        <w:spacing w:after="0" w:line="265" w:lineRule="auto"/>
        <w:rPr>
          <w:sz w:val="20"/>
          <w:szCs w:val="20"/>
          <w:color w:val="auto"/>
        </w:rPr>
      </w:pPr>
      <w:r>
        <w:rPr>
          <w:rFonts w:ascii="Arial" w:cs="Arial" w:eastAsia="Arial" w:hAnsi="Arial"/>
          <w:sz w:val="16"/>
          <w:szCs w:val="16"/>
          <w:color w:val="auto"/>
        </w:rPr>
        <w:t>Margin to their most directly comparable GAAP financial measures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color w:val="auto"/>
              </w:rPr>
              <w:t>Three months ended Jun. 30,</w:t>
            </w:r>
          </w:p>
        </w:tc>
        <w:tc>
          <w:tcPr>
            <w:tcW w:w="360" w:type="dxa"/>
            <w:vAlign w:val="bottom"/>
          </w:tcPr>
          <w:p>
            <w:pPr>
              <w:spacing w:after="0"/>
              <w:rPr>
                <w:sz w:val="17"/>
                <w:szCs w:val="17"/>
                <w:color w:val="auto"/>
              </w:rPr>
            </w:pPr>
          </w:p>
        </w:tc>
        <w:tc>
          <w:tcPr>
            <w:tcW w:w="27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 Jun. 30,</w:t>
            </w:r>
          </w:p>
        </w:tc>
        <w:tc>
          <w:tcPr>
            <w:tcW w:w="0" w:type="dxa"/>
            <w:vAlign w:val="bottom"/>
          </w:tcPr>
          <w:p>
            <w:pPr>
              <w:spacing w:after="0"/>
              <w:rPr>
                <w:sz w:val="1"/>
                <w:szCs w:val="1"/>
                <w:color w:val="auto"/>
              </w:rPr>
            </w:pPr>
          </w:p>
        </w:tc>
      </w:tr>
      <w:tr>
        <w:trPr>
          <w:trHeight w:val="214"/>
        </w:trPr>
        <w:tc>
          <w:tcPr>
            <w:tcW w:w="48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Non-GAAP Financial Measures</w:t>
            </w:r>
          </w:p>
        </w:tc>
        <w:tc>
          <w:tcPr>
            <w:tcW w:w="100" w:type="dxa"/>
            <w:vAlign w:val="bottom"/>
            <w:tcBorders>
              <w:bottom w:val="single" w:sz="8" w:color="929292"/>
            </w:tcBorders>
            <w:shd w:val="clear" w:color="auto" w:fill="929292"/>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60" w:type="dxa"/>
            <w:vAlign w:val="bottom"/>
            <w:tcBorders>
              <w:bottom w:val="single" w:sz="8" w:color="929292"/>
            </w:tcBorders>
          </w:tcPr>
          <w:p>
            <w:pPr>
              <w:jc w:val="right"/>
              <w:ind w:right="5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8"/>
                <w:szCs w:val="18"/>
                <w:color w:val="auto"/>
              </w:rPr>
            </w:pPr>
          </w:p>
        </w:tc>
        <w:tc>
          <w:tcPr>
            <w:tcW w:w="360" w:type="dxa"/>
            <w:vAlign w:val="bottom"/>
            <w:tcBorders>
              <w:bottom w:val="single" w:sz="8" w:color="929292"/>
            </w:tcBorders>
          </w:tcPr>
          <w:p>
            <w:pPr>
              <w:spacing w:after="0"/>
              <w:rPr>
                <w:sz w:val="18"/>
                <w:szCs w:val="18"/>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6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78"/>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105,870</w:t>
            </w:r>
          </w:p>
        </w:tc>
        <w:tc>
          <w:tcPr>
            <w:tcW w:w="100" w:type="dxa"/>
            <w:vAlign w:val="bottom"/>
          </w:tcPr>
          <w:p>
            <w:pPr>
              <w:spacing w:after="0"/>
              <w:rPr>
                <w:sz w:val="15"/>
                <w:szCs w:val="15"/>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142,779</w:t>
            </w:r>
          </w:p>
        </w:tc>
        <w:tc>
          <w:tcPr>
            <w:tcW w:w="80" w:type="dxa"/>
            <w:vAlign w:val="bottom"/>
          </w:tcPr>
          <w:p>
            <w:pPr>
              <w:spacing w:after="0"/>
              <w:rPr>
                <w:sz w:val="15"/>
                <w:szCs w:val="15"/>
                <w:color w:val="auto"/>
              </w:rPr>
            </w:pPr>
          </w:p>
        </w:tc>
        <w:tc>
          <w:tcPr>
            <w:tcW w:w="360" w:type="dxa"/>
            <w:vAlign w:val="bottom"/>
            <w:tcBorders>
              <w:bottom w:val="single" w:sz="8" w:color="929292"/>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291,470</w:t>
            </w:r>
          </w:p>
        </w:tc>
        <w:tc>
          <w:tcPr>
            <w:tcW w:w="100" w:type="dxa"/>
            <w:vAlign w:val="bottom"/>
          </w:tcPr>
          <w:p>
            <w:pPr>
              <w:spacing w:after="0"/>
              <w:rPr>
                <w:sz w:val="15"/>
                <w:szCs w:val="15"/>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325,937</w:t>
            </w:r>
          </w:p>
        </w:tc>
        <w:tc>
          <w:tcPr>
            <w:tcW w:w="0" w:type="dxa"/>
            <w:vAlign w:val="bottom"/>
          </w:tcPr>
          <w:p>
            <w:pPr>
              <w:spacing w:after="0"/>
              <w:rPr>
                <w:sz w:val="1"/>
                <w:szCs w:val="1"/>
                <w:color w:val="auto"/>
              </w:rPr>
            </w:pPr>
          </w:p>
        </w:tc>
      </w:tr>
      <w:tr>
        <w:trPr>
          <w:trHeight w:val="190"/>
        </w:trPr>
        <w:tc>
          <w:tcPr>
            <w:tcW w:w="488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(59,314)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(70,229)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(80,660)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(92,772)</w:t>
            </w:r>
          </w:p>
        </w:tc>
        <w:tc>
          <w:tcPr>
            <w:tcW w:w="0" w:type="dxa"/>
            <w:vAlign w:val="bottom"/>
          </w:tcPr>
          <w:p>
            <w:pPr>
              <w:spacing w:after="0"/>
              <w:rPr>
                <w:sz w:val="1"/>
                <w:szCs w:val="1"/>
                <w:color w:val="auto"/>
              </w:rPr>
            </w:pPr>
          </w:p>
        </w:tc>
      </w:tr>
      <w:tr>
        <w:trPr>
          <w:trHeight w:val="203"/>
        </w:trPr>
        <w:tc>
          <w:tcPr>
            <w:tcW w:w="48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18,096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17,265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36,047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34,156</w:t>
            </w:r>
          </w:p>
        </w:tc>
        <w:tc>
          <w:tcPr>
            <w:tcW w:w="0" w:type="dxa"/>
            <w:vAlign w:val="bottom"/>
          </w:tcPr>
          <w:p>
            <w:pPr>
              <w:spacing w:after="0"/>
              <w:rPr>
                <w:sz w:val="1"/>
                <w:szCs w:val="1"/>
                <w:color w:val="auto"/>
              </w:rPr>
            </w:pPr>
          </w:p>
        </w:tc>
      </w:tr>
      <w:tr>
        <w:trPr>
          <w:trHeight w:val="203"/>
        </w:trPr>
        <w:tc>
          <w:tcPr>
            <w:tcW w:w="488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4"/>
        </w:trPr>
        <w:tc>
          <w:tcPr>
            <w:tcW w:w="488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26,298</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6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26,368</w:t>
            </w:r>
          </w:p>
        </w:tc>
        <w:tc>
          <w:tcPr>
            <w:tcW w:w="8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52,543</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6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52,635</w:t>
            </w: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(14,960)</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6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(26,669)</w:t>
            </w:r>
          </w:p>
        </w:tc>
        <w:tc>
          <w:tcPr>
            <w:tcW w:w="8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6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204"/>
        </w:trPr>
        <w:tc>
          <w:tcPr>
            <w:tcW w:w="4880" w:type="dxa"/>
            <w:vAlign w:val="bottom"/>
          </w:tcPr>
          <w:p>
            <w:pPr>
              <w:ind w:left="140"/>
              <w:spacing w:after="0" w:line="204" w:lineRule="exact"/>
              <w:rPr>
                <w:sz w:val="20"/>
                <w:szCs w:val="20"/>
                <w:color w:val="auto"/>
              </w:rPr>
            </w:pPr>
            <w:r>
              <w:rPr>
                <w:rFonts w:ascii="Arial" w:cs="Arial" w:eastAsia="Arial" w:hAnsi="Arial"/>
                <w:sz w:val="14"/>
                <w:szCs w:val="14"/>
                <w:color w:val="auto"/>
              </w:rPr>
              <w:t>Share-based compensation expense (benefit)</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10,120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16,704</w:t>
            </w:r>
          </w:p>
        </w:tc>
        <w:tc>
          <w:tcPr>
            <w:tcW w:w="0" w:type="dxa"/>
            <w:vAlign w:val="bottom"/>
          </w:tcPr>
          <w:p>
            <w:pPr>
              <w:spacing w:after="0"/>
              <w:rPr>
                <w:sz w:val="1"/>
                <w:szCs w:val="1"/>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(2)</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4"/>
                <w:szCs w:val="14"/>
                <w:color w:val="auto"/>
              </w:rPr>
              <w:t>Legal fees</w:t>
            </w:r>
            <w:r>
              <w:rPr>
                <w:rFonts w:ascii="Arial" w:cs="Arial" w:eastAsia="Arial" w:hAnsi="Arial"/>
                <w:sz w:val="18"/>
                <w:szCs w:val="18"/>
                <w:color w:val="auto"/>
                <w:vertAlign w:val="superscript"/>
              </w:rPr>
              <w:t>(3)</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12,730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14,353</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line="201" w:lineRule="exact"/>
              <w:rPr>
                <w:sz w:val="20"/>
                <w:szCs w:val="20"/>
                <w:color w:val="auto"/>
              </w:rPr>
            </w:pPr>
            <w:r>
              <w:rPr>
                <w:rFonts w:ascii="Arial" w:cs="Arial" w:eastAsia="Arial" w:hAnsi="Arial"/>
                <w:sz w:val="14"/>
                <w:szCs w:val="14"/>
                <w:color w:val="auto"/>
              </w:rPr>
              <w:t>Operating lease impairment charges</w:t>
            </w:r>
            <w:r>
              <w:rPr>
                <w:rFonts w:ascii="Arial" w:cs="Arial" w:eastAsia="Arial" w:hAnsi="Arial"/>
                <w:sz w:val="18"/>
                <w:szCs w:val="18"/>
                <w:color w:val="auto"/>
                <w:vertAlign w:val="superscript"/>
              </w:rPr>
              <w:t>(4)</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4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929292"/>
              <w:bottom w:val="single" w:sz="8" w:color="929292"/>
            </w:tcBorders>
          </w:tcPr>
          <w:p>
            <w:pPr>
              <w:jc w:val="right"/>
              <w:ind w:right="68"/>
              <w:spacing w:after="0"/>
              <w:rPr>
                <w:sz w:val="20"/>
                <w:szCs w:val="20"/>
                <w:color w:val="auto"/>
              </w:rPr>
            </w:pPr>
            <w:r>
              <w:rPr>
                <w:rFonts w:ascii="Arial" w:cs="Arial" w:eastAsia="Arial" w:hAnsi="Arial"/>
                <w:sz w:val="14"/>
                <w:szCs w:val="14"/>
                <w:color w:val="auto"/>
              </w:rPr>
              <w:t>(12,308)</w:t>
            </w:r>
          </w:p>
        </w:tc>
        <w:tc>
          <w:tcPr>
            <w:tcW w:w="100" w:type="dxa"/>
            <w:vAlign w:val="bottom"/>
          </w:tcPr>
          <w:p>
            <w:pPr>
              <w:spacing w:after="0"/>
              <w:rPr>
                <w:sz w:val="17"/>
                <w:szCs w:val="17"/>
                <w:color w:val="auto"/>
              </w:rPr>
            </w:pPr>
          </w:p>
        </w:tc>
        <w:tc>
          <w:tcPr>
            <w:tcW w:w="34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bottom w:val="single" w:sz="8" w:color="929292"/>
            </w:tcBorders>
          </w:tcPr>
          <w:p>
            <w:pPr>
              <w:jc w:val="right"/>
              <w:ind w:right="128"/>
              <w:spacing w:after="0"/>
              <w:rPr>
                <w:sz w:val="20"/>
                <w:szCs w:val="20"/>
                <w:color w:val="auto"/>
              </w:rPr>
            </w:pPr>
            <w:r>
              <w:rPr>
                <w:rFonts w:ascii="Arial" w:cs="Arial" w:eastAsia="Arial" w:hAnsi="Arial"/>
                <w:sz w:val="14"/>
                <w:szCs w:val="14"/>
                <w:color w:val="auto"/>
              </w:rPr>
              <w:t>788</w:t>
            </w:r>
          </w:p>
        </w:tc>
        <w:tc>
          <w:tcPr>
            <w:tcW w:w="80" w:type="dxa"/>
            <w:vAlign w:val="bottom"/>
          </w:tcPr>
          <w:p>
            <w:pPr>
              <w:spacing w:after="0"/>
              <w:rPr>
                <w:sz w:val="17"/>
                <w:szCs w:val="17"/>
                <w:color w:val="auto"/>
              </w:rPr>
            </w:pPr>
          </w:p>
        </w:tc>
        <w:tc>
          <w:tcPr>
            <w:tcW w:w="360" w:type="dxa"/>
            <w:vAlign w:val="bottom"/>
            <w:tcBorders>
              <w:top w:val="single" w:sz="8" w:color="929292"/>
              <w:bottom w:val="single" w:sz="8" w:color="929292"/>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color w:val="auto"/>
              </w:rPr>
              <w:t>14,585</w:t>
            </w:r>
          </w:p>
        </w:tc>
        <w:tc>
          <w:tcPr>
            <w:tcW w:w="100" w:type="dxa"/>
            <w:vAlign w:val="bottom"/>
          </w:tcPr>
          <w:p>
            <w:pPr>
              <w:spacing w:after="0"/>
              <w:rPr>
                <w:sz w:val="17"/>
                <w:szCs w:val="17"/>
                <w:color w:val="auto"/>
              </w:rPr>
            </w:pPr>
          </w:p>
        </w:tc>
        <w:tc>
          <w:tcPr>
            <w:tcW w:w="34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color w:val="auto"/>
              </w:rPr>
              <w:t>29,566</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8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right="160" w:hanging="332"/>
        <w:spacing w:after="0" w:line="246" w:lineRule="auto"/>
        <w:tabs>
          <w:tab w:leader="none" w:pos="332"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ind w:left="320" w:hanging="312"/>
        <w:spacing w:after="0"/>
        <w:tabs>
          <w:tab w:leader="none" w:pos="3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associated fees associated with a reduction in workforce unrelated to restructuring activities.</w:t>
      </w:r>
    </w:p>
    <w:p>
      <w:pPr>
        <w:ind w:left="340" w:right="60" w:hanging="332"/>
        <w:spacing w:after="0" w:line="242" w:lineRule="auto"/>
        <w:tabs>
          <w:tab w:leader="none" w:pos="332"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litigation, Credit Agreement amendments and other non-routine legal or regulatory matters as described in Note 4. “Long-Term Debt” and Note 11. “Commitments And Contingencies” of the Notes to Condensed Consolidated Financial Statements.</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90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color w:val="auto"/>
              </w:rPr>
              <w:t>Three months ended Jun. 30,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top w:val="single" w:sz="8" w:color="929292"/>
            </w:tcBorders>
            <w:gridSpan w:val="2"/>
            <w:shd w:val="clear" w:color="auto" w:fill="929292"/>
          </w:tcPr>
          <w:p>
            <w:pPr>
              <w:jc w:val="right"/>
              <w:ind w:right="508"/>
              <w:spacing w:after="0"/>
              <w:rPr>
                <w:sz w:val="20"/>
                <w:szCs w:val="20"/>
                <w:color w:val="auto"/>
              </w:rPr>
            </w:pPr>
            <w:r>
              <w:rPr>
                <w:rFonts w:ascii="Arial" w:cs="Arial" w:eastAsia="Arial" w:hAnsi="Arial"/>
                <w:sz w:val="14"/>
                <w:szCs w:val="14"/>
                <w:color w:val="FFFFFF"/>
              </w:rPr>
              <w:t>% of Net Revenues</w:t>
            </w:r>
          </w:p>
        </w:tc>
      </w:tr>
      <w:tr>
        <w:trPr>
          <w:trHeight w:val="215"/>
        </w:trPr>
        <w:tc>
          <w:tcPr>
            <w:tcW w:w="390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 Change</w:t>
            </w: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11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2023</w:t>
            </w:r>
          </w:p>
        </w:tc>
      </w:tr>
      <w:tr>
        <w:trPr>
          <w:trHeight w:val="194"/>
        </w:trPr>
        <w:tc>
          <w:tcPr>
            <w:tcW w:w="3900" w:type="dxa"/>
            <w:vAlign w:val="bottom"/>
            <w:tcBorders>
              <w:left w:val="single" w:sz="8" w:color="929292"/>
            </w:tcBorders>
          </w:tcPr>
          <w:p>
            <w:pPr>
              <w:spacing w:after="0"/>
              <w:rPr>
                <w:sz w:val="16"/>
                <w:szCs w:val="16"/>
                <w:color w:val="auto"/>
              </w:rPr>
            </w:pPr>
          </w:p>
        </w:tc>
        <w:tc>
          <w:tcPr>
            <w:tcW w:w="100" w:type="dxa"/>
            <w:vAlign w:val="bottom"/>
            <w:tcBorders>
              <w:top w:val="single" w:sz="8" w:color="929292"/>
            </w:tcBorders>
            <w:shd w:val="clear" w:color="auto" w:fill="929292"/>
          </w:tcPr>
          <w:p>
            <w:pPr>
              <w:spacing w:after="0"/>
              <w:rPr>
                <w:sz w:val="16"/>
                <w:szCs w:val="16"/>
                <w:color w:val="auto"/>
              </w:rPr>
            </w:pPr>
          </w:p>
        </w:tc>
        <w:tc>
          <w:tcPr>
            <w:tcW w:w="1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(12,308)</w:t>
            </w:r>
          </w:p>
        </w:tc>
        <w:tc>
          <w:tcPr>
            <w:tcW w:w="8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6"/>
                <w:szCs w:val="16"/>
                <w:color w:val="auto"/>
              </w:rPr>
            </w:pPr>
          </w:p>
        </w:tc>
        <w:tc>
          <w:tcPr>
            <w:tcW w:w="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(13,096)</w:t>
            </w:r>
          </w:p>
        </w:tc>
        <w:tc>
          <w:tcPr>
            <w:tcW w:w="100" w:type="dxa"/>
            <w:vAlign w:val="bottom"/>
          </w:tcPr>
          <w:p>
            <w:pPr>
              <w:spacing w:after="0"/>
              <w:rPr>
                <w:sz w:val="16"/>
                <w:szCs w:val="16"/>
                <w:color w:val="auto"/>
              </w:rPr>
            </w:pP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1661.9 %</w:t>
            </w:r>
          </w:p>
        </w:tc>
        <w:tc>
          <w:tcPr>
            <w:tcW w:w="100" w:type="dxa"/>
            <w:vAlign w:val="bottom"/>
          </w:tcPr>
          <w:p>
            <w:pPr>
              <w:spacing w:after="0"/>
              <w:rPr>
                <w:sz w:val="16"/>
                <w:szCs w:val="16"/>
                <w:color w:val="auto"/>
              </w:rPr>
            </w:pPr>
          </w:p>
        </w:tc>
        <w:tc>
          <w:tcPr>
            <w:tcW w:w="114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4"/>
                <w:szCs w:val="14"/>
                <w:color w:val="FFFFFF"/>
              </w:rPr>
              <w:t>(11.6)%</w:t>
            </w:r>
          </w:p>
        </w:tc>
        <w:tc>
          <w:tcPr>
            <w:tcW w:w="124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4"/>
                <w:szCs w:val="14"/>
                <w:color w:val="FFFFFF"/>
              </w:rPr>
              <w:t>0.6 %</w:t>
            </w:r>
          </w:p>
        </w:tc>
      </w:tr>
      <w:tr>
        <w:trPr>
          <w:trHeight w:val="222"/>
        </w:trPr>
        <w:tc>
          <w:tcPr>
            <w:tcW w:w="3900" w:type="dxa"/>
            <w:vAlign w:val="bottom"/>
            <w:tcBorders>
              <w:left w:val="single" w:sz="8" w:color="929292"/>
            </w:tcBorders>
          </w:tcPr>
          <w:p>
            <w:pPr>
              <w:ind w:left="1360"/>
              <w:spacing w:after="0"/>
              <w:rPr>
                <w:sz w:val="20"/>
                <w:szCs w:val="20"/>
                <w:color w:val="auto"/>
              </w:rPr>
            </w:pPr>
            <w:r>
              <w:rPr>
                <w:rFonts w:ascii="Arial" w:cs="Arial" w:eastAsia="Arial" w:hAnsi="Arial"/>
                <w:sz w:val="14"/>
                <w:szCs w:val="14"/>
                <w:b w:val="1"/>
                <w:bCs w:val="1"/>
                <w:color w:val="00497F"/>
              </w:rPr>
              <w:t>Adjusted EBITDA</w:t>
            </w:r>
          </w:p>
        </w:tc>
        <w:tc>
          <w:tcPr>
            <w:tcW w:w="100" w:type="dxa"/>
            <w:vAlign w:val="bottom"/>
            <w:shd w:val="clear" w:color="auto" w:fill="929292"/>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shd w:val="clear" w:color="auto" w:fill="929292"/>
          </w:tcPr>
          <w:p>
            <w:pPr>
              <w:spacing w:after="0"/>
              <w:rPr>
                <w:sz w:val="19"/>
                <w:szCs w:val="19"/>
                <w:color w:val="auto"/>
              </w:rPr>
            </w:pPr>
          </w:p>
        </w:tc>
        <w:tc>
          <w:tcPr>
            <w:tcW w:w="1240" w:type="dxa"/>
            <w:vAlign w:val="bottom"/>
            <w:shd w:val="clear" w:color="auto" w:fill="929292"/>
          </w:tcPr>
          <w:p>
            <w:pPr>
              <w:spacing w:after="0"/>
              <w:rPr>
                <w:sz w:val="19"/>
                <w:szCs w:val="19"/>
                <w:color w:val="auto"/>
              </w:rPr>
            </w:pPr>
          </w:p>
        </w:tc>
      </w:tr>
      <w:tr>
        <w:trPr>
          <w:trHeight w:val="210"/>
        </w:trPr>
        <w:tc>
          <w:tcPr>
            <w:tcW w:w="390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color w:val="auto"/>
              </w:rPr>
              <w:t>Six months ended Jun. 30,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shd w:val="clear" w:color="auto" w:fill="929292"/>
          </w:tcPr>
          <w:p>
            <w:pPr>
              <w:jc w:val="right"/>
              <w:ind w:right="508"/>
              <w:spacing w:after="0"/>
              <w:rPr>
                <w:sz w:val="20"/>
                <w:szCs w:val="20"/>
                <w:color w:val="auto"/>
              </w:rPr>
            </w:pPr>
            <w:r>
              <w:rPr>
                <w:rFonts w:ascii="Arial" w:cs="Arial" w:eastAsia="Arial" w:hAnsi="Arial"/>
                <w:sz w:val="14"/>
                <w:szCs w:val="14"/>
                <w:color w:val="FFFFFF"/>
              </w:rPr>
              <w:t>% of Net Revenues</w:t>
            </w:r>
          </w:p>
        </w:tc>
      </w:tr>
      <w:tr>
        <w:trPr>
          <w:trHeight w:val="218"/>
        </w:trPr>
        <w:tc>
          <w:tcPr>
            <w:tcW w:w="3900" w:type="dxa"/>
            <w:vAlign w:val="bottom"/>
            <w:tcBorders>
              <w:left w:val="single" w:sz="8" w:color="929292"/>
            </w:tcBorders>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 Change</w:t>
            </w: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11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2023</w:t>
            </w:r>
          </w:p>
        </w:tc>
      </w:tr>
      <w:tr>
        <w:trPr>
          <w:trHeight w:val="198"/>
        </w:trPr>
        <w:tc>
          <w:tcPr>
            <w:tcW w:w="390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14,585</w:t>
            </w:r>
          </w:p>
        </w:tc>
        <w:tc>
          <w:tcPr>
            <w:tcW w:w="80" w:type="dxa"/>
            <w:vAlign w:val="bottom"/>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29,566</w:t>
            </w:r>
          </w:p>
        </w:tc>
        <w:tc>
          <w:tcPr>
            <w:tcW w:w="100" w:type="dxa"/>
            <w:vAlign w:val="bottom"/>
          </w:tcPr>
          <w:p>
            <w:pPr>
              <w:spacing w:after="0"/>
              <w:rPr>
                <w:sz w:val="17"/>
                <w:szCs w:val="17"/>
                <w:color w:val="auto"/>
              </w:rPr>
            </w:pPr>
          </w:p>
        </w:tc>
        <w:tc>
          <w:tcPr>
            <w:tcW w:w="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(14,981)</w:t>
            </w:r>
          </w:p>
        </w:tc>
        <w:tc>
          <w:tcPr>
            <w:tcW w:w="100" w:type="dxa"/>
            <w:vAlign w:val="bottom"/>
          </w:tcPr>
          <w:p>
            <w:pPr>
              <w:spacing w:after="0"/>
              <w:rPr>
                <w:sz w:val="17"/>
                <w:szCs w:val="17"/>
                <w:color w:val="auto"/>
              </w:rPr>
            </w:pP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50.7 %</w:t>
            </w:r>
          </w:p>
        </w:tc>
        <w:tc>
          <w:tcPr>
            <w:tcW w:w="100" w:type="dxa"/>
            <w:vAlign w:val="bottom"/>
          </w:tcPr>
          <w:p>
            <w:pPr>
              <w:spacing w:after="0"/>
              <w:rPr>
                <w:sz w:val="17"/>
                <w:szCs w:val="17"/>
                <w:color w:val="auto"/>
              </w:rPr>
            </w:pPr>
          </w:p>
        </w:tc>
        <w:tc>
          <w:tcPr>
            <w:tcW w:w="114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4"/>
                <w:szCs w:val="14"/>
                <w:color w:val="FFFFFF"/>
              </w:rPr>
              <w:t>5.0 %</w:t>
            </w:r>
          </w:p>
        </w:tc>
        <w:tc>
          <w:tcPr>
            <w:tcW w:w="124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4"/>
                <w:szCs w:val="14"/>
                <w:color w:val="FFFFFF"/>
              </w:rPr>
              <w:t>9.1 %</w:t>
            </w:r>
          </w:p>
        </w:tc>
      </w:tr>
    </w:tbl>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decreases for the three and six months ended June 30, 2024 compared to the prior year periods were primarily due to period-over-period declines in net revenues, partially offset by realized operational efficiencies as a result of our focus on driving high-quality Medicare services for our consumers through the Encompass operating model. Our improved operating efficiencies were enabled by reduced headcount, targeted marketing, and enhancements in our proprietary technology.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 below.</w:t>
      </w:r>
    </w:p>
    <w:p>
      <w:pPr>
        <w:spacing w:after="0" w:line="15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Sales per Submission represents Medicare Revenue per Submission as further adjusted for certain items summarized in the table furnished below. Direct Cost per Submission represents Operating Expense per Submission as further adjusted for certain items summarized in the table furnished below. Adjusted Direct Operating Margin per Submission represents Sales per Submission less Direct Cost per Submission.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Medicare Revenue per Submission and Operating Expense per Submission to Sales per Submission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 Cost per Submission for the periods indicated (unaudited):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 30,</w:t>
            </w:r>
          </w:p>
        </w:tc>
        <w:tc>
          <w:tcPr>
            <w:tcW w:w="320" w:type="dxa"/>
            <w:vAlign w:val="bottom"/>
          </w:tcPr>
          <w:p>
            <w:pPr>
              <w:spacing w:after="0"/>
              <w:rPr>
                <w:sz w:val="17"/>
                <w:szCs w:val="17"/>
                <w:color w:val="auto"/>
              </w:rPr>
            </w:pPr>
          </w:p>
        </w:tc>
        <w:tc>
          <w:tcPr>
            <w:tcW w:w="26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 30,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Arial" w:cs="Arial" w:eastAsia="Arial" w:hAnsi="Arial"/>
                <w:sz w:val="14"/>
                <w:szCs w:val="14"/>
                <w:b w:val="1"/>
                <w:bCs w:val="1"/>
                <w:color w:val="auto"/>
              </w:rPr>
              <w:t>Sales per Submission</w:t>
            </w:r>
          </w:p>
        </w:tc>
        <w:tc>
          <w:tcPr>
            <w:tcW w:w="10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60" w:type="dxa"/>
            <w:vAlign w:val="bottom"/>
          </w:tcPr>
          <w:p>
            <w:pPr>
              <w:ind w:left="120"/>
              <w:spacing w:after="0"/>
              <w:rPr>
                <w:sz w:val="20"/>
                <w:szCs w:val="20"/>
                <w:color w:val="auto"/>
              </w:rPr>
            </w:pPr>
            <w:r>
              <w:rPr>
                <w:rFonts w:ascii="Arial" w:cs="Arial" w:eastAsia="Arial" w:hAnsi="Arial"/>
                <w:sz w:val="14"/>
                <w:szCs w:val="14"/>
                <w:color w:val="auto"/>
              </w:rPr>
              <w:t>Medicare Revenue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Arial" w:cs="Arial" w:eastAsia="Arial" w:hAnsi="Arial"/>
                <w:sz w:val="14"/>
                <w:szCs w:val="14"/>
                <w:color w:val="auto"/>
              </w:rPr>
              <w:t>Sales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Direct Cost per Submission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5160" w:type="dxa"/>
            <w:vAlign w:val="bottom"/>
            <w:vMerge w:val="continue"/>
          </w:tcPr>
          <w:p>
            <w:pPr>
              <w:spacing w:after="0"/>
              <w:rPr>
                <w:sz w:val="24"/>
                <w:szCs w:val="24"/>
                <w:color w:val="auto"/>
              </w:rPr>
            </w:pPr>
          </w:p>
        </w:tc>
        <w:tc>
          <w:tcPr>
            <w:tcW w:w="100" w:type="dxa"/>
            <w:vAlign w:val="bottom"/>
            <w:shd w:val="clear" w:color="auto" w:fill="929292"/>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160" w:type="dxa"/>
            <w:vAlign w:val="bottom"/>
          </w:tcPr>
          <w:p>
            <w:pPr>
              <w:ind w:left="120"/>
              <w:spacing w:after="0"/>
              <w:rPr>
                <w:sz w:val="20"/>
                <w:szCs w:val="20"/>
                <w:color w:val="auto"/>
              </w:rPr>
            </w:pPr>
            <w:r>
              <w:rPr>
                <w:rFonts w:ascii="Arial" w:cs="Arial" w:eastAsia="Arial" w:hAnsi="Arial"/>
                <w:sz w:val="14"/>
                <w:szCs w:val="14"/>
                <w:color w:val="auto"/>
              </w:rPr>
              <w:t>Operating Expense per Submission</w:t>
            </w:r>
          </w:p>
        </w:tc>
        <w:tc>
          <w:tcPr>
            <w:tcW w:w="100" w:type="dxa"/>
            <w:vAlign w:val="bottom"/>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961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912</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4"/>
                <w:szCs w:val="14"/>
                <w:color w:val="auto"/>
              </w:rPr>
              <w:t>Indirect operating expenses</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90"/>
        </w:trPr>
        <w:tc>
          <w:tcPr>
            <w:tcW w:w="5160" w:type="dxa"/>
            <w:vAlign w:val="bottom"/>
          </w:tcPr>
          <w:p>
            <w:pPr>
              <w:ind w:left="120"/>
              <w:spacing w:after="0"/>
              <w:rPr>
                <w:sz w:val="20"/>
                <w:szCs w:val="20"/>
                <w:color w:val="auto"/>
              </w:rPr>
            </w:pPr>
            <w:r>
              <w:rPr>
                <w:rFonts w:ascii="Arial" w:cs="Arial" w:eastAsia="Arial" w:hAnsi="Arial"/>
                <w:sz w:val="14"/>
                <w:szCs w:val="14"/>
                <w:color w:val="auto"/>
              </w:rPr>
              <w:t>Exit of Non-Encompass BPO Services</w:t>
            </w:r>
          </w:p>
        </w:tc>
        <w:tc>
          <w:tcPr>
            <w:tcW w:w="100" w:type="dxa"/>
            <w:vAlign w:val="bottom"/>
            <w:shd w:val="clear" w:color="auto" w:fill="929292"/>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18"/>
                <w:szCs w:val="18"/>
                <w:color w:val="auto"/>
                <w:vertAlign w:val="superscript"/>
              </w:rPr>
              <w:t>(2)</w:t>
            </w:r>
          </w:p>
        </w:tc>
        <w:tc>
          <w:tcPr>
            <w:tcW w:w="100" w:type="dxa"/>
            <w:vAlign w:val="bottom"/>
            <w:tcBorders>
              <w:bottom w:val="single" w:sz="8" w:color="929292"/>
            </w:tcBorders>
            <w:shd w:val="clear" w:color="auto" w:fill="929292"/>
          </w:tcPr>
          <w:p>
            <w:pPr>
              <w:spacing w:after="0"/>
              <w:rPr>
                <w:sz w:val="18"/>
                <w:szCs w:val="18"/>
                <w:color w:val="auto"/>
              </w:rPr>
            </w:pPr>
          </w:p>
        </w:tc>
        <w:tc>
          <w:tcPr>
            <w:tcW w:w="28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32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32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4"/>
                <w:szCs w:val="14"/>
                <w:color w:val="auto"/>
              </w:rPr>
              <w:t>Direct Cost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641</w:t>
            </w:r>
          </w:p>
        </w:tc>
        <w:tc>
          <w:tcPr>
            <w:tcW w:w="8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Adjusted Direct Operating Margin per Submission</w:t>
            </w:r>
            <w:r>
              <w:rPr>
                <w:rFonts w:ascii="Arial" w:cs="Arial" w:eastAsia="Arial" w:hAnsi="Arial"/>
                <w:sz w:val="18"/>
                <w:szCs w:val="18"/>
                <w:color w:val="auto"/>
                <w:vertAlign w:val="superscript"/>
              </w:rPr>
              <w:t>(3)</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160" w:type="dxa"/>
            <w:vAlign w:val="bottom"/>
            <w:vMerge w:val="continue"/>
          </w:tcPr>
          <w:p>
            <w:pPr>
              <w:spacing w:after="0"/>
              <w:rPr>
                <w:sz w:val="24"/>
                <w:szCs w:val="24"/>
                <w:color w:val="auto"/>
              </w:rPr>
            </w:pPr>
          </w:p>
        </w:tc>
        <w:tc>
          <w:tcPr>
            <w:tcW w:w="100" w:type="dxa"/>
            <w:vAlign w:val="bottom"/>
            <w:shd w:val="clear" w:color="auto" w:fill="929292"/>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Indirect operating expenses include technology, general and administrative, amortization of intangible assets and operating lease impairment charges.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Share-based compensation expense included within marketing and advertising expenses and consumer care and enrollment expenses.</w:t>
      </w:r>
    </w:p>
    <w:p>
      <w:pPr>
        <w:ind w:left="320" w:hanging="312"/>
        <w:spacing w:after="0"/>
        <w:tabs>
          <w:tab w:leader="none" w:pos="32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Sales per Submission less Direct Cost per Submission.</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Submissions</w:t>
      </w:r>
    </w:p>
    <w:p>
      <w:pPr>
        <w:spacing w:after="0" w:line="32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2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780" w:type="dxa"/>
            <w:vAlign w:val="bottom"/>
            <w:gridSpan w:val="4"/>
          </w:tcPr>
          <w:p>
            <w:pPr>
              <w:ind w:left="400"/>
              <w:spacing w:after="0"/>
              <w:rPr>
                <w:sz w:val="20"/>
                <w:szCs w:val="20"/>
                <w:color w:val="auto"/>
              </w:rPr>
            </w:pPr>
            <w:r>
              <w:rPr>
                <w:rFonts w:ascii="Arial" w:cs="Arial" w:eastAsia="Arial" w:hAnsi="Arial"/>
                <w:sz w:val="14"/>
                <w:szCs w:val="14"/>
                <w:color w:val="auto"/>
              </w:rPr>
              <w:t>Three months ended Jun. 30,</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2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300" w:type="dxa"/>
            <w:vAlign w:val="bottom"/>
          </w:tcPr>
          <w:p>
            <w:pPr>
              <w:ind w:left="50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Change</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5520" w:type="dxa"/>
            <w:vAlign w:val="bottom"/>
            <w:tcBorders>
              <w:left w:val="single" w:sz="8" w:color="929292"/>
            </w:tcBorders>
            <w:vMerge w:val="restart"/>
          </w:tcPr>
          <w:p>
            <w:pPr>
              <w:ind w:left="232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tcBorders>
              <w:top w:val="single" w:sz="8" w:color="929292"/>
            </w:tcBorders>
            <w:shd w:val="clear" w:color="auto" w:fill="929292"/>
          </w:tcPr>
          <w:p>
            <w:pPr>
              <w:spacing w:after="0"/>
              <w:rPr>
                <w:sz w:val="16"/>
                <w:szCs w:val="16"/>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152,394</w:t>
            </w:r>
          </w:p>
        </w:tc>
        <w:tc>
          <w:tcPr>
            <w:tcW w:w="100" w:type="dxa"/>
            <w:vAlign w:val="bottom"/>
          </w:tcPr>
          <w:p>
            <w:pPr>
              <w:spacing w:after="0"/>
              <w:rPr>
                <w:sz w:val="16"/>
                <w:szCs w:val="16"/>
                <w:color w:val="auto"/>
              </w:rPr>
            </w:pPr>
          </w:p>
        </w:tc>
        <w:tc>
          <w:tcPr>
            <w:tcW w:w="13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162,837</w:t>
            </w:r>
          </w:p>
        </w:tc>
        <w:tc>
          <w:tcPr>
            <w:tcW w:w="80" w:type="dxa"/>
            <w:vAlign w:val="bottom"/>
          </w:tcPr>
          <w:p>
            <w:pPr>
              <w:spacing w:after="0"/>
              <w:rPr>
                <w:sz w:val="16"/>
                <w:szCs w:val="16"/>
                <w:color w:val="auto"/>
              </w:rPr>
            </w:pPr>
          </w:p>
        </w:tc>
        <w:tc>
          <w:tcPr>
            <w:tcW w:w="13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(10,443)</w:t>
            </w:r>
          </w:p>
        </w:tc>
        <w:tc>
          <w:tcPr>
            <w:tcW w:w="80" w:type="dxa"/>
            <w:vAlign w:val="bottom"/>
          </w:tcPr>
          <w:p>
            <w:pPr>
              <w:spacing w:after="0"/>
              <w:rPr>
                <w:sz w:val="16"/>
                <w:szCs w:val="16"/>
                <w:color w:val="auto"/>
              </w:rPr>
            </w:pPr>
          </w:p>
        </w:tc>
        <w:tc>
          <w:tcPr>
            <w:tcW w:w="14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5"/>
        </w:trPr>
        <w:tc>
          <w:tcPr>
            <w:tcW w:w="552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780" w:type="dxa"/>
            <w:vAlign w:val="bottom"/>
            <w:gridSpan w:val="4"/>
            <w:vMerge w:val="restart"/>
          </w:tcPr>
          <w:p>
            <w:pPr>
              <w:ind w:left="500"/>
              <w:spacing w:after="0"/>
              <w:rPr>
                <w:sz w:val="20"/>
                <w:szCs w:val="20"/>
                <w:color w:val="auto"/>
              </w:rPr>
            </w:pPr>
            <w:r>
              <w:rPr>
                <w:rFonts w:ascii="Arial" w:cs="Arial" w:eastAsia="Arial" w:hAnsi="Arial"/>
                <w:sz w:val="14"/>
                <w:szCs w:val="14"/>
                <w:color w:val="auto"/>
              </w:rPr>
              <w:t>Six months ended Jun. 30,</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780" w:type="dxa"/>
            <w:vAlign w:val="bottom"/>
            <w:gridSpan w:val="4"/>
            <w:vMerge w:val="continue"/>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2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1300" w:type="dxa"/>
            <w:vAlign w:val="bottom"/>
          </w:tcPr>
          <w:p>
            <w:pPr>
              <w:ind w:left="50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Change</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552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368,542</w:t>
            </w:r>
          </w:p>
        </w:tc>
        <w:tc>
          <w:tcPr>
            <w:tcW w:w="100" w:type="dxa"/>
            <w:vAlign w:val="bottom"/>
          </w:tcPr>
          <w:p>
            <w:pPr>
              <w:spacing w:after="0"/>
              <w:rPr>
                <w:sz w:val="17"/>
                <w:szCs w:val="17"/>
                <w:color w:val="auto"/>
              </w:rPr>
            </w:pPr>
          </w:p>
        </w:tc>
        <w:tc>
          <w:tcPr>
            <w:tcW w:w="13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376,482</w:t>
            </w:r>
          </w:p>
        </w:tc>
        <w:tc>
          <w:tcPr>
            <w:tcW w:w="80" w:type="dxa"/>
            <w:vAlign w:val="bottom"/>
          </w:tcPr>
          <w:p>
            <w:pPr>
              <w:spacing w:after="0"/>
              <w:rPr>
                <w:sz w:val="17"/>
                <w:szCs w:val="17"/>
                <w:color w:val="auto"/>
              </w:rPr>
            </w:pPr>
          </w:p>
        </w:tc>
        <w:tc>
          <w:tcPr>
            <w:tcW w:w="13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(7,940)</w:t>
            </w:r>
          </w:p>
        </w:tc>
        <w:tc>
          <w:tcPr>
            <w:tcW w:w="80" w:type="dxa"/>
            <w:vAlign w:val="bottom"/>
          </w:tcPr>
          <w:p>
            <w:pPr>
              <w:spacing w:after="0"/>
              <w:rPr>
                <w:sz w:val="17"/>
                <w:szCs w:val="17"/>
                <w:color w:val="auto"/>
              </w:rPr>
            </w:pPr>
          </w:p>
        </w:tc>
        <w:tc>
          <w:tcPr>
            <w:tcW w:w="14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decrease for the three months ended June 30, 2024 compared to the prior year period was primarily attributable to a decrease in Submissions generated by our external agents, partially offset by an increase in Submissions generated by GoHealth’s internal network of agents. The decrease for the six months ended June 30, 2024 compared to the prior year period was primarily attributable to a decrease in Submissions generated by our external agents, partially offset by an increase in Submissions generated by GoHealth’s internal network of agents and an increase in transfers to the health plan partner through the Encompass marketplace.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Sales Per Submission</w:t>
      </w:r>
    </w:p>
    <w:p>
      <w:pPr>
        <w:spacing w:after="0" w:line="32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Sales per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are equal to the sum of the commission revenue due upon the initial sale of a policy, and when applicable, an estimate of future renewal commissions per commissionable Submissions, and this figure excludes commissions through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Sales per Submission represents revenues only from policies sold during the period, but excludes policies originally submitted in prior periods. Management uses this metric to measure the performance of the Submissions generated in a reporting period by reviewing and presenting average performance on a per Submission basis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296545</wp:posOffset>
            </wp:positionV>
            <wp:extent cx="825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296545</wp:posOffset>
            </wp:positionV>
            <wp:extent cx="889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2024 Form 10-Q</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color w:val="auto"/>
              </w:rPr>
              <w:t>Three months ended Jun. 30,</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4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5540" w:type="dxa"/>
            <w:vAlign w:val="bottom"/>
            <w:tcBorders>
              <w:left w:val="single" w:sz="8" w:color="929292"/>
            </w:tcBorders>
            <w:vMerge w:val="restart"/>
          </w:tcPr>
          <w:p>
            <w:pPr>
              <w:ind w:left="2040"/>
              <w:spacing w:after="0"/>
              <w:rPr>
                <w:sz w:val="20"/>
                <w:szCs w:val="20"/>
                <w:color w:val="auto"/>
              </w:rPr>
            </w:pPr>
            <w:r>
              <w:rPr>
                <w:rFonts w:ascii="Arial" w:cs="Arial" w:eastAsia="Arial" w:hAnsi="Arial"/>
                <w:sz w:val="14"/>
                <w:szCs w:val="14"/>
                <w:b w:val="1"/>
                <w:bCs w:val="1"/>
                <w:color w:val="00497F"/>
              </w:rPr>
              <w:t>Sales Per Submission</w:t>
            </w:r>
          </w:p>
        </w:tc>
        <w:tc>
          <w:tcPr>
            <w:tcW w:w="100" w:type="dxa"/>
            <w:vAlign w:val="bottom"/>
            <w:tcBorders>
              <w:top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4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5"/>
        </w:trPr>
        <w:tc>
          <w:tcPr>
            <w:tcW w:w="554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240"/>
              <w:spacing w:after="0"/>
              <w:rPr>
                <w:sz w:val="20"/>
                <w:szCs w:val="20"/>
                <w:color w:val="auto"/>
              </w:rPr>
            </w:pPr>
            <w:r>
              <w:rPr>
                <w:rFonts w:ascii="Arial" w:cs="Arial" w:eastAsia="Arial" w:hAnsi="Arial"/>
                <w:sz w:val="14"/>
                <w:szCs w:val="14"/>
                <w:color w:val="auto"/>
              </w:rPr>
              <w:t>Six months ended Jun. 30,</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54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4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5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7"/>
                <w:szCs w:val="17"/>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7"/>
                <w:szCs w:val="17"/>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4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decrease for the three months ended June 30, 2024 compared to the prior year period was primarily attributable to a shift from non-agency to agency revenue as a result of changing carrier mix within the non-agency channel. The decrease was further attributable to a decline in LTV rates due to lower persistency. The decrease for the six months ended June 30, 2024 compared to the prior year period was primarily attributable to a decline in LTV rates due to lower persistency.</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Sales/Direct Cost of Submission and Direct Cost Per Submission</w:t>
      </w:r>
    </w:p>
    <w:p>
      <w:pPr>
        <w:spacing w:after="0" w:line="31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Sales/Direct 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and such expenses related to our Non-Encompass BPO Services, (ii) Encompass revenue, and (iii) partner marketing and enrollment services, divided by (y) the aggregate direct cost to convert prospects into Submissions (comprised of revenue share, marketing and advertising expenses and consumer care and enrollment expenses, excluding associated share-based compensation expense, the impact of revenue adjustments recorded in the period, but relating to performance obligations satisfied in prior periods, and such expenses related to our Non-Encompass BPO Services) for such period.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our 2023 Annual Report on Form 10-K.</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Direct Cost per Submission refers to (x) the aggregate direct cost to convert prospects into Submissions during a particular period (comprised of revenue share, marketing and advertising expenses, and consumer care and enrollment expenses, excluding associated share-based compensation expense, the impact of revenue adjustments recorded in the period, but relating to performance obligations satisfied in prior periods, and such expenses related to our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Management uses this metric to measure the cost of the Submissions generated in a reporting period by reviewing and presenting average cost on a per Submission basis over time.</w:t>
      </w:r>
    </w:p>
    <w:p>
      <w:pPr>
        <w:spacing w:after="0" w:line="190"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following are our Sales/Direct Cost of Submission, Direct Cost of Submission (in thousands) and Direct Cost Per Submission for the three and six months ended June 30, 2024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color w:val="auto"/>
              </w:rPr>
              <w:t>Three months ended Jun. 30,</w:t>
            </w:r>
          </w:p>
        </w:tc>
        <w:tc>
          <w:tcPr>
            <w:tcW w:w="320" w:type="dxa"/>
            <w:vAlign w:val="bottom"/>
          </w:tcPr>
          <w:p>
            <w:pPr>
              <w:spacing w:after="0"/>
              <w:rPr>
                <w:sz w:val="17"/>
                <w:szCs w:val="17"/>
                <w:color w:val="auto"/>
              </w:rPr>
            </w:pPr>
          </w:p>
        </w:tc>
        <w:tc>
          <w:tcPr>
            <w:tcW w:w="2600" w:type="dxa"/>
            <w:vAlign w:val="bottom"/>
            <w:gridSpan w:val="4"/>
          </w:tcPr>
          <w:p>
            <w:pPr>
              <w:jc w:val="right"/>
              <w:ind w:right="548"/>
              <w:spacing w:after="0"/>
              <w:rPr>
                <w:sz w:val="20"/>
                <w:szCs w:val="20"/>
                <w:color w:val="auto"/>
              </w:rPr>
            </w:pPr>
            <w:r>
              <w:rPr>
                <w:rFonts w:ascii="Arial" w:cs="Arial" w:eastAsia="Arial" w:hAnsi="Arial"/>
                <w:sz w:val="14"/>
                <w:szCs w:val="14"/>
                <w:color w:val="auto"/>
              </w:rPr>
              <w:t>Six months ended Jun. 30,</w:t>
            </w:r>
          </w:p>
        </w:tc>
      </w:tr>
      <w:tr>
        <w:trPr>
          <w:trHeight w:val="214"/>
        </w:trPr>
        <w:tc>
          <w:tcPr>
            <w:tcW w:w="5400" w:type="dxa"/>
            <w:vAlign w:val="bottom"/>
            <w:tcBorders>
              <w:bottom w:val="single" w:sz="8" w:color="929292"/>
            </w:tcBorders>
          </w:tcPr>
          <w:p>
            <w:pPr>
              <w:spacing w:after="0"/>
              <w:rPr>
                <w:sz w:val="18"/>
                <w:szCs w:val="18"/>
                <w:color w:val="auto"/>
              </w:rPr>
            </w:pPr>
          </w:p>
        </w:tc>
        <w:tc>
          <w:tcPr>
            <w:tcW w:w="8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929292"/>
            </w:tcBorders>
          </w:tcPr>
          <w:p>
            <w:pPr>
              <w:spacing w:after="0"/>
              <w:rPr>
                <w:sz w:val="18"/>
                <w:szCs w:val="18"/>
                <w:color w:val="auto"/>
              </w:rPr>
            </w:pPr>
          </w:p>
        </w:tc>
        <w:tc>
          <w:tcPr>
            <w:tcW w:w="106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00" w:type="dxa"/>
            <w:vAlign w:val="bottom"/>
            <w:tcBorders>
              <w:bottom w:val="single" w:sz="8" w:color="929292"/>
            </w:tcBorders>
          </w:tcPr>
          <w:p>
            <w:pPr>
              <w:spacing w:after="0"/>
              <w:rPr>
                <w:sz w:val="18"/>
                <w:szCs w:val="18"/>
                <w:color w:val="auto"/>
              </w:rPr>
            </w:pPr>
          </w:p>
        </w:tc>
        <w:tc>
          <w:tcPr>
            <w:tcW w:w="10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320" w:type="dxa"/>
            <w:vAlign w:val="bottom"/>
            <w:tcBorders>
              <w:bottom w:val="single" w:sz="8" w:color="929292"/>
            </w:tcBorders>
          </w:tcPr>
          <w:p>
            <w:pPr>
              <w:spacing w:after="0"/>
              <w:rPr>
                <w:sz w:val="18"/>
                <w:szCs w:val="18"/>
                <w:color w:val="auto"/>
              </w:rPr>
            </w:pPr>
          </w:p>
        </w:tc>
        <w:tc>
          <w:tcPr>
            <w:tcW w:w="1080" w:type="dxa"/>
            <w:vAlign w:val="bottom"/>
            <w:tcBorders>
              <w:bottom w:val="single" w:sz="8" w:color="929292"/>
            </w:tcBorders>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8"/>
                <w:szCs w:val="18"/>
                <w:color w:val="auto"/>
              </w:rPr>
            </w:pPr>
          </w:p>
        </w:tc>
        <w:tc>
          <w:tcPr>
            <w:tcW w:w="320" w:type="dxa"/>
            <w:vAlign w:val="bottom"/>
            <w:tcBorders>
              <w:bottom w:val="single" w:sz="8" w:color="929292"/>
            </w:tcBorders>
          </w:tcPr>
          <w:p>
            <w:pPr>
              <w:spacing w:after="0"/>
              <w:rPr>
                <w:sz w:val="18"/>
                <w:szCs w:val="18"/>
                <w:color w:val="auto"/>
              </w:rPr>
            </w:pPr>
          </w:p>
        </w:tc>
        <w:tc>
          <w:tcPr>
            <w:tcW w:w="1100" w:type="dxa"/>
            <w:vAlign w:val="bottom"/>
            <w:tcBorders>
              <w:bottom w:val="single" w:sz="8" w:color="929292"/>
            </w:tcBorders>
          </w:tcPr>
          <w:p>
            <w:pPr>
              <w:jc w:val="right"/>
              <w:ind w:right="468"/>
              <w:spacing w:after="0"/>
              <w:rPr>
                <w:sz w:val="20"/>
                <w:szCs w:val="20"/>
                <w:color w:val="auto"/>
              </w:rPr>
            </w:pPr>
            <w:r>
              <w:rPr>
                <w:rFonts w:ascii="Arial" w:cs="Arial" w:eastAsia="Arial" w:hAnsi="Arial"/>
                <w:sz w:val="14"/>
                <w:szCs w:val="14"/>
                <w:color w:val="auto"/>
              </w:rPr>
              <w:t>2023</w:t>
            </w:r>
          </w:p>
        </w:tc>
      </w:tr>
      <w:tr>
        <w:trPr>
          <w:trHeight w:val="172"/>
        </w:trPr>
        <w:tc>
          <w:tcPr>
            <w:tcW w:w="5400" w:type="dxa"/>
            <w:vAlign w:val="bottom"/>
          </w:tcPr>
          <w:p>
            <w:pPr>
              <w:ind w:left="20"/>
              <w:spacing w:after="0"/>
              <w:rPr>
                <w:sz w:val="20"/>
                <w:szCs w:val="20"/>
                <w:color w:val="auto"/>
              </w:rPr>
            </w:pPr>
            <w:r>
              <w:rPr>
                <w:rFonts w:ascii="Arial" w:cs="Arial" w:eastAsia="Arial" w:hAnsi="Arial"/>
                <w:sz w:val="14"/>
                <w:szCs w:val="14"/>
                <w:color w:val="auto"/>
              </w:rPr>
              <w:t>Sales/Direct Cost of Submission</w:t>
            </w:r>
          </w:p>
        </w:tc>
        <w:tc>
          <w:tcPr>
            <w:tcW w:w="80" w:type="dxa"/>
            <w:vAlign w:val="bottom"/>
            <w:shd w:val="clear" w:color="auto" w:fill="929292"/>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5400" w:type="dxa"/>
            <w:vAlign w:val="bottom"/>
          </w:tcPr>
          <w:p>
            <w:pPr>
              <w:ind w:left="20"/>
              <w:spacing w:after="0"/>
              <w:rPr>
                <w:sz w:val="20"/>
                <w:szCs w:val="20"/>
                <w:color w:val="auto"/>
              </w:rPr>
            </w:pPr>
            <w:r>
              <w:rPr>
                <w:rFonts w:ascii="Arial" w:cs="Arial" w:eastAsia="Arial" w:hAnsi="Arial"/>
                <w:sz w:val="14"/>
                <w:szCs w:val="14"/>
                <w:color w:val="auto"/>
              </w:rPr>
              <w:t>Direct Cost of Submission</w:t>
            </w:r>
          </w:p>
        </w:tc>
        <w:tc>
          <w:tcPr>
            <w:tcW w:w="80" w:type="dxa"/>
            <w:vAlign w:val="bottom"/>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97,618</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118,080</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235,868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245,250</w:t>
            </w:r>
          </w:p>
        </w:tc>
      </w:tr>
      <w:tr>
        <w:trPr>
          <w:trHeight w:val="211"/>
        </w:trPr>
        <w:tc>
          <w:tcPr>
            <w:tcW w:w="5400" w:type="dxa"/>
            <w:vAlign w:val="bottom"/>
          </w:tcPr>
          <w:p>
            <w:pPr>
              <w:ind w:left="20"/>
              <w:spacing w:after="0"/>
              <w:rPr>
                <w:sz w:val="20"/>
                <w:szCs w:val="20"/>
                <w:color w:val="auto"/>
              </w:rPr>
            </w:pPr>
            <w:r>
              <w:rPr>
                <w:rFonts w:ascii="Arial" w:cs="Arial" w:eastAsia="Arial" w:hAnsi="Arial"/>
                <w:sz w:val="14"/>
                <w:szCs w:val="14"/>
                <w:color w:val="auto"/>
              </w:rPr>
              <w:t>Direct Cost per Submission</w:t>
            </w:r>
          </w:p>
        </w:tc>
        <w:tc>
          <w:tcPr>
            <w:tcW w:w="80" w:type="dxa"/>
            <w:vAlign w:val="bottom"/>
            <w:shd w:val="clear" w:color="auto" w:fill="929292"/>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651</w:t>
            </w:r>
          </w:p>
        </w:tc>
      </w:tr>
    </w:tbl>
    <w:p>
      <w:pPr>
        <w:spacing w:after="0" w:line="29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decreases in Sales/Direct Cost of Submission for both the three and six months ended June 30, 2024 compared to the prior year periods were primarily attributable to decreases in revenues due to a 6.4% and 2.1% decrease in total Submissions for the three and six months ended June 30, 2024, respectively. The decreases were partially offset by increases attributable to our operating efficiencies, targeted marketing efforts and a decrease in expense we recognized pursuant to our revenue-sharing agreements with our external partners.</w:t>
      </w:r>
    </w:p>
    <w:p>
      <w:pPr>
        <w:spacing w:after="0" w:line="18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decreases in Direct Cost of Submission and Direct Cost per Submission for both the three and six months ended June 30, 2024 compared to the prior year periods were primarily attributable to our targeted marketing efforts and a decrease in expense we recognized pursuant to our revenue-sharing agreements with our external partners. The decreases reflect our continued investment in our technology and operating efficiencies through the Encompass operating model. Our focus on Direct Cost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290195</wp:posOffset>
            </wp:positionV>
            <wp:extent cx="825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290195</wp:posOffset>
            </wp:positionV>
            <wp:extent cx="889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2024 Form 10-Q</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34" w:name="page35"/>
    <w:bookmarkEnd w:id="34"/>
    <w:p>
      <w:pPr>
        <w:ind w:right="80"/>
        <w:spacing w:after="0" w:line="286" w:lineRule="auto"/>
        <w:rPr>
          <w:sz w:val="20"/>
          <w:szCs w:val="20"/>
          <w:color w:val="auto"/>
        </w:rPr>
      </w:pPr>
      <w:r>
        <w:rPr>
          <w:rFonts w:ascii="Arial" w:cs="Arial" w:eastAsia="Arial" w:hAnsi="Arial"/>
          <w:sz w:val="16"/>
          <w:szCs w:val="16"/>
          <w:color w:val="auto"/>
        </w:rPr>
        <w:t>Submission enables us to effectively manage expenses and investment in a highly regulated industry where benefits change annually, contracting dynamics change annually and consumer behavior can vary.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3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Our liquidity needs primarily include working capital and debt service requirements. At June 30, 2024, cash and cash equivalents totaled $14.1 million. We believe that our current sources of liquidity, which include cash and cash equivalents and funds available under the Credit Facilities, as further described below, will be sufficient to meet our projected operating and debt service requirements for at least the next twelve months. Short-term liquidity needs will primarily be funded through the Revolving Credit Facilities, as further described below, if necessary.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six months ended June 30, 2024 and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right"/>
              <w:ind w:right="348"/>
              <w:spacing w:after="0"/>
              <w:rPr>
                <w:sz w:val="20"/>
                <w:szCs w:val="20"/>
                <w:color w:val="auto"/>
              </w:rPr>
            </w:pPr>
            <w:r>
              <w:rPr>
                <w:rFonts w:ascii="Arial" w:cs="Arial" w:eastAsia="Arial" w:hAnsi="Arial"/>
                <w:sz w:val="14"/>
                <w:szCs w:val="14"/>
                <w:color w:val="auto"/>
              </w:rPr>
              <w:t>Six months ended Jun. 30,</w:t>
            </w:r>
          </w:p>
        </w:tc>
      </w:tr>
      <w:tr>
        <w:trPr>
          <w:trHeight w:val="194"/>
        </w:trPr>
        <w:tc>
          <w:tcPr>
            <w:tcW w:w="86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260" w:type="dxa"/>
            <w:vAlign w:val="bottom"/>
            <w:tcBorders>
              <w:bottom w:val="single" w:sz="8" w:color="929292"/>
            </w:tcBorders>
          </w:tcPr>
          <w:p>
            <w:pPr>
              <w:spacing w:after="0"/>
              <w:rPr>
                <w:sz w:val="16"/>
                <w:szCs w:val="16"/>
                <w:color w:val="auto"/>
              </w:rPr>
            </w:pPr>
          </w:p>
        </w:tc>
        <w:tc>
          <w:tcPr>
            <w:tcW w:w="94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6"/>
                <w:szCs w:val="16"/>
                <w:color w:val="auto"/>
              </w:rPr>
            </w:pPr>
          </w:p>
        </w:tc>
        <w:tc>
          <w:tcPr>
            <w:tcW w:w="260" w:type="dxa"/>
            <w:vAlign w:val="bottom"/>
            <w:tcBorders>
              <w:bottom w:val="single" w:sz="8" w:color="929292"/>
            </w:tcBorders>
          </w:tcPr>
          <w:p>
            <w:pPr>
              <w:spacing w:after="0"/>
              <w:rPr>
                <w:sz w:val="16"/>
                <w:szCs w:val="16"/>
                <w:color w:val="auto"/>
              </w:rPr>
            </w:pPr>
          </w:p>
        </w:tc>
        <w:tc>
          <w:tcPr>
            <w:tcW w:w="94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2023</w:t>
            </w:r>
          </w:p>
        </w:tc>
      </w:tr>
      <w:tr>
        <w:trPr>
          <w:trHeight w:val="192"/>
        </w:trPr>
        <w:tc>
          <w:tcPr>
            <w:tcW w:w="860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929292"/>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(23,984)</w:t>
            </w:r>
          </w:p>
        </w:tc>
        <w:tc>
          <w:tcPr>
            <w:tcW w:w="14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31,340</w:t>
            </w:r>
          </w:p>
        </w:tc>
      </w:tr>
      <w:tr>
        <w:trPr>
          <w:trHeight w:val="203"/>
        </w:trPr>
        <w:tc>
          <w:tcPr>
            <w:tcW w:w="860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(7,258)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(4,660)</w:t>
            </w:r>
          </w:p>
        </w:tc>
      </w:tr>
      <w:tr>
        <w:trPr>
          <w:trHeight w:val="211"/>
        </w:trPr>
        <w:tc>
          <w:tcPr>
            <w:tcW w:w="86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92929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(17,826)</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3" w:lineRule="exact"/>
        <w:rPr>
          <w:sz w:val="20"/>
          <w:szCs w:val="20"/>
          <w:color w:val="auto"/>
        </w:rPr>
      </w:pPr>
    </w:p>
    <w:p>
      <w:pPr>
        <w:ind w:right="820"/>
        <w:spacing w:after="0" w:line="275" w:lineRule="auto"/>
        <w:rPr>
          <w:sz w:val="20"/>
          <w:szCs w:val="20"/>
          <w:color w:val="auto"/>
        </w:rPr>
      </w:pPr>
      <w:r>
        <w:rPr>
          <w:rFonts w:ascii="Arial" w:cs="Arial" w:eastAsia="Arial" w:hAnsi="Arial"/>
          <w:sz w:val="16"/>
          <w:szCs w:val="16"/>
          <w:color w:val="auto"/>
        </w:rPr>
        <w:t>Cash provided by (used in) operating activities primarily consists of net income (loss) adjusted for certain non-cash items including share-based compensation, depreciation and amortization, amortization of intangible assets, amortization of debt discount and issuance costs, operating lease impairment charges, non-cash lease expense and the effect of changes in working capital and other activities.</w:t>
      </w:r>
    </w:p>
    <w:p>
      <w:pPr>
        <w:spacing w:after="0" w:line="16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spacing w:after="0" w:line="16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w:t>
      </w:r>
    </w:p>
    <w:p>
      <w:pPr>
        <w:spacing w:after="0" w:line="18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Net cash used in operating activities was $24.0 million for the six months ended June 30, 2024, compared to net cash provided by operating activities of $31.3 million for the six months ended June 30, 2023. The $55.3 million decrease was primarily driven by a decrease in accrued liabilities of $38.9 million, inclusive of a $10.5 million payment made during the first quarter of 2024 to settle the Securities Class Action litigation and $11.2 million of interest paid during the six months ended June 30, 2024 but relating to the prior year, and a decrease in cash from commissions receivable of $23.1 million. The decrease was partially offset by other changes in our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9"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Net cash used in investing activities for the six months ended June 30, 2024 and 2023 was $7.3 million and $4.7 million, respectively. The $2.6 million increase was primarily driven by an increase in capitalized internal-use software related to new technology, software, and systems.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Net cash used in financing activities for the six months ended June 30, 2024 and 2023 was $45.4 million and $17.8 million, respectively. The $27.6 million increase was primarily driven by an increase in repayments of our Term Loan Facilities of $34.6 million and an increase in payments related to debt issuance costs of $9.1 million resulting from an amendment to our Credit Facilities. The increase was partially offset by the borrowing of $15.0 million under the Revolving Credit Facilities during the second quarter of 2024. The additional funds from this borrowing provide us with the liquidity needed to fund operations during the Special Enrollment Period while we focus on strengthening our operational capabilities and positioning the Company for success during the upcoming AEP 2024.</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Facilities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June 30, 2024, the Borrower had a principal amount of $99.5 million, $266.8 million and $86.5 million outstanding under the Incremental Term Loan Facility, the 2021 Incremental Term Loans, and the 2021-2 Incremental Term Loans, respectively. As of December 31, 2023, the Borrower had a principal amount of $110.4 million, $296.3 million and $96.1 million outstanding under the Incremental Term Loan Facility, the 2021 Incremental Term Loans, and the 2021-2 Incremental Term Loans, respectively. The effective interest rate of the Term Loan Facilities was 12.9% at June 30, 2024 and 13.0% at December 31, 2023.</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During 2024 the Company is required to repay $75.0 million in aggregate of borrowings under the Term Loan Facilities, $50.0 million of which was paid in the second quarter of 2024. The remaining unpaid balance on the Term Loan Facilities, together with all accrued and unpaid interest thereon, is due and payable on or prior to September 13, 2025. The Company intends to extend or replace the Term Loan Facilities and Revolving Credit Facilities on or before expiration. This extension or replacement could include similar borrowing capacity or upsizing the Term Loan Facilities and Revolving Credit Facilities. See Note 4, “Long-Term Debt,” to the Condensed Consolidated Financial Statements in this Quarterly Report on Form 10-Q for additional information regarding the Company’s Term Loan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$15.0 million outstanding under the Revolving Credit Facilities as of June 30, 2024 and no amounts outstanding under the Revolving</w:t>
      </w:r>
    </w:p>
    <w:p>
      <w:pPr>
        <w:spacing w:after="0" w:line="8"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Credit Facilities as of December 31, 2023. The Revolving Credit Facilities have a remaining capacity of $96.5 million and $200.0 million in the aggregate as of June 30, 2024 and December 31, 2023, respectively. The Revolving Credit Facilities are separated into two classes of revolving commitments. After the</w:t>
      </w:r>
    </w:p>
    <w:p>
      <w:pPr>
        <w:ind w:right="40"/>
        <w:spacing w:after="0" w:line="236" w:lineRule="auto"/>
        <w:rPr>
          <w:sz w:val="20"/>
          <w:szCs w:val="20"/>
          <w:color w:val="auto"/>
        </w:rPr>
      </w:pPr>
      <w:r>
        <w:rPr>
          <w:rFonts w:ascii="Arial" w:cs="Arial" w:eastAsia="Arial" w:hAnsi="Arial"/>
          <w:sz w:val="16"/>
          <w:szCs w:val="16"/>
          <w:color w:val="auto"/>
        </w:rPr>
        <w:t>adoption of Amendment No. 11 to the Credit Agreement, the New Class A Revolving Commitments mature on June 30, 2025 and bear interest at either ABR plus 5.5% per annum or SOFR plus 6.5% per annum. The Remaining Class B Revolving Commitments mature on September 13, 2024 and bear interest at either ABR plus 3.0% per annum or SOFR plus 4.0% per annum. See Note 4, “Long-Term Debt,” to the Condensed Consolidated Financial Statements in this Quarterly Report on Form 10-Q for additional information regarding the Company’s Revolving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preparation of the Condensed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spacing w:after="0" w:line="18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w:t>
      </w:r>
    </w:p>
    <w:p>
      <w:pPr>
        <w:spacing w:after="0" w:line="17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Commission revenue recognition and commissions receivable;</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Share-based compensation;</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Intangible assets;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Impairment of operating lease ROU assets;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Liabilities pursuant to the TRA.</w:t>
      </w:r>
    </w:p>
    <w:p>
      <w:pPr>
        <w:spacing w:after="0" w:line="22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 Critical Accounting Policies and Estimates” in our 2023 Annual Report on Form 10-K. During the three and six months ended June 30, 2024, there were no material changes to our critical accounting policies from those discussed in our 2023 Annual Report on Form 10-K.</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6"/>
          <w:szCs w:val="16"/>
          <w:b w:val="1"/>
          <w:bCs w:val="1"/>
          <w:color w:val="FFFF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we are not required to include disclosure under this item.</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6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8" w:lineRule="exact"/>
        <w:rPr>
          <w:sz w:val="20"/>
          <w:szCs w:val="20"/>
          <w:color w:val="auto"/>
        </w:rPr>
      </w:pPr>
    </w:p>
    <w:p>
      <w:pPr>
        <w:ind w:left="660" w:right="340" w:hanging="328"/>
        <w:spacing w:after="0" w:line="28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96" w:lineRule="exact"/>
        <w:rPr>
          <w:rFonts w:ascii="Arial" w:cs="Arial" w:eastAsia="Arial" w:hAnsi="Arial"/>
          <w:sz w:val="16"/>
          <w:szCs w:val="16"/>
          <w:color w:val="auto"/>
        </w:rPr>
      </w:pPr>
    </w:p>
    <w:p>
      <w:pPr>
        <w:ind w:left="660" w:right="100" w:hanging="328"/>
        <w:spacing w:after="0" w:line="26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211"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as of June 30, 2024,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 Based on this evaluation and those criteria, our management concluded that our internal control over financial reporting was effective as of June 30, 2024.</w:t>
      </w:r>
    </w:p>
    <w:p>
      <w:pPr>
        <w:spacing w:after="0" w:line="20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There were no changes in our internal controls over financial reporting identified in management’s evaluation pursuant to Rules 13a-15(d) or 15d-15(d) of the Exchange Act during the quarter ended June 30, 2024 that materially affected, or are reasonably likely to materially affect, our internal control over financial reporting.</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ind w:right="700"/>
        <w:spacing w:after="0" w:line="304" w:lineRule="auto"/>
        <w:rPr>
          <w:sz w:val="20"/>
          <w:szCs w:val="20"/>
          <w:color w:val="auto"/>
        </w:rPr>
      </w:pPr>
      <w:r>
        <w:rPr>
          <w:rFonts w:ascii="Arial" w:cs="Arial" w:eastAsia="Arial" w:hAnsi="Arial"/>
          <w:sz w:val="16"/>
          <w:szCs w:val="16"/>
          <w:color w:val="auto"/>
        </w:rPr>
        <w:t>Refer to Note 11, “Commitments And Contingencies,” of the Notes to the Condensed Consolidated Financial Statements for information about legal proceedings.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3"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We refer you to our 2023 Annual Report on Form 10-K for a discussion of the risk factors that affect our business and financial results. There have been no material changes in our risk factors from those disclosed in our 2023 Annual Report on Form 10-K.</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second quarter ended June 30, 2024,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6"/>
          <w:szCs w:val="16"/>
          <w:b w:val="1"/>
          <w:bCs w:val="1"/>
          <w:color w:val="FFFF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r>
      <w:tr>
        <w:trPr>
          <w:trHeight w:val="34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r>
      <w:tr>
        <w:trPr>
          <w:trHeight w:val="20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13"/>
          </w:tcPr>
          <w:p>
            <w:pPr>
              <w:ind w:left="5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175"/>
        </w:trPr>
        <w:tc>
          <w:tcPr>
            <w:tcW w:w="102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17"/>
          </w:tcPr>
          <w:p>
            <w:pPr>
              <w:spacing w:after="0"/>
              <w:rPr>
                <w:rFonts w:ascii="Arial" w:cs="Arial" w:eastAsia="Arial" w:hAnsi="Arial"/>
                <w:sz w:val="14"/>
                <w:szCs w:val="14"/>
                <w:color w:val="0000FF"/>
              </w:rPr>
            </w:pPr>
            <w:hyperlink r:id="rId153">
              <w:r>
                <w:rPr>
                  <w:rFonts w:ascii="Arial" w:cs="Arial" w:eastAsia="Arial" w:hAnsi="Arial"/>
                  <w:sz w:val="14"/>
                  <w:szCs w:val="14"/>
                  <w:color w:val="0000FF"/>
                </w:rPr>
                <w:t>Amended and Restated Certificate of Incorporation of GoHealth, Inc.</w:t>
              </w:r>
            </w:hyperlink>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r:id="rId154">
              <w:r>
                <w:rPr>
                  <w:rFonts w:ascii="Arial" w:cs="Arial" w:eastAsia="Arial" w:hAnsi="Arial"/>
                  <w:sz w:val="14"/>
                  <w:szCs w:val="14"/>
                  <w:color w:val="0000FF"/>
                </w:rPr>
                <w:t>Amended and Restated Bylaws of GoHealth, Inc.</w:t>
              </w:r>
            </w:hyperlink>
          </w:p>
        </w:tc>
        <w:tc>
          <w:tcPr>
            <w:tcW w:w="1220" w:type="dxa"/>
            <w:vAlign w:val="bottom"/>
            <w:tcBorders>
              <w:top w:val="single" w:sz="8" w:color="0000FF"/>
            </w:tcBorders>
            <w:gridSpan w:val="2"/>
          </w:tcPr>
          <w:p>
            <w:pPr>
              <w:spacing w:after="0"/>
              <w:rPr>
                <w:sz w:val="18"/>
                <w:szCs w:val="18"/>
                <w:color w:val="auto"/>
              </w:rPr>
            </w:pPr>
          </w:p>
        </w:tc>
        <w:tc>
          <w:tcPr>
            <w:tcW w:w="600" w:type="dxa"/>
            <w:vAlign w:val="bottom"/>
            <w:gridSpan w:val="10"/>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Borders>
              <w:bottom w:val="single" w:sz="8" w:color="0000FF"/>
            </w:tcBorders>
            <w:gridSpan w:val="9"/>
          </w:tcPr>
          <w:p>
            <w:pPr>
              <w:spacing w:after="0"/>
              <w:rPr>
                <w:rFonts w:ascii="Arial" w:cs="Arial" w:eastAsia="Arial" w:hAnsi="Arial"/>
                <w:sz w:val="14"/>
                <w:szCs w:val="14"/>
                <w:color w:val="0000FF"/>
              </w:rPr>
            </w:pPr>
            <w:hyperlink r:id="rId155">
              <w:r>
                <w:rPr>
                  <w:rFonts w:ascii="Arial" w:cs="Arial" w:eastAsia="Arial" w:hAnsi="Arial"/>
                  <w:sz w:val="14"/>
                  <w:szCs w:val="14"/>
                  <w:color w:val="0000FF"/>
                </w:rPr>
                <w:t>Certificate of Designations of Series A Convertible Perpetual Preferred</w:t>
              </w:r>
            </w:hyperlink>
          </w:p>
        </w:tc>
        <w:tc>
          <w:tcPr>
            <w:tcW w:w="460" w:type="dxa"/>
            <w:vAlign w:val="bottom"/>
            <w:gridSpan w:val="8"/>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7"/>
          </w:tcPr>
          <w:p>
            <w:pPr>
              <w:spacing w:after="0" w:line="155" w:lineRule="exact"/>
              <w:rPr>
                <w:rFonts w:ascii="Arial" w:cs="Arial" w:eastAsia="Arial" w:hAnsi="Arial"/>
                <w:sz w:val="14"/>
                <w:szCs w:val="14"/>
                <w:color w:val="0000FF"/>
              </w:rPr>
            </w:pPr>
            <w:hyperlink r:id="rId155">
              <w:r>
                <w:rPr>
                  <w:rFonts w:ascii="Arial" w:cs="Arial" w:eastAsia="Arial" w:hAnsi="Arial"/>
                  <w:sz w:val="14"/>
                  <w:szCs w:val="14"/>
                  <w:color w:val="0000FF"/>
                </w:rPr>
                <w:t>Stock of GoHealth,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15"/>
          </w:tcPr>
          <w:p>
            <w:pPr>
              <w:spacing w:after="0"/>
              <w:rPr>
                <w:rFonts w:ascii="Arial" w:cs="Arial" w:eastAsia="Arial" w:hAnsi="Arial"/>
                <w:sz w:val="14"/>
                <w:szCs w:val="14"/>
                <w:color w:val="0000FF"/>
              </w:rPr>
            </w:pPr>
            <w:hyperlink r:id="rId156">
              <w:r>
                <w:rPr>
                  <w:rFonts w:ascii="Arial" w:cs="Arial" w:eastAsia="Arial" w:hAnsi="Arial"/>
                  <w:sz w:val="14"/>
                  <w:szCs w:val="14"/>
                  <w:color w:val="0000FF"/>
                </w:rPr>
                <w:t>Certificate of Designations of Series A-1 Convertible Non-Voting Perpetual</w:t>
              </w:r>
            </w:hyperlink>
          </w:p>
        </w:tc>
        <w:tc>
          <w:tcPr>
            <w:tcW w:w="220" w:type="dxa"/>
            <w:vAlign w:val="bottom"/>
            <w:gridSpan w:val="2"/>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7"/>
          </w:tcPr>
          <w:p>
            <w:pPr>
              <w:spacing w:after="0" w:line="155" w:lineRule="exact"/>
              <w:rPr>
                <w:rFonts w:ascii="Arial" w:cs="Arial" w:eastAsia="Arial" w:hAnsi="Arial"/>
                <w:sz w:val="14"/>
                <w:szCs w:val="14"/>
                <w:color w:val="0000FF"/>
              </w:rPr>
            </w:pPr>
            <w:hyperlink r:id="rId156">
              <w:r>
                <w:rPr>
                  <w:rFonts w:ascii="Arial" w:cs="Arial" w:eastAsia="Arial" w:hAnsi="Arial"/>
                  <w:sz w:val="14"/>
                  <w:szCs w:val="14"/>
                  <w:color w:val="0000FF"/>
                </w:rPr>
                <w:t>Preferred Stock of GoHealth,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gridSpan w:val="17"/>
          </w:tcPr>
          <w:p>
            <w:pPr>
              <w:spacing w:after="0"/>
              <w:rPr>
                <w:rFonts w:ascii="Arial" w:cs="Arial" w:eastAsia="Arial" w:hAnsi="Arial"/>
                <w:sz w:val="14"/>
                <w:szCs w:val="14"/>
                <w:color w:val="0000FF"/>
              </w:rPr>
            </w:pPr>
            <w:hyperlink r:id="rId157">
              <w:r>
                <w:rPr>
                  <w:rFonts w:ascii="Arial" w:cs="Arial" w:eastAsia="Arial" w:hAnsi="Arial"/>
                  <w:sz w:val="14"/>
                  <w:szCs w:val="14"/>
                  <w:color w:val="0000FF"/>
                </w:rPr>
                <w:t>Specimen Stock Certificate evidencing the shares of Class A common</w:t>
              </w:r>
            </w:hyperlink>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8"/>
          </w:tcPr>
          <w:p>
            <w:pPr>
              <w:spacing w:after="0" w:line="155" w:lineRule="exact"/>
              <w:rPr>
                <w:rFonts w:ascii="Arial" w:cs="Arial" w:eastAsia="Arial" w:hAnsi="Arial"/>
                <w:sz w:val="14"/>
                <w:szCs w:val="14"/>
                <w:color w:val="0000FF"/>
              </w:rPr>
            </w:pPr>
            <w:hyperlink r:id="rId157">
              <w:r>
                <w:rPr>
                  <w:rFonts w:ascii="Arial" w:cs="Arial" w:eastAsia="Arial" w:hAnsi="Arial"/>
                  <w:sz w:val="14"/>
                  <w:szCs w:val="14"/>
                  <w:color w:val="0000FF"/>
                </w:rPr>
                <w:t>stock.</w:t>
              </w:r>
            </w:hyperlink>
          </w:p>
        </w:tc>
        <w:tc>
          <w:tcPr>
            <w:tcW w:w="500" w:type="dxa"/>
            <w:vAlign w:val="bottom"/>
            <w:gridSpan w:val="9"/>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4"/>
                <w:szCs w:val="24"/>
                <w:color w:val="auto"/>
              </w:rPr>
            </w:pPr>
          </w:p>
        </w:tc>
        <w:tc>
          <w:tcPr>
            <w:tcW w:w="4620" w:type="dxa"/>
            <w:vAlign w:val="bottom"/>
            <w:tcBorders>
              <w:bottom w:val="single" w:sz="8" w:color="0000FF"/>
            </w:tcBorders>
            <w:gridSpan w:val="12"/>
          </w:tcPr>
          <w:p>
            <w:pPr>
              <w:spacing w:after="0"/>
              <w:rPr>
                <w:rFonts w:ascii="Arial" w:cs="Arial" w:eastAsia="Arial" w:hAnsi="Arial"/>
                <w:sz w:val="14"/>
                <w:szCs w:val="14"/>
                <w:color w:val="0000FF"/>
              </w:rPr>
            </w:pPr>
            <w:hyperlink r:id="rId158">
              <w:r>
                <w:rPr>
                  <w:rFonts w:ascii="Arial" w:cs="Arial" w:eastAsia="Arial" w:hAnsi="Arial"/>
                  <w:sz w:val="14"/>
                  <w:szCs w:val="14"/>
                  <w:color w:val="0000FF"/>
                </w:rPr>
                <w:t>Amended and Restated Employment Agreement signed May 8, 2024, by</w:t>
              </w:r>
            </w:hyperlink>
          </w:p>
        </w:tc>
        <w:tc>
          <w:tcPr>
            <w:tcW w:w="380" w:type="dxa"/>
            <w:vAlign w:val="bottom"/>
            <w:gridSpan w:val="7"/>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200" w:type="dxa"/>
            <w:vAlign w:val="bottom"/>
          </w:tcPr>
          <w:p>
            <w:pPr>
              <w:ind w:left="260"/>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5/9/2024</w:t>
            </w: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tcBorders>
              <w:bottom w:val="single" w:sz="8" w:color="0000FF"/>
            </w:tcBorders>
            <w:gridSpan w:val="13"/>
          </w:tcPr>
          <w:p>
            <w:pPr>
              <w:spacing w:after="0" w:line="155" w:lineRule="exact"/>
              <w:rPr>
                <w:rFonts w:ascii="Arial" w:cs="Arial" w:eastAsia="Arial" w:hAnsi="Arial"/>
                <w:sz w:val="14"/>
                <w:szCs w:val="14"/>
                <w:color w:val="0000FF"/>
              </w:rPr>
            </w:pPr>
            <w:hyperlink r:id="rId158">
              <w:r>
                <w:rPr>
                  <w:rFonts w:ascii="Arial" w:cs="Arial" w:eastAsia="Arial" w:hAnsi="Arial"/>
                  <w:sz w:val="14"/>
                  <w:szCs w:val="14"/>
                  <w:color w:val="0000FF"/>
                </w:rPr>
                <w:t>and among GoHealth, Inc., GoHealth Holdings, LLC, and Michael Hargis.</w:t>
              </w:r>
            </w:hyperlink>
          </w:p>
        </w:tc>
        <w:tc>
          <w:tcPr>
            <w:tcW w:w="34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8"/>
                <w:szCs w:val="18"/>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0000FF"/>
              </w:rPr>
              <w:t>Certification of Chief Executive Officer pursuant to Exchange Act Rule 13a-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60" w:type="dxa"/>
            <w:vAlign w:val="bottom"/>
            <w:tcBorders>
              <w:top w:val="single" w:sz="8" w:color="0000FF"/>
            </w:tcBorders>
            <w:gridSpan w:val="16"/>
          </w:tcPr>
          <w:p>
            <w:pPr>
              <w:spacing w:after="0" w:line="155" w:lineRule="exact"/>
              <w:rPr>
                <w:sz w:val="20"/>
                <w:szCs w:val="20"/>
                <w:color w:val="auto"/>
              </w:rPr>
            </w:pPr>
            <w:r>
              <w:rPr>
                <w:rFonts w:ascii="Arial" w:cs="Arial" w:eastAsia="Arial" w:hAnsi="Arial"/>
                <w:sz w:val="14"/>
                <w:szCs w:val="14"/>
                <w:color w:val="0000FF"/>
              </w:rPr>
              <w:t>14(a).</w:t>
            </w: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8"/>
                <w:szCs w:val="18"/>
                <w:color w:val="auto"/>
              </w:rPr>
            </w:pPr>
          </w:p>
        </w:tc>
        <w:tc>
          <w:tcPr>
            <w:tcW w:w="472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Certification of Chief Financial Officer pursuant to Exchange Act Rule 13a-</w:t>
            </w:r>
          </w:p>
        </w:tc>
        <w:tc>
          <w:tcPr>
            <w:tcW w:w="28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0" w:type="dxa"/>
            <w:vAlign w:val="bottom"/>
            <w:gridSpan w:val="19"/>
          </w:tcPr>
          <w:p>
            <w:pPr>
              <w:spacing w:after="0" w:line="155" w:lineRule="exact"/>
              <w:rPr>
                <w:sz w:val="20"/>
                <w:szCs w:val="20"/>
                <w:color w:val="auto"/>
              </w:rPr>
            </w:pPr>
            <w:r>
              <w:rPr>
                <w:rFonts w:ascii="Arial" w:cs="Arial" w:eastAsia="Arial" w:hAnsi="Arial"/>
                <w:sz w:val="14"/>
                <w:szCs w:val="14"/>
                <w:color w:val="0000FF"/>
              </w:rPr>
              <w:t>14(a).</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8"/>
                <w:szCs w:val="18"/>
                <w:color w:val="auto"/>
              </w:rPr>
            </w:pPr>
          </w:p>
        </w:tc>
        <w:tc>
          <w:tcPr>
            <w:tcW w:w="40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Principal Executive Officer pursuant to 18 U.S.C.</w:t>
            </w:r>
          </w:p>
        </w:tc>
        <w:tc>
          <w:tcPr>
            <w:tcW w:w="94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rPr>
              <w:t>Section 1350.</w:t>
            </w:r>
          </w:p>
        </w:tc>
        <w:tc>
          <w:tcPr>
            <w:tcW w:w="4120" w:type="dxa"/>
            <w:vAlign w:val="bottom"/>
            <w:gridSpan w:val="1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8"/>
                <w:szCs w:val="18"/>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1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1020" w:type="dxa"/>
            <w:vAlign w:val="bottom"/>
          </w:tcPr>
          <w:p>
            <w:pPr>
              <w:jc w:val="center"/>
              <w:spacing w:after="0"/>
              <w:rPr>
                <w:sz w:val="20"/>
                <w:szCs w:val="20"/>
                <w:color w:val="auto"/>
              </w:rPr>
            </w:pPr>
            <w:r>
              <w:rPr>
                <w:rFonts w:ascii="Arial" w:cs="Arial" w:eastAsia="Arial" w:hAnsi="Arial"/>
                <w:sz w:val="14"/>
                <w:szCs w:val="14"/>
                <w:color w:val="auto"/>
              </w:rPr>
              <w:t>101.INS</w:t>
            </w:r>
          </w:p>
        </w:tc>
        <w:tc>
          <w:tcPr>
            <w:tcW w:w="8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Instance Document – the instance document does not appear in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2"/>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the Interactive Data File because its XBRL tags are embedded within the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document.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4"/>
                <w:szCs w:val="14"/>
                <w:color w:val="auto"/>
              </w:rPr>
              <w:t>101.SCH</w:t>
            </w:r>
          </w:p>
        </w:tc>
        <w:tc>
          <w:tcPr>
            <w:tcW w:w="8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Taxonomy Extension Schema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101.CAL</w:t>
            </w:r>
          </w:p>
        </w:tc>
        <w:tc>
          <w:tcPr>
            <w:tcW w:w="8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101.DEF</w:t>
            </w:r>
          </w:p>
        </w:tc>
        <w:tc>
          <w:tcPr>
            <w:tcW w:w="8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101.LAB</w:t>
            </w:r>
          </w:p>
        </w:tc>
        <w:tc>
          <w:tcPr>
            <w:tcW w:w="8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4"/>
                <w:szCs w:val="14"/>
                <w:color w:val="auto"/>
              </w:rPr>
              <w:t>101.PRE</w:t>
            </w:r>
          </w:p>
        </w:tc>
        <w:tc>
          <w:tcPr>
            <w:tcW w:w="8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39" w:lineRule="exact"/>
        <w:rPr>
          <w:sz w:val="20"/>
          <w:szCs w:val="20"/>
          <w:color w:val="auto"/>
        </w:rPr>
      </w:pPr>
    </w:p>
    <w:p>
      <w:pPr>
        <w:ind w:left="1100" w:right="4060" w:hanging="733"/>
        <w:spacing w:after="0" w:line="305" w:lineRule="auto"/>
        <w:tabs>
          <w:tab w:leader="none" w:pos="1100" w:val="left"/>
        </w:tabs>
        <w:numPr>
          <w:ilvl w:val="1"/>
          <w:numId w:val="1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28" w:lineRule="exact"/>
        <w:rPr>
          <w:rFonts w:ascii="Arial" w:cs="Arial" w:eastAsia="Arial" w:hAnsi="Arial"/>
          <w:sz w:val="14"/>
          <w:szCs w:val="14"/>
          <w:color w:val="auto"/>
        </w:rPr>
      </w:pPr>
    </w:p>
    <w:p>
      <w:pPr>
        <w:ind w:left="280" w:hanging="272"/>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82"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2024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line="287" w:lineRule="auto"/>
        <w:rPr>
          <w:sz w:val="20"/>
          <w:szCs w:val="20"/>
          <w:color w:val="auto"/>
        </w:rPr>
      </w:pPr>
      <w:r>
        <w:rPr>
          <w:rFonts w:ascii="Arial" w:cs="Arial" w:eastAsia="Arial" w:hAnsi="Arial"/>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-17145</wp:posOffset>
            </wp:positionV>
            <wp:extent cx="702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10020" w:space="320"/>
            <w:col w:w="700"/>
          </w:cols>
          <w:pgMar w:left="320" w:top="1367" w:right="5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00497F"/>
        </w:rPr>
        <w:t>SIGNATURES</w:t>
      </w:r>
    </w:p>
    <w:p>
      <w:pPr>
        <w:spacing w:after="0" w:line="22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640" w:type="dxa"/>
            <w:vAlign w:val="bottom"/>
            <w:gridSpan w:val="3"/>
          </w:tcPr>
          <w:p>
            <w:pPr>
              <w:ind w:left="540"/>
              <w:spacing w:after="0"/>
              <w:rPr>
                <w:sz w:val="20"/>
                <w:szCs w:val="20"/>
                <w:color w:val="auto"/>
              </w:rPr>
            </w:pPr>
            <w:r>
              <w:rPr>
                <w:rFonts w:ascii="Arial" w:cs="Arial" w:eastAsia="Arial" w:hAnsi="Arial"/>
                <w:sz w:val="16"/>
                <w:szCs w:val="16"/>
                <w:b w:val="1"/>
                <w:bCs w:val="1"/>
                <w:color w:val="auto"/>
              </w:rPr>
              <w:t>GoHealth, Inc.</w:t>
            </w: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40" w:type="dxa"/>
            <w:vAlign w:val="bottom"/>
            <w:gridSpan w:val="3"/>
          </w:tcPr>
          <w:p>
            <w:pPr>
              <w:ind w:left="540"/>
              <w:spacing w:after="0"/>
              <w:rPr>
                <w:sz w:val="20"/>
                <w:szCs w:val="20"/>
                <w:color w:val="auto"/>
              </w:rPr>
            </w:pPr>
            <w:r>
              <w:rPr>
                <w:rFonts w:ascii="Arial" w:cs="Arial" w:eastAsia="Arial" w:hAnsi="Arial"/>
                <w:sz w:val="16"/>
                <w:szCs w:val="16"/>
                <w:b w:val="1"/>
                <w:bCs w:val="1"/>
                <w:color w:val="auto"/>
              </w:rPr>
              <w:t>(Registrant)</w:t>
            </w: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4600" w:type="dxa"/>
            <w:vAlign w:val="bottom"/>
          </w:tcPr>
          <w:p>
            <w:pPr>
              <w:spacing w:after="0"/>
              <w:rPr>
                <w:sz w:val="20"/>
                <w:szCs w:val="20"/>
                <w:color w:val="auto"/>
              </w:rPr>
            </w:pPr>
            <w:r>
              <w:rPr>
                <w:rFonts w:ascii="Arial" w:cs="Arial" w:eastAsia="Arial" w:hAnsi="Arial"/>
                <w:sz w:val="16"/>
                <w:szCs w:val="16"/>
                <w:color w:val="auto"/>
              </w:rPr>
              <w:t>Date: August 8, 2024</w:t>
            </w:r>
          </w:p>
        </w:tc>
        <w:tc>
          <w:tcPr>
            <w:tcW w:w="6400" w:type="dxa"/>
            <w:vAlign w:val="bottom"/>
            <w:gridSpan w:val="4"/>
          </w:tcPr>
          <w:p>
            <w:pPr>
              <w:ind w:left="920"/>
              <w:spacing w:after="0"/>
              <w:rPr>
                <w:sz w:val="20"/>
                <w:szCs w:val="20"/>
                <w:color w:val="auto"/>
              </w:rPr>
            </w:pPr>
            <w:r>
              <w:rPr>
                <w:rFonts w:ascii="Arial" w:cs="Arial" w:eastAsia="Arial" w:hAnsi="Arial"/>
                <w:sz w:val="16"/>
                <w:szCs w:val="16"/>
                <w:color w:val="auto"/>
              </w:rPr>
              <w:t>By: /s/ Vijay Kotte</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Vijay Kotte</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40" w:type="dxa"/>
            <w:vAlign w:val="bottom"/>
            <w:gridSpan w:val="3"/>
          </w:tcPr>
          <w:p>
            <w:pPr>
              <w:ind w:left="2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40" w:type="dxa"/>
            <w:vAlign w:val="bottom"/>
            <w:gridSpan w:val="3"/>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360"/>
        </w:trPr>
        <w:tc>
          <w:tcPr>
            <w:tcW w:w="4600" w:type="dxa"/>
            <w:vAlign w:val="bottom"/>
          </w:tcPr>
          <w:p>
            <w:pPr>
              <w:spacing w:after="0"/>
              <w:rPr>
                <w:sz w:val="20"/>
                <w:szCs w:val="20"/>
                <w:color w:val="auto"/>
              </w:rPr>
            </w:pPr>
            <w:r>
              <w:rPr>
                <w:rFonts w:ascii="Arial" w:cs="Arial" w:eastAsia="Arial" w:hAnsi="Arial"/>
                <w:sz w:val="16"/>
                <w:szCs w:val="16"/>
                <w:color w:val="auto"/>
              </w:rPr>
              <w:t>Date: August 8, 2024</w:t>
            </w:r>
          </w:p>
        </w:tc>
        <w:tc>
          <w:tcPr>
            <w:tcW w:w="6400" w:type="dxa"/>
            <w:vAlign w:val="bottom"/>
            <w:gridSpan w:val="4"/>
          </w:tcPr>
          <w:p>
            <w:pPr>
              <w:ind w:left="920"/>
              <w:spacing w:after="0"/>
              <w:rPr>
                <w:sz w:val="20"/>
                <w:szCs w:val="20"/>
                <w:color w:val="auto"/>
              </w:rPr>
            </w:pPr>
            <w:r>
              <w:rPr>
                <w:rFonts w:ascii="Arial" w:cs="Arial" w:eastAsia="Arial" w:hAnsi="Arial"/>
                <w:sz w:val="16"/>
                <w:szCs w:val="16"/>
                <w:color w:val="auto"/>
              </w:rPr>
              <w:t>By: /s/ Katherine M. O’Halloran</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Katherine M. O’Halloran</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40" w:type="dxa"/>
            <w:vAlign w:val="bottom"/>
            <w:gridSpan w:val="3"/>
          </w:tcPr>
          <w:p>
            <w:pPr>
              <w:ind w:left="20"/>
              <w:spacing w:after="0"/>
              <w:rPr>
                <w:sz w:val="20"/>
                <w:szCs w:val="20"/>
                <w:color w:val="auto"/>
              </w:rPr>
            </w:pPr>
            <w:r>
              <w:rPr>
                <w:rFonts w:ascii="Arial" w:cs="Arial" w:eastAsia="Arial" w:hAnsi="Arial"/>
                <w:sz w:val="16"/>
                <w:szCs w:val="16"/>
                <w:color w:val="auto"/>
              </w:rPr>
              <w:t>Interim Chief Financial Officer and Chief Accounting Officer</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40" w:type="dxa"/>
            <w:vAlign w:val="bottom"/>
            <w:gridSpan w:val="3"/>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r>
        <w:trPr>
          <w:trHeight w:val="583"/>
        </w:trPr>
        <w:tc>
          <w:tcPr>
            <w:tcW w:w="4600" w:type="dxa"/>
            <w:vAlign w:val="bottom"/>
            <w:vMerge w:val="restart"/>
          </w:tcPr>
          <w:p>
            <w:pPr>
              <w:ind w:left="3420"/>
              <w:spacing w:after="0"/>
              <w:rPr>
                <w:sz w:val="20"/>
                <w:szCs w:val="20"/>
                <w:color w:val="auto"/>
              </w:rPr>
            </w:pPr>
            <w:r>
              <w:rPr>
                <w:rFonts w:ascii="Arial" w:cs="Arial" w:eastAsia="Arial" w:hAnsi="Arial"/>
                <w:sz w:val="14"/>
                <w:szCs w:val="14"/>
                <w:color w:val="auto"/>
              </w:rPr>
              <w:t>GoHealth, Inc.</w:t>
            </w:r>
          </w:p>
        </w:tc>
        <w:tc>
          <w:tcPr>
            <w:tcW w:w="1640" w:type="dxa"/>
            <w:vAlign w:val="bottom"/>
            <w:gridSpan w:val="3"/>
          </w:tcPr>
          <w:p>
            <w:pPr>
              <w:spacing w:after="0"/>
              <w:rPr>
                <w:sz w:val="24"/>
                <w:szCs w:val="24"/>
                <w:color w:val="auto"/>
              </w:rPr>
            </w:pPr>
          </w:p>
        </w:tc>
        <w:tc>
          <w:tcPr>
            <w:tcW w:w="4760" w:type="dxa"/>
            <w:vAlign w:val="bottom"/>
            <w:vMerge w:val="restart"/>
          </w:tcPr>
          <w:p>
            <w:pPr>
              <w:jc w:val="right"/>
              <w:ind w:right="448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58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4"/>
                <w:szCs w:val="14"/>
                <w:color w:val="auto"/>
              </w:rPr>
              <w:t>2024 Form 10-Q</w:t>
            </w:r>
          </w:p>
        </w:tc>
        <w:tc>
          <w:tcPr>
            <w:tcW w:w="6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Vijay Kotte, certify that:</w:t>
      </w:r>
    </w:p>
    <w:p>
      <w:pPr>
        <w:spacing w:after="0" w:line="221"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34" w:lineRule="exact"/>
        <w:rPr>
          <w:rFonts w:ascii="Arial" w:cs="Arial" w:eastAsia="Arial" w:hAnsi="Arial"/>
          <w:sz w:val="16"/>
          <w:szCs w:val="16"/>
          <w:color w:val="auto"/>
        </w:rPr>
      </w:pPr>
    </w:p>
    <w:p>
      <w:pPr>
        <w:jc w:val="both"/>
        <w:ind w:left="980" w:right="60" w:hanging="486"/>
        <w:spacing w:after="0" w:line="26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980" w:right="180" w:hanging="486"/>
        <w:spacing w:after="0" w:line="28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ind w:left="1460" w:right="80" w:hanging="480"/>
        <w:spacing w:after="0" w:line="275" w:lineRule="auto"/>
        <w:tabs>
          <w:tab w:leader="none" w:pos="1455"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460" w:hanging="480"/>
        <w:spacing w:after="0"/>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[omitted];</w:t>
      </w:r>
    </w:p>
    <w:p>
      <w:pPr>
        <w:spacing w:after="0" w:line="234" w:lineRule="exact"/>
        <w:rPr>
          <w:rFonts w:ascii="Arial" w:cs="Arial" w:eastAsia="Arial" w:hAnsi="Arial"/>
          <w:sz w:val="16"/>
          <w:szCs w:val="16"/>
          <w:color w:val="auto"/>
        </w:rPr>
      </w:pPr>
    </w:p>
    <w:p>
      <w:pPr>
        <w:jc w:val="both"/>
        <w:ind w:left="1460" w:hanging="480"/>
        <w:spacing w:after="0" w:line="286"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60" w:right="200" w:hanging="480"/>
        <w:spacing w:after="0" w:line="266" w:lineRule="auto"/>
        <w:tabs>
          <w:tab w:leader="none" w:pos="1455"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980" w:right="120" w:hanging="486"/>
        <w:spacing w:after="0" w:line="28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1460" w:right="480" w:hanging="480"/>
        <w:spacing w:after="0" w:line="286" w:lineRule="auto"/>
        <w:tabs>
          <w:tab w:leader="none" w:pos="145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460" w:right="120" w:hanging="480"/>
        <w:spacing w:after="0" w:line="304" w:lineRule="auto"/>
        <w:tabs>
          <w:tab w:leader="none" w:pos="145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1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Katherine M. O'Halloran, certify that:</w:t>
      </w:r>
    </w:p>
    <w:p>
      <w:pPr>
        <w:spacing w:after="0" w:line="221"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34" w:lineRule="exact"/>
        <w:rPr>
          <w:rFonts w:ascii="Arial" w:cs="Arial" w:eastAsia="Arial" w:hAnsi="Arial"/>
          <w:sz w:val="16"/>
          <w:szCs w:val="16"/>
          <w:color w:val="auto"/>
        </w:rPr>
      </w:pPr>
    </w:p>
    <w:p>
      <w:pPr>
        <w:jc w:val="both"/>
        <w:ind w:left="980" w:right="60" w:hanging="486"/>
        <w:spacing w:after="0" w:line="26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980" w:right="180" w:hanging="486"/>
        <w:spacing w:after="0" w:line="28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ind w:left="1460" w:right="80" w:hanging="480"/>
        <w:spacing w:after="0" w:line="275"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460" w:hanging="480"/>
        <w:spacing w:after="0"/>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[omitted];</w:t>
      </w:r>
    </w:p>
    <w:p>
      <w:pPr>
        <w:spacing w:after="0" w:line="234" w:lineRule="exact"/>
        <w:rPr>
          <w:rFonts w:ascii="Arial" w:cs="Arial" w:eastAsia="Arial" w:hAnsi="Arial"/>
          <w:sz w:val="16"/>
          <w:szCs w:val="16"/>
          <w:color w:val="auto"/>
        </w:rPr>
      </w:pPr>
    </w:p>
    <w:p>
      <w:pPr>
        <w:jc w:val="both"/>
        <w:ind w:left="1460" w:hanging="480"/>
        <w:spacing w:after="0" w:line="286"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60" w:right="200" w:hanging="480"/>
        <w:spacing w:after="0" w:line="266"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980" w:right="120" w:hanging="486"/>
        <w:spacing w:after="0" w:line="28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1460" w:right="480" w:hanging="480"/>
        <w:spacing w:after="0" w:line="286"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460" w:right="120" w:hanging="480"/>
        <w:spacing w:after="0" w:line="304"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Katherine M. O'Halloran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Katherine M. O'Halloran</w:t>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Interim Chief Financial Officer and Chief Accounting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1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June 30, 2024 as filed with the Securities and Exchange Commission on the date hereof (the “Report”), I certify, pursuant to 18 U.S.C. § 1350, as adopted pursuant to § 906 of the Sarbanes-Oxley Act of 2002, that:</w:t>
      </w:r>
    </w:p>
    <w:p>
      <w:pPr>
        <w:spacing w:after="0" w:line="185" w:lineRule="exact"/>
        <w:rPr>
          <w:sz w:val="20"/>
          <w:szCs w:val="20"/>
          <w:color w:val="auto"/>
        </w:rPr>
      </w:pPr>
    </w:p>
    <w:p>
      <w:pPr>
        <w:ind w:left="980" w:hanging="567"/>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304"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1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June 30, 2024 as filed with the Securities and Exchange Commission on the date hereof (the “Report”), I certify, pursuant to 18 U.S.C. § 1350, as adopted pursuant to § 906 of the Sarbanes-Oxley Act of 2002, that:</w:t>
      </w:r>
    </w:p>
    <w:p>
      <w:pPr>
        <w:spacing w:after="0" w:line="185" w:lineRule="exact"/>
        <w:rPr>
          <w:sz w:val="20"/>
          <w:szCs w:val="20"/>
          <w:color w:val="auto"/>
        </w:rPr>
      </w:pPr>
    </w:p>
    <w:p>
      <w:pPr>
        <w:ind w:left="980" w:hanging="567"/>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304"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Katherine M. O'Halloran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Katherine M. O'Halloran</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Interim Chief Financial Officer and Chief Accounting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lvl w:ilvl="1">
      <w:lvlJc w:val="left"/>
      <w:lvlText w:val="%2"/>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53" Type="http://schemas.openxmlformats.org/officeDocument/2006/relationships/hyperlink" Target="https://www.sec.gov/Archives/edgar/data/1808220/000119312520224832/d935246dex31.htm" TargetMode="External"/><Relationship Id="rId154" Type="http://schemas.openxmlformats.org/officeDocument/2006/relationships/hyperlink" Target="https://www.sec.gov/Archives/edgar/data/1808220/000119312520224832/d935246dex32.htm" TargetMode="External"/><Relationship Id="rId155" Type="http://schemas.openxmlformats.org/officeDocument/2006/relationships/hyperlink" Target="https://www.sec.gov/Archives/edgar/data/1808220/000119312522250700/d299834dex31.htm" TargetMode="External"/><Relationship Id="rId156" Type="http://schemas.openxmlformats.org/officeDocument/2006/relationships/hyperlink" Target="https://www.sec.gov/Archives/edgar/data/1808220/000119312522250700/d299834dex32.htm" TargetMode="External"/><Relationship Id="rId157" Type="http://schemas.openxmlformats.org/officeDocument/2006/relationships/hyperlink" Target="https://www.sec.gov/Archives/edgar/data/1808220/000119312520173051/d797183dex41.htm" TargetMode="External"/><Relationship Id="rId158" Type="http://schemas.openxmlformats.org/officeDocument/2006/relationships/hyperlink" Target="https://www.sec.gov/Archives/edgar/data/1808220/000180822024000053/hargisemploy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2024-08-08T15:29:02Z</dcterms:created>
  <dcterms:modified xsi:type="dcterms:W3CDTF">2024-08-08T15:29:02Z</dcterms:modified>
</cp:coreProperties>
</file>