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200025</wp:posOffset>
            </wp:positionH>
            <wp:positionV relativeFrom="page">
              <wp:posOffset>169545</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189865</wp:posOffset>
            </wp:positionV>
            <wp:extent cx="71481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6985"/>
                    </a:xfrm>
                    <a:prstGeom prst="rect">
                      <a:avLst/>
                    </a:prstGeom>
                    <a:noFill/>
                  </pic:spPr>
                </pic:pic>
              </a:graphicData>
            </a:graphic>
          </wp:anchor>
        </w:drawing>
        <w:t>UNITED STATES</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WASHINGTON, DC 20549</w:t>
      </w:r>
    </w:p>
    <w:p>
      <w:pPr>
        <w:spacing w:after="0" w:line="330"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FORM 10-K</w:t>
      </w:r>
    </w:p>
    <w:p>
      <w:pPr>
        <w:spacing w:after="0" w:line="130" w:lineRule="exact"/>
        <w:rPr>
          <w:sz w:val="24"/>
          <w:szCs w:val="24"/>
          <w:color w:val="auto"/>
        </w:rPr>
      </w:pPr>
    </w:p>
    <w:p>
      <w:pPr>
        <w:spacing w:after="0"/>
        <w:rPr>
          <w:sz w:val="20"/>
          <w:szCs w:val="20"/>
          <w:color w:val="auto"/>
        </w:rPr>
      </w:pPr>
      <w:r>
        <w:rPr>
          <w:rFonts w:ascii="Arial" w:cs="Arial" w:eastAsia="Arial" w:hAnsi="Arial"/>
          <w:sz w:val="13"/>
          <w:szCs w:val="13"/>
          <w:color w:val="auto"/>
        </w:rPr>
        <w:t>(Mark One)</w:t>
      </w:r>
    </w:p>
    <w:p>
      <w:pPr>
        <w:spacing w:after="0" w:line="110" w:lineRule="exact"/>
        <w:rPr>
          <w:sz w:val="24"/>
          <w:szCs w:val="24"/>
          <w:color w:val="auto"/>
        </w:rPr>
      </w:pPr>
    </w:p>
    <w:p>
      <w:pPr>
        <w:ind w:left="400" w:hanging="381"/>
        <w:spacing w:after="0"/>
        <w:tabs>
          <w:tab w:leader="none" w:pos="40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ANNUAL REPORT PURSUANT TO SECTION 13 OR 15(d) OF THE SECURITIES EXCHANGE ACT OF 1934</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For the fiscal year ended December 31, 2021</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OR</w:t>
      </w:r>
    </w:p>
    <w:p>
      <w:pPr>
        <w:spacing w:after="0" w:line="126" w:lineRule="exact"/>
        <w:rPr>
          <w:sz w:val="24"/>
          <w:szCs w:val="24"/>
          <w:color w:val="auto"/>
        </w:rPr>
      </w:pPr>
    </w:p>
    <w:p>
      <w:pPr>
        <w:ind w:left="400" w:hanging="381"/>
        <w:spacing w:after="0"/>
        <w:tabs>
          <w:tab w:leader="none" w:pos="40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92" w:lineRule="exact"/>
        <w:rPr>
          <w:sz w:val="24"/>
          <w:szCs w:val="24"/>
          <w:color w:val="auto"/>
        </w:rPr>
      </w:pPr>
    </w:p>
    <w:p>
      <w:pPr>
        <w:ind w:left="4020"/>
        <w:spacing w:after="0"/>
        <w:tabs>
          <w:tab w:leader="none" w:pos="6400" w:val="left"/>
        </w:tabs>
        <w:rPr>
          <w:sz w:val="20"/>
          <w:szCs w:val="20"/>
          <w:color w:val="auto"/>
        </w:rPr>
      </w:pPr>
      <w:r>
        <w:rPr>
          <w:rFonts w:ascii="Arial" w:cs="Arial" w:eastAsia="Arial" w:hAnsi="Arial"/>
          <w:sz w:val="13"/>
          <w:szCs w:val="13"/>
          <w:color w:val="auto"/>
        </w:rPr>
        <w:t>For the transition period from</w:t>
      </w:r>
      <w:r>
        <w:rPr>
          <w:sz w:val="20"/>
          <w:szCs w:val="20"/>
          <w:color w:val="auto"/>
        </w:rPr>
        <w:tab/>
      </w:r>
      <w:r>
        <w:rPr>
          <w:rFonts w:ascii="Arial" w:cs="Arial" w:eastAsia="Arial" w:hAnsi="Arial"/>
          <w:sz w:val="13"/>
          <w:szCs w:val="13"/>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3608705</wp:posOffset>
            </wp:positionH>
            <wp:positionV relativeFrom="paragraph">
              <wp:posOffset>-14605</wp:posOffset>
            </wp:positionV>
            <wp:extent cx="101092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0920" cy="6985"/>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 xml:space="preserve">Commission File Number: </w:t>
      </w:r>
      <w:r>
        <w:rPr>
          <w:rFonts w:ascii="Arial" w:cs="Arial" w:eastAsia="Arial" w:hAnsi="Arial"/>
          <w:sz w:val="13"/>
          <w:szCs w:val="13"/>
          <w:b w:val="1"/>
          <w:bCs w:val="1"/>
          <w:color w:val="auto"/>
        </w:rPr>
        <w:t>001-39390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2745105</wp:posOffset>
            </wp:positionH>
            <wp:positionV relativeFrom="paragraph">
              <wp:posOffset>62230</wp:posOffset>
            </wp:positionV>
            <wp:extent cx="1684020" cy="8826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84020" cy="8826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GoHealth, Inc.</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84" w:lineRule="exact"/>
        <w:rPr>
          <w:sz w:val="24"/>
          <w:szCs w:val="24"/>
          <w:color w:val="auto"/>
        </w:rPr>
      </w:pPr>
    </w:p>
    <w:p>
      <w:pPr>
        <w:ind w:left="4760"/>
        <w:spacing w:after="0"/>
        <w:rPr>
          <w:sz w:val="20"/>
          <w:szCs w:val="20"/>
          <w:color w:val="auto"/>
        </w:rPr>
      </w:pPr>
      <w:r>
        <w:rPr>
          <w:rFonts w:ascii="Arial" w:cs="Arial" w:eastAsia="Arial" w:hAnsi="Arial"/>
          <w:sz w:val="13"/>
          <w:szCs w:val="13"/>
          <w:color w:val="auto"/>
        </w:rPr>
        <w:t>_________________________</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50"/>
        </w:trPr>
        <w:tc>
          <w:tcPr>
            <w:tcW w:w="7300" w:type="dxa"/>
            <w:vAlign w:val="bottom"/>
          </w:tcPr>
          <w:p>
            <w:pPr>
              <w:jc w:val="center"/>
              <w:ind w:right="1618"/>
              <w:spacing w:after="0"/>
              <w:rPr>
                <w:sz w:val="20"/>
                <w:szCs w:val="20"/>
                <w:color w:val="auto"/>
              </w:rPr>
            </w:pPr>
            <w:r>
              <w:rPr>
                <w:rFonts w:ascii="Arial" w:cs="Arial" w:eastAsia="Arial" w:hAnsi="Arial"/>
                <w:sz w:val="11"/>
                <w:szCs w:val="11"/>
                <w:b w:val="1"/>
                <w:bCs w:val="1"/>
                <w:color w:val="auto"/>
              </w:rPr>
              <w:t>Delaware</w:t>
            </w:r>
          </w:p>
        </w:tc>
        <w:tc>
          <w:tcPr>
            <w:tcW w:w="3980" w:type="dxa"/>
            <w:vAlign w:val="bottom"/>
          </w:tcPr>
          <w:p>
            <w:pPr>
              <w:jc w:val="center"/>
              <w:ind w:right="1640"/>
              <w:spacing w:after="0"/>
              <w:rPr>
                <w:sz w:val="20"/>
                <w:szCs w:val="20"/>
                <w:color w:val="auto"/>
              </w:rPr>
            </w:pPr>
            <w:r>
              <w:rPr>
                <w:rFonts w:ascii="Arial" w:cs="Arial" w:eastAsia="Arial" w:hAnsi="Arial"/>
                <w:sz w:val="11"/>
                <w:szCs w:val="11"/>
                <w:b w:val="1"/>
                <w:bCs w:val="1"/>
                <w:color w:val="auto"/>
              </w:rPr>
              <w:t>85-0563805</w:t>
            </w:r>
          </w:p>
        </w:tc>
      </w:tr>
      <w:tr>
        <w:trPr>
          <w:trHeight w:val="184"/>
        </w:trPr>
        <w:tc>
          <w:tcPr>
            <w:tcW w:w="7300" w:type="dxa"/>
            <w:vAlign w:val="bottom"/>
          </w:tcPr>
          <w:p>
            <w:pPr>
              <w:jc w:val="center"/>
              <w:ind w:right="1598"/>
              <w:spacing w:after="0"/>
              <w:rPr>
                <w:sz w:val="20"/>
                <w:szCs w:val="20"/>
                <w:color w:val="auto"/>
              </w:rPr>
            </w:pPr>
            <w:r>
              <w:rPr>
                <w:rFonts w:ascii="Arial" w:cs="Arial" w:eastAsia="Arial" w:hAnsi="Arial"/>
                <w:sz w:val="13"/>
                <w:szCs w:val="13"/>
                <w:color w:val="auto"/>
                <w:w w:val="97"/>
              </w:rPr>
              <w:t>(State or other jurisdiction of incorporation or organization)</w:t>
            </w:r>
          </w:p>
        </w:tc>
        <w:tc>
          <w:tcPr>
            <w:tcW w:w="3980" w:type="dxa"/>
            <w:vAlign w:val="bottom"/>
          </w:tcPr>
          <w:p>
            <w:pPr>
              <w:jc w:val="center"/>
              <w:ind w:right="1640"/>
              <w:spacing w:after="0"/>
              <w:rPr>
                <w:sz w:val="20"/>
                <w:szCs w:val="20"/>
                <w:color w:val="auto"/>
              </w:rPr>
            </w:pPr>
            <w:r>
              <w:rPr>
                <w:rFonts w:ascii="Arial" w:cs="Arial" w:eastAsia="Arial" w:hAnsi="Arial"/>
                <w:sz w:val="13"/>
                <w:szCs w:val="13"/>
                <w:color w:val="auto"/>
                <w:w w:val="97"/>
              </w:rPr>
              <w:t>(I.R.S. Employer Identification No.)</w:t>
            </w:r>
          </w:p>
        </w:tc>
      </w:tr>
      <w:tr>
        <w:trPr>
          <w:trHeight w:val="389"/>
        </w:trPr>
        <w:tc>
          <w:tcPr>
            <w:tcW w:w="7300" w:type="dxa"/>
            <w:vAlign w:val="bottom"/>
          </w:tcPr>
          <w:p>
            <w:pPr>
              <w:jc w:val="center"/>
              <w:ind w:right="1678"/>
              <w:spacing w:after="0"/>
              <w:rPr>
                <w:sz w:val="20"/>
                <w:szCs w:val="20"/>
                <w:color w:val="auto"/>
              </w:rPr>
            </w:pPr>
            <w:r>
              <w:rPr>
                <w:rFonts w:ascii="Arial" w:cs="Arial" w:eastAsia="Arial" w:hAnsi="Arial"/>
                <w:sz w:val="11"/>
                <w:szCs w:val="11"/>
                <w:b w:val="1"/>
                <w:bCs w:val="1"/>
                <w:color w:val="auto"/>
              </w:rPr>
              <w:t>214 West Huron St.</w:t>
            </w:r>
          </w:p>
        </w:tc>
        <w:tc>
          <w:tcPr>
            <w:tcW w:w="3980" w:type="dxa"/>
            <w:vAlign w:val="bottom"/>
          </w:tcPr>
          <w:p>
            <w:pPr>
              <w:spacing w:after="0"/>
              <w:rPr>
                <w:sz w:val="24"/>
                <w:szCs w:val="24"/>
                <w:color w:val="auto"/>
              </w:rPr>
            </w:pPr>
          </w:p>
        </w:tc>
      </w:tr>
      <w:tr>
        <w:trPr>
          <w:trHeight w:val="202"/>
        </w:trPr>
        <w:tc>
          <w:tcPr>
            <w:tcW w:w="7300" w:type="dxa"/>
            <w:vAlign w:val="bottom"/>
          </w:tcPr>
          <w:p>
            <w:pPr>
              <w:ind w:left="2320"/>
              <w:spacing w:after="0"/>
              <w:rPr>
                <w:sz w:val="20"/>
                <w:szCs w:val="20"/>
                <w:color w:val="auto"/>
              </w:rPr>
            </w:pPr>
            <w:r>
              <w:rPr>
                <w:rFonts w:ascii="Arial" w:cs="Arial" w:eastAsia="Arial" w:hAnsi="Arial"/>
                <w:sz w:val="11"/>
                <w:szCs w:val="11"/>
                <w:b w:val="1"/>
                <w:bCs w:val="1"/>
                <w:color w:val="auto"/>
              </w:rPr>
              <w:t>Chicago, Illinois</w:t>
            </w:r>
          </w:p>
        </w:tc>
        <w:tc>
          <w:tcPr>
            <w:tcW w:w="3980" w:type="dxa"/>
            <w:vAlign w:val="bottom"/>
          </w:tcPr>
          <w:p>
            <w:pPr>
              <w:jc w:val="center"/>
              <w:ind w:right="1680"/>
              <w:spacing w:after="0"/>
              <w:rPr>
                <w:sz w:val="20"/>
                <w:szCs w:val="20"/>
                <w:color w:val="auto"/>
              </w:rPr>
            </w:pPr>
            <w:r>
              <w:rPr>
                <w:rFonts w:ascii="Arial" w:cs="Arial" w:eastAsia="Arial" w:hAnsi="Arial"/>
                <w:sz w:val="11"/>
                <w:szCs w:val="11"/>
                <w:b w:val="1"/>
                <w:bCs w:val="1"/>
                <w:color w:val="auto"/>
              </w:rPr>
              <w:t>60654</w:t>
            </w:r>
          </w:p>
        </w:tc>
      </w:tr>
      <w:tr>
        <w:trPr>
          <w:trHeight w:val="184"/>
        </w:trPr>
        <w:tc>
          <w:tcPr>
            <w:tcW w:w="7300" w:type="dxa"/>
            <w:vAlign w:val="bottom"/>
          </w:tcPr>
          <w:p>
            <w:pPr>
              <w:jc w:val="center"/>
              <w:ind w:right="1678"/>
              <w:spacing w:after="0"/>
              <w:rPr>
                <w:sz w:val="20"/>
                <w:szCs w:val="20"/>
                <w:color w:val="auto"/>
              </w:rPr>
            </w:pPr>
            <w:r>
              <w:rPr>
                <w:rFonts w:ascii="Arial" w:cs="Arial" w:eastAsia="Arial" w:hAnsi="Arial"/>
                <w:sz w:val="13"/>
                <w:szCs w:val="13"/>
                <w:color w:val="auto"/>
                <w:w w:val="97"/>
              </w:rPr>
              <w:t>(Address of principal executive offices)</w:t>
            </w:r>
          </w:p>
        </w:tc>
        <w:tc>
          <w:tcPr>
            <w:tcW w:w="3980" w:type="dxa"/>
            <w:vAlign w:val="bottom"/>
          </w:tcPr>
          <w:p>
            <w:pPr>
              <w:jc w:val="center"/>
              <w:ind w:right="1680"/>
              <w:spacing w:after="0"/>
              <w:rPr>
                <w:sz w:val="20"/>
                <w:szCs w:val="20"/>
                <w:color w:val="auto"/>
              </w:rPr>
            </w:pPr>
            <w:r>
              <w:rPr>
                <w:rFonts w:ascii="Arial" w:cs="Arial" w:eastAsia="Arial" w:hAnsi="Arial"/>
                <w:sz w:val="13"/>
                <w:szCs w:val="13"/>
                <w:color w:val="auto"/>
                <w:w w:val="97"/>
              </w:rPr>
              <w:t>(Zip Code)</w:t>
            </w:r>
          </w:p>
        </w:tc>
      </w:tr>
      <w:tr>
        <w:trPr>
          <w:trHeight w:val="333"/>
        </w:trPr>
        <w:tc>
          <w:tcPr>
            <w:tcW w:w="7300" w:type="dxa"/>
            <w:vAlign w:val="bottom"/>
          </w:tcPr>
          <w:p>
            <w:pPr>
              <w:jc w:val="right"/>
              <w:ind w:right="1118"/>
              <w:spacing w:after="0"/>
              <w:rPr>
                <w:sz w:val="20"/>
                <w:szCs w:val="20"/>
                <w:color w:val="auto"/>
              </w:rPr>
            </w:pPr>
            <w:r>
              <w:rPr>
                <w:rFonts w:ascii="Arial" w:cs="Arial" w:eastAsia="Arial" w:hAnsi="Arial"/>
                <w:sz w:val="14"/>
                <w:szCs w:val="14"/>
                <w:b w:val="1"/>
                <w:bCs w:val="1"/>
                <w:color w:val="auto"/>
              </w:rPr>
              <w:t>(312) 386-8200</w:t>
            </w:r>
          </w:p>
        </w:tc>
        <w:tc>
          <w:tcPr>
            <w:tcW w:w="3980" w:type="dxa"/>
            <w:vAlign w:val="bottom"/>
          </w:tcPr>
          <w:p>
            <w:pPr>
              <w:spacing w:after="0"/>
              <w:rPr>
                <w:sz w:val="24"/>
                <w:szCs w:val="24"/>
                <w:color w:val="auto"/>
              </w:rPr>
            </w:pPr>
          </w:p>
        </w:tc>
      </w:tr>
      <w:tr>
        <w:trPr>
          <w:trHeight w:val="240"/>
        </w:trPr>
        <w:tc>
          <w:tcPr>
            <w:tcW w:w="7300" w:type="dxa"/>
            <w:vAlign w:val="bottom"/>
          </w:tcPr>
          <w:p>
            <w:pPr>
              <w:ind w:left="4160"/>
              <w:spacing w:after="0"/>
              <w:rPr>
                <w:sz w:val="20"/>
                <w:szCs w:val="20"/>
                <w:color w:val="auto"/>
              </w:rPr>
            </w:pPr>
            <w:r>
              <w:rPr>
                <w:rFonts w:ascii="Arial" w:cs="Arial" w:eastAsia="Arial" w:hAnsi="Arial"/>
                <w:sz w:val="13"/>
                <w:szCs w:val="13"/>
                <w:color w:val="auto"/>
              </w:rPr>
              <w:t>(Registrant’s telephone number, including area code)</w:t>
            </w:r>
          </w:p>
        </w:tc>
        <w:tc>
          <w:tcPr>
            <w:tcW w:w="3980" w:type="dxa"/>
            <w:vAlign w:val="bottom"/>
          </w:tcPr>
          <w:p>
            <w:pPr>
              <w:spacing w:after="0"/>
              <w:rPr>
                <w:sz w:val="20"/>
                <w:szCs w:val="20"/>
                <w:color w:val="auto"/>
              </w:rPr>
            </w:pPr>
          </w:p>
        </w:tc>
      </w:tr>
      <w:tr>
        <w:trPr>
          <w:trHeight w:val="233"/>
        </w:trPr>
        <w:tc>
          <w:tcPr>
            <w:tcW w:w="7300" w:type="dxa"/>
            <w:vAlign w:val="bottom"/>
          </w:tcPr>
          <w:p>
            <w:pPr>
              <w:jc w:val="right"/>
              <w:ind w:right="718"/>
              <w:spacing w:after="0"/>
              <w:rPr>
                <w:sz w:val="20"/>
                <w:szCs w:val="20"/>
                <w:color w:val="auto"/>
              </w:rPr>
            </w:pPr>
            <w:r>
              <w:rPr>
                <w:rFonts w:ascii="Arial" w:cs="Arial" w:eastAsia="Arial" w:hAnsi="Arial"/>
                <w:sz w:val="13"/>
                <w:szCs w:val="13"/>
                <w:color w:val="auto"/>
              </w:rPr>
              <w:t>_________________________</w:t>
            </w:r>
          </w:p>
        </w:tc>
        <w:tc>
          <w:tcPr>
            <w:tcW w:w="3980" w:type="dxa"/>
            <w:vAlign w:val="bottom"/>
          </w:tcPr>
          <w:p>
            <w:pPr>
              <w:spacing w:after="0"/>
              <w:rPr>
                <w:sz w:val="20"/>
                <w:szCs w:val="20"/>
                <w:color w:val="auto"/>
              </w:rPr>
            </w:pPr>
          </w:p>
        </w:tc>
      </w:tr>
      <w:tr>
        <w:trPr>
          <w:trHeight w:val="685"/>
        </w:trPr>
        <w:tc>
          <w:tcPr>
            <w:tcW w:w="730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448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40" w:type="dxa"/>
            <w:vAlign w:val="bottom"/>
          </w:tcPr>
          <w:p>
            <w:pPr>
              <w:spacing w:after="0"/>
              <w:rPr>
                <w:sz w:val="14"/>
                <w:szCs w:val="14"/>
                <w:color w:val="auto"/>
              </w:rPr>
            </w:pPr>
          </w:p>
        </w:tc>
      </w:tr>
      <w:tr>
        <w:trPr>
          <w:trHeight w:val="279"/>
        </w:trPr>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40" w:type="dxa"/>
            <w:vAlign w:val="bottom"/>
          </w:tcPr>
          <w:p>
            <w:pPr>
              <w:jc w:val="center"/>
              <w:ind w:right="329"/>
              <w:spacing w:after="0"/>
              <w:rPr>
                <w:sz w:val="20"/>
                <w:szCs w:val="20"/>
                <w:color w:val="auto"/>
              </w:rPr>
            </w:pPr>
            <w:r>
              <w:rPr>
                <w:rFonts w:ascii="Arial" w:cs="Arial" w:eastAsia="Arial" w:hAnsi="Arial"/>
                <w:sz w:val="14"/>
                <w:szCs w:val="14"/>
                <w:b w:val="1"/>
                <w:bCs w:val="1"/>
                <w:color w:val="auto"/>
              </w:rPr>
              <w:t>Name of each exchange</w:t>
            </w:r>
          </w:p>
        </w:tc>
      </w:tr>
      <w:tr>
        <w:trPr>
          <w:trHeight w:val="188"/>
        </w:trPr>
        <w:tc>
          <w:tcPr>
            <w:tcW w:w="448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99"/>
              </w:rPr>
              <w:t>Title of each class</w:t>
            </w:r>
          </w:p>
        </w:tc>
        <w:tc>
          <w:tcPr>
            <w:tcW w:w="3420" w:type="dxa"/>
            <w:vAlign w:val="bottom"/>
            <w:gridSpan w:val="3"/>
          </w:tcPr>
          <w:p>
            <w:pPr>
              <w:jc w:val="center"/>
              <w:ind w:right="1160"/>
              <w:spacing w:after="0"/>
              <w:rPr>
                <w:sz w:val="20"/>
                <w:szCs w:val="20"/>
                <w:color w:val="auto"/>
              </w:rPr>
            </w:pPr>
            <w:r>
              <w:rPr>
                <w:rFonts w:ascii="Arial" w:cs="Arial" w:eastAsia="Arial" w:hAnsi="Arial"/>
                <w:sz w:val="14"/>
                <w:szCs w:val="14"/>
                <w:b w:val="1"/>
                <w:bCs w:val="1"/>
                <w:color w:val="auto"/>
                <w:w w:val="99"/>
              </w:rPr>
              <w:t>Trading Symbol(s)</w:t>
            </w:r>
          </w:p>
        </w:tc>
        <w:tc>
          <w:tcPr>
            <w:tcW w:w="3340" w:type="dxa"/>
            <w:vAlign w:val="bottom"/>
          </w:tcPr>
          <w:p>
            <w:pPr>
              <w:jc w:val="center"/>
              <w:ind w:right="289"/>
              <w:spacing w:after="0"/>
              <w:rPr>
                <w:sz w:val="20"/>
                <w:szCs w:val="20"/>
                <w:color w:val="auto"/>
              </w:rPr>
            </w:pPr>
            <w:r>
              <w:rPr>
                <w:rFonts w:ascii="Arial" w:cs="Arial" w:eastAsia="Arial" w:hAnsi="Arial"/>
                <w:sz w:val="14"/>
                <w:szCs w:val="14"/>
                <w:b w:val="1"/>
                <w:bCs w:val="1"/>
                <w:color w:val="auto"/>
              </w:rPr>
              <w:t>on which registered</w:t>
            </w:r>
          </w:p>
        </w:tc>
      </w:tr>
      <w:tr>
        <w:trPr>
          <w:trHeight w:val="22"/>
        </w:trPr>
        <w:tc>
          <w:tcPr>
            <w:tcW w:w="3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r>
      <w:tr>
        <w:trPr>
          <w:trHeight w:val="181"/>
        </w:trPr>
        <w:tc>
          <w:tcPr>
            <w:tcW w:w="4480" w:type="dxa"/>
            <w:vAlign w:val="bottom"/>
            <w:gridSpan w:val="3"/>
          </w:tcPr>
          <w:p>
            <w:pPr>
              <w:jc w:val="center"/>
              <w:ind w:right="800"/>
              <w:spacing w:after="0"/>
              <w:rPr>
                <w:sz w:val="20"/>
                <w:szCs w:val="20"/>
                <w:color w:val="auto"/>
              </w:rPr>
            </w:pPr>
            <w:r>
              <w:rPr>
                <w:rFonts w:ascii="Arial" w:cs="Arial" w:eastAsia="Arial" w:hAnsi="Arial"/>
                <w:sz w:val="14"/>
                <w:szCs w:val="14"/>
                <w:color w:val="auto"/>
              </w:rPr>
              <w:t>Class A Common Stock,</w:t>
            </w:r>
          </w:p>
        </w:tc>
        <w:tc>
          <w:tcPr>
            <w:tcW w:w="3420" w:type="dxa"/>
            <w:vAlign w:val="bottom"/>
            <w:gridSpan w:val="3"/>
          </w:tcPr>
          <w:p>
            <w:pPr>
              <w:jc w:val="center"/>
              <w:ind w:right="1160"/>
              <w:spacing w:after="0"/>
              <w:rPr>
                <w:sz w:val="20"/>
                <w:szCs w:val="20"/>
                <w:color w:val="auto"/>
              </w:rPr>
            </w:pPr>
            <w:r>
              <w:rPr>
                <w:rFonts w:ascii="Arial" w:cs="Arial" w:eastAsia="Arial" w:hAnsi="Arial"/>
                <w:sz w:val="14"/>
                <w:szCs w:val="14"/>
                <w:color w:val="auto"/>
                <w:w w:val="98"/>
              </w:rPr>
              <w:t>GOCO</w:t>
            </w:r>
          </w:p>
        </w:tc>
        <w:tc>
          <w:tcPr>
            <w:tcW w:w="3340" w:type="dxa"/>
            <w:vAlign w:val="bottom"/>
          </w:tcPr>
          <w:p>
            <w:pPr>
              <w:jc w:val="center"/>
              <w:ind w:right="289"/>
              <w:spacing w:after="0"/>
              <w:rPr>
                <w:sz w:val="20"/>
                <w:szCs w:val="20"/>
                <w:color w:val="auto"/>
              </w:rPr>
            </w:pPr>
            <w:r>
              <w:rPr>
                <w:rFonts w:ascii="Arial" w:cs="Arial" w:eastAsia="Arial" w:hAnsi="Arial"/>
                <w:sz w:val="14"/>
                <w:szCs w:val="14"/>
                <w:color w:val="auto"/>
              </w:rPr>
              <w:t>The Nasdaq Global Market</w:t>
            </w:r>
          </w:p>
        </w:tc>
      </w:tr>
      <w:tr>
        <w:trPr>
          <w:trHeight w:val="170"/>
        </w:trPr>
        <w:tc>
          <w:tcPr>
            <w:tcW w:w="4480" w:type="dxa"/>
            <w:vAlign w:val="bottom"/>
            <w:gridSpan w:val="3"/>
          </w:tcPr>
          <w:p>
            <w:pPr>
              <w:jc w:val="center"/>
              <w:ind w:right="800"/>
              <w:spacing w:after="0"/>
              <w:rPr>
                <w:sz w:val="20"/>
                <w:szCs w:val="20"/>
                <w:color w:val="auto"/>
              </w:rPr>
            </w:pPr>
            <w:r>
              <w:rPr>
                <w:rFonts w:ascii="Arial" w:cs="Arial" w:eastAsia="Arial" w:hAnsi="Arial"/>
                <w:sz w:val="14"/>
                <w:szCs w:val="14"/>
                <w:color w:val="auto"/>
              </w:rPr>
              <w:t>$0.0001 par value per share</w:t>
            </w:r>
          </w:p>
        </w:tc>
        <w:tc>
          <w:tcPr>
            <w:tcW w:w="2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40" w:type="dxa"/>
            <w:vAlign w:val="bottom"/>
          </w:tcPr>
          <w:p>
            <w:pPr>
              <w:spacing w:after="0"/>
              <w:rPr>
                <w:sz w:val="14"/>
                <w:szCs w:val="14"/>
                <w:color w:val="auto"/>
              </w:rPr>
            </w:pPr>
          </w:p>
        </w:tc>
      </w:tr>
      <w:tr>
        <w:trPr>
          <w:trHeight w:val="350"/>
        </w:trPr>
        <w:tc>
          <w:tcPr>
            <w:tcW w:w="448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12(g) of the Act: None</w:t>
            </w:r>
          </w:p>
        </w:tc>
        <w:tc>
          <w:tcPr>
            <w:tcW w:w="2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71"/>
        </w:trPr>
        <w:tc>
          <w:tcPr>
            <w:tcW w:w="7900" w:type="dxa"/>
            <w:vAlign w:val="bottom"/>
            <w:gridSpan w:val="6"/>
          </w:tcPr>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highlight w:val="black"/>
              </w:rPr>
              <w:t>☐</w:t>
            </w:r>
          </w:p>
        </w:tc>
        <w:tc>
          <w:tcPr>
            <w:tcW w:w="3340" w:type="dxa"/>
            <w:vAlign w:val="bottom"/>
          </w:tcPr>
          <w:p>
            <w:pPr>
              <w:ind w:left="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highlight w:val="black"/>
              </w:rPr>
              <w:t>☒</w:t>
            </w:r>
          </w:p>
        </w:tc>
      </w:tr>
      <w:tr>
        <w:trPr>
          <w:trHeight w:val="255"/>
        </w:trPr>
        <w:tc>
          <w:tcPr>
            <w:tcW w:w="7900" w:type="dxa"/>
            <w:vAlign w:val="bottom"/>
            <w:gridSpan w:val="6"/>
          </w:tcPr>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highlight w:val="black"/>
              </w:rPr>
              <w:t>☐</w:t>
            </w:r>
          </w:p>
        </w:tc>
        <w:tc>
          <w:tcPr>
            <w:tcW w:w="3340" w:type="dxa"/>
            <w:vAlign w:val="bottom"/>
          </w:tcPr>
          <w:p>
            <w:pPr>
              <w:ind w:left="1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highlight w:val="black"/>
              </w:rPr>
              <w:t>☒</w:t>
            </w:r>
          </w:p>
        </w:tc>
      </w:tr>
    </w:tbl>
    <w:p>
      <w:pPr>
        <w:spacing w:after="0" w:line="69" w:lineRule="exact"/>
        <w:rPr>
          <w:sz w:val="20"/>
          <w:szCs w:val="20"/>
          <w:color w:val="auto"/>
        </w:rPr>
      </w:pPr>
    </w:p>
    <w:p>
      <w:pPr>
        <w:ind w:right="120"/>
        <w:spacing w:after="0" w:line="17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w:t>
      </w:r>
      <w:r>
        <w:rPr>
          <w:rFonts w:ascii="MS PGothic" w:cs="MS PGothic" w:eastAsia="MS PGothic" w:hAnsi="MS PGothic"/>
          <w:sz w:val="14"/>
          <w:szCs w:val="14"/>
          <w:color w:val="auto"/>
          <w:highlight w:val="black"/>
        </w:rPr>
        <w:t>☐</w:t>
      </w:r>
    </w:p>
    <w:p>
      <w:pPr>
        <w:spacing w:after="0" w:line="69" w:lineRule="exact"/>
        <w:rPr>
          <w:sz w:val="20"/>
          <w:szCs w:val="20"/>
          <w:color w:val="auto"/>
        </w:rPr>
      </w:pPr>
    </w:p>
    <w:p>
      <w:pPr>
        <w:ind w:right="20"/>
        <w:spacing w:after="0" w:line="17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w:t>
      </w:r>
      <w:r>
        <w:rPr>
          <w:rFonts w:ascii="MS PGothic" w:cs="MS PGothic" w:eastAsia="MS PGothic" w:hAnsi="MS PGothic"/>
          <w:sz w:val="14"/>
          <w:szCs w:val="14"/>
          <w:color w:val="auto"/>
          <w:highlight w:val="black"/>
        </w:rPr>
        <w:t>☐</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2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140" w:type="dxa"/>
            <w:vAlign w:val="bottom"/>
          </w:tcPr>
          <w:p>
            <w:pPr>
              <w:ind w:left="184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3560" w:type="dxa"/>
            <w:vAlign w:val="bottom"/>
          </w:tcPr>
          <w:p>
            <w:pPr>
              <w:ind w:left="140"/>
              <w:spacing w:after="0"/>
              <w:rPr>
                <w:sz w:val="20"/>
                <w:szCs w:val="20"/>
                <w:color w:val="auto"/>
              </w:rPr>
            </w:pPr>
            <w:r>
              <w:rPr>
                <w:rFonts w:ascii="Arial" w:cs="Arial" w:eastAsia="Arial" w:hAnsi="Arial"/>
                <w:sz w:val="14"/>
                <w:szCs w:val="14"/>
                <w:color w:val="auto"/>
              </w:rPr>
              <w:t>Smaller reporting company</w:t>
            </w:r>
          </w:p>
        </w:tc>
        <w:tc>
          <w:tcPr>
            <w:tcW w:w="184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highlight w:val="black"/>
                <w:w w:val="74"/>
              </w:rPr>
              <w:t>☐</w:t>
            </w:r>
          </w:p>
        </w:tc>
      </w:tr>
      <w:tr>
        <w:trPr>
          <w:trHeight w:val="223"/>
        </w:trPr>
        <w:tc>
          <w:tcPr>
            <w:tcW w:w="3260" w:type="dxa"/>
            <w:vAlign w:val="bottom"/>
          </w:tcPr>
          <w:p>
            <w:pPr>
              <w:spacing w:after="0"/>
              <w:rPr>
                <w:sz w:val="20"/>
                <w:szCs w:val="20"/>
                <w:color w:val="auto"/>
              </w:rPr>
            </w:pPr>
            <w:r>
              <w:rPr>
                <w:rFonts w:ascii="Arial" w:cs="Arial" w:eastAsia="Arial" w:hAnsi="Arial"/>
                <w:sz w:val="14"/>
                <w:szCs w:val="14"/>
                <w:color w:val="auto"/>
              </w:rPr>
              <w:t>Non-accelerated filer</w:t>
            </w:r>
          </w:p>
        </w:tc>
        <w:tc>
          <w:tcPr>
            <w:tcW w:w="2140" w:type="dxa"/>
            <w:vAlign w:val="bottom"/>
          </w:tcPr>
          <w:p>
            <w:pPr>
              <w:ind w:left="184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3560" w:type="dxa"/>
            <w:vAlign w:val="bottom"/>
          </w:tcPr>
          <w:p>
            <w:pPr>
              <w:ind w:left="140"/>
              <w:spacing w:after="0"/>
              <w:rPr>
                <w:sz w:val="20"/>
                <w:szCs w:val="20"/>
                <w:color w:val="auto"/>
              </w:rPr>
            </w:pPr>
            <w:r>
              <w:rPr>
                <w:rFonts w:ascii="Arial" w:cs="Arial" w:eastAsia="Arial" w:hAnsi="Arial"/>
                <w:sz w:val="14"/>
                <w:szCs w:val="14"/>
                <w:color w:val="auto"/>
              </w:rPr>
              <w:t>Emerging growth company</w:t>
            </w:r>
          </w:p>
        </w:tc>
        <w:tc>
          <w:tcPr>
            <w:tcW w:w="184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highlight w:val="black"/>
                <w:w w:val="74"/>
              </w:rPr>
              <w:t>☐</w:t>
            </w:r>
          </w:p>
        </w:tc>
      </w:tr>
      <w:tr>
        <w:trPr>
          <w:trHeight w:val="244"/>
        </w:trPr>
        <w:tc>
          <w:tcPr>
            <w:tcW w:w="3260" w:type="dxa"/>
            <w:vAlign w:val="bottom"/>
          </w:tcPr>
          <w:p>
            <w:pPr>
              <w:spacing w:after="0"/>
              <w:rPr>
                <w:sz w:val="20"/>
                <w:szCs w:val="20"/>
                <w:color w:val="auto"/>
              </w:rPr>
            </w:pPr>
            <w:r>
              <w:rPr>
                <w:rFonts w:ascii="Arial" w:cs="Arial" w:eastAsia="Arial" w:hAnsi="Arial"/>
                <w:sz w:val="14"/>
                <w:szCs w:val="14"/>
                <w:color w:val="auto"/>
              </w:rPr>
              <w:t>Accelerated filer</w:t>
            </w:r>
          </w:p>
        </w:tc>
        <w:tc>
          <w:tcPr>
            <w:tcW w:w="2140" w:type="dxa"/>
            <w:vAlign w:val="bottom"/>
          </w:tcPr>
          <w:p>
            <w:pPr>
              <w:ind w:left="184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3560" w:type="dxa"/>
            <w:vAlign w:val="bottom"/>
          </w:tcPr>
          <w:p>
            <w:pPr>
              <w:spacing w:after="0"/>
              <w:rPr>
                <w:sz w:val="21"/>
                <w:szCs w:val="21"/>
                <w:color w:val="auto"/>
              </w:rPr>
            </w:pPr>
          </w:p>
        </w:tc>
        <w:tc>
          <w:tcPr>
            <w:tcW w:w="1840" w:type="dxa"/>
            <w:vAlign w:val="bottom"/>
          </w:tcPr>
          <w:p>
            <w:pPr>
              <w:spacing w:after="0"/>
              <w:rPr>
                <w:sz w:val="21"/>
                <w:szCs w:val="21"/>
                <w:color w:val="auto"/>
              </w:rPr>
            </w:pPr>
          </w:p>
        </w:tc>
      </w:tr>
    </w:tbl>
    <w:p>
      <w:pPr>
        <w:spacing w:after="0" w:line="148" w:lineRule="exact"/>
        <w:rPr>
          <w:sz w:val="20"/>
          <w:szCs w:val="20"/>
          <w:color w:val="auto"/>
        </w:rPr>
      </w:pPr>
    </w:p>
    <w:p>
      <w:pPr>
        <w:ind w:right="520"/>
        <w:spacing w:after="0" w:line="17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highlight w:val="black"/>
        </w:rPr>
        <w:t>☐</w:t>
      </w:r>
    </w:p>
    <w:p>
      <w:pPr>
        <w:spacing w:after="0" w:line="69" w:lineRule="exact"/>
        <w:rPr>
          <w:sz w:val="20"/>
          <w:szCs w:val="20"/>
          <w:color w:val="auto"/>
        </w:rPr>
      </w:pPr>
    </w:p>
    <w:p>
      <w:pPr>
        <w:ind w:right="20"/>
        <w:spacing w:after="0" w:line="178"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highlight w:val="black"/>
        </w:rPr>
        <w:t>☒</w:t>
      </w:r>
    </w:p>
    <w:p>
      <w:pPr>
        <w:spacing w:after="0" w:line="34" w:lineRule="exact"/>
        <w:rPr>
          <w:sz w:val="20"/>
          <w:szCs w:val="20"/>
          <w:color w:val="auto"/>
        </w:rPr>
      </w:pPr>
    </w:p>
    <w:p>
      <w:pPr>
        <w:spacing w:after="0" w:line="161" w:lineRule="exact"/>
        <w:tabs>
          <w:tab w:leader="none" w:pos="6540" w:val="left"/>
          <w:tab w:leader="none" w:pos="71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highlight w:val="black"/>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highlight w:val="black"/>
        </w:rPr>
        <w:t>☒</w:t>
      </w:r>
    </w:p>
    <w:p>
      <w:pPr>
        <w:spacing w:after="0" w:line="129" w:lineRule="exact"/>
        <w:rPr>
          <w:sz w:val="20"/>
          <w:szCs w:val="20"/>
          <w:color w:val="auto"/>
        </w:rPr>
      </w:pPr>
    </w:p>
    <w:p>
      <w:pPr>
        <w:spacing w:after="0" w:line="266" w:lineRule="auto"/>
        <w:rPr>
          <w:sz w:val="20"/>
          <w:szCs w:val="20"/>
          <w:color w:val="auto"/>
        </w:rPr>
      </w:pPr>
      <w:r>
        <w:rPr>
          <w:rFonts w:ascii="Arial" w:cs="Arial" w:eastAsia="Arial" w:hAnsi="Arial"/>
          <w:sz w:val="14"/>
          <w:szCs w:val="14"/>
          <w:color w:val="auto"/>
        </w:rPr>
        <w:t>Based on the closing price of the registrant’s common stock on the last business day of the registrant’s most recently completed second fiscal quarter, which was June 30, 2021, the aggregate market value of its shares (based on a closing price of $11.21 per share) held by non-affiliates was $724.6 million.</w:t>
      </w:r>
    </w:p>
    <w:p>
      <w:pPr>
        <w:spacing w:after="0" w:line="68" w:lineRule="exact"/>
        <w:rPr>
          <w:sz w:val="20"/>
          <w:szCs w:val="20"/>
          <w:color w:val="auto"/>
        </w:rPr>
      </w:pPr>
    </w:p>
    <w:p>
      <w:pPr>
        <w:spacing w:after="0" w:line="266" w:lineRule="auto"/>
        <w:rPr>
          <w:sz w:val="20"/>
          <w:szCs w:val="20"/>
          <w:color w:val="auto"/>
        </w:rPr>
      </w:pPr>
      <w:r>
        <w:rPr>
          <w:rFonts w:ascii="Arial" w:cs="Arial" w:eastAsia="Arial" w:hAnsi="Arial"/>
          <w:sz w:val="14"/>
          <w:szCs w:val="14"/>
          <w:color w:val="auto"/>
        </w:rPr>
        <w:t>As of March 3, 2022, the registrant had 116,421,955 shares of Class A common stock, $0.0001 par value per share, outstanding and 204,855,156 shares of Class B common stock, $0.0001 par value per share, outstanding.</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DOCUMENTS INCORPORATED BY REFERENCE</w:t>
      </w:r>
    </w:p>
    <w:p>
      <w:pPr>
        <w:spacing w:after="0" w:line="98" w:lineRule="exact"/>
        <w:rPr>
          <w:sz w:val="20"/>
          <w:szCs w:val="20"/>
          <w:color w:val="auto"/>
        </w:rPr>
      </w:pPr>
    </w:p>
    <w:p>
      <w:pPr>
        <w:ind w:right="240"/>
        <w:spacing w:after="0" w:line="266" w:lineRule="auto"/>
        <w:rPr>
          <w:sz w:val="20"/>
          <w:szCs w:val="20"/>
          <w:color w:val="auto"/>
        </w:rPr>
      </w:pPr>
      <w:r>
        <w:rPr>
          <w:rFonts w:ascii="Arial" w:cs="Arial" w:eastAsia="Arial" w:hAnsi="Arial"/>
          <w:sz w:val="14"/>
          <w:szCs w:val="14"/>
          <w:color w:val="auto"/>
        </w:rPr>
        <w:t>Portions of the registrant’s Definitive Proxy Statement for the 2022 Annual Meeting of Stockholders, which is expected to be filed within 120 days after the Company’s fiscal year ended December 31, 2021, are incorporated by reference into Part III of this Annual Report on Form 10-K to the extent stated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414655</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306070</wp:posOffset>
            </wp:positionV>
            <wp:extent cx="714819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326390</wp:posOffset>
            </wp:positionV>
            <wp:extent cx="714819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ectPr>
          <w:pgSz w:w="11900" w:h="16838" w:orient="portrait"/>
          <w:cols w:equalWidth="0" w:num="1">
            <w:col w:w="11260"/>
          </w:cols>
          <w:pgMar w:left="300" w:top="99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9"/>
        </w:trPr>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380" w:type="dxa"/>
            <w:vAlign w:val="bottom"/>
            <w:gridSpan w:val="6"/>
          </w:tcPr>
          <w:p>
            <w:pPr>
              <w:jc w:val="center"/>
              <w:ind w:right="3420"/>
              <w:spacing w:after="0"/>
              <w:rPr>
                <w:sz w:val="20"/>
                <w:szCs w:val="20"/>
                <w:color w:val="auto"/>
              </w:rPr>
            </w:pPr>
            <w:r>
              <w:rPr>
                <w:rFonts w:ascii="Arial" w:cs="Arial" w:eastAsia="Arial" w:hAnsi="Arial"/>
                <w:sz w:val="13"/>
                <w:szCs w:val="13"/>
                <w:b w:val="1"/>
                <w:bCs w:val="1"/>
                <w:color w:val="auto"/>
                <w:w w:val="97"/>
              </w:rPr>
              <w:t>TABLE OF CONTENTS</w:t>
            </w: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83"/>
        </w:trPr>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gridSpan w:val="2"/>
          </w:tcPr>
          <w:p>
            <w:pPr>
              <w:ind w:left="420"/>
              <w:spacing w:after="0"/>
              <w:rPr>
                <w:sz w:val="20"/>
                <w:szCs w:val="20"/>
                <w:color w:val="auto"/>
              </w:rPr>
            </w:pPr>
            <w:r>
              <w:rPr>
                <w:rFonts w:ascii="Arial" w:cs="Arial" w:eastAsia="Arial" w:hAnsi="Arial"/>
                <w:sz w:val="13"/>
                <w:szCs w:val="13"/>
                <w:color w:val="auto"/>
              </w:rPr>
              <w:t>PAGE</w:t>
            </w:r>
          </w:p>
        </w:tc>
      </w:tr>
      <w:tr>
        <w:trPr>
          <w:trHeight w:val="172"/>
        </w:trPr>
        <w:tc>
          <w:tcPr>
            <w:tcW w:w="1220" w:type="dxa"/>
            <w:vAlign w:val="bottom"/>
            <w:shd w:val="clear" w:color="auto" w:fill="0A2299"/>
          </w:tcPr>
          <w:p>
            <w:pPr>
              <w:spacing w:after="0"/>
              <w:rPr>
                <w:sz w:val="14"/>
                <w:szCs w:val="14"/>
                <w:color w:val="auto"/>
              </w:rPr>
            </w:pPr>
          </w:p>
        </w:tc>
        <w:tc>
          <w:tcPr>
            <w:tcW w:w="180" w:type="dxa"/>
            <w:vAlign w:val="bottom"/>
            <w:shd w:val="clear" w:color="auto" w:fill="0A2299"/>
          </w:tcPr>
          <w:p>
            <w:pPr>
              <w:spacing w:after="0"/>
              <w:rPr>
                <w:sz w:val="14"/>
                <w:szCs w:val="14"/>
                <w:color w:val="auto"/>
              </w:rPr>
            </w:pPr>
          </w:p>
        </w:tc>
        <w:tc>
          <w:tcPr>
            <w:tcW w:w="480" w:type="dxa"/>
            <w:vAlign w:val="bottom"/>
            <w:shd w:val="clear" w:color="auto" w:fill="0A2299"/>
          </w:tcPr>
          <w:p>
            <w:pPr>
              <w:spacing w:after="0"/>
              <w:rPr>
                <w:sz w:val="14"/>
                <w:szCs w:val="14"/>
                <w:color w:val="auto"/>
              </w:rPr>
            </w:pPr>
          </w:p>
        </w:tc>
        <w:tc>
          <w:tcPr>
            <w:tcW w:w="120" w:type="dxa"/>
            <w:vAlign w:val="bottom"/>
            <w:shd w:val="clear" w:color="auto" w:fill="0A2299"/>
          </w:tcPr>
          <w:p>
            <w:pPr>
              <w:spacing w:after="0"/>
              <w:rPr>
                <w:sz w:val="14"/>
                <w:szCs w:val="14"/>
                <w:color w:val="auto"/>
              </w:rPr>
            </w:pPr>
          </w:p>
        </w:tc>
        <w:tc>
          <w:tcPr>
            <w:tcW w:w="160" w:type="dxa"/>
            <w:vAlign w:val="bottom"/>
            <w:tcBorders>
              <w:left w:val="single" w:sz="8" w:color="0A2299"/>
            </w:tcBorders>
            <w:shd w:val="clear" w:color="auto" w:fill="0A2299"/>
          </w:tcPr>
          <w:p>
            <w:pPr>
              <w:spacing w:after="0"/>
              <w:rPr>
                <w:sz w:val="14"/>
                <w:szCs w:val="14"/>
                <w:color w:val="auto"/>
              </w:rPr>
            </w:pPr>
          </w:p>
        </w:tc>
        <w:tc>
          <w:tcPr>
            <w:tcW w:w="460" w:type="dxa"/>
            <w:vAlign w:val="bottom"/>
            <w:shd w:val="clear" w:color="auto" w:fill="0A2299"/>
          </w:tcPr>
          <w:p>
            <w:pPr>
              <w:spacing w:after="0"/>
              <w:rPr>
                <w:sz w:val="14"/>
                <w:szCs w:val="14"/>
                <w:color w:val="auto"/>
              </w:rPr>
            </w:pPr>
          </w:p>
        </w:tc>
        <w:tc>
          <w:tcPr>
            <w:tcW w:w="400" w:type="dxa"/>
            <w:vAlign w:val="bottom"/>
            <w:shd w:val="clear" w:color="auto" w:fill="0A2299"/>
          </w:tcPr>
          <w:p>
            <w:pPr>
              <w:spacing w:after="0"/>
              <w:rPr>
                <w:sz w:val="14"/>
                <w:szCs w:val="14"/>
                <w:color w:val="auto"/>
              </w:rPr>
            </w:pPr>
          </w:p>
        </w:tc>
        <w:tc>
          <w:tcPr>
            <w:tcW w:w="280" w:type="dxa"/>
            <w:vAlign w:val="bottom"/>
            <w:shd w:val="clear" w:color="auto" w:fill="0A2299"/>
          </w:tcPr>
          <w:p>
            <w:pPr>
              <w:spacing w:after="0"/>
              <w:rPr>
                <w:sz w:val="14"/>
                <w:szCs w:val="14"/>
                <w:color w:val="auto"/>
              </w:rPr>
            </w:pPr>
          </w:p>
        </w:tc>
        <w:tc>
          <w:tcPr>
            <w:tcW w:w="260" w:type="dxa"/>
            <w:vAlign w:val="bottom"/>
            <w:shd w:val="clear" w:color="auto" w:fill="0A2299"/>
          </w:tcPr>
          <w:p>
            <w:pPr>
              <w:spacing w:after="0"/>
              <w:rPr>
                <w:sz w:val="14"/>
                <w:szCs w:val="14"/>
                <w:color w:val="auto"/>
              </w:rPr>
            </w:pPr>
          </w:p>
        </w:tc>
        <w:tc>
          <w:tcPr>
            <w:tcW w:w="780" w:type="dxa"/>
            <w:vAlign w:val="bottom"/>
            <w:shd w:val="clear" w:color="auto" w:fill="0A2299"/>
          </w:tcPr>
          <w:p>
            <w:pPr>
              <w:spacing w:after="0"/>
              <w:rPr>
                <w:sz w:val="14"/>
                <w:szCs w:val="14"/>
                <w:color w:val="auto"/>
              </w:rPr>
            </w:pPr>
          </w:p>
        </w:tc>
        <w:tc>
          <w:tcPr>
            <w:tcW w:w="20" w:type="dxa"/>
            <w:vAlign w:val="bottom"/>
            <w:shd w:val="clear" w:color="auto" w:fill="0A2299"/>
          </w:tcPr>
          <w:p>
            <w:pPr>
              <w:spacing w:after="0"/>
              <w:rPr>
                <w:sz w:val="14"/>
                <w:szCs w:val="14"/>
                <w:color w:val="auto"/>
              </w:rPr>
            </w:pPr>
          </w:p>
        </w:tc>
        <w:tc>
          <w:tcPr>
            <w:tcW w:w="220" w:type="dxa"/>
            <w:vAlign w:val="bottom"/>
            <w:shd w:val="clear" w:color="auto" w:fill="0A2299"/>
          </w:tcPr>
          <w:p>
            <w:pPr>
              <w:spacing w:after="0"/>
              <w:rPr>
                <w:sz w:val="14"/>
                <w:szCs w:val="14"/>
                <w:color w:val="auto"/>
              </w:rPr>
            </w:pPr>
          </w:p>
        </w:tc>
        <w:tc>
          <w:tcPr>
            <w:tcW w:w="80" w:type="dxa"/>
            <w:vAlign w:val="bottom"/>
            <w:shd w:val="clear" w:color="auto" w:fill="0A2299"/>
          </w:tcPr>
          <w:p>
            <w:pPr>
              <w:spacing w:after="0"/>
              <w:rPr>
                <w:sz w:val="14"/>
                <w:szCs w:val="14"/>
                <w:color w:val="auto"/>
              </w:rPr>
            </w:pPr>
          </w:p>
        </w:tc>
        <w:tc>
          <w:tcPr>
            <w:tcW w:w="5380" w:type="dxa"/>
            <w:vAlign w:val="bottom"/>
            <w:gridSpan w:val="6"/>
            <w:shd w:val="clear" w:color="auto" w:fill="0A2299"/>
          </w:tcPr>
          <w:p>
            <w:pPr>
              <w:jc w:val="center"/>
              <w:ind w:right="3420"/>
              <w:spacing w:after="0"/>
              <w:rPr>
                <w:sz w:val="20"/>
                <w:szCs w:val="20"/>
                <w:color w:val="auto"/>
              </w:rPr>
            </w:pPr>
            <w:r>
              <w:rPr>
                <w:rFonts w:ascii="Arial" w:cs="Arial" w:eastAsia="Arial" w:hAnsi="Arial"/>
                <w:sz w:val="13"/>
                <w:szCs w:val="13"/>
                <w:b w:val="1"/>
                <w:bCs w:val="1"/>
                <w:color w:val="FFFFFF"/>
                <w:w w:val="93"/>
              </w:rPr>
              <w:t>PART I</w:t>
            </w:r>
          </w:p>
        </w:tc>
        <w:tc>
          <w:tcPr>
            <w:tcW w:w="660" w:type="dxa"/>
            <w:vAlign w:val="bottom"/>
            <w:tcBorders>
              <w:right w:val="single" w:sz="8" w:color="0A2299"/>
            </w:tcBorders>
            <w:shd w:val="clear" w:color="auto" w:fill="0A2299"/>
          </w:tcPr>
          <w:p>
            <w:pPr>
              <w:spacing w:after="0"/>
              <w:rPr>
                <w:sz w:val="14"/>
                <w:szCs w:val="14"/>
                <w:color w:val="auto"/>
              </w:rPr>
            </w:pPr>
          </w:p>
        </w:tc>
        <w:tc>
          <w:tcPr>
            <w:tcW w:w="580" w:type="dxa"/>
            <w:vAlign w:val="bottom"/>
            <w:shd w:val="clear" w:color="auto" w:fill="0A2299"/>
          </w:tcPr>
          <w:p>
            <w:pPr>
              <w:spacing w:after="0"/>
              <w:rPr>
                <w:sz w:val="14"/>
                <w:szCs w:val="14"/>
                <w:color w:val="auto"/>
              </w:rPr>
            </w:pPr>
          </w:p>
        </w:tc>
      </w:tr>
      <w:tr>
        <w:trPr>
          <w:trHeight w:val="138"/>
        </w:trPr>
        <w:tc>
          <w:tcPr>
            <w:tcW w:w="1220" w:type="dxa"/>
            <w:vAlign w:val="bottom"/>
          </w:tcPr>
          <w:p>
            <w:pPr>
              <w:ind w:left="20"/>
              <w:spacing w:after="0" w:line="138" w:lineRule="exact"/>
              <w:rPr>
                <w:sz w:val="20"/>
                <w:szCs w:val="20"/>
                <w:color w:val="auto"/>
              </w:rPr>
            </w:pPr>
            <w:r>
              <w:rPr>
                <w:rFonts w:ascii="Arial" w:cs="Arial" w:eastAsia="Arial" w:hAnsi="Arial"/>
                <w:sz w:val="13"/>
                <w:szCs w:val="13"/>
                <w:color w:val="auto"/>
              </w:rPr>
              <w:t>ITEM 1.</w:t>
            </w:r>
          </w:p>
        </w:tc>
        <w:tc>
          <w:tcPr>
            <w:tcW w:w="660" w:type="dxa"/>
            <w:vAlign w:val="bottom"/>
            <w:gridSpan w:val="2"/>
          </w:tcPr>
          <w:p>
            <w:pPr>
              <w:spacing w:after="0" w:line="138" w:lineRule="exact"/>
              <w:rPr>
                <w:rFonts w:ascii="Arial" w:cs="Arial" w:eastAsia="Arial" w:hAnsi="Arial"/>
                <w:sz w:val="13"/>
                <w:szCs w:val="13"/>
                <w:color w:val="0000FF"/>
                <w:w w:val="97"/>
              </w:rPr>
            </w:pPr>
            <w:hyperlink w:anchor="page8">
              <w:r>
                <w:rPr>
                  <w:rFonts w:ascii="Arial" w:cs="Arial" w:eastAsia="Arial" w:hAnsi="Arial"/>
                  <w:sz w:val="13"/>
                  <w:szCs w:val="13"/>
                  <w:color w:val="0000FF"/>
                  <w:w w:val="97"/>
                </w:rPr>
                <w:t>BUSINESS</w:t>
              </w:r>
            </w:hyperlink>
          </w:p>
        </w:tc>
        <w:tc>
          <w:tcPr>
            <w:tcW w:w="8160" w:type="dxa"/>
            <w:vAlign w:val="bottom"/>
            <w:gridSpan w:val="16"/>
          </w:tcPr>
          <w:p>
            <w:pPr>
              <w:spacing w:after="0"/>
              <w:rPr>
                <w:sz w:val="11"/>
                <w:szCs w:val="11"/>
                <w:color w:val="auto"/>
              </w:rPr>
            </w:pPr>
          </w:p>
        </w:tc>
        <w:tc>
          <w:tcPr>
            <w:tcW w:w="660" w:type="dxa"/>
            <w:vAlign w:val="bottom"/>
          </w:tcPr>
          <w:p>
            <w:pPr>
              <w:jc w:val="center"/>
              <w:ind w:left="456"/>
              <w:spacing w:after="0" w:line="138" w:lineRule="exact"/>
              <w:rPr>
                <w:rFonts w:ascii="Arial" w:cs="Arial" w:eastAsia="Arial" w:hAnsi="Arial"/>
                <w:sz w:val="13"/>
                <w:szCs w:val="13"/>
                <w:color w:val="0000FF"/>
                <w:w w:val="82"/>
              </w:rPr>
            </w:pPr>
            <w:hyperlink w:anchor="page8">
              <w:r>
                <w:rPr>
                  <w:rFonts w:ascii="Arial" w:cs="Arial" w:eastAsia="Arial" w:hAnsi="Arial"/>
                  <w:sz w:val="13"/>
                  <w:szCs w:val="13"/>
                  <w:color w:val="0000FF"/>
                  <w:w w:val="82"/>
                </w:rPr>
                <w:t>5</w:t>
              </w:r>
            </w:hyperlink>
          </w:p>
        </w:tc>
        <w:tc>
          <w:tcPr>
            <w:tcW w:w="580" w:type="dxa"/>
            <w:vAlign w:val="bottom"/>
          </w:tcPr>
          <w:p>
            <w:pPr>
              <w:spacing w:after="0"/>
              <w:rPr>
                <w:sz w:val="11"/>
                <w:szCs w:val="11"/>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ind w:left="20"/>
              <w:spacing w:after="0"/>
              <w:rPr>
                <w:sz w:val="20"/>
                <w:szCs w:val="20"/>
                <w:color w:val="auto"/>
              </w:rPr>
            </w:pPr>
            <w:r>
              <w:rPr>
                <w:rFonts w:ascii="Arial" w:cs="Arial" w:eastAsia="Arial" w:hAnsi="Arial"/>
                <w:sz w:val="13"/>
                <w:szCs w:val="13"/>
                <w:color w:val="auto"/>
              </w:rPr>
              <w:t>ITEM 1A.</w:t>
            </w:r>
          </w:p>
        </w:tc>
        <w:tc>
          <w:tcPr>
            <w:tcW w:w="940" w:type="dxa"/>
            <w:vAlign w:val="bottom"/>
            <w:gridSpan w:val="4"/>
          </w:tcPr>
          <w:p>
            <w:pPr>
              <w:spacing w:after="0"/>
              <w:rPr>
                <w:rFonts w:ascii="Arial" w:cs="Arial" w:eastAsia="Arial" w:hAnsi="Arial"/>
                <w:sz w:val="13"/>
                <w:szCs w:val="13"/>
                <w:color w:val="0000FF"/>
                <w:w w:val="95"/>
              </w:rPr>
            </w:pPr>
            <w:hyperlink w:anchor="page16">
              <w:r>
                <w:rPr>
                  <w:rFonts w:ascii="Arial" w:cs="Arial" w:eastAsia="Arial" w:hAnsi="Arial"/>
                  <w:sz w:val="13"/>
                  <w:szCs w:val="13"/>
                  <w:color w:val="0000FF"/>
                  <w:w w:val="95"/>
                </w:rPr>
                <w:t>RISK FACTORS</w:t>
              </w:r>
            </w:hyperlink>
          </w:p>
        </w:tc>
        <w:tc>
          <w:tcPr>
            <w:tcW w:w="7880" w:type="dxa"/>
            <w:vAlign w:val="bottom"/>
            <w:gridSpan w:val="14"/>
          </w:tcPr>
          <w:p>
            <w:pPr>
              <w:spacing w:after="0"/>
              <w:rPr>
                <w:sz w:val="13"/>
                <w:szCs w:val="13"/>
                <w:color w:val="auto"/>
              </w:rPr>
            </w:pPr>
          </w:p>
        </w:tc>
        <w:tc>
          <w:tcPr>
            <w:tcW w:w="660" w:type="dxa"/>
            <w:vAlign w:val="bottom"/>
          </w:tcPr>
          <w:p>
            <w:pPr>
              <w:jc w:val="center"/>
              <w:ind w:left="456"/>
              <w:spacing w:after="0"/>
              <w:rPr>
                <w:rFonts w:ascii="Arial" w:cs="Arial" w:eastAsia="Arial" w:hAnsi="Arial"/>
                <w:sz w:val="13"/>
                <w:szCs w:val="13"/>
                <w:color w:val="0000FF"/>
                <w:w w:val="96"/>
              </w:rPr>
            </w:pPr>
            <w:hyperlink w:anchor="page16">
              <w:r>
                <w:rPr>
                  <w:rFonts w:ascii="Arial" w:cs="Arial" w:eastAsia="Arial" w:hAnsi="Arial"/>
                  <w:sz w:val="13"/>
                  <w:szCs w:val="13"/>
                  <w:color w:val="0000FF"/>
                  <w:w w:val="96"/>
                </w:rPr>
                <w:t>13</w:t>
              </w:r>
            </w:hyperlink>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ind w:left="20"/>
              <w:spacing w:after="0"/>
              <w:rPr>
                <w:sz w:val="20"/>
                <w:szCs w:val="20"/>
                <w:color w:val="auto"/>
              </w:rPr>
            </w:pPr>
            <w:r>
              <w:rPr>
                <w:rFonts w:ascii="Arial" w:cs="Arial" w:eastAsia="Arial" w:hAnsi="Arial"/>
                <w:sz w:val="13"/>
                <w:szCs w:val="13"/>
                <w:color w:val="auto"/>
              </w:rPr>
              <w:t>ITEM 1B.</w:t>
            </w:r>
          </w:p>
        </w:tc>
        <w:tc>
          <w:tcPr>
            <w:tcW w:w="8820" w:type="dxa"/>
            <w:vAlign w:val="bottom"/>
            <w:gridSpan w:val="18"/>
          </w:tcPr>
          <w:p>
            <w:pPr>
              <w:spacing w:after="0"/>
              <w:rPr>
                <w:rFonts w:ascii="Arial" w:cs="Arial" w:eastAsia="Arial" w:hAnsi="Arial"/>
                <w:sz w:val="13"/>
                <w:szCs w:val="13"/>
                <w:color w:val="0000FF"/>
              </w:rPr>
            </w:pPr>
            <w:hyperlink w:anchor="page42">
              <w:r>
                <w:rPr>
                  <w:rFonts w:ascii="Arial" w:cs="Arial" w:eastAsia="Arial" w:hAnsi="Arial"/>
                  <w:sz w:val="13"/>
                  <w:szCs w:val="13"/>
                  <w:color w:val="0000FF"/>
                </w:rPr>
                <w:t>UNRESOLVED STAFF COMMENTS</w:t>
              </w:r>
            </w:hyperlink>
          </w:p>
        </w:tc>
        <w:tc>
          <w:tcPr>
            <w:tcW w:w="660" w:type="dxa"/>
            <w:vAlign w:val="bottom"/>
          </w:tcPr>
          <w:p>
            <w:pPr>
              <w:jc w:val="center"/>
              <w:ind w:left="456"/>
              <w:spacing w:after="0"/>
              <w:rPr>
                <w:rFonts w:ascii="Arial" w:cs="Arial" w:eastAsia="Arial" w:hAnsi="Arial"/>
                <w:sz w:val="13"/>
                <w:szCs w:val="13"/>
                <w:color w:val="0000FF"/>
                <w:w w:val="96"/>
              </w:rPr>
            </w:pPr>
            <w:hyperlink w:anchor="page42">
              <w:r>
                <w:rPr>
                  <w:rFonts w:ascii="Arial" w:cs="Arial" w:eastAsia="Arial" w:hAnsi="Arial"/>
                  <w:sz w:val="13"/>
                  <w:szCs w:val="13"/>
                  <w:color w:val="0000FF"/>
                  <w:w w:val="96"/>
                </w:rPr>
                <w:t>40</w:t>
              </w:r>
            </w:hyperlink>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ind w:left="20"/>
              <w:spacing w:after="0"/>
              <w:rPr>
                <w:sz w:val="20"/>
                <w:szCs w:val="20"/>
                <w:color w:val="auto"/>
              </w:rPr>
            </w:pPr>
            <w:r>
              <w:rPr>
                <w:rFonts w:ascii="Arial" w:cs="Arial" w:eastAsia="Arial" w:hAnsi="Arial"/>
                <w:sz w:val="13"/>
                <w:szCs w:val="13"/>
                <w:color w:val="auto"/>
              </w:rPr>
              <w:t>ITEM 2.</w:t>
            </w:r>
          </w:p>
        </w:tc>
        <w:tc>
          <w:tcPr>
            <w:tcW w:w="2080" w:type="dxa"/>
            <w:vAlign w:val="bottom"/>
            <w:gridSpan w:val="7"/>
          </w:tcPr>
          <w:p>
            <w:pPr>
              <w:spacing w:after="0"/>
              <w:rPr>
                <w:rFonts w:ascii="Arial" w:cs="Arial" w:eastAsia="Arial" w:hAnsi="Arial"/>
                <w:sz w:val="13"/>
                <w:szCs w:val="13"/>
                <w:color w:val="0000FF"/>
              </w:rPr>
            </w:pPr>
            <w:hyperlink w:anchor="page43">
              <w:r>
                <w:rPr>
                  <w:rFonts w:ascii="Arial" w:cs="Arial" w:eastAsia="Arial" w:hAnsi="Arial"/>
                  <w:sz w:val="13"/>
                  <w:szCs w:val="13"/>
                  <w:color w:val="0000FF"/>
                </w:rPr>
                <w:t>PROPERTIES</w:t>
              </w:r>
            </w:hyperlink>
          </w:p>
        </w:tc>
        <w:tc>
          <w:tcPr>
            <w:tcW w:w="6740" w:type="dxa"/>
            <w:vAlign w:val="bottom"/>
            <w:gridSpan w:val="11"/>
          </w:tcPr>
          <w:p>
            <w:pPr>
              <w:spacing w:after="0"/>
              <w:rPr>
                <w:sz w:val="13"/>
                <w:szCs w:val="13"/>
                <w:color w:val="auto"/>
              </w:rPr>
            </w:pPr>
          </w:p>
        </w:tc>
        <w:tc>
          <w:tcPr>
            <w:tcW w:w="660" w:type="dxa"/>
            <w:vAlign w:val="bottom"/>
          </w:tcPr>
          <w:p>
            <w:pPr>
              <w:jc w:val="center"/>
              <w:ind w:left="456"/>
              <w:spacing w:after="0"/>
              <w:rPr>
                <w:rFonts w:ascii="Arial" w:cs="Arial" w:eastAsia="Arial" w:hAnsi="Arial"/>
                <w:sz w:val="13"/>
                <w:szCs w:val="13"/>
                <w:color w:val="0000FF"/>
                <w:w w:val="96"/>
              </w:rPr>
            </w:pPr>
            <w:hyperlink w:anchor="page43">
              <w:r>
                <w:rPr>
                  <w:rFonts w:ascii="Arial" w:cs="Arial" w:eastAsia="Arial" w:hAnsi="Arial"/>
                  <w:sz w:val="13"/>
                  <w:szCs w:val="13"/>
                  <w:color w:val="0000FF"/>
                  <w:w w:val="96"/>
                </w:rPr>
                <w:t>40</w:t>
              </w:r>
            </w:hyperlink>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ind w:left="20"/>
              <w:spacing w:after="0"/>
              <w:rPr>
                <w:sz w:val="20"/>
                <w:szCs w:val="20"/>
                <w:color w:val="auto"/>
              </w:rPr>
            </w:pPr>
            <w:r>
              <w:rPr>
                <w:rFonts w:ascii="Arial" w:cs="Arial" w:eastAsia="Arial" w:hAnsi="Arial"/>
                <w:sz w:val="13"/>
                <w:szCs w:val="13"/>
                <w:color w:val="auto"/>
              </w:rPr>
              <w:t>ITEM 3.</w:t>
            </w:r>
          </w:p>
        </w:tc>
        <w:tc>
          <w:tcPr>
            <w:tcW w:w="1400" w:type="dxa"/>
            <w:vAlign w:val="bottom"/>
            <w:gridSpan w:val="5"/>
          </w:tcPr>
          <w:p>
            <w:pPr>
              <w:spacing w:after="0"/>
              <w:rPr>
                <w:rFonts w:ascii="Arial" w:cs="Arial" w:eastAsia="Arial" w:hAnsi="Arial"/>
                <w:sz w:val="13"/>
                <w:szCs w:val="13"/>
                <w:color w:val="0000FF"/>
                <w:w w:val="97"/>
              </w:rPr>
            </w:pPr>
            <w:hyperlink w:anchor="page43">
              <w:r>
                <w:rPr>
                  <w:rFonts w:ascii="Arial" w:cs="Arial" w:eastAsia="Arial" w:hAnsi="Arial"/>
                  <w:sz w:val="13"/>
                  <w:szCs w:val="13"/>
                  <w:color w:val="0000FF"/>
                  <w:w w:val="97"/>
                </w:rPr>
                <w:t>LEGAL PROCEEDINGS</w:t>
              </w:r>
            </w:hyperlink>
          </w:p>
        </w:tc>
        <w:tc>
          <w:tcPr>
            <w:tcW w:w="7420" w:type="dxa"/>
            <w:vAlign w:val="bottom"/>
            <w:gridSpan w:val="13"/>
          </w:tcPr>
          <w:p>
            <w:pPr>
              <w:spacing w:after="0"/>
              <w:rPr>
                <w:sz w:val="13"/>
                <w:szCs w:val="13"/>
                <w:color w:val="auto"/>
              </w:rPr>
            </w:pPr>
          </w:p>
        </w:tc>
        <w:tc>
          <w:tcPr>
            <w:tcW w:w="660" w:type="dxa"/>
            <w:vAlign w:val="bottom"/>
          </w:tcPr>
          <w:p>
            <w:pPr>
              <w:jc w:val="center"/>
              <w:ind w:left="456"/>
              <w:spacing w:after="0"/>
              <w:rPr>
                <w:rFonts w:ascii="Arial" w:cs="Arial" w:eastAsia="Arial" w:hAnsi="Arial"/>
                <w:sz w:val="13"/>
                <w:szCs w:val="13"/>
                <w:color w:val="0000FF"/>
                <w:w w:val="96"/>
              </w:rPr>
            </w:pPr>
            <w:hyperlink w:anchor="page43">
              <w:r>
                <w:rPr>
                  <w:rFonts w:ascii="Arial" w:cs="Arial" w:eastAsia="Arial" w:hAnsi="Arial"/>
                  <w:sz w:val="13"/>
                  <w:szCs w:val="13"/>
                  <w:color w:val="0000FF"/>
                  <w:w w:val="96"/>
                </w:rPr>
                <w:t>40</w:t>
              </w:r>
            </w:hyperlink>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ind w:left="20"/>
              <w:spacing w:after="0"/>
              <w:rPr>
                <w:sz w:val="20"/>
                <w:szCs w:val="20"/>
                <w:color w:val="auto"/>
              </w:rPr>
            </w:pPr>
            <w:r>
              <w:rPr>
                <w:rFonts w:ascii="Arial" w:cs="Arial" w:eastAsia="Arial" w:hAnsi="Arial"/>
                <w:sz w:val="13"/>
                <w:szCs w:val="13"/>
                <w:color w:val="auto"/>
              </w:rPr>
              <w:t>ITEM 4.</w:t>
            </w:r>
          </w:p>
        </w:tc>
        <w:tc>
          <w:tcPr>
            <w:tcW w:w="8820" w:type="dxa"/>
            <w:vAlign w:val="bottom"/>
            <w:gridSpan w:val="18"/>
          </w:tcPr>
          <w:p>
            <w:pPr>
              <w:spacing w:after="0"/>
              <w:rPr>
                <w:rFonts w:ascii="Arial" w:cs="Arial" w:eastAsia="Arial" w:hAnsi="Arial"/>
                <w:sz w:val="13"/>
                <w:szCs w:val="13"/>
                <w:color w:val="0000FF"/>
              </w:rPr>
            </w:pPr>
            <w:hyperlink w:anchor="page43">
              <w:r>
                <w:rPr>
                  <w:rFonts w:ascii="Arial" w:cs="Arial" w:eastAsia="Arial" w:hAnsi="Arial"/>
                  <w:sz w:val="13"/>
                  <w:szCs w:val="13"/>
                  <w:color w:val="0000FF"/>
                </w:rPr>
                <w:t>MINE SAFETY DISCLOSURES</w:t>
              </w:r>
            </w:hyperlink>
          </w:p>
        </w:tc>
        <w:tc>
          <w:tcPr>
            <w:tcW w:w="660" w:type="dxa"/>
            <w:vAlign w:val="bottom"/>
          </w:tcPr>
          <w:p>
            <w:pPr>
              <w:jc w:val="center"/>
              <w:ind w:left="456"/>
              <w:spacing w:after="0"/>
              <w:rPr>
                <w:rFonts w:ascii="Arial" w:cs="Arial" w:eastAsia="Arial" w:hAnsi="Arial"/>
                <w:sz w:val="13"/>
                <w:szCs w:val="13"/>
                <w:color w:val="0000FF"/>
                <w:w w:val="96"/>
              </w:rPr>
            </w:pPr>
            <w:hyperlink w:anchor="page43">
              <w:r>
                <w:rPr>
                  <w:rFonts w:ascii="Arial" w:cs="Arial" w:eastAsia="Arial" w:hAnsi="Arial"/>
                  <w:sz w:val="13"/>
                  <w:szCs w:val="13"/>
                  <w:color w:val="0000FF"/>
                  <w:w w:val="96"/>
                </w:rPr>
                <w:t>40</w:t>
              </w:r>
            </w:hyperlink>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spacing w:after="0"/>
              <w:rPr>
                <w:sz w:val="13"/>
                <w:szCs w:val="13"/>
                <w:color w:val="auto"/>
              </w:rPr>
            </w:pPr>
          </w:p>
        </w:tc>
        <w:tc>
          <w:tcPr>
            <w:tcW w:w="8820" w:type="dxa"/>
            <w:vAlign w:val="bottom"/>
            <w:gridSpan w:val="18"/>
          </w:tcPr>
          <w:p>
            <w:pPr>
              <w:spacing w:after="0"/>
              <w:rPr>
                <w:rFonts w:ascii="Arial" w:cs="Arial" w:eastAsia="Arial" w:hAnsi="Arial"/>
                <w:sz w:val="13"/>
                <w:szCs w:val="13"/>
                <w:color w:val="0000FF"/>
              </w:rPr>
            </w:pPr>
            <w:hyperlink w:anchor="page43">
              <w:r>
                <w:rPr>
                  <w:rFonts w:ascii="Arial" w:cs="Arial" w:eastAsia="Arial" w:hAnsi="Arial"/>
                  <w:sz w:val="13"/>
                  <w:szCs w:val="13"/>
                  <w:color w:val="0000FF"/>
                </w:rPr>
                <w:t>INFORMATION ABOUT OUR EXECUTIVE OFFICERS</w:t>
              </w:r>
            </w:hyperlink>
          </w:p>
        </w:tc>
        <w:tc>
          <w:tcPr>
            <w:tcW w:w="660" w:type="dxa"/>
            <w:vAlign w:val="bottom"/>
          </w:tcPr>
          <w:p>
            <w:pPr>
              <w:jc w:val="center"/>
              <w:ind w:left="456"/>
              <w:spacing w:after="0"/>
              <w:rPr>
                <w:rFonts w:ascii="Arial" w:cs="Arial" w:eastAsia="Arial" w:hAnsi="Arial"/>
                <w:sz w:val="13"/>
                <w:szCs w:val="13"/>
                <w:color w:val="0000FF"/>
                <w:w w:val="96"/>
              </w:rPr>
            </w:pPr>
            <w:hyperlink w:anchor="page43">
              <w:r>
                <w:rPr>
                  <w:rFonts w:ascii="Arial" w:cs="Arial" w:eastAsia="Arial" w:hAnsi="Arial"/>
                  <w:sz w:val="13"/>
                  <w:szCs w:val="13"/>
                  <w:color w:val="0000FF"/>
                  <w:w w:val="96"/>
                </w:rPr>
                <w:t>40</w:t>
              </w:r>
            </w:hyperlink>
          </w:p>
        </w:tc>
        <w:tc>
          <w:tcPr>
            <w:tcW w:w="580" w:type="dxa"/>
            <w:vAlign w:val="bottom"/>
          </w:tcPr>
          <w:p>
            <w:pPr>
              <w:spacing w:after="0"/>
              <w:rPr>
                <w:sz w:val="13"/>
                <w:szCs w:val="13"/>
                <w:color w:val="auto"/>
              </w:rPr>
            </w:pPr>
          </w:p>
        </w:tc>
      </w:tr>
      <w:tr>
        <w:trPr>
          <w:trHeight w:val="54"/>
        </w:trPr>
        <w:tc>
          <w:tcPr>
            <w:tcW w:w="12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9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170"/>
        </w:trPr>
        <w:tc>
          <w:tcPr>
            <w:tcW w:w="1220" w:type="dxa"/>
            <w:vAlign w:val="bottom"/>
            <w:shd w:val="clear" w:color="auto" w:fill="0A2299"/>
          </w:tcPr>
          <w:p>
            <w:pPr>
              <w:spacing w:after="0"/>
              <w:rPr>
                <w:sz w:val="14"/>
                <w:szCs w:val="14"/>
                <w:color w:val="auto"/>
              </w:rPr>
            </w:pPr>
          </w:p>
        </w:tc>
        <w:tc>
          <w:tcPr>
            <w:tcW w:w="180" w:type="dxa"/>
            <w:vAlign w:val="bottom"/>
            <w:shd w:val="clear" w:color="auto" w:fill="0A2299"/>
          </w:tcPr>
          <w:p>
            <w:pPr>
              <w:spacing w:after="0"/>
              <w:rPr>
                <w:sz w:val="14"/>
                <w:szCs w:val="14"/>
                <w:color w:val="auto"/>
              </w:rPr>
            </w:pPr>
          </w:p>
        </w:tc>
        <w:tc>
          <w:tcPr>
            <w:tcW w:w="480" w:type="dxa"/>
            <w:vAlign w:val="bottom"/>
            <w:shd w:val="clear" w:color="auto" w:fill="0A2299"/>
          </w:tcPr>
          <w:p>
            <w:pPr>
              <w:spacing w:after="0"/>
              <w:rPr>
                <w:sz w:val="14"/>
                <w:szCs w:val="14"/>
                <w:color w:val="auto"/>
              </w:rPr>
            </w:pPr>
          </w:p>
        </w:tc>
        <w:tc>
          <w:tcPr>
            <w:tcW w:w="120" w:type="dxa"/>
            <w:vAlign w:val="bottom"/>
            <w:shd w:val="clear" w:color="auto" w:fill="0A2299"/>
          </w:tcPr>
          <w:p>
            <w:pPr>
              <w:spacing w:after="0"/>
              <w:rPr>
                <w:sz w:val="14"/>
                <w:szCs w:val="14"/>
                <w:color w:val="auto"/>
              </w:rPr>
            </w:pPr>
          </w:p>
        </w:tc>
        <w:tc>
          <w:tcPr>
            <w:tcW w:w="160" w:type="dxa"/>
            <w:vAlign w:val="bottom"/>
            <w:tcBorders>
              <w:left w:val="single" w:sz="8" w:color="0A2299"/>
            </w:tcBorders>
            <w:shd w:val="clear" w:color="auto" w:fill="0A2299"/>
          </w:tcPr>
          <w:p>
            <w:pPr>
              <w:spacing w:after="0"/>
              <w:rPr>
                <w:sz w:val="14"/>
                <w:szCs w:val="14"/>
                <w:color w:val="auto"/>
              </w:rPr>
            </w:pPr>
          </w:p>
        </w:tc>
        <w:tc>
          <w:tcPr>
            <w:tcW w:w="460" w:type="dxa"/>
            <w:vAlign w:val="bottom"/>
            <w:shd w:val="clear" w:color="auto" w:fill="0A2299"/>
          </w:tcPr>
          <w:p>
            <w:pPr>
              <w:spacing w:after="0"/>
              <w:rPr>
                <w:sz w:val="14"/>
                <w:szCs w:val="14"/>
                <w:color w:val="auto"/>
              </w:rPr>
            </w:pPr>
          </w:p>
        </w:tc>
        <w:tc>
          <w:tcPr>
            <w:tcW w:w="400" w:type="dxa"/>
            <w:vAlign w:val="bottom"/>
            <w:shd w:val="clear" w:color="auto" w:fill="0A2299"/>
          </w:tcPr>
          <w:p>
            <w:pPr>
              <w:spacing w:after="0"/>
              <w:rPr>
                <w:sz w:val="14"/>
                <w:szCs w:val="14"/>
                <w:color w:val="auto"/>
              </w:rPr>
            </w:pPr>
          </w:p>
        </w:tc>
        <w:tc>
          <w:tcPr>
            <w:tcW w:w="280" w:type="dxa"/>
            <w:vAlign w:val="bottom"/>
            <w:shd w:val="clear" w:color="auto" w:fill="0A2299"/>
          </w:tcPr>
          <w:p>
            <w:pPr>
              <w:spacing w:after="0"/>
              <w:rPr>
                <w:sz w:val="14"/>
                <w:szCs w:val="14"/>
                <w:color w:val="auto"/>
              </w:rPr>
            </w:pPr>
          </w:p>
        </w:tc>
        <w:tc>
          <w:tcPr>
            <w:tcW w:w="260" w:type="dxa"/>
            <w:vAlign w:val="bottom"/>
            <w:shd w:val="clear" w:color="auto" w:fill="0A2299"/>
          </w:tcPr>
          <w:p>
            <w:pPr>
              <w:spacing w:after="0"/>
              <w:rPr>
                <w:sz w:val="14"/>
                <w:szCs w:val="14"/>
                <w:color w:val="auto"/>
              </w:rPr>
            </w:pPr>
          </w:p>
        </w:tc>
        <w:tc>
          <w:tcPr>
            <w:tcW w:w="780" w:type="dxa"/>
            <w:vAlign w:val="bottom"/>
            <w:shd w:val="clear" w:color="auto" w:fill="0A2299"/>
          </w:tcPr>
          <w:p>
            <w:pPr>
              <w:spacing w:after="0"/>
              <w:rPr>
                <w:sz w:val="14"/>
                <w:szCs w:val="14"/>
                <w:color w:val="auto"/>
              </w:rPr>
            </w:pPr>
          </w:p>
        </w:tc>
        <w:tc>
          <w:tcPr>
            <w:tcW w:w="20" w:type="dxa"/>
            <w:vAlign w:val="bottom"/>
            <w:shd w:val="clear" w:color="auto" w:fill="0A2299"/>
          </w:tcPr>
          <w:p>
            <w:pPr>
              <w:spacing w:after="0"/>
              <w:rPr>
                <w:sz w:val="14"/>
                <w:szCs w:val="14"/>
                <w:color w:val="auto"/>
              </w:rPr>
            </w:pPr>
          </w:p>
        </w:tc>
        <w:tc>
          <w:tcPr>
            <w:tcW w:w="220" w:type="dxa"/>
            <w:vAlign w:val="bottom"/>
            <w:shd w:val="clear" w:color="auto" w:fill="0A2299"/>
          </w:tcPr>
          <w:p>
            <w:pPr>
              <w:spacing w:after="0"/>
              <w:rPr>
                <w:sz w:val="14"/>
                <w:szCs w:val="14"/>
                <w:color w:val="auto"/>
              </w:rPr>
            </w:pPr>
          </w:p>
        </w:tc>
        <w:tc>
          <w:tcPr>
            <w:tcW w:w="80" w:type="dxa"/>
            <w:vAlign w:val="bottom"/>
            <w:shd w:val="clear" w:color="auto" w:fill="0A2299"/>
          </w:tcPr>
          <w:p>
            <w:pPr>
              <w:spacing w:after="0"/>
              <w:rPr>
                <w:sz w:val="14"/>
                <w:szCs w:val="14"/>
                <w:color w:val="auto"/>
              </w:rPr>
            </w:pPr>
          </w:p>
        </w:tc>
        <w:tc>
          <w:tcPr>
            <w:tcW w:w="5380" w:type="dxa"/>
            <w:vAlign w:val="bottom"/>
            <w:gridSpan w:val="6"/>
            <w:shd w:val="clear" w:color="auto" w:fill="0A2299"/>
          </w:tcPr>
          <w:p>
            <w:pPr>
              <w:jc w:val="center"/>
              <w:ind w:right="3420"/>
              <w:spacing w:after="0"/>
              <w:rPr>
                <w:sz w:val="20"/>
                <w:szCs w:val="20"/>
                <w:color w:val="auto"/>
              </w:rPr>
            </w:pPr>
            <w:r>
              <w:rPr>
                <w:rFonts w:ascii="Arial" w:cs="Arial" w:eastAsia="Arial" w:hAnsi="Arial"/>
                <w:sz w:val="13"/>
                <w:szCs w:val="13"/>
                <w:b w:val="1"/>
                <w:bCs w:val="1"/>
                <w:color w:val="FFFFFF"/>
                <w:w w:val="95"/>
              </w:rPr>
              <w:t>PART II</w:t>
            </w:r>
          </w:p>
        </w:tc>
        <w:tc>
          <w:tcPr>
            <w:tcW w:w="660" w:type="dxa"/>
            <w:vAlign w:val="bottom"/>
            <w:tcBorders>
              <w:right w:val="single" w:sz="8" w:color="0A2299"/>
            </w:tcBorders>
            <w:shd w:val="clear" w:color="auto" w:fill="0A2299"/>
          </w:tcPr>
          <w:p>
            <w:pPr>
              <w:spacing w:after="0"/>
              <w:rPr>
                <w:sz w:val="14"/>
                <w:szCs w:val="14"/>
                <w:color w:val="auto"/>
              </w:rPr>
            </w:pPr>
          </w:p>
        </w:tc>
        <w:tc>
          <w:tcPr>
            <w:tcW w:w="580" w:type="dxa"/>
            <w:vAlign w:val="bottom"/>
            <w:shd w:val="clear" w:color="auto" w:fill="0A2299"/>
          </w:tcPr>
          <w:p>
            <w:pPr>
              <w:spacing w:after="0"/>
              <w:rPr>
                <w:sz w:val="14"/>
                <w:szCs w:val="14"/>
                <w:color w:val="auto"/>
              </w:rPr>
            </w:pPr>
          </w:p>
        </w:tc>
      </w:tr>
      <w:tr>
        <w:trPr>
          <w:trHeight w:val="138"/>
        </w:trPr>
        <w:tc>
          <w:tcPr>
            <w:tcW w:w="1220" w:type="dxa"/>
            <w:vAlign w:val="bottom"/>
          </w:tcPr>
          <w:p>
            <w:pPr>
              <w:ind w:left="20"/>
              <w:spacing w:after="0" w:line="138" w:lineRule="exact"/>
              <w:rPr>
                <w:sz w:val="20"/>
                <w:szCs w:val="20"/>
                <w:color w:val="auto"/>
              </w:rPr>
            </w:pPr>
            <w:r>
              <w:rPr>
                <w:rFonts w:ascii="Arial" w:cs="Arial" w:eastAsia="Arial" w:hAnsi="Arial"/>
                <w:sz w:val="13"/>
                <w:szCs w:val="13"/>
                <w:color w:val="auto"/>
              </w:rPr>
              <w:t>ITEM 5.</w:t>
            </w:r>
          </w:p>
        </w:tc>
        <w:tc>
          <w:tcPr>
            <w:tcW w:w="8820" w:type="dxa"/>
            <w:vAlign w:val="bottom"/>
            <w:gridSpan w:val="18"/>
          </w:tcPr>
          <w:p>
            <w:pPr>
              <w:spacing w:after="0" w:line="138" w:lineRule="exact"/>
              <w:rPr>
                <w:rFonts w:ascii="Arial" w:cs="Arial" w:eastAsia="Arial" w:hAnsi="Arial"/>
                <w:sz w:val="13"/>
                <w:szCs w:val="13"/>
                <w:color w:val="0000FF"/>
              </w:rPr>
            </w:pPr>
            <w:hyperlink w:anchor="page45">
              <w:r>
                <w:rPr>
                  <w:rFonts w:ascii="Arial" w:cs="Arial" w:eastAsia="Arial" w:hAnsi="Arial"/>
                  <w:sz w:val="13"/>
                  <w:szCs w:val="13"/>
                  <w:color w:val="0000FF"/>
                </w:rPr>
                <w:t>MARKET FOR REGISTRANT’S COMMON EQUITY, RELATED STOCKHOLDER MATTERS AND ISSUER PURCHASES OF EQUITY SECURITIES</w:t>
              </w:r>
            </w:hyperlink>
          </w:p>
        </w:tc>
        <w:tc>
          <w:tcPr>
            <w:tcW w:w="660" w:type="dxa"/>
            <w:vAlign w:val="bottom"/>
          </w:tcPr>
          <w:p>
            <w:pPr>
              <w:jc w:val="center"/>
              <w:ind w:left="456"/>
              <w:spacing w:after="0" w:line="138" w:lineRule="exact"/>
              <w:rPr>
                <w:rFonts w:ascii="Arial" w:cs="Arial" w:eastAsia="Arial" w:hAnsi="Arial"/>
                <w:sz w:val="13"/>
                <w:szCs w:val="13"/>
                <w:color w:val="0000FF"/>
                <w:w w:val="96"/>
              </w:rPr>
            </w:pPr>
            <w:hyperlink w:anchor="page45">
              <w:r>
                <w:rPr>
                  <w:rFonts w:ascii="Arial" w:cs="Arial" w:eastAsia="Arial" w:hAnsi="Arial"/>
                  <w:sz w:val="13"/>
                  <w:szCs w:val="13"/>
                  <w:color w:val="0000FF"/>
                  <w:w w:val="96"/>
                </w:rPr>
                <w:t>42</w:t>
              </w:r>
            </w:hyperlink>
          </w:p>
        </w:tc>
        <w:tc>
          <w:tcPr>
            <w:tcW w:w="580" w:type="dxa"/>
            <w:vAlign w:val="bottom"/>
          </w:tcPr>
          <w:p>
            <w:pPr>
              <w:spacing w:after="0"/>
              <w:rPr>
                <w:sz w:val="11"/>
                <w:szCs w:val="11"/>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ind w:left="20"/>
              <w:spacing w:after="0"/>
              <w:rPr>
                <w:sz w:val="20"/>
                <w:szCs w:val="20"/>
                <w:color w:val="auto"/>
              </w:rPr>
            </w:pPr>
            <w:r>
              <w:rPr>
                <w:rFonts w:ascii="Arial" w:cs="Arial" w:eastAsia="Arial" w:hAnsi="Arial"/>
                <w:sz w:val="13"/>
                <w:szCs w:val="13"/>
                <w:color w:val="auto"/>
              </w:rPr>
              <w:t>ITEM 6.</w:t>
            </w:r>
          </w:p>
        </w:tc>
        <w:tc>
          <w:tcPr>
            <w:tcW w:w="780" w:type="dxa"/>
            <w:vAlign w:val="bottom"/>
            <w:gridSpan w:val="3"/>
          </w:tcPr>
          <w:p>
            <w:pPr>
              <w:spacing w:after="0"/>
              <w:rPr>
                <w:rFonts w:ascii="Arial" w:cs="Arial" w:eastAsia="Arial" w:hAnsi="Arial"/>
                <w:sz w:val="13"/>
                <w:szCs w:val="13"/>
                <w:color w:val="0000FF"/>
                <w:w w:val="93"/>
              </w:rPr>
            </w:pPr>
            <w:hyperlink w:anchor="page46">
              <w:r>
                <w:rPr>
                  <w:rFonts w:ascii="Arial" w:cs="Arial" w:eastAsia="Arial" w:hAnsi="Arial"/>
                  <w:sz w:val="13"/>
                  <w:szCs w:val="13"/>
                  <w:color w:val="0000FF"/>
                  <w:w w:val="93"/>
                </w:rPr>
                <w:t>[RESERVED]</w:t>
              </w:r>
            </w:hyperlink>
          </w:p>
        </w:tc>
        <w:tc>
          <w:tcPr>
            <w:tcW w:w="7600" w:type="dxa"/>
            <w:vAlign w:val="bottom"/>
            <w:gridSpan w:val="14"/>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jc w:val="center"/>
              <w:ind w:left="456"/>
              <w:spacing w:after="0"/>
              <w:rPr>
                <w:rFonts w:ascii="Arial" w:cs="Arial" w:eastAsia="Arial" w:hAnsi="Arial"/>
                <w:sz w:val="13"/>
                <w:szCs w:val="13"/>
                <w:color w:val="0000FF"/>
                <w:w w:val="96"/>
              </w:rPr>
            </w:pPr>
            <w:hyperlink w:anchor="page46">
              <w:r>
                <w:rPr>
                  <w:rFonts w:ascii="Arial" w:cs="Arial" w:eastAsia="Arial" w:hAnsi="Arial"/>
                  <w:sz w:val="13"/>
                  <w:szCs w:val="13"/>
                  <w:color w:val="0000FF"/>
                  <w:w w:val="96"/>
                </w:rPr>
                <w:t>43</w:t>
              </w:r>
            </w:hyperlink>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ind w:left="20"/>
              <w:spacing w:after="0"/>
              <w:rPr>
                <w:sz w:val="20"/>
                <w:szCs w:val="20"/>
                <w:color w:val="auto"/>
              </w:rPr>
            </w:pPr>
            <w:r>
              <w:rPr>
                <w:rFonts w:ascii="Arial" w:cs="Arial" w:eastAsia="Arial" w:hAnsi="Arial"/>
                <w:sz w:val="13"/>
                <w:szCs w:val="13"/>
                <w:color w:val="auto"/>
              </w:rPr>
              <w:t>ITEM 7.</w:t>
            </w:r>
          </w:p>
        </w:tc>
        <w:tc>
          <w:tcPr>
            <w:tcW w:w="8820" w:type="dxa"/>
            <w:vAlign w:val="bottom"/>
            <w:gridSpan w:val="18"/>
          </w:tcPr>
          <w:p>
            <w:pPr>
              <w:spacing w:after="0"/>
              <w:rPr>
                <w:rFonts w:ascii="Arial" w:cs="Arial" w:eastAsia="Arial" w:hAnsi="Arial"/>
                <w:sz w:val="13"/>
                <w:szCs w:val="13"/>
                <w:color w:val="0000FF"/>
              </w:rPr>
            </w:pPr>
            <w:hyperlink w:anchor="page46">
              <w:r>
                <w:rPr>
                  <w:rFonts w:ascii="Arial" w:cs="Arial" w:eastAsia="Arial" w:hAnsi="Arial"/>
                  <w:sz w:val="13"/>
                  <w:szCs w:val="13"/>
                  <w:color w:val="0000FF"/>
                </w:rPr>
                <w:t>MANAGEMENT’S DISCUSSION AND ANALYSIS OF FINANCIAL CONDITION AND RESULTS OF OPERATIONS</w:t>
              </w:r>
            </w:hyperlink>
          </w:p>
        </w:tc>
        <w:tc>
          <w:tcPr>
            <w:tcW w:w="660" w:type="dxa"/>
            <w:vAlign w:val="bottom"/>
          </w:tcPr>
          <w:p>
            <w:pPr>
              <w:jc w:val="center"/>
              <w:ind w:left="456"/>
              <w:spacing w:after="0"/>
              <w:rPr>
                <w:rFonts w:ascii="Arial" w:cs="Arial" w:eastAsia="Arial" w:hAnsi="Arial"/>
                <w:sz w:val="13"/>
                <w:szCs w:val="13"/>
                <w:color w:val="0000FF"/>
                <w:w w:val="96"/>
              </w:rPr>
            </w:pPr>
            <w:hyperlink w:anchor="page46">
              <w:r>
                <w:rPr>
                  <w:rFonts w:ascii="Arial" w:cs="Arial" w:eastAsia="Arial" w:hAnsi="Arial"/>
                  <w:sz w:val="13"/>
                  <w:szCs w:val="13"/>
                  <w:color w:val="0000FF"/>
                  <w:w w:val="96"/>
                </w:rPr>
                <w:t>43</w:t>
              </w:r>
            </w:hyperlink>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160" w:type="dxa"/>
            <w:vAlign w:val="bottom"/>
            <w:gridSpan w:val="7"/>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ind w:left="20"/>
              <w:spacing w:after="0"/>
              <w:rPr>
                <w:sz w:val="20"/>
                <w:szCs w:val="20"/>
                <w:color w:val="auto"/>
              </w:rPr>
            </w:pPr>
            <w:r>
              <w:rPr>
                <w:rFonts w:ascii="Arial" w:cs="Arial" w:eastAsia="Arial" w:hAnsi="Arial"/>
                <w:sz w:val="13"/>
                <w:szCs w:val="13"/>
                <w:color w:val="auto"/>
              </w:rPr>
              <w:t>ITEM 7A.</w:t>
            </w:r>
          </w:p>
        </w:tc>
        <w:tc>
          <w:tcPr>
            <w:tcW w:w="6460" w:type="dxa"/>
            <w:vAlign w:val="bottom"/>
            <w:gridSpan w:val="16"/>
          </w:tcPr>
          <w:p>
            <w:pPr>
              <w:spacing w:after="0"/>
              <w:rPr>
                <w:rFonts w:ascii="Arial" w:cs="Arial" w:eastAsia="Arial" w:hAnsi="Arial"/>
                <w:sz w:val="13"/>
                <w:szCs w:val="13"/>
                <w:color w:val="0000FF"/>
              </w:rPr>
            </w:pPr>
            <w:hyperlink w:anchor="page63">
              <w:r>
                <w:rPr>
                  <w:rFonts w:ascii="Arial" w:cs="Arial" w:eastAsia="Arial" w:hAnsi="Arial"/>
                  <w:sz w:val="13"/>
                  <w:szCs w:val="13"/>
                  <w:color w:val="0000FF"/>
                </w:rPr>
                <w:t>QUANTITATIVE AND QUALITATIVE DISCLOSURES ABOUT MARKET RISK</w:t>
              </w:r>
            </w:hyperlink>
          </w:p>
        </w:tc>
        <w:tc>
          <w:tcPr>
            <w:tcW w:w="2360" w:type="dxa"/>
            <w:vAlign w:val="bottom"/>
            <w:gridSpan w:val="2"/>
          </w:tcPr>
          <w:p>
            <w:pPr>
              <w:spacing w:after="0"/>
              <w:rPr>
                <w:sz w:val="13"/>
                <w:szCs w:val="13"/>
                <w:color w:val="auto"/>
              </w:rPr>
            </w:pPr>
          </w:p>
        </w:tc>
        <w:tc>
          <w:tcPr>
            <w:tcW w:w="660" w:type="dxa"/>
            <w:vAlign w:val="bottom"/>
          </w:tcPr>
          <w:p>
            <w:pPr>
              <w:jc w:val="center"/>
              <w:ind w:left="456"/>
              <w:spacing w:after="0"/>
              <w:rPr>
                <w:rFonts w:ascii="Arial" w:cs="Arial" w:eastAsia="Arial" w:hAnsi="Arial"/>
                <w:sz w:val="13"/>
                <w:szCs w:val="13"/>
                <w:color w:val="0000FF"/>
                <w:w w:val="96"/>
              </w:rPr>
            </w:pPr>
            <w:hyperlink w:anchor="page63">
              <w:r>
                <w:rPr>
                  <w:rFonts w:ascii="Arial" w:cs="Arial" w:eastAsia="Arial" w:hAnsi="Arial"/>
                  <w:sz w:val="13"/>
                  <w:szCs w:val="13"/>
                  <w:color w:val="0000FF"/>
                  <w:w w:val="96"/>
                </w:rPr>
                <w:t>60</w:t>
              </w:r>
            </w:hyperlink>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160" w:type="dxa"/>
            <w:vAlign w:val="bottom"/>
            <w:gridSpan w:val="7"/>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ind w:left="20"/>
              <w:spacing w:after="0"/>
              <w:rPr>
                <w:sz w:val="20"/>
                <w:szCs w:val="20"/>
                <w:color w:val="auto"/>
              </w:rPr>
            </w:pPr>
            <w:r>
              <w:rPr>
                <w:rFonts w:ascii="Arial" w:cs="Arial" w:eastAsia="Arial" w:hAnsi="Arial"/>
                <w:sz w:val="13"/>
                <w:szCs w:val="13"/>
                <w:color w:val="auto"/>
              </w:rPr>
              <w:t>ITEM 8.</w:t>
            </w:r>
          </w:p>
        </w:tc>
        <w:tc>
          <w:tcPr>
            <w:tcW w:w="3360" w:type="dxa"/>
            <w:vAlign w:val="bottom"/>
            <w:gridSpan w:val="11"/>
          </w:tcPr>
          <w:p>
            <w:pPr>
              <w:spacing w:after="0"/>
              <w:rPr>
                <w:rFonts w:ascii="Arial" w:cs="Arial" w:eastAsia="Arial" w:hAnsi="Arial"/>
                <w:sz w:val="13"/>
                <w:szCs w:val="13"/>
                <w:color w:val="0000FF"/>
                <w:w w:val="96"/>
              </w:rPr>
            </w:pPr>
            <w:hyperlink w:anchor="page63">
              <w:r>
                <w:rPr>
                  <w:rFonts w:ascii="Arial" w:cs="Arial" w:eastAsia="Arial" w:hAnsi="Arial"/>
                  <w:sz w:val="13"/>
                  <w:szCs w:val="13"/>
                  <w:color w:val="0000FF"/>
                  <w:w w:val="96"/>
                </w:rPr>
                <w:t>FINANCIAL STATEMENTS AND SUPPLEMENTARY DATA</w:t>
              </w:r>
            </w:hyperlink>
          </w:p>
        </w:tc>
        <w:tc>
          <w:tcPr>
            <w:tcW w:w="1020" w:type="dxa"/>
            <w:vAlign w:val="bottom"/>
            <w:gridSpan w:val="2"/>
          </w:tcPr>
          <w:p>
            <w:pPr>
              <w:spacing w:after="0"/>
              <w:rPr>
                <w:sz w:val="13"/>
                <w:szCs w:val="13"/>
                <w:color w:val="auto"/>
              </w:rPr>
            </w:pPr>
          </w:p>
        </w:tc>
        <w:tc>
          <w:tcPr>
            <w:tcW w:w="4440" w:type="dxa"/>
            <w:vAlign w:val="bottom"/>
            <w:gridSpan w:val="5"/>
          </w:tcPr>
          <w:p>
            <w:pPr>
              <w:spacing w:after="0"/>
              <w:rPr>
                <w:sz w:val="13"/>
                <w:szCs w:val="13"/>
                <w:color w:val="auto"/>
              </w:rPr>
            </w:pPr>
          </w:p>
        </w:tc>
        <w:tc>
          <w:tcPr>
            <w:tcW w:w="660" w:type="dxa"/>
            <w:vAlign w:val="bottom"/>
          </w:tcPr>
          <w:p>
            <w:pPr>
              <w:jc w:val="center"/>
              <w:ind w:left="456"/>
              <w:spacing w:after="0"/>
              <w:rPr>
                <w:rFonts w:ascii="Arial" w:cs="Arial" w:eastAsia="Arial" w:hAnsi="Arial"/>
                <w:sz w:val="13"/>
                <w:szCs w:val="13"/>
                <w:color w:val="0000FF"/>
                <w:w w:val="96"/>
              </w:rPr>
            </w:pPr>
            <w:hyperlink w:anchor="page63">
              <w:r>
                <w:rPr>
                  <w:rFonts w:ascii="Arial" w:cs="Arial" w:eastAsia="Arial" w:hAnsi="Arial"/>
                  <w:sz w:val="13"/>
                  <w:szCs w:val="13"/>
                  <w:color w:val="0000FF"/>
                  <w:w w:val="96"/>
                </w:rPr>
                <w:t>61</w:t>
              </w:r>
            </w:hyperlink>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160" w:type="dxa"/>
            <w:vAlign w:val="bottom"/>
            <w:gridSpan w:val="7"/>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40" w:type="dxa"/>
            <w:vAlign w:val="bottom"/>
            <w:gridSpan w:val="8"/>
          </w:tcPr>
          <w:p>
            <w:pPr>
              <w:spacing w:after="0"/>
              <w:rPr>
                <w:rFonts w:ascii="Arial" w:cs="Arial" w:eastAsia="Arial" w:hAnsi="Arial"/>
                <w:sz w:val="13"/>
                <w:szCs w:val="13"/>
                <w:color w:val="0000FF"/>
                <w:w w:val="96"/>
              </w:rPr>
            </w:pPr>
            <w:hyperlink w:anchor="page66">
              <w:r>
                <w:rPr>
                  <w:rFonts w:ascii="Arial" w:cs="Arial" w:eastAsia="Arial" w:hAnsi="Arial"/>
                  <w:sz w:val="13"/>
                  <w:szCs w:val="13"/>
                  <w:color w:val="0000FF"/>
                  <w:w w:val="96"/>
                </w:rPr>
                <w:t>CONSOLIDATED STATEMENTS OF OPERATIONS</w:t>
              </w:r>
            </w:hyperlink>
          </w:p>
        </w:tc>
        <w:tc>
          <w:tcPr>
            <w:tcW w:w="240" w:type="dxa"/>
            <w:vAlign w:val="bottom"/>
            <w:gridSpan w:val="2"/>
          </w:tcPr>
          <w:p>
            <w:pPr>
              <w:spacing w:after="0"/>
              <w:rPr>
                <w:sz w:val="13"/>
                <w:szCs w:val="13"/>
                <w:color w:val="auto"/>
              </w:rPr>
            </w:pPr>
          </w:p>
        </w:tc>
        <w:tc>
          <w:tcPr>
            <w:tcW w:w="5460" w:type="dxa"/>
            <w:vAlign w:val="bottom"/>
            <w:gridSpan w:val="7"/>
          </w:tcPr>
          <w:p>
            <w:pPr>
              <w:spacing w:after="0"/>
              <w:rPr>
                <w:sz w:val="13"/>
                <w:szCs w:val="13"/>
                <w:color w:val="auto"/>
              </w:rPr>
            </w:pPr>
          </w:p>
        </w:tc>
        <w:tc>
          <w:tcPr>
            <w:tcW w:w="660" w:type="dxa"/>
            <w:vAlign w:val="bottom"/>
          </w:tcPr>
          <w:p>
            <w:pPr>
              <w:jc w:val="center"/>
              <w:ind w:left="456"/>
              <w:spacing w:after="0"/>
              <w:rPr>
                <w:rFonts w:ascii="Arial" w:cs="Arial" w:eastAsia="Arial" w:hAnsi="Arial"/>
                <w:sz w:val="13"/>
                <w:szCs w:val="13"/>
                <w:color w:val="0000FF"/>
                <w:w w:val="96"/>
              </w:rPr>
            </w:pPr>
            <w:hyperlink w:anchor="page66">
              <w:r>
                <w:rPr>
                  <w:rFonts w:ascii="Arial" w:cs="Arial" w:eastAsia="Arial" w:hAnsi="Arial"/>
                  <w:sz w:val="13"/>
                  <w:szCs w:val="13"/>
                  <w:color w:val="0000FF"/>
                  <w:w w:val="96"/>
                </w:rPr>
                <w:t>63</w:t>
              </w:r>
            </w:hyperlink>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gridSpan w:val="7"/>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40" w:type="dxa"/>
            <w:vAlign w:val="bottom"/>
            <w:gridSpan w:val="13"/>
          </w:tcPr>
          <w:p>
            <w:pPr>
              <w:spacing w:after="0"/>
              <w:rPr>
                <w:rFonts w:ascii="Arial" w:cs="Arial" w:eastAsia="Arial" w:hAnsi="Arial"/>
                <w:sz w:val="13"/>
                <w:szCs w:val="13"/>
                <w:color w:val="0000FF"/>
                <w:w w:val="96"/>
              </w:rPr>
            </w:pPr>
            <w:hyperlink w:anchor="page66">
              <w:r>
                <w:rPr>
                  <w:rFonts w:ascii="Arial" w:cs="Arial" w:eastAsia="Arial" w:hAnsi="Arial"/>
                  <w:sz w:val="13"/>
                  <w:szCs w:val="13"/>
                  <w:color w:val="0000FF"/>
                  <w:w w:val="96"/>
                </w:rPr>
                <w:t>CONSOLIDATED STATEMENTS OF COMPREHENSIVE INCOME (LOSS)</w:t>
              </w:r>
            </w:hyperlink>
          </w:p>
        </w:tc>
        <w:tc>
          <w:tcPr>
            <w:tcW w:w="4400" w:type="dxa"/>
            <w:vAlign w:val="bottom"/>
            <w:gridSpan w:val="4"/>
          </w:tcPr>
          <w:p>
            <w:pPr>
              <w:spacing w:after="0"/>
              <w:rPr>
                <w:sz w:val="13"/>
                <w:szCs w:val="13"/>
                <w:color w:val="auto"/>
              </w:rPr>
            </w:pPr>
          </w:p>
        </w:tc>
        <w:tc>
          <w:tcPr>
            <w:tcW w:w="660" w:type="dxa"/>
            <w:vAlign w:val="bottom"/>
          </w:tcPr>
          <w:p>
            <w:pPr>
              <w:jc w:val="center"/>
              <w:ind w:left="456"/>
              <w:spacing w:after="0"/>
              <w:rPr>
                <w:rFonts w:ascii="Arial" w:cs="Arial" w:eastAsia="Arial" w:hAnsi="Arial"/>
                <w:sz w:val="13"/>
                <w:szCs w:val="13"/>
                <w:color w:val="0000FF"/>
                <w:w w:val="96"/>
              </w:rPr>
            </w:pPr>
            <w:hyperlink w:anchor="page66">
              <w:r>
                <w:rPr>
                  <w:rFonts w:ascii="Arial" w:cs="Arial" w:eastAsia="Arial" w:hAnsi="Arial"/>
                  <w:sz w:val="13"/>
                  <w:szCs w:val="13"/>
                  <w:color w:val="0000FF"/>
                  <w:w w:val="96"/>
                </w:rPr>
                <w:t>64</w:t>
              </w:r>
            </w:hyperlink>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gridSpan w:val="7"/>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40" w:type="dxa"/>
            <w:vAlign w:val="bottom"/>
            <w:gridSpan w:val="13"/>
          </w:tcPr>
          <w:p>
            <w:pPr>
              <w:spacing w:after="0"/>
              <w:rPr>
                <w:rFonts w:ascii="Arial" w:cs="Arial" w:eastAsia="Arial" w:hAnsi="Arial"/>
                <w:sz w:val="13"/>
                <w:szCs w:val="13"/>
                <w:color w:val="0000FF"/>
              </w:rPr>
            </w:pPr>
            <w:hyperlink w:anchor="page67">
              <w:r>
                <w:rPr>
                  <w:rFonts w:ascii="Arial" w:cs="Arial" w:eastAsia="Arial" w:hAnsi="Arial"/>
                  <w:sz w:val="13"/>
                  <w:szCs w:val="13"/>
                  <w:color w:val="0000FF"/>
                </w:rPr>
                <w:t>CONSOLIDATED BALANCE SHEETS</w:t>
              </w:r>
            </w:hyperlink>
          </w:p>
        </w:tc>
        <w:tc>
          <w:tcPr>
            <w:tcW w:w="4400" w:type="dxa"/>
            <w:vAlign w:val="bottom"/>
            <w:gridSpan w:val="4"/>
          </w:tcPr>
          <w:p>
            <w:pPr>
              <w:spacing w:after="0"/>
              <w:rPr>
                <w:sz w:val="13"/>
                <w:szCs w:val="13"/>
                <w:color w:val="auto"/>
              </w:rPr>
            </w:pPr>
          </w:p>
        </w:tc>
        <w:tc>
          <w:tcPr>
            <w:tcW w:w="660" w:type="dxa"/>
            <w:vAlign w:val="bottom"/>
          </w:tcPr>
          <w:p>
            <w:pPr>
              <w:jc w:val="center"/>
              <w:ind w:left="456"/>
              <w:spacing w:after="0"/>
              <w:rPr>
                <w:rFonts w:ascii="Arial" w:cs="Arial" w:eastAsia="Arial" w:hAnsi="Arial"/>
                <w:sz w:val="13"/>
                <w:szCs w:val="13"/>
                <w:color w:val="0000FF"/>
                <w:w w:val="96"/>
              </w:rPr>
            </w:pPr>
            <w:hyperlink w:anchor="page67">
              <w:r>
                <w:rPr>
                  <w:rFonts w:ascii="Arial" w:cs="Arial" w:eastAsia="Arial" w:hAnsi="Arial"/>
                  <w:sz w:val="13"/>
                  <w:szCs w:val="13"/>
                  <w:color w:val="0000FF"/>
                  <w:w w:val="96"/>
                </w:rPr>
                <w:t>65</w:t>
              </w:r>
            </w:hyperlink>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gridSpan w:val="7"/>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40" w:type="dxa"/>
            <w:vAlign w:val="bottom"/>
            <w:gridSpan w:val="17"/>
          </w:tcPr>
          <w:p>
            <w:pPr>
              <w:spacing w:after="0"/>
              <w:rPr>
                <w:rFonts w:ascii="Arial" w:cs="Arial" w:eastAsia="Arial" w:hAnsi="Arial"/>
                <w:sz w:val="13"/>
                <w:szCs w:val="13"/>
                <w:color w:val="0000FF"/>
              </w:rPr>
            </w:pPr>
            <w:hyperlink w:anchor="page68">
              <w:r>
                <w:rPr>
                  <w:rFonts w:ascii="Arial" w:cs="Arial" w:eastAsia="Arial" w:hAnsi="Arial"/>
                  <w:sz w:val="13"/>
                  <w:szCs w:val="13"/>
                  <w:color w:val="0000FF"/>
                </w:rPr>
                <w:t>CONSOLIDATED STATEMENTS OF CHANGES IN STOCKHOLDERS’ / MEMBERS’ EQUITY</w:t>
              </w:r>
            </w:hyperlink>
          </w:p>
        </w:tc>
        <w:tc>
          <w:tcPr>
            <w:tcW w:w="660" w:type="dxa"/>
            <w:vAlign w:val="bottom"/>
          </w:tcPr>
          <w:p>
            <w:pPr>
              <w:jc w:val="center"/>
              <w:ind w:left="456"/>
              <w:spacing w:after="0"/>
              <w:rPr>
                <w:rFonts w:ascii="Arial" w:cs="Arial" w:eastAsia="Arial" w:hAnsi="Arial"/>
                <w:sz w:val="13"/>
                <w:szCs w:val="13"/>
                <w:color w:val="0000FF"/>
                <w:w w:val="96"/>
              </w:rPr>
            </w:pPr>
            <w:hyperlink w:anchor="page68">
              <w:r>
                <w:rPr>
                  <w:rFonts w:ascii="Arial" w:cs="Arial" w:eastAsia="Arial" w:hAnsi="Arial"/>
                  <w:sz w:val="13"/>
                  <w:szCs w:val="13"/>
                  <w:color w:val="0000FF"/>
                  <w:w w:val="96"/>
                </w:rPr>
                <w:t>66</w:t>
              </w:r>
            </w:hyperlink>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60" w:type="dxa"/>
            <w:vAlign w:val="bottom"/>
            <w:gridSpan w:val="9"/>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9"/>
          </w:tcPr>
          <w:p>
            <w:pPr>
              <w:spacing w:after="0"/>
              <w:rPr>
                <w:rFonts w:ascii="Arial" w:cs="Arial" w:eastAsia="Arial" w:hAnsi="Arial"/>
                <w:sz w:val="13"/>
                <w:szCs w:val="13"/>
                <w:color w:val="0000FF"/>
                <w:w w:val="96"/>
              </w:rPr>
            </w:pPr>
            <w:hyperlink w:anchor="page70">
              <w:r>
                <w:rPr>
                  <w:rFonts w:ascii="Arial" w:cs="Arial" w:eastAsia="Arial" w:hAnsi="Arial"/>
                  <w:sz w:val="13"/>
                  <w:szCs w:val="13"/>
                  <w:color w:val="0000FF"/>
                  <w:w w:val="96"/>
                </w:rPr>
                <w:t>CONSOLIDATED STATEMENTS OF CASH FLOWS</w:t>
              </w:r>
            </w:hyperlink>
          </w:p>
        </w:tc>
        <w:tc>
          <w:tcPr>
            <w:tcW w:w="2340" w:type="dxa"/>
            <w:vAlign w:val="bottom"/>
            <w:gridSpan w:val="5"/>
          </w:tcPr>
          <w:p>
            <w:pPr>
              <w:spacing w:after="0"/>
              <w:rPr>
                <w:sz w:val="13"/>
                <w:szCs w:val="13"/>
                <w:color w:val="auto"/>
              </w:rPr>
            </w:pPr>
          </w:p>
        </w:tc>
        <w:tc>
          <w:tcPr>
            <w:tcW w:w="3340" w:type="dxa"/>
            <w:vAlign w:val="bottom"/>
            <w:gridSpan w:val="3"/>
          </w:tcPr>
          <w:p>
            <w:pPr>
              <w:spacing w:after="0"/>
              <w:rPr>
                <w:sz w:val="13"/>
                <w:szCs w:val="13"/>
                <w:color w:val="auto"/>
              </w:rPr>
            </w:pPr>
          </w:p>
        </w:tc>
        <w:tc>
          <w:tcPr>
            <w:tcW w:w="660" w:type="dxa"/>
            <w:vAlign w:val="bottom"/>
          </w:tcPr>
          <w:p>
            <w:pPr>
              <w:jc w:val="center"/>
              <w:ind w:left="456"/>
              <w:spacing w:after="0"/>
              <w:rPr>
                <w:rFonts w:ascii="Arial" w:cs="Arial" w:eastAsia="Arial" w:hAnsi="Arial"/>
                <w:sz w:val="13"/>
                <w:szCs w:val="13"/>
                <w:color w:val="0000FF"/>
                <w:w w:val="96"/>
              </w:rPr>
            </w:pPr>
            <w:hyperlink w:anchor="page70">
              <w:r>
                <w:rPr>
                  <w:rFonts w:ascii="Arial" w:cs="Arial" w:eastAsia="Arial" w:hAnsi="Arial"/>
                  <w:sz w:val="13"/>
                  <w:szCs w:val="13"/>
                  <w:color w:val="0000FF"/>
                  <w:w w:val="96"/>
                </w:rPr>
                <w:t>68</w:t>
              </w:r>
            </w:hyperlink>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60" w:type="dxa"/>
            <w:vAlign w:val="bottom"/>
            <w:gridSpan w:val="9"/>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380" w:type="dxa"/>
            <w:vAlign w:val="bottom"/>
            <w:gridSpan w:val="6"/>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50"/>
        </w:trPr>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60" w:type="dxa"/>
            <w:vAlign w:val="bottom"/>
            <w:gridSpan w:val="11"/>
          </w:tcPr>
          <w:p>
            <w:pPr>
              <w:spacing w:after="0"/>
              <w:rPr>
                <w:rFonts w:ascii="Arial" w:cs="Arial" w:eastAsia="Arial" w:hAnsi="Arial"/>
                <w:sz w:val="13"/>
                <w:szCs w:val="13"/>
                <w:color w:val="0000FF"/>
                <w:w w:val="96"/>
              </w:rPr>
            </w:pPr>
            <w:hyperlink w:anchor="page71">
              <w:r>
                <w:rPr>
                  <w:rFonts w:ascii="Arial" w:cs="Arial" w:eastAsia="Arial" w:hAnsi="Arial"/>
                  <w:sz w:val="13"/>
                  <w:szCs w:val="13"/>
                  <w:color w:val="0000FF"/>
                  <w:w w:val="96"/>
                </w:rPr>
                <w:t>NOTES TO CONSOLIDATED FINANCIAL STATEMENTS</w:t>
              </w:r>
            </w:hyperlink>
          </w:p>
        </w:tc>
        <w:tc>
          <w:tcPr>
            <w:tcW w:w="5380" w:type="dxa"/>
            <w:vAlign w:val="bottom"/>
            <w:gridSpan w:val="6"/>
          </w:tcPr>
          <w:p>
            <w:pPr>
              <w:spacing w:after="0"/>
              <w:rPr>
                <w:sz w:val="13"/>
                <w:szCs w:val="13"/>
                <w:color w:val="auto"/>
              </w:rPr>
            </w:pPr>
          </w:p>
        </w:tc>
        <w:tc>
          <w:tcPr>
            <w:tcW w:w="660" w:type="dxa"/>
            <w:vAlign w:val="bottom"/>
          </w:tcPr>
          <w:p>
            <w:pPr>
              <w:jc w:val="center"/>
              <w:ind w:left="456"/>
              <w:spacing w:after="0"/>
              <w:rPr>
                <w:rFonts w:ascii="Arial" w:cs="Arial" w:eastAsia="Arial" w:hAnsi="Arial"/>
                <w:sz w:val="13"/>
                <w:szCs w:val="13"/>
                <w:color w:val="0000FF"/>
                <w:w w:val="96"/>
              </w:rPr>
            </w:pPr>
            <w:hyperlink w:anchor="page71">
              <w:r>
                <w:rPr>
                  <w:rFonts w:ascii="Arial" w:cs="Arial" w:eastAsia="Arial" w:hAnsi="Arial"/>
                  <w:sz w:val="13"/>
                  <w:szCs w:val="13"/>
                  <w:color w:val="0000FF"/>
                  <w:w w:val="96"/>
                </w:rPr>
                <w:t>69</w:t>
              </w:r>
            </w:hyperlink>
          </w:p>
        </w:tc>
        <w:tc>
          <w:tcPr>
            <w:tcW w:w="58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46" w:lineRule="exact"/>
        <w:rPr>
          <w:sz w:val="20"/>
          <w:szCs w:val="20"/>
          <w:color w:val="auto"/>
        </w:rPr>
      </w:pPr>
    </w:p>
    <w:p>
      <w:pPr>
        <w:ind w:left="20" w:right="120"/>
        <w:spacing w:after="0" w:line="225" w:lineRule="auto"/>
        <w:rPr>
          <w:sz w:val="20"/>
          <w:szCs w:val="20"/>
          <w:color w:val="auto"/>
        </w:rPr>
      </w:pPr>
      <w:r>
        <w:rPr>
          <w:rFonts w:ascii="Arial" w:cs="Arial" w:eastAsia="Arial" w:hAnsi="Arial"/>
          <w:sz w:val="13"/>
          <w:szCs w:val="13"/>
          <w:color w:val="auto"/>
        </w:rPr>
        <w:t>The report of GoHealth Inc.’s independent registered public accounting firm (PCAOB ID:42) with respect to the above-referenced financial statements and their report on internal control over financial reporting are included in Item 8 and Item 9A of this Form 10-K at the page numbers referenced herein. Their consent appears as Exhibit 23.1 of this Form 10-K.</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20" w:type="dxa"/>
            <w:vAlign w:val="bottom"/>
          </w:tcPr>
          <w:p>
            <w:pPr>
              <w:ind w:left="20"/>
              <w:spacing w:after="0"/>
              <w:rPr>
                <w:sz w:val="20"/>
                <w:szCs w:val="20"/>
                <w:color w:val="auto"/>
              </w:rPr>
            </w:pPr>
            <w:r>
              <w:rPr>
                <w:rFonts w:ascii="Arial" w:cs="Arial" w:eastAsia="Arial" w:hAnsi="Arial"/>
                <w:sz w:val="13"/>
                <w:szCs w:val="13"/>
                <w:color w:val="auto"/>
              </w:rPr>
              <w:t>ITEM 9.</w:t>
            </w:r>
          </w:p>
        </w:tc>
        <w:tc>
          <w:tcPr>
            <w:tcW w:w="9300" w:type="dxa"/>
            <w:vAlign w:val="bottom"/>
            <w:gridSpan w:val="12"/>
          </w:tcPr>
          <w:p>
            <w:pPr>
              <w:spacing w:after="0"/>
              <w:rPr>
                <w:rFonts w:ascii="Arial" w:cs="Arial" w:eastAsia="Arial" w:hAnsi="Arial"/>
                <w:sz w:val="13"/>
                <w:szCs w:val="13"/>
                <w:color w:val="0000FF"/>
              </w:rPr>
            </w:pPr>
            <w:hyperlink w:anchor="page101">
              <w:r>
                <w:rPr>
                  <w:rFonts w:ascii="Arial" w:cs="Arial" w:eastAsia="Arial" w:hAnsi="Arial"/>
                  <w:sz w:val="13"/>
                  <w:szCs w:val="13"/>
                  <w:color w:val="0000FF"/>
                </w:rPr>
                <w:t>CHANGES IN AND DISAGREEMENTS WITH ACCOUNTANTS ON ACCOUNTING AND FINANCIAL DISCLOSURE</w:t>
              </w:r>
            </w:hyperlink>
          </w:p>
        </w:tc>
        <w:tc>
          <w:tcPr>
            <w:tcW w:w="180" w:type="dxa"/>
            <w:vAlign w:val="bottom"/>
            <w:gridSpan w:val="2"/>
          </w:tcPr>
          <w:p>
            <w:pPr>
              <w:jc w:val="center"/>
              <w:spacing w:after="0"/>
              <w:rPr>
                <w:rFonts w:ascii="Arial" w:cs="Arial" w:eastAsia="Arial" w:hAnsi="Arial"/>
                <w:sz w:val="13"/>
                <w:szCs w:val="13"/>
                <w:color w:val="0000FF"/>
                <w:w w:val="96"/>
              </w:rPr>
            </w:pPr>
            <w:hyperlink w:anchor="page101">
              <w:r>
                <w:rPr>
                  <w:rFonts w:ascii="Arial" w:cs="Arial" w:eastAsia="Arial" w:hAnsi="Arial"/>
                  <w:sz w:val="13"/>
                  <w:szCs w:val="13"/>
                  <w:color w:val="0000FF"/>
                  <w:w w:val="96"/>
                </w:rPr>
                <w:t>99</w:t>
              </w:r>
            </w:hyperlink>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50"/>
        </w:trPr>
        <w:tc>
          <w:tcPr>
            <w:tcW w:w="1220" w:type="dxa"/>
            <w:vAlign w:val="bottom"/>
          </w:tcPr>
          <w:p>
            <w:pPr>
              <w:ind w:left="20"/>
              <w:spacing w:after="0"/>
              <w:rPr>
                <w:sz w:val="20"/>
                <w:szCs w:val="20"/>
                <w:color w:val="auto"/>
              </w:rPr>
            </w:pPr>
            <w:r>
              <w:rPr>
                <w:rFonts w:ascii="Arial" w:cs="Arial" w:eastAsia="Arial" w:hAnsi="Arial"/>
                <w:sz w:val="13"/>
                <w:szCs w:val="13"/>
                <w:color w:val="auto"/>
              </w:rPr>
              <w:t>ITEM 9A.</w:t>
            </w:r>
          </w:p>
        </w:tc>
        <w:tc>
          <w:tcPr>
            <w:tcW w:w="1960" w:type="dxa"/>
            <w:vAlign w:val="bottom"/>
            <w:gridSpan w:val="4"/>
          </w:tcPr>
          <w:p>
            <w:pPr>
              <w:spacing w:after="0"/>
              <w:rPr>
                <w:rFonts w:ascii="Arial" w:cs="Arial" w:eastAsia="Arial" w:hAnsi="Arial"/>
                <w:sz w:val="13"/>
                <w:szCs w:val="13"/>
                <w:color w:val="0000FF"/>
                <w:w w:val="97"/>
              </w:rPr>
            </w:pPr>
            <w:hyperlink w:anchor="page102">
              <w:r>
                <w:rPr>
                  <w:rFonts w:ascii="Arial" w:cs="Arial" w:eastAsia="Arial" w:hAnsi="Arial"/>
                  <w:sz w:val="13"/>
                  <w:szCs w:val="13"/>
                  <w:color w:val="0000FF"/>
                  <w:w w:val="97"/>
                </w:rPr>
                <w:t>CONTROLS AND PROCEDURES</w:t>
              </w:r>
            </w:hyperlink>
          </w:p>
        </w:tc>
        <w:tc>
          <w:tcPr>
            <w:tcW w:w="4620" w:type="dxa"/>
            <w:vAlign w:val="bottom"/>
            <w:gridSpan w:val="6"/>
          </w:tcPr>
          <w:p>
            <w:pPr>
              <w:spacing w:after="0"/>
              <w:rPr>
                <w:sz w:val="13"/>
                <w:szCs w:val="13"/>
                <w:color w:val="auto"/>
              </w:rPr>
            </w:pPr>
          </w:p>
        </w:tc>
        <w:tc>
          <w:tcPr>
            <w:tcW w:w="2720" w:type="dxa"/>
            <w:vAlign w:val="bottom"/>
            <w:gridSpan w:val="2"/>
          </w:tcPr>
          <w:p>
            <w:pPr>
              <w:spacing w:after="0"/>
              <w:rPr>
                <w:sz w:val="13"/>
                <w:szCs w:val="13"/>
                <w:color w:val="auto"/>
              </w:rPr>
            </w:pPr>
          </w:p>
        </w:tc>
        <w:tc>
          <w:tcPr>
            <w:tcW w:w="180" w:type="dxa"/>
            <w:vAlign w:val="bottom"/>
            <w:gridSpan w:val="2"/>
          </w:tcPr>
          <w:p>
            <w:pPr>
              <w:jc w:val="center"/>
              <w:spacing w:after="0"/>
              <w:rPr>
                <w:rFonts w:ascii="Arial" w:cs="Arial" w:eastAsia="Arial" w:hAnsi="Arial"/>
                <w:sz w:val="13"/>
                <w:szCs w:val="13"/>
                <w:color w:val="0000FF"/>
                <w:w w:val="96"/>
              </w:rPr>
            </w:pPr>
            <w:hyperlink w:anchor="page102">
              <w:r>
                <w:rPr>
                  <w:rFonts w:ascii="Arial" w:cs="Arial" w:eastAsia="Arial" w:hAnsi="Arial"/>
                  <w:sz w:val="13"/>
                  <w:szCs w:val="13"/>
                  <w:color w:val="0000FF"/>
                  <w:w w:val="96"/>
                </w:rPr>
                <w:t>99</w:t>
              </w:r>
            </w:hyperlink>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50"/>
        </w:trPr>
        <w:tc>
          <w:tcPr>
            <w:tcW w:w="1220" w:type="dxa"/>
            <w:vAlign w:val="bottom"/>
          </w:tcPr>
          <w:p>
            <w:pPr>
              <w:ind w:left="20"/>
              <w:spacing w:after="0"/>
              <w:rPr>
                <w:sz w:val="20"/>
                <w:szCs w:val="20"/>
                <w:color w:val="auto"/>
              </w:rPr>
            </w:pPr>
            <w:r>
              <w:rPr>
                <w:rFonts w:ascii="Arial" w:cs="Arial" w:eastAsia="Arial" w:hAnsi="Arial"/>
                <w:sz w:val="13"/>
                <w:szCs w:val="13"/>
                <w:color w:val="auto"/>
              </w:rPr>
              <w:t>ITEM 9B.</w:t>
            </w:r>
          </w:p>
        </w:tc>
        <w:tc>
          <w:tcPr>
            <w:tcW w:w="1380" w:type="dxa"/>
            <w:vAlign w:val="bottom"/>
            <w:tcBorders>
              <w:bottom w:val="single" w:sz="8" w:color="0000FF"/>
            </w:tcBorders>
            <w:gridSpan w:val="2"/>
          </w:tcPr>
          <w:p>
            <w:pPr>
              <w:spacing w:after="0"/>
              <w:rPr>
                <w:rFonts w:ascii="Arial" w:cs="Arial" w:eastAsia="Arial" w:hAnsi="Arial"/>
                <w:sz w:val="13"/>
                <w:szCs w:val="13"/>
                <w:color w:val="0000FF"/>
                <w:w w:val="97"/>
              </w:rPr>
            </w:pPr>
            <w:hyperlink w:anchor="page104">
              <w:r>
                <w:rPr>
                  <w:rFonts w:ascii="Arial" w:cs="Arial" w:eastAsia="Arial" w:hAnsi="Arial"/>
                  <w:sz w:val="13"/>
                  <w:szCs w:val="13"/>
                  <w:color w:val="0000FF"/>
                  <w:w w:val="97"/>
                </w:rPr>
                <w:t>OTHER INFORMATION</w:t>
              </w:r>
            </w:hyperlink>
          </w:p>
        </w:tc>
        <w:tc>
          <w:tcPr>
            <w:tcW w:w="580" w:type="dxa"/>
            <w:vAlign w:val="bottom"/>
            <w:gridSpan w:val="2"/>
          </w:tcPr>
          <w:p>
            <w:pPr>
              <w:spacing w:after="0"/>
              <w:rPr>
                <w:sz w:val="13"/>
                <w:szCs w:val="13"/>
                <w:color w:val="auto"/>
              </w:rPr>
            </w:pPr>
          </w:p>
        </w:tc>
        <w:tc>
          <w:tcPr>
            <w:tcW w:w="7340" w:type="dxa"/>
            <w:vAlign w:val="bottom"/>
            <w:gridSpan w:val="8"/>
          </w:tcPr>
          <w:p>
            <w:pPr>
              <w:spacing w:after="0"/>
              <w:rPr>
                <w:sz w:val="13"/>
                <w:szCs w:val="13"/>
                <w:color w:val="auto"/>
              </w:rPr>
            </w:pPr>
          </w:p>
        </w:tc>
        <w:tc>
          <w:tcPr>
            <w:tcW w:w="220" w:type="dxa"/>
            <w:vAlign w:val="bottom"/>
            <w:tcBorders>
              <w:bottom w:val="single" w:sz="8" w:color="0000FF"/>
            </w:tcBorders>
            <w:gridSpan w:val="3"/>
          </w:tcPr>
          <w:p>
            <w:pPr>
              <w:jc w:val="center"/>
              <w:spacing w:after="0"/>
              <w:rPr>
                <w:rFonts w:ascii="Arial" w:cs="Arial" w:eastAsia="Arial" w:hAnsi="Arial"/>
                <w:sz w:val="13"/>
                <w:szCs w:val="13"/>
                <w:color w:val="0000FF"/>
              </w:rPr>
            </w:pPr>
            <w:hyperlink w:anchor="page104">
              <w:r>
                <w:rPr>
                  <w:rFonts w:ascii="Arial" w:cs="Arial" w:eastAsia="Arial" w:hAnsi="Arial"/>
                  <w:sz w:val="13"/>
                  <w:szCs w:val="13"/>
                  <w:color w:val="0000FF"/>
                </w:rPr>
                <w:t>101</w:t>
              </w:r>
            </w:hyperlink>
          </w:p>
        </w:tc>
        <w:tc>
          <w:tcPr>
            <w:tcW w:w="540" w:type="dxa"/>
            <w:vAlign w:val="bottom"/>
          </w:tcPr>
          <w:p>
            <w:pPr>
              <w:spacing w:after="0"/>
              <w:rPr>
                <w:sz w:val="13"/>
                <w:szCs w:val="13"/>
                <w:color w:val="auto"/>
              </w:rPr>
            </w:pPr>
          </w:p>
        </w:tc>
      </w:tr>
      <w:tr>
        <w:trPr>
          <w:trHeight w:val="150"/>
        </w:trPr>
        <w:tc>
          <w:tcPr>
            <w:tcW w:w="1220" w:type="dxa"/>
            <w:vAlign w:val="bottom"/>
          </w:tcPr>
          <w:p>
            <w:pPr>
              <w:ind w:left="20"/>
              <w:spacing w:after="0"/>
              <w:rPr>
                <w:sz w:val="20"/>
                <w:szCs w:val="20"/>
                <w:color w:val="auto"/>
              </w:rPr>
            </w:pPr>
            <w:r>
              <w:rPr>
                <w:rFonts w:ascii="Arial" w:cs="Arial" w:eastAsia="Arial" w:hAnsi="Arial"/>
                <w:sz w:val="13"/>
                <w:szCs w:val="13"/>
                <w:color w:val="auto"/>
              </w:rPr>
              <w:t>ITEM 9C.</w:t>
            </w:r>
          </w:p>
        </w:tc>
        <w:tc>
          <w:tcPr>
            <w:tcW w:w="9300" w:type="dxa"/>
            <w:vAlign w:val="bottom"/>
            <w:gridSpan w:val="12"/>
          </w:tcPr>
          <w:p>
            <w:pPr>
              <w:spacing w:after="0"/>
              <w:rPr>
                <w:rFonts w:ascii="Arial" w:cs="Arial" w:eastAsia="Arial" w:hAnsi="Arial"/>
                <w:sz w:val="13"/>
                <w:szCs w:val="13"/>
                <w:color w:val="0000FF"/>
              </w:rPr>
            </w:pPr>
            <w:hyperlink w:anchor="page104">
              <w:r>
                <w:rPr>
                  <w:rFonts w:ascii="Arial" w:cs="Arial" w:eastAsia="Arial" w:hAnsi="Arial"/>
                  <w:sz w:val="13"/>
                  <w:szCs w:val="13"/>
                  <w:color w:val="0000FF"/>
                </w:rPr>
                <w:t>DISCLOSURE REGARDING FOREIGN JURISDICTIONS THAT PREVENT INSPECTIONS</w:t>
              </w:r>
            </w:hyperlink>
          </w:p>
        </w:tc>
        <w:tc>
          <w:tcPr>
            <w:tcW w:w="760" w:type="dxa"/>
            <w:vAlign w:val="bottom"/>
            <w:gridSpan w:val="4"/>
          </w:tcPr>
          <w:p>
            <w:pPr>
              <w:jc w:val="center"/>
              <w:ind w:right="540"/>
              <w:spacing w:after="0"/>
              <w:rPr>
                <w:rFonts w:ascii="Arial" w:cs="Arial" w:eastAsia="Arial" w:hAnsi="Arial"/>
                <w:sz w:val="13"/>
                <w:szCs w:val="13"/>
                <w:color w:val="0000FF"/>
              </w:rPr>
            </w:pPr>
            <w:hyperlink w:anchor="page104">
              <w:r>
                <w:rPr>
                  <w:rFonts w:ascii="Arial" w:cs="Arial" w:eastAsia="Arial" w:hAnsi="Arial"/>
                  <w:sz w:val="13"/>
                  <w:szCs w:val="13"/>
                  <w:color w:val="0000FF"/>
                </w:rPr>
                <w:t>101</w:t>
              </w:r>
            </w:hyperlink>
          </w:p>
        </w:tc>
      </w:tr>
      <w:tr>
        <w:trPr>
          <w:trHeight w:val="54"/>
        </w:trPr>
        <w:tc>
          <w:tcPr>
            <w:tcW w:w="1220" w:type="dxa"/>
            <w:vAlign w:val="bottom"/>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20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7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40" w:type="dxa"/>
            <w:vAlign w:val="bottom"/>
          </w:tcPr>
          <w:p>
            <w:pPr>
              <w:spacing w:after="0"/>
              <w:rPr>
                <w:sz w:val="4"/>
                <w:szCs w:val="4"/>
                <w:color w:val="auto"/>
              </w:rPr>
            </w:pPr>
          </w:p>
        </w:tc>
      </w:tr>
      <w:tr>
        <w:trPr>
          <w:trHeight w:val="170"/>
        </w:trPr>
        <w:tc>
          <w:tcPr>
            <w:tcW w:w="1220" w:type="dxa"/>
            <w:vAlign w:val="bottom"/>
            <w:shd w:val="clear" w:color="auto" w:fill="0A2299"/>
          </w:tcPr>
          <w:p>
            <w:pPr>
              <w:spacing w:after="0"/>
              <w:rPr>
                <w:sz w:val="14"/>
                <w:szCs w:val="14"/>
                <w:color w:val="auto"/>
              </w:rPr>
            </w:pPr>
          </w:p>
        </w:tc>
        <w:tc>
          <w:tcPr>
            <w:tcW w:w="820" w:type="dxa"/>
            <w:vAlign w:val="bottom"/>
            <w:shd w:val="clear" w:color="auto" w:fill="0A2299"/>
          </w:tcPr>
          <w:p>
            <w:pPr>
              <w:spacing w:after="0"/>
              <w:rPr>
                <w:sz w:val="14"/>
                <w:szCs w:val="14"/>
                <w:color w:val="auto"/>
              </w:rPr>
            </w:pPr>
          </w:p>
        </w:tc>
        <w:tc>
          <w:tcPr>
            <w:tcW w:w="560" w:type="dxa"/>
            <w:vAlign w:val="bottom"/>
            <w:shd w:val="clear" w:color="auto" w:fill="0A2299"/>
          </w:tcPr>
          <w:p>
            <w:pPr>
              <w:spacing w:after="0"/>
              <w:rPr>
                <w:sz w:val="14"/>
                <w:szCs w:val="14"/>
                <w:color w:val="auto"/>
              </w:rPr>
            </w:pPr>
          </w:p>
        </w:tc>
        <w:tc>
          <w:tcPr>
            <w:tcW w:w="400" w:type="dxa"/>
            <w:vAlign w:val="bottom"/>
            <w:shd w:val="clear" w:color="auto" w:fill="0A2299"/>
          </w:tcPr>
          <w:p>
            <w:pPr>
              <w:spacing w:after="0"/>
              <w:rPr>
                <w:sz w:val="14"/>
                <w:szCs w:val="14"/>
                <w:color w:val="auto"/>
              </w:rPr>
            </w:pPr>
          </w:p>
        </w:tc>
        <w:tc>
          <w:tcPr>
            <w:tcW w:w="180" w:type="dxa"/>
            <w:vAlign w:val="bottom"/>
            <w:shd w:val="clear" w:color="auto" w:fill="0A2299"/>
          </w:tcPr>
          <w:p>
            <w:pPr>
              <w:spacing w:after="0"/>
              <w:rPr>
                <w:sz w:val="14"/>
                <w:szCs w:val="14"/>
                <w:color w:val="auto"/>
              </w:rPr>
            </w:pPr>
          </w:p>
        </w:tc>
        <w:tc>
          <w:tcPr>
            <w:tcW w:w="980" w:type="dxa"/>
            <w:vAlign w:val="bottom"/>
            <w:shd w:val="clear" w:color="auto" w:fill="0A2299"/>
          </w:tcPr>
          <w:p>
            <w:pPr>
              <w:spacing w:after="0"/>
              <w:rPr>
                <w:sz w:val="14"/>
                <w:szCs w:val="14"/>
                <w:color w:val="auto"/>
              </w:rPr>
            </w:pPr>
          </w:p>
        </w:tc>
        <w:tc>
          <w:tcPr>
            <w:tcW w:w="160" w:type="dxa"/>
            <w:vAlign w:val="bottom"/>
            <w:shd w:val="clear" w:color="auto" w:fill="0A2299"/>
          </w:tcPr>
          <w:p>
            <w:pPr>
              <w:spacing w:after="0"/>
              <w:rPr>
                <w:sz w:val="14"/>
                <w:szCs w:val="14"/>
                <w:color w:val="auto"/>
              </w:rPr>
            </w:pPr>
          </w:p>
        </w:tc>
        <w:tc>
          <w:tcPr>
            <w:tcW w:w="6200" w:type="dxa"/>
            <w:vAlign w:val="bottom"/>
            <w:gridSpan w:val="6"/>
            <w:shd w:val="clear" w:color="auto" w:fill="0A2299"/>
          </w:tcPr>
          <w:p>
            <w:pPr>
              <w:jc w:val="right"/>
              <w:ind w:right="4640"/>
              <w:spacing w:after="0"/>
              <w:rPr>
                <w:sz w:val="20"/>
                <w:szCs w:val="20"/>
                <w:color w:val="auto"/>
              </w:rPr>
            </w:pPr>
            <w:r>
              <w:rPr>
                <w:rFonts w:ascii="Arial" w:cs="Arial" w:eastAsia="Arial" w:hAnsi="Arial"/>
                <w:sz w:val="13"/>
                <w:szCs w:val="13"/>
                <w:b w:val="1"/>
                <w:bCs w:val="1"/>
                <w:color w:val="FFFFFF"/>
              </w:rPr>
              <w:t>PART III</w:t>
            </w:r>
          </w:p>
        </w:tc>
        <w:tc>
          <w:tcPr>
            <w:tcW w:w="40" w:type="dxa"/>
            <w:vAlign w:val="bottom"/>
            <w:shd w:val="clear" w:color="auto" w:fill="0A2299"/>
          </w:tcPr>
          <w:p>
            <w:pPr>
              <w:spacing w:after="0"/>
              <w:rPr>
                <w:sz w:val="14"/>
                <w:szCs w:val="14"/>
                <w:color w:val="auto"/>
              </w:rPr>
            </w:pPr>
          </w:p>
        </w:tc>
        <w:tc>
          <w:tcPr>
            <w:tcW w:w="140" w:type="dxa"/>
            <w:vAlign w:val="bottom"/>
            <w:shd w:val="clear" w:color="auto" w:fill="0A2299"/>
          </w:tcPr>
          <w:p>
            <w:pPr>
              <w:spacing w:after="0"/>
              <w:rPr>
                <w:sz w:val="14"/>
                <w:szCs w:val="14"/>
                <w:color w:val="auto"/>
              </w:rPr>
            </w:pPr>
          </w:p>
        </w:tc>
        <w:tc>
          <w:tcPr>
            <w:tcW w:w="40" w:type="dxa"/>
            <w:vAlign w:val="bottom"/>
            <w:shd w:val="clear" w:color="auto" w:fill="0A2299"/>
          </w:tcPr>
          <w:p>
            <w:pPr>
              <w:spacing w:after="0"/>
              <w:rPr>
                <w:sz w:val="14"/>
                <w:szCs w:val="14"/>
                <w:color w:val="auto"/>
              </w:rPr>
            </w:pPr>
          </w:p>
        </w:tc>
        <w:tc>
          <w:tcPr>
            <w:tcW w:w="540" w:type="dxa"/>
            <w:vAlign w:val="bottom"/>
            <w:shd w:val="clear" w:color="auto" w:fill="0A2299"/>
          </w:tcPr>
          <w:p>
            <w:pPr>
              <w:spacing w:after="0"/>
              <w:rPr>
                <w:sz w:val="14"/>
                <w:szCs w:val="14"/>
                <w:color w:val="auto"/>
              </w:rPr>
            </w:pPr>
          </w:p>
        </w:tc>
      </w:tr>
      <w:tr>
        <w:trPr>
          <w:trHeight w:val="138"/>
        </w:trPr>
        <w:tc>
          <w:tcPr>
            <w:tcW w:w="1220" w:type="dxa"/>
            <w:vAlign w:val="bottom"/>
          </w:tcPr>
          <w:p>
            <w:pPr>
              <w:ind w:left="20"/>
              <w:spacing w:after="0" w:line="138" w:lineRule="exact"/>
              <w:rPr>
                <w:sz w:val="20"/>
                <w:szCs w:val="20"/>
                <w:color w:val="auto"/>
              </w:rPr>
            </w:pPr>
            <w:r>
              <w:rPr>
                <w:rFonts w:ascii="Arial" w:cs="Arial" w:eastAsia="Arial" w:hAnsi="Arial"/>
                <w:sz w:val="13"/>
                <w:szCs w:val="13"/>
                <w:color w:val="auto"/>
              </w:rPr>
              <w:t>ITEM 10.</w:t>
            </w:r>
          </w:p>
        </w:tc>
        <w:tc>
          <w:tcPr>
            <w:tcW w:w="5680" w:type="dxa"/>
            <w:vAlign w:val="bottom"/>
            <w:tcBorders>
              <w:bottom w:val="single" w:sz="8" w:color="0000FF"/>
            </w:tcBorders>
            <w:gridSpan w:val="9"/>
          </w:tcPr>
          <w:p>
            <w:pPr>
              <w:spacing w:after="0" w:line="138" w:lineRule="exact"/>
              <w:rPr>
                <w:rFonts w:ascii="Arial" w:cs="Arial" w:eastAsia="Arial" w:hAnsi="Arial"/>
                <w:sz w:val="13"/>
                <w:szCs w:val="13"/>
                <w:color w:val="0000FF"/>
              </w:rPr>
            </w:pPr>
            <w:hyperlink w:anchor="page105">
              <w:r>
                <w:rPr>
                  <w:rFonts w:ascii="Arial" w:cs="Arial" w:eastAsia="Arial" w:hAnsi="Arial"/>
                  <w:sz w:val="13"/>
                  <w:szCs w:val="13"/>
                  <w:color w:val="0000FF"/>
                </w:rPr>
                <w:t>DIRECTORS, EXECUTIVE OFFICERS AND CORPORATE GOVERNANCE</w:t>
              </w:r>
            </w:hyperlink>
          </w:p>
        </w:tc>
        <w:tc>
          <w:tcPr>
            <w:tcW w:w="3620" w:type="dxa"/>
            <w:vAlign w:val="bottom"/>
            <w:gridSpan w:val="3"/>
          </w:tcPr>
          <w:p>
            <w:pPr>
              <w:spacing w:after="0"/>
              <w:rPr>
                <w:sz w:val="11"/>
                <w:szCs w:val="11"/>
                <w:color w:val="auto"/>
              </w:rPr>
            </w:pPr>
          </w:p>
        </w:tc>
        <w:tc>
          <w:tcPr>
            <w:tcW w:w="220" w:type="dxa"/>
            <w:vAlign w:val="bottom"/>
            <w:tcBorders>
              <w:bottom w:val="single" w:sz="8" w:color="0000FF"/>
            </w:tcBorders>
            <w:gridSpan w:val="3"/>
          </w:tcPr>
          <w:p>
            <w:pPr>
              <w:jc w:val="center"/>
              <w:spacing w:after="0" w:line="138" w:lineRule="exact"/>
              <w:rPr>
                <w:rFonts w:ascii="Arial" w:cs="Arial" w:eastAsia="Arial" w:hAnsi="Arial"/>
                <w:sz w:val="13"/>
                <w:szCs w:val="13"/>
                <w:color w:val="0000FF"/>
              </w:rPr>
            </w:pPr>
            <w:hyperlink w:anchor="page105">
              <w:r>
                <w:rPr>
                  <w:rFonts w:ascii="Arial" w:cs="Arial" w:eastAsia="Arial" w:hAnsi="Arial"/>
                  <w:sz w:val="13"/>
                  <w:szCs w:val="13"/>
                  <w:color w:val="0000FF"/>
                </w:rPr>
                <w:t>102</w:t>
              </w:r>
            </w:hyperlink>
          </w:p>
        </w:tc>
        <w:tc>
          <w:tcPr>
            <w:tcW w:w="540" w:type="dxa"/>
            <w:vAlign w:val="bottom"/>
          </w:tcPr>
          <w:p>
            <w:pPr>
              <w:spacing w:after="0"/>
              <w:rPr>
                <w:sz w:val="11"/>
                <w:szCs w:val="11"/>
                <w:color w:val="auto"/>
              </w:rPr>
            </w:pPr>
          </w:p>
        </w:tc>
      </w:tr>
      <w:tr>
        <w:trPr>
          <w:trHeight w:val="150"/>
        </w:trPr>
        <w:tc>
          <w:tcPr>
            <w:tcW w:w="1220" w:type="dxa"/>
            <w:vAlign w:val="bottom"/>
          </w:tcPr>
          <w:p>
            <w:pPr>
              <w:ind w:left="20"/>
              <w:spacing w:after="0"/>
              <w:rPr>
                <w:sz w:val="20"/>
                <w:szCs w:val="20"/>
                <w:color w:val="auto"/>
              </w:rPr>
            </w:pPr>
            <w:r>
              <w:rPr>
                <w:rFonts w:ascii="Arial" w:cs="Arial" w:eastAsia="Arial" w:hAnsi="Arial"/>
                <w:sz w:val="13"/>
                <w:szCs w:val="13"/>
                <w:color w:val="auto"/>
              </w:rPr>
              <w:t>ITEM 11.</w:t>
            </w:r>
          </w:p>
        </w:tc>
        <w:tc>
          <w:tcPr>
            <w:tcW w:w="9300" w:type="dxa"/>
            <w:vAlign w:val="bottom"/>
            <w:gridSpan w:val="12"/>
          </w:tcPr>
          <w:p>
            <w:pPr>
              <w:spacing w:after="0"/>
              <w:rPr>
                <w:rFonts w:ascii="Arial" w:cs="Arial" w:eastAsia="Arial" w:hAnsi="Arial"/>
                <w:sz w:val="13"/>
                <w:szCs w:val="13"/>
                <w:color w:val="0000FF"/>
              </w:rPr>
            </w:pPr>
            <w:hyperlink w:anchor="page105">
              <w:r>
                <w:rPr>
                  <w:rFonts w:ascii="Arial" w:cs="Arial" w:eastAsia="Arial" w:hAnsi="Arial"/>
                  <w:sz w:val="13"/>
                  <w:szCs w:val="13"/>
                  <w:color w:val="0000FF"/>
                </w:rPr>
                <w:t>EXECUTIVE COMPENSATION</w:t>
              </w:r>
            </w:hyperlink>
          </w:p>
        </w:tc>
        <w:tc>
          <w:tcPr>
            <w:tcW w:w="760" w:type="dxa"/>
            <w:vAlign w:val="bottom"/>
            <w:gridSpan w:val="4"/>
          </w:tcPr>
          <w:p>
            <w:pPr>
              <w:jc w:val="center"/>
              <w:ind w:right="540"/>
              <w:spacing w:after="0"/>
              <w:rPr>
                <w:rFonts w:ascii="Arial" w:cs="Arial" w:eastAsia="Arial" w:hAnsi="Arial"/>
                <w:sz w:val="13"/>
                <w:szCs w:val="13"/>
                <w:color w:val="0000FF"/>
              </w:rPr>
            </w:pPr>
            <w:hyperlink w:anchor="page105">
              <w:r>
                <w:rPr>
                  <w:rFonts w:ascii="Arial" w:cs="Arial" w:eastAsia="Arial" w:hAnsi="Arial"/>
                  <w:sz w:val="13"/>
                  <w:szCs w:val="13"/>
                  <w:color w:val="0000FF"/>
                </w:rPr>
                <w:t>102</w:t>
              </w:r>
            </w:hyperlink>
          </w:p>
        </w:tc>
      </w:tr>
      <w:tr>
        <w:trPr>
          <w:trHeight w:val="20"/>
        </w:trPr>
        <w:tc>
          <w:tcPr>
            <w:tcW w:w="12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50"/>
        </w:trPr>
        <w:tc>
          <w:tcPr>
            <w:tcW w:w="1220" w:type="dxa"/>
            <w:vAlign w:val="bottom"/>
          </w:tcPr>
          <w:p>
            <w:pPr>
              <w:ind w:left="20"/>
              <w:spacing w:after="0"/>
              <w:rPr>
                <w:sz w:val="20"/>
                <w:szCs w:val="20"/>
                <w:color w:val="auto"/>
              </w:rPr>
            </w:pPr>
            <w:r>
              <w:rPr>
                <w:rFonts w:ascii="Arial" w:cs="Arial" w:eastAsia="Arial" w:hAnsi="Arial"/>
                <w:sz w:val="13"/>
                <w:szCs w:val="13"/>
                <w:color w:val="auto"/>
              </w:rPr>
              <w:t>ITEM 12.</w:t>
            </w:r>
          </w:p>
        </w:tc>
        <w:tc>
          <w:tcPr>
            <w:tcW w:w="9300" w:type="dxa"/>
            <w:vAlign w:val="bottom"/>
            <w:gridSpan w:val="12"/>
          </w:tcPr>
          <w:p>
            <w:pPr>
              <w:spacing w:after="0"/>
              <w:rPr>
                <w:rFonts w:ascii="Arial" w:cs="Arial" w:eastAsia="Arial" w:hAnsi="Arial"/>
                <w:sz w:val="13"/>
                <w:szCs w:val="13"/>
                <w:color w:val="0000FF"/>
              </w:rPr>
            </w:pPr>
            <w:hyperlink w:anchor="page105">
              <w:r>
                <w:rPr>
                  <w:rFonts w:ascii="Arial" w:cs="Arial" w:eastAsia="Arial" w:hAnsi="Arial"/>
                  <w:sz w:val="13"/>
                  <w:szCs w:val="13"/>
                  <w:color w:val="0000FF"/>
                </w:rPr>
                <w:t>SECURITY OWNERSHIP OF CERTAIN BENEFICIAL OWNERS AND MANAGEMENT AND RELATED STOCKHOLDERS MATTERS</w:t>
              </w:r>
            </w:hyperlink>
          </w:p>
        </w:tc>
        <w:tc>
          <w:tcPr>
            <w:tcW w:w="760" w:type="dxa"/>
            <w:vAlign w:val="bottom"/>
            <w:gridSpan w:val="4"/>
          </w:tcPr>
          <w:p>
            <w:pPr>
              <w:jc w:val="center"/>
              <w:ind w:right="540"/>
              <w:spacing w:after="0"/>
              <w:rPr>
                <w:rFonts w:ascii="Arial" w:cs="Arial" w:eastAsia="Arial" w:hAnsi="Arial"/>
                <w:sz w:val="13"/>
                <w:szCs w:val="13"/>
                <w:color w:val="0000FF"/>
              </w:rPr>
            </w:pPr>
            <w:hyperlink w:anchor="page105">
              <w:r>
                <w:rPr>
                  <w:rFonts w:ascii="Arial" w:cs="Arial" w:eastAsia="Arial" w:hAnsi="Arial"/>
                  <w:sz w:val="13"/>
                  <w:szCs w:val="13"/>
                  <w:color w:val="0000FF"/>
                </w:rPr>
                <w:t>102</w:t>
              </w:r>
            </w:hyperlink>
          </w:p>
        </w:tc>
      </w:tr>
      <w:tr>
        <w:trPr>
          <w:trHeight w:val="150"/>
        </w:trPr>
        <w:tc>
          <w:tcPr>
            <w:tcW w:w="1220" w:type="dxa"/>
            <w:vAlign w:val="bottom"/>
          </w:tcPr>
          <w:p>
            <w:pPr>
              <w:ind w:left="20"/>
              <w:spacing w:after="0"/>
              <w:rPr>
                <w:sz w:val="20"/>
                <w:szCs w:val="20"/>
                <w:color w:val="auto"/>
              </w:rPr>
            </w:pPr>
            <w:r>
              <w:rPr>
                <w:rFonts w:ascii="Arial" w:cs="Arial" w:eastAsia="Arial" w:hAnsi="Arial"/>
                <w:sz w:val="13"/>
                <w:szCs w:val="13"/>
                <w:color w:val="auto"/>
              </w:rPr>
              <w:t>ITEM 13.</w:t>
            </w:r>
          </w:p>
        </w:tc>
        <w:tc>
          <w:tcPr>
            <w:tcW w:w="5680" w:type="dxa"/>
            <w:vAlign w:val="bottom"/>
            <w:tcBorders>
              <w:top w:val="single" w:sz="8" w:color="0000FF"/>
              <w:bottom w:val="single" w:sz="8" w:color="0000FF"/>
            </w:tcBorders>
            <w:gridSpan w:val="9"/>
          </w:tcPr>
          <w:p>
            <w:pPr>
              <w:spacing w:after="0"/>
              <w:rPr>
                <w:rFonts w:ascii="Arial" w:cs="Arial" w:eastAsia="Arial" w:hAnsi="Arial"/>
                <w:sz w:val="13"/>
                <w:szCs w:val="13"/>
                <w:color w:val="0000FF"/>
                <w:w w:val="97"/>
              </w:rPr>
            </w:pPr>
            <w:hyperlink w:anchor="page105">
              <w:r>
                <w:rPr>
                  <w:rFonts w:ascii="Arial" w:cs="Arial" w:eastAsia="Arial" w:hAnsi="Arial"/>
                  <w:sz w:val="13"/>
                  <w:szCs w:val="13"/>
                  <w:color w:val="0000FF"/>
                  <w:w w:val="97"/>
                </w:rPr>
                <w:t>CERTAIN RELATIONSHIPS AND RELATED TRANSACTIONS, AND DIRECTOR INDEPENDENCE.</w:t>
              </w:r>
            </w:hyperlink>
          </w:p>
        </w:tc>
        <w:tc>
          <w:tcPr>
            <w:tcW w:w="1860" w:type="dxa"/>
            <w:vAlign w:val="bottom"/>
            <w:tcBorders>
              <w:top w:val="single" w:sz="8" w:color="0000FF"/>
            </w:tcBorders>
            <w:gridSpan w:val="2"/>
          </w:tcPr>
          <w:p>
            <w:pPr>
              <w:spacing w:after="0"/>
              <w:rPr>
                <w:sz w:val="13"/>
                <w:szCs w:val="13"/>
                <w:color w:val="auto"/>
              </w:rPr>
            </w:pPr>
          </w:p>
        </w:tc>
        <w:tc>
          <w:tcPr>
            <w:tcW w:w="1760" w:type="dxa"/>
            <w:vAlign w:val="bottom"/>
          </w:tcPr>
          <w:p>
            <w:pPr>
              <w:spacing w:after="0"/>
              <w:rPr>
                <w:sz w:val="13"/>
                <w:szCs w:val="13"/>
                <w:color w:val="auto"/>
              </w:rPr>
            </w:pPr>
          </w:p>
        </w:tc>
        <w:tc>
          <w:tcPr>
            <w:tcW w:w="220" w:type="dxa"/>
            <w:vAlign w:val="bottom"/>
            <w:tcBorders>
              <w:top w:val="single" w:sz="8" w:color="0000FF"/>
              <w:bottom w:val="single" w:sz="8" w:color="0000FF"/>
            </w:tcBorders>
            <w:gridSpan w:val="3"/>
          </w:tcPr>
          <w:p>
            <w:pPr>
              <w:jc w:val="center"/>
              <w:spacing w:after="0"/>
              <w:rPr>
                <w:rFonts w:ascii="Arial" w:cs="Arial" w:eastAsia="Arial" w:hAnsi="Arial"/>
                <w:sz w:val="13"/>
                <w:szCs w:val="13"/>
                <w:color w:val="0000FF"/>
              </w:rPr>
            </w:pPr>
            <w:hyperlink w:anchor="page105">
              <w:r>
                <w:rPr>
                  <w:rFonts w:ascii="Arial" w:cs="Arial" w:eastAsia="Arial" w:hAnsi="Arial"/>
                  <w:sz w:val="13"/>
                  <w:szCs w:val="13"/>
                  <w:color w:val="0000FF"/>
                </w:rPr>
                <w:t>102</w:t>
              </w:r>
            </w:hyperlink>
          </w:p>
        </w:tc>
        <w:tc>
          <w:tcPr>
            <w:tcW w:w="540" w:type="dxa"/>
            <w:vAlign w:val="bottom"/>
          </w:tcPr>
          <w:p>
            <w:pPr>
              <w:spacing w:after="0"/>
              <w:rPr>
                <w:sz w:val="13"/>
                <w:szCs w:val="13"/>
                <w:color w:val="auto"/>
              </w:rPr>
            </w:pPr>
          </w:p>
        </w:tc>
      </w:tr>
      <w:tr>
        <w:trPr>
          <w:trHeight w:val="150"/>
        </w:trPr>
        <w:tc>
          <w:tcPr>
            <w:tcW w:w="1220" w:type="dxa"/>
            <w:vAlign w:val="bottom"/>
          </w:tcPr>
          <w:p>
            <w:pPr>
              <w:ind w:left="20"/>
              <w:spacing w:after="0"/>
              <w:rPr>
                <w:sz w:val="20"/>
                <w:szCs w:val="20"/>
                <w:color w:val="auto"/>
              </w:rPr>
            </w:pPr>
            <w:r>
              <w:rPr>
                <w:rFonts w:ascii="Arial" w:cs="Arial" w:eastAsia="Arial" w:hAnsi="Arial"/>
                <w:sz w:val="13"/>
                <w:szCs w:val="13"/>
                <w:color w:val="auto"/>
              </w:rPr>
              <w:t>ITEM 14.</w:t>
            </w:r>
          </w:p>
        </w:tc>
        <w:tc>
          <w:tcPr>
            <w:tcW w:w="9300" w:type="dxa"/>
            <w:vAlign w:val="bottom"/>
            <w:gridSpan w:val="12"/>
          </w:tcPr>
          <w:p>
            <w:pPr>
              <w:spacing w:after="0"/>
              <w:rPr>
                <w:rFonts w:ascii="Arial" w:cs="Arial" w:eastAsia="Arial" w:hAnsi="Arial"/>
                <w:sz w:val="13"/>
                <w:szCs w:val="13"/>
                <w:color w:val="0000FF"/>
              </w:rPr>
            </w:pPr>
            <w:hyperlink w:anchor="page105">
              <w:r>
                <w:rPr>
                  <w:rFonts w:ascii="Arial" w:cs="Arial" w:eastAsia="Arial" w:hAnsi="Arial"/>
                  <w:sz w:val="13"/>
                  <w:szCs w:val="13"/>
                  <w:color w:val="0000FF"/>
                </w:rPr>
                <w:t>PRINCIPAL ACCOUNTANT FEES AND SERVICES</w:t>
              </w:r>
            </w:hyperlink>
          </w:p>
        </w:tc>
        <w:tc>
          <w:tcPr>
            <w:tcW w:w="760" w:type="dxa"/>
            <w:vAlign w:val="bottom"/>
            <w:gridSpan w:val="4"/>
          </w:tcPr>
          <w:p>
            <w:pPr>
              <w:jc w:val="center"/>
              <w:ind w:right="540"/>
              <w:spacing w:after="0"/>
              <w:rPr>
                <w:rFonts w:ascii="Arial" w:cs="Arial" w:eastAsia="Arial" w:hAnsi="Arial"/>
                <w:sz w:val="13"/>
                <w:szCs w:val="13"/>
                <w:color w:val="0000FF"/>
              </w:rPr>
            </w:pPr>
            <w:hyperlink w:anchor="page105">
              <w:r>
                <w:rPr>
                  <w:rFonts w:ascii="Arial" w:cs="Arial" w:eastAsia="Arial" w:hAnsi="Arial"/>
                  <w:sz w:val="13"/>
                  <w:szCs w:val="13"/>
                  <w:color w:val="0000FF"/>
                </w:rPr>
                <w:t>102</w:t>
              </w:r>
            </w:hyperlink>
          </w:p>
        </w:tc>
      </w:tr>
      <w:tr>
        <w:trPr>
          <w:trHeight w:val="54"/>
        </w:trPr>
        <w:tc>
          <w:tcPr>
            <w:tcW w:w="1220" w:type="dxa"/>
            <w:vAlign w:val="bottom"/>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7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40" w:type="dxa"/>
            <w:vAlign w:val="bottom"/>
          </w:tcPr>
          <w:p>
            <w:pPr>
              <w:spacing w:after="0"/>
              <w:rPr>
                <w:sz w:val="4"/>
                <w:szCs w:val="4"/>
                <w:color w:val="auto"/>
              </w:rPr>
            </w:pPr>
          </w:p>
        </w:tc>
      </w:tr>
      <w:tr>
        <w:trPr>
          <w:trHeight w:val="170"/>
        </w:trPr>
        <w:tc>
          <w:tcPr>
            <w:tcW w:w="1220" w:type="dxa"/>
            <w:vAlign w:val="bottom"/>
            <w:shd w:val="clear" w:color="auto" w:fill="0A2299"/>
          </w:tcPr>
          <w:p>
            <w:pPr>
              <w:spacing w:after="0"/>
              <w:rPr>
                <w:sz w:val="14"/>
                <w:szCs w:val="14"/>
                <w:color w:val="auto"/>
              </w:rPr>
            </w:pPr>
          </w:p>
        </w:tc>
        <w:tc>
          <w:tcPr>
            <w:tcW w:w="820" w:type="dxa"/>
            <w:vAlign w:val="bottom"/>
            <w:shd w:val="clear" w:color="auto" w:fill="0A2299"/>
          </w:tcPr>
          <w:p>
            <w:pPr>
              <w:spacing w:after="0"/>
              <w:rPr>
                <w:sz w:val="14"/>
                <w:szCs w:val="14"/>
                <w:color w:val="auto"/>
              </w:rPr>
            </w:pPr>
          </w:p>
        </w:tc>
        <w:tc>
          <w:tcPr>
            <w:tcW w:w="560" w:type="dxa"/>
            <w:vAlign w:val="bottom"/>
            <w:shd w:val="clear" w:color="auto" w:fill="0A2299"/>
          </w:tcPr>
          <w:p>
            <w:pPr>
              <w:spacing w:after="0"/>
              <w:rPr>
                <w:sz w:val="14"/>
                <w:szCs w:val="14"/>
                <w:color w:val="auto"/>
              </w:rPr>
            </w:pPr>
          </w:p>
        </w:tc>
        <w:tc>
          <w:tcPr>
            <w:tcW w:w="400" w:type="dxa"/>
            <w:vAlign w:val="bottom"/>
            <w:shd w:val="clear" w:color="auto" w:fill="0A2299"/>
          </w:tcPr>
          <w:p>
            <w:pPr>
              <w:spacing w:after="0"/>
              <w:rPr>
                <w:sz w:val="14"/>
                <w:szCs w:val="14"/>
                <w:color w:val="auto"/>
              </w:rPr>
            </w:pPr>
          </w:p>
        </w:tc>
        <w:tc>
          <w:tcPr>
            <w:tcW w:w="180" w:type="dxa"/>
            <w:vAlign w:val="bottom"/>
            <w:shd w:val="clear" w:color="auto" w:fill="0A2299"/>
          </w:tcPr>
          <w:p>
            <w:pPr>
              <w:spacing w:after="0"/>
              <w:rPr>
                <w:sz w:val="14"/>
                <w:szCs w:val="14"/>
                <w:color w:val="auto"/>
              </w:rPr>
            </w:pPr>
          </w:p>
        </w:tc>
        <w:tc>
          <w:tcPr>
            <w:tcW w:w="980" w:type="dxa"/>
            <w:vAlign w:val="bottom"/>
            <w:shd w:val="clear" w:color="auto" w:fill="0A2299"/>
          </w:tcPr>
          <w:p>
            <w:pPr>
              <w:spacing w:after="0"/>
              <w:rPr>
                <w:sz w:val="14"/>
                <w:szCs w:val="14"/>
                <w:color w:val="auto"/>
              </w:rPr>
            </w:pPr>
          </w:p>
        </w:tc>
        <w:tc>
          <w:tcPr>
            <w:tcW w:w="160" w:type="dxa"/>
            <w:vAlign w:val="bottom"/>
            <w:shd w:val="clear" w:color="auto" w:fill="0A2299"/>
          </w:tcPr>
          <w:p>
            <w:pPr>
              <w:spacing w:after="0"/>
              <w:rPr>
                <w:sz w:val="14"/>
                <w:szCs w:val="14"/>
                <w:color w:val="auto"/>
              </w:rPr>
            </w:pPr>
          </w:p>
        </w:tc>
        <w:tc>
          <w:tcPr>
            <w:tcW w:w="6200" w:type="dxa"/>
            <w:vAlign w:val="bottom"/>
            <w:gridSpan w:val="6"/>
            <w:shd w:val="clear" w:color="auto" w:fill="0A2299"/>
          </w:tcPr>
          <w:p>
            <w:pPr>
              <w:jc w:val="right"/>
              <w:ind w:right="4620"/>
              <w:spacing w:after="0"/>
              <w:rPr>
                <w:sz w:val="20"/>
                <w:szCs w:val="20"/>
                <w:color w:val="auto"/>
              </w:rPr>
            </w:pPr>
            <w:r>
              <w:rPr>
                <w:rFonts w:ascii="Arial" w:cs="Arial" w:eastAsia="Arial" w:hAnsi="Arial"/>
                <w:sz w:val="13"/>
                <w:szCs w:val="13"/>
                <w:b w:val="1"/>
                <w:bCs w:val="1"/>
                <w:color w:val="FFFFFF"/>
              </w:rPr>
              <w:t>PART IV</w:t>
            </w:r>
          </w:p>
        </w:tc>
        <w:tc>
          <w:tcPr>
            <w:tcW w:w="40" w:type="dxa"/>
            <w:vAlign w:val="bottom"/>
            <w:shd w:val="clear" w:color="auto" w:fill="0A2299"/>
          </w:tcPr>
          <w:p>
            <w:pPr>
              <w:spacing w:after="0"/>
              <w:rPr>
                <w:sz w:val="14"/>
                <w:szCs w:val="14"/>
                <w:color w:val="auto"/>
              </w:rPr>
            </w:pPr>
          </w:p>
        </w:tc>
        <w:tc>
          <w:tcPr>
            <w:tcW w:w="140" w:type="dxa"/>
            <w:vAlign w:val="bottom"/>
            <w:shd w:val="clear" w:color="auto" w:fill="0A2299"/>
          </w:tcPr>
          <w:p>
            <w:pPr>
              <w:spacing w:after="0"/>
              <w:rPr>
                <w:sz w:val="14"/>
                <w:szCs w:val="14"/>
                <w:color w:val="auto"/>
              </w:rPr>
            </w:pPr>
          </w:p>
        </w:tc>
        <w:tc>
          <w:tcPr>
            <w:tcW w:w="40" w:type="dxa"/>
            <w:vAlign w:val="bottom"/>
            <w:shd w:val="clear" w:color="auto" w:fill="0A2299"/>
          </w:tcPr>
          <w:p>
            <w:pPr>
              <w:spacing w:after="0"/>
              <w:rPr>
                <w:sz w:val="14"/>
                <w:szCs w:val="14"/>
                <w:color w:val="auto"/>
              </w:rPr>
            </w:pPr>
          </w:p>
        </w:tc>
        <w:tc>
          <w:tcPr>
            <w:tcW w:w="540" w:type="dxa"/>
            <w:vAlign w:val="bottom"/>
            <w:shd w:val="clear" w:color="auto" w:fill="0A2299"/>
          </w:tcPr>
          <w:p>
            <w:pPr>
              <w:spacing w:after="0"/>
              <w:rPr>
                <w:sz w:val="14"/>
                <w:szCs w:val="14"/>
                <w:color w:val="auto"/>
              </w:rPr>
            </w:pPr>
          </w:p>
        </w:tc>
      </w:tr>
      <w:tr>
        <w:trPr>
          <w:trHeight w:val="138"/>
        </w:trPr>
        <w:tc>
          <w:tcPr>
            <w:tcW w:w="1220" w:type="dxa"/>
            <w:vAlign w:val="bottom"/>
          </w:tcPr>
          <w:p>
            <w:pPr>
              <w:ind w:left="20"/>
              <w:spacing w:after="0" w:line="138" w:lineRule="exact"/>
              <w:rPr>
                <w:sz w:val="20"/>
                <w:szCs w:val="20"/>
                <w:color w:val="auto"/>
              </w:rPr>
            </w:pPr>
            <w:r>
              <w:rPr>
                <w:rFonts w:ascii="Arial" w:cs="Arial" w:eastAsia="Arial" w:hAnsi="Arial"/>
                <w:sz w:val="13"/>
                <w:szCs w:val="13"/>
                <w:color w:val="auto"/>
              </w:rPr>
              <w:t>ITEM 15.</w:t>
            </w:r>
          </w:p>
        </w:tc>
        <w:tc>
          <w:tcPr>
            <w:tcW w:w="9300" w:type="dxa"/>
            <w:vAlign w:val="bottom"/>
            <w:gridSpan w:val="12"/>
          </w:tcPr>
          <w:p>
            <w:pPr>
              <w:spacing w:after="0" w:line="138" w:lineRule="exact"/>
              <w:rPr>
                <w:rFonts w:ascii="Arial" w:cs="Arial" w:eastAsia="Arial" w:hAnsi="Arial"/>
                <w:sz w:val="13"/>
                <w:szCs w:val="13"/>
                <w:color w:val="0000FF"/>
              </w:rPr>
            </w:pPr>
            <w:hyperlink w:anchor="page106">
              <w:r>
                <w:rPr>
                  <w:rFonts w:ascii="Arial" w:cs="Arial" w:eastAsia="Arial" w:hAnsi="Arial"/>
                  <w:sz w:val="13"/>
                  <w:szCs w:val="13"/>
                  <w:color w:val="0000FF"/>
                </w:rPr>
                <w:t>EXHIBIT AND FINANCIAL STATEMENT SCHEDULES</w:t>
              </w:r>
            </w:hyperlink>
          </w:p>
        </w:tc>
        <w:tc>
          <w:tcPr>
            <w:tcW w:w="760" w:type="dxa"/>
            <w:vAlign w:val="bottom"/>
            <w:gridSpan w:val="4"/>
          </w:tcPr>
          <w:p>
            <w:pPr>
              <w:jc w:val="center"/>
              <w:ind w:right="540"/>
              <w:spacing w:after="0" w:line="138" w:lineRule="exact"/>
              <w:rPr>
                <w:rFonts w:ascii="Arial" w:cs="Arial" w:eastAsia="Arial" w:hAnsi="Arial"/>
                <w:sz w:val="13"/>
                <w:szCs w:val="13"/>
                <w:color w:val="0000FF"/>
              </w:rPr>
            </w:pPr>
            <w:hyperlink w:anchor="page106">
              <w:r>
                <w:rPr>
                  <w:rFonts w:ascii="Arial" w:cs="Arial" w:eastAsia="Arial" w:hAnsi="Arial"/>
                  <w:sz w:val="13"/>
                  <w:szCs w:val="13"/>
                  <w:color w:val="0000FF"/>
                </w:rPr>
                <w:t>103</w:t>
              </w:r>
            </w:hyperlink>
          </w:p>
        </w:tc>
      </w:tr>
      <w:tr>
        <w:trPr>
          <w:trHeight w:val="150"/>
        </w:trPr>
        <w:tc>
          <w:tcPr>
            <w:tcW w:w="1220" w:type="dxa"/>
            <w:vAlign w:val="bottom"/>
          </w:tcPr>
          <w:p>
            <w:pPr>
              <w:ind w:left="20"/>
              <w:spacing w:after="0"/>
              <w:rPr>
                <w:sz w:val="20"/>
                <w:szCs w:val="20"/>
                <w:color w:val="auto"/>
              </w:rPr>
            </w:pPr>
            <w:r>
              <w:rPr>
                <w:rFonts w:ascii="Arial" w:cs="Arial" w:eastAsia="Arial" w:hAnsi="Arial"/>
                <w:sz w:val="13"/>
                <w:szCs w:val="13"/>
                <w:color w:val="auto"/>
              </w:rPr>
              <w:t>ITEM 16.</w:t>
            </w:r>
          </w:p>
        </w:tc>
        <w:tc>
          <w:tcPr>
            <w:tcW w:w="1380" w:type="dxa"/>
            <w:vAlign w:val="bottom"/>
            <w:tcBorders>
              <w:top w:val="single" w:sz="8" w:color="0000FF"/>
              <w:bottom w:val="single" w:sz="8" w:color="0000FF"/>
            </w:tcBorders>
            <w:gridSpan w:val="2"/>
          </w:tcPr>
          <w:p>
            <w:pPr>
              <w:spacing w:after="0"/>
              <w:rPr>
                <w:rFonts w:ascii="Arial" w:cs="Arial" w:eastAsia="Arial" w:hAnsi="Arial"/>
                <w:sz w:val="13"/>
                <w:szCs w:val="13"/>
                <w:color w:val="0000FF"/>
                <w:w w:val="97"/>
              </w:rPr>
            </w:pPr>
            <w:hyperlink w:anchor="page108">
              <w:r>
                <w:rPr>
                  <w:rFonts w:ascii="Arial" w:cs="Arial" w:eastAsia="Arial" w:hAnsi="Arial"/>
                  <w:sz w:val="13"/>
                  <w:szCs w:val="13"/>
                  <w:color w:val="0000FF"/>
                  <w:w w:val="97"/>
                </w:rPr>
                <w:t>FORM 10-K SUMMARY</w:t>
              </w:r>
            </w:hyperlink>
          </w:p>
        </w:tc>
        <w:tc>
          <w:tcPr>
            <w:tcW w:w="1720" w:type="dxa"/>
            <w:vAlign w:val="bottom"/>
            <w:tcBorders>
              <w:top w:val="single" w:sz="8" w:color="0000FF"/>
            </w:tcBorders>
            <w:gridSpan w:val="4"/>
          </w:tcPr>
          <w:p>
            <w:pPr>
              <w:spacing w:after="0"/>
              <w:rPr>
                <w:sz w:val="13"/>
                <w:szCs w:val="13"/>
                <w:color w:val="auto"/>
              </w:rPr>
            </w:pPr>
          </w:p>
        </w:tc>
        <w:tc>
          <w:tcPr>
            <w:tcW w:w="6200" w:type="dxa"/>
            <w:vAlign w:val="bottom"/>
            <w:gridSpan w:val="6"/>
          </w:tcPr>
          <w:p>
            <w:pPr>
              <w:spacing w:after="0"/>
              <w:rPr>
                <w:sz w:val="13"/>
                <w:szCs w:val="13"/>
                <w:color w:val="auto"/>
              </w:rPr>
            </w:pPr>
          </w:p>
        </w:tc>
        <w:tc>
          <w:tcPr>
            <w:tcW w:w="220" w:type="dxa"/>
            <w:vAlign w:val="bottom"/>
            <w:tcBorders>
              <w:top w:val="single" w:sz="8" w:color="0000FF"/>
              <w:bottom w:val="single" w:sz="8" w:color="0000FF"/>
            </w:tcBorders>
            <w:gridSpan w:val="3"/>
          </w:tcPr>
          <w:p>
            <w:pPr>
              <w:jc w:val="center"/>
              <w:spacing w:after="0"/>
              <w:rPr>
                <w:rFonts w:ascii="Arial" w:cs="Arial" w:eastAsia="Arial" w:hAnsi="Arial"/>
                <w:sz w:val="13"/>
                <w:szCs w:val="13"/>
                <w:color w:val="0000FF"/>
              </w:rPr>
            </w:pPr>
            <w:hyperlink w:anchor="page108">
              <w:r>
                <w:rPr>
                  <w:rFonts w:ascii="Arial" w:cs="Arial" w:eastAsia="Arial" w:hAnsi="Arial"/>
                  <w:sz w:val="13"/>
                  <w:szCs w:val="13"/>
                  <w:color w:val="0000FF"/>
                </w:rPr>
                <w:t>105</w:t>
              </w:r>
            </w:hyperlink>
          </w:p>
        </w:tc>
        <w:tc>
          <w:tcPr>
            <w:tcW w:w="540" w:type="dxa"/>
            <w:vAlign w:val="bottom"/>
          </w:tcPr>
          <w:p>
            <w:pPr>
              <w:spacing w:after="0"/>
              <w:rPr>
                <w:sz w:val="13"/>
                <w:szCs w:val="13"/>
                <w:color w:val="auto"/>
              </w:rPr>
            </w:pPr>
          </w:p>
        </w:tc>
      </w:tr>
      <w:tr>
        <w:trPr>
          <w:trHeight w:val="150"/>
        </w:trPr>
        <w:tc>
          <w:tcPr>
            <w:tcW w:w="1220" w:type="dxa"/>
            <w:vAlign w:val="bottom"/>
          </w:tcPr>
          <w:p>
            <w:pPr>
              <w:spacing w:after="0"/>
              <w:rPr>
                <w:sz w:val="13"/>
                <w:szCs w:val="13"/>
                <w:color w:val="auto"/>
              </w:rPr>
            </w:pPr>
          </w:p>
        </w:tc>
        <w:tc>
          <w:tcPr>
            <w:tcW w:w="9300" w:type="dxa"/>
            <w:vAlign w:val="bottom"/>
            <w:gridSpan w:val="12"/>
          </w:tcPr>
          <w:p>
            <w:pPr>
              <w:spacing w:after="0"/>
              <w:rPr>
                <w:rFonts w:ascii="Arial" w:cs="Arial" w:eastAsia="Arial" w:hAnsi="Arial"/>
                <w:sz w:val="13"/>
                <w:szCs w:val="13"/>
                <w:color w:val="0000FF"/>
              </w:rPr>
            </w:pPr>
            <w:hyperlink w:anchor="page108">
              <w:r>
                <w:rPr>
                  <w:rFonts w:ascii="Arial" w:cs="Arial" w:eastAsia="Arial" w:hAnsi="Arial"/>
                  <w:sz w:val="13"/>
                  <w:szCs w:val="13"/>
                  <w:color w:val="0000FF"/>
                </w:rPr>
                <w:t>SIGNATURES</w:t>
              </w:r>
            </w:hyperlink>
          </w:p>
        </w:tc>
        <w:tc>
          <w:tcPr>
            <w:tcW w:w="760" w:type="dxa"/>
            <w:vAlign w:val="bottom"/>
            <w:gridSpan w:val="4"/>
          </w:tcPr>
          <w:p>
            <w:pPr>
              <w:jc w:val="center"/>
              <w:ind w:right="540"/>
              <w:spacing w:after="0"/>
              <w:rPr>
                <w:rFonts w:ascii="Arial" w:cs="Arial" w:eastAsia="Arial" w:hAnsi="Arial"/>
                <w:sz w:val="13"/>
                <w:szCs w:val="13"/>
                <w:color w:val="0000FF"/>
              </w:rPr>
            </w:pPr>
            <w:hyperlink w:anchor="page108">
              <w:r>
                <w:rPr>
                  <w:rFonts w:ascii="Arial" w:cs="Arial" w:eastAsia="Arial" w:hAnsi="Arial"/>
                  <w:sz w:val="13"/>
                  <w:szCs w:val="13"/>
                  <w:color w:val="0000FF"/>
                </w:rPr>
                <w:t>106</w:t>
              </w:r>
            </w:hyperlink>
          </w:p>
        </w:tc>
      </w:tr>
      <w:tr>
        <w:trPr>
          <w:trHeight w:val="777"/>
        </w:trPr>
        <w:tc>
          <w:tcPr>
            <w:tcW w:w="1220" w:type="dxa"/>
            <w:vAlign w:val="bottom"/>
            <w:tcBorders>
              <w:bottom w:val="single" w:sz="8" w:color="9A9A9A"/>
            </w:tcBorders>
          </w:tcPr>
          <w:p>
            <w:pPr>
              <w:spacing w:after="0"/>
              <w:rPr>
                <w:sz w:val="24"/>
                <w:szCs w:val="24"/>
                <w:color w:val="auto"/>
              </w:rPr>
            </w:pPr>
          </w:p>
        </w:tc>
        <w:tc>
          <w:tcPr>
            <w:tcW w:w="820" w:type="dxa"/>
            <w:vAlign w:val="bottom"/>
            <w:tcBorders>
              <w:top w:val="single" w:sz="8" w:color="0000FF"/>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69"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3"/>
          <w:szCs w:val="13"/>
          <w:b w:val="1"/>
          <w:bCs w:val="1"/>
          <w:color w:val="auto"/>
        </w:rPr>
        <w:t>CAUTIONARY NOTE REGARDING FORWARD-LOOKING STATEMENTS</w:t>
      </w:r>
    </w:p>
    <w:p>
      <w:pPr>
        <w:spacing w:after="0" w:line="185" w:lineRule="exact"/>
        <w:rPr>
          <w:sz w:val="20"/>
          <w:szCs w:val="20"/>
          <w:color w:val="auto"/>
        </w:rPr>
      </w:pPr>
    </w:p>
    <w:p>
      <w:pPr>
        <w:ind w:right="120"/>
        <w:spacing w:after="0" w:line="239" w:lineRule="auto"/>
        <w:rPr>
          <w:sz w:val="20"/>
          <w:szCs w:val="20"/>
          <w:color w:val="auto"/>
        </w:rPr>
      </w:pPr>
      <w:r>
        <w:rPr>
          <w:rFonts w:ascii="Arial" w:cs="Arial" w:eastAsia="Arial" w:hAnsi="Arial"/>
          <w:sz w:val="13"/>
          <w:szCs w:val="13"/>
          <w:color w:val="auto"/>
        </w:rPr>
        <w:t>This Annual Report on Form 10-K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may be forward-looking statements. Statements regarding our future results of operations and financial position, business strategy and plans and objectives of management for future operations, including, among others, statements regarding our expected growth, future capital expenditures and debt service obligations, are forward-looking statements.</w:t>
      </w:r>
    </w:p>
    <w:p>
      <w:pPr>
        <w:spacing w:after="0" w:line="168" w:lineRule="exact"/>
        <w:rPr>
          <w:sz w:val="20"/>
          <w:szCs w:val="20"/>
          <w:color w:val="auto"/>
        </w:rPr>
      </w:pPr>
    </w:p>
    <w:p>
      <w:pPr>
        <w:ind w:right="120"/>
        <w:spacing w:after="0" w:line="239" w:lineRule="auto"/>
        <w:rPr>
          <w:sz w:val="20"/>
          <w:szCs w:val="20"/>
          <w:color w:val="auto"/>
        </w:rPr>
      </w:pPr>
      <w:r>
        <w:rPr>
          <w:rFonts w:ascii="Arial" w:cs="Arial" w:eastAsia="Arial" w:hAnsi="Arial"/>
          <w:sz w:val="13"/>
          <w:szCs w:val="13"/>
          <w:color w:val="auto"/>
        </w:rPr>
        <w:t>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Annual Report on Form 10-K are only predictions.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68" w:lineRule="exact"/>
        <w:rPr>
          <w:sz w:val="20"/>
          <w:szCs w:val="20"/>
          <w:color w:val="auto"/>
        </w:rPr>
      </w:pPr>
    </w:p>
    <w:p>
      <w:pPr>
        <w:ind w:right="40"/>
        <w:spacing w:after="0" w:line="241" w:lineRule="auto"/>
        <w:rPr>
          <w:sz w:val="20"/>
          <w:szCs w:val="20"/>
          <w:color w:val="auto"/>
        </w:rPr>
      </w:pPr>
      <w:r>
        <w:rPr>
          <w:rFonts w:ascii="Arial" w:cs="Arial" w:eastAsia="Arial" w:hAnsi="Arial"/>
          <w:sz w:val="13"/>
          <w:szCs w:val="13"/>
          <w:color w:val="auto"/>
        </w:rPr>
        <w:t>These forward-looking statements speak only as of the date of this Annual Report on Form 10-K and are subject to a number of important factors that could cause actual results to differ materially from those in the forward-looking statements, including the factors described under the sections in this Annual Report on Form 10-K titled “Summary Risk Factors,” “Risk Factors” and “Management’s Discussion and Analysis of Financial Condition and Results of Operations.”</w:t>
      </w:r>
    </w:p>
    <w:p>
      <w:pPr>
        <w:spacing w:after="0" w:line="165" w:lineRule="exact"/>
        <w:rPr>
          <w:sz w:val="20"/>
          <w:szCs w:val="20"/>
          <w:color w:val="auto"/>
        </w:rPr>
      </w:pPr>
    </w:p>
    <w:p>
      <w:pPr>
        <w:ind w:right="20"/>
        <w:spacing w:after="0" w:line="241" w:lineRule="auto"/>
        <w:rPr>
          <w:sz w:val="20"/>
          <w:szCs w:val="20"/>
          <w:color w:val="auto"/>
        </w:rPr>
      </w:pPr>
      <w:r>
        <w:rPr>
          <w:rFonts w:ascii="Arial" w:cs="Arial" w:eastAsia="Arial" w:hAnsi="Arial"/>
          <w:sz w:val="13"/>
          <w:szCs w:val="13"/>
          <w:color w:val="auto"/>
        </w:rPr>
        <w:t>You should read this Annual Report on Form 10-K and the documents that we reference in this Annual Report on Form 10-K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CERTAIN DEFINITIONS</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As used in this Annual Report on Form 10-K, unless the context otherwise requires:</w:t>
      </w:r>
    </w:p>
    <w:p>
      <w:pPr>
        <w:spacing w:after="0" w:line="157" w:lineRule="exact"/>
        <w:rPr>
          <w:sz w:val="20"/>
          <w:szCs w:val="20"/>
          <w:color w:val="auto"/>
        </w:rPr>
      </w:pPr>
    </w:p>
    <w:p>
      <w:pPr>
        <w:ind w:left="520" w:right="40" w:hanging="260"/>
        <w:spacing w:after="0" w:line="251" w:lineRule="auto"/>
        <w:tabs>
          <w:tab w:leader="none" w:pos="511"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we</w:t>
      </w:r>
      <w:r>
        <w:rPr>
          <w:rFonts w:ascii="Arial" w:cs="Arial" w:eastAsia="Arial" w:hAnsi="Arial"/>
          <w:sz w:val="13"/>
          <w:szCs w:val="13"/>
          <w:color w:val="auto"/>
        </w:rPr>
        <w:t>,” “</w:t>
      </w:r>
      <w:r>
        <w:rPr>
          <w:rFonts w:ascii="Arial" w:cs="Arial" w:eastAsia="Arial" w:hAnsi="Arial"/>
          <w:sz w:val="13"/>
          <w:szCs w:val="13"/>
          <w:i w:val="1"/>
          <w:iCs w:val="1"/>
          <w:color w:val="auto"/>
        </w:rPr>
        <w:t>us</w:t>
      </w:r>
      <w:r>
        <w:rPr>
          <w:rFonts w:ascii="Arial" w:cs="Arial" w:eastAsia="Arial" w:hAnsi="Arial"/>
          <w:sz w:val="13"/>
          <w:szCs w:val="13"/>
          <w:color w:val="auto"/>
        </w:rPr>
        <w:t>,” “</w:t>
      </w:r>
      <w:r>
        <w:rPr>
          <w:rFonts w:ascii="Arial" w:cs="Arial" w:eastAsia="Arial" w:hAnsi="Arial"/>
          <w:sz w:val="13"/>
          <w:szCs w:val="13"/>
          <w:i w:val="1"/>
          <w:iCs w:val="1"/>
          <w:color w:val="auto"/>
        </w:rPr>
        <w:t>our</w:t>
      </w:r>
      <w:r>
        <w:rPr>
          <w:rFonts w:ascii="Arial" w:cs="Arial" w:eastAsia="Arial" w:hAnsi="Arial"/>
          <w:sz w:val="13"/>
          <w:szCs w:val="13"/>
          <w:color w:val="auto"/>
        </w:rPr>
        <w:t>,” the “</w:t>
      </w:r>
      <w:r>
        <w:rPr>
          <w:rFonts w:ascii="Arial" w:cs="Arial" w:eastAsia="Arial" w:hAnsi="Arial"/>
          <w:sz w:val="13"/>
          <w:szCs w:val="13"/>
          <w:i w:val="1"/>
          <w:iCs w:val="1"/>
          <w:color w:val="auto"/>
        </w:rPr>
        <w:t>Company</w:t>
      </w:r>
      <w:r>
        <w:rPr>
          <w:rFonts w:ascii="Arial" w:cs="Arial" w:eastAsia="Arial" w:hAnsi="Arial"/>
          <w:sz w:val="13"/>
          <w:szCs w:val="13"/>
          <w:color w:val="auto"/>
        </w:rPr>
        <w:t>,” “</w:t>
      </w:r>
      <w:r>
        <w:rPr>
          <w:rFonts w:ascii="Arial" w:cs="Arial" w:eastAsia="Arial" w:hAnsi="Arial"/>
          <w:sz w:val="13"/>
          <w:szCs w:val="13"/>
          <w:i w:val="1"/>
          <w:iCs w:val="1"/>
          <w:color w:val="auto"/>
        </w:rPr>
        <w:t>GoHealth</w:t>
      </w:r>
      <w:r>
        <w:rPr>
          <w:rFonts w:ascii="Arial" w:cs="Arial" w:eastAsia="Arial" w:hAnsi="Arial"/>
          <w:sz w:val="13"/>
          <w:szCs w:val="13"/>
          <w:color w:val="auto"/>
        </w:rPr>
        <w:t>” and similar references refer: (1) following the consummation of the Transactions, including our initial public offering, or IPO, to GoHealth, Inc., and, unless otherwise stated, all of its direct and indirect subsidiaries, including GoHealth Holdings, LLC (formerly known as Blizzard Parent, LLC), and (2) prior to the completion of the Transactions, including our IPO, to GoHealth Holdings, LLC and, unless otherwise stated, all of its direct and indirect subsidiaries, or, as applicable, the Predecessor.</w:t>
      </w:r>
    </w:p>
    <w:p>
      <w:pPr>
        <w:spacing w:after="0" w:line="146" w:lineRule="exact"/>
        <w:rPr>
          <w:rFonts w:ascii="Arial" w:cs="Arial" w:eastAsia="Arial" w:hAnsi="Arial"/>
          <w:sz w:val="13"/>
          <w:szCs w:val="13"/>
          <w:color w:val="auto"/>
        </w:rPr>
      </w:pPr>
    </w:p>
    <w:p>
      <w:pPr>
        <w:ind w:left="520" w:right="640" w:hanging="260"/>
        <w:spacing w:after="0" w:line="263" w:lineRule="auto"/>
        <w:tabs>
          <w:tab w:leader="none" w:pos="511"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Blocker Company</w:t>
      </w:r>
      <w:r>
        <w:rPr>
          <w:rFonts w:ascii="Arial" w:cs="Arial" w:eastAsia="Arial" w:hAnsi="Arial"/>
          <w:sz w:val="13"/>
          <w:szCs w:val="13"/>
          <w:color w:val="auto"/>
        </w:rPr>
        <w:t>” refers to an entity affiliated with Centerbridge that was an indirect owner of LLC Interests in GoHealth Holdings, LLC prior to the Transactions and is taxable as a corporation for U.S. federal income tax purposes.</w:t>
      </w:r>
    </w:p>
    <w:p>
      <w:pPr>
        <w:spacing w:after="0" w:line="139" w:lineRule="exact"/>
        <w:rPr>
          <w:rFonts w:ascii="Arial" w:cs="Arial" w:eastAsia="Arial" w:hAnsi="Arial"/>
          <w:sz w:val="13"/>
          <w:szCs w:val="13"/>
          <w:color w:val="auto"/>
        </w:rPr>
      </w:pPr>
    </w:p>
    <w:p>
      <w:pPr>
        <w:ind w:left="520" w:right="240" w:hanging="260"/>
        <w:spacing w:after="0" w:line="263" w:lineRule="auto"/>
        <w:tabs>
          <w:tab w:leader="none" w:pos="511"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Blocker Shareholders</w:t>
      </w:r>
      <w:r>
        <w:rPr>
          <w:rFonts w:ascii="Arial" w:cs="Arial" w:eastAsia="Arial" w:hAnsi="Arial"/>
          <w:sz w:val="13"/>
          <w:szCs w:val="13"/>
          <w:color w:val="auto"/>
        </w:rPr>
        <w:t>” refer to entities affiliated with Centerbridge, the owners of the Blocker Company prior to the Transactions, who exchanged their interests in the Blocker Company for shares of our Class A common stock and cash in connection with the consummation of the Transactions.</w:t>
      </w:r>
    </w:p>
    <w:p>
      <w:pPr>
        <w:spacing w:after="0" w:line="139" w:lineRule="exact"/>
        <w:rPr>
          <w:rFonts w:ascii="Arial" w:cs="Arial" w:eastAsia="Arial" w:hAnsi="Arial"/>
          <w:sz w:val="13"/>
          <w:szCs w:val="13"/>
          <w:color w:val="auto"/>
        </w:rPr>
      </w:pPr>
    </w:p>
    <w:p>
      <w:pPr>
        <w:ind w:left="520" w:right="180" w:hanging="260"/>
        <w:spacing w:after="0" w:line="305" w:lineRule="auto"/>
        <w:tabs>
          <w:tab w:leader="none" w:pos="511" w:val="left"/>
        </w:tabs>
        <w:numPr>
          <w:ilvl w:val="0"/>
          <w:numId w:val="3"/>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i w:val="1"/>
          <w:iCs w:val="1"/>
          <w:color w:val="auto"/>
        </w:rPr>
        <w:t>Centerbridge</w:t>
      </w:r>
      <w:r>
        <w:rPr>
          <w:rFonts w:ascii="Arial" w:cs="Arial" w:eastAsia="Arial" w:hAnsi="Arial"/>
          <w:sz w:val="12"/>
          <w:szCs w:val="12"/>
          <w:color w:val="auto"/>
        </w:rPr>
        <w:t>” refers to Centerbridge Capital Partners III, L.P., our sponsor and a Delaware limited partnership, certain funds affiliated with Centerbridge Capital Partners III, L.P. and other entities over which Centerbridge Capital Partners III, L.P. has voting control (including any such fund or entity formed to hold shares of Class A common stock for the Blocker Shareholders).</w:t>
      </w:r>
    </w:p>
    <w:p>
      <w:pPr>
        <w:spacing w:after="0" w:line="116" w:lineRule="exact"/>
        <w:rPr>
          <w:rFonts w:ascii="Arial" w:cs="Arial" w:eastAsia="Arial" w:hAnsi="Arial"/>
          <w:sz w:val="12"/>
          <w:szCs w:val="12"/>
          <w:color w:val="auto"/>
        </w:rPr>
      </w:pPr>
    </w:p>
    <w:p>
      <w:pPr>
        <w:ind w:left="520" w:right="280" w:hanging="260"/>
        <w:spacing w:after="0" w:line="263" w:lineRule="auto"/>
        <w:tabs>
          <w:tab w:leader="none" w:pos="511"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Centerbridge Acquisition</w:t>
      </w:r>
      <w:r>
        <w:rPr>
          <w:rFonts w:ascii="Arial" w:cs="Arial" w:eastAsia="Arial" w:hAnsi="Arial"/>
          <w:sz w:val="13"/>
          <w:szCs w:val="13"/>
          <w:color w:val="auto"/>
        </w:rPr>
        <w:t xml:space="preserve">” or </w:t>
      </w:r>
      <w:r>
        <w:rPr>
          <w:rFonts w:ascii="Arial" w:cs="Arial" w:eastAsia="Arial" w:hAnsi="Arial"/>
          <w:sz w:val="13"/>
          <w:szCs w:val="13"/>
          <w:i w:val="1"/>
          <w:iCs w:val="1"/>
          <w:color w:val="auto"/>
        </w:rPr>
        <w:t>“Acquisition”</w:t>
      </w:r>
      <w:r>
        <w:rPr>
          <w:rFonts w:ascii="Arial" w:cs="Arial" w:eastAsia="Arial" w:hAnsi="Arial"/>
          <w:sz w:val="13"/>
          <w:szCs w:val="13"/>
          <w:color w:val="auto"/>
        </w:rPr>
        <w:t xml:space="preserve"> refers to the acquisition, on September 13, 2019, by Centerbridge, indirectly through a subsidiary of GoHealth Holdings, LLC (formerly known as Blizzard Parent, LLC), an entity formed in contemplation of the acquisition, of a 100% interest in Norvax.</w:t>
      </w:r>
    </w:p>
    <w:p>
      <w:pPr>
        <w:spacing w:after="0" w:line="139" w:lineRule="exact"/>
        <w:rPr>
          <w:rFonts w:ascii="Arial" w:cs="Arial" w:eastAsia="Arial" w:hAnsi="Arial"/>
          <w:sz w:val="13"/>
          <w:szCs w:val="13"/>
          <w:color w:val="auto"/>
        </w:rPr>
      </w:pPr>
    </w:p>
    <w:p>
      <w:pPr>
        <w:ind w:left="520" w:right="80" w:hanging="260"/>
        <w:spacing w:after="0" w:line="243" w:lineRule="auto"/>
        <w:tabs>
          <w:tab w:leader="none" w:pos="511"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Continuing Equity Owners</w:t>
      </w:r>
      <w:r>
        <w:rPr>
          <w:rFonts w:ascii="Arial" w:cs="Arial" w:eastAsia="Arial" w:hAnsi="Arial"/>
          <w:sz w:val="13"/>
          <w:szCs w:val="13"/>
          <w:color w:val="auto"/>
        </w:rPr>
        <w:t>” refer collectively to direct or indirect holders of LLC Interests and our Class B common stock immediately following consummation of the Transactions, including Centerbridge, Norwest, NVX Holdings, our Founders, the Former Profits Unit Holders and certain executive officers, employees and other minority investors and their respective permitted transferees who may, following the consummation of our IPO, exchange at each of their respective options (subject in certain circumstances to time-based vesting requirements and certain other restrictions), in whole or in part from time to time, their LLC Interests (along with an equal number of shares of Class B common stock (and such shares shall be immediately cancelled)) for, at our election (determined solely by our independent directors (within the meaning of the listing rules of The Nasdaq Global Market (the “Nasdaq rules”)) who are disinterested), cash or newly-issued shares of our Class A common stock.</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643"/>
              <w:spacing w:after="0"/>
              <w:rPr>
                <w:sz w:val="20"/>
                <w:szCs w:val="20"/>
                <w:color w:val="auto"/>
              </w:rPr>
            </w:pPr>
            <w:r>
              <w:rPr>
                <w:rFonts w:ascii="Arial" w:cs="Arial" w:eastAsia="Arial" w:hAnsi="Arial"/>
                <w:sz w:val="11"/>
                <w:szCs w:val="11"/>
                <w:color w:val="auto"/>
              </w:rPr>
              <w:t>1</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69" w:right="319" w:bottom="1440" w:gutter="0" w:footer="0" w:header="0"/>
        </w:sectPr>
      </w:pPr>
    </w:p>
    <w:bookmarkStart w:id="4" w:name="page5"/>
    <w:bookmarkEnd w:id="4"/>
    <w:p>
      <w:pPr>
        <w:ind w:left="520" w:right="440" w:hanging="260"/>
        <w:spacing w:after="0" w:line="263"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Founders</w:t>
      </w:r>
      <w:r>
        <w:rPr>
          <w:rFonts w:ascii="Arial" w:cs="Arial" w:eastAsia="Arial" w:hAnsi="Arial"/>
          <w:sz w:val="13"/>
          <w:szCs w:val="13"/>
          <w:color w:val="auto"/>
        </w:rPr>
        <w:t>” refer to Brandon M. Cruz, our Co-Founder and Chief Strategy Officer and Special Advisor to the Executive Team, and Clinton P. Jones, our Co-Founder and Chief Executive Officer.</w:t>
      </w:r>
    </w:p>
    <w:p>
      <w:pPr>
        <w:spacing w:after="0" w:line="139" w:lineRule="exact"/>
        <w:rPr>
          <w:rFonts w:ascii="Arial" w:cs="Arial" w:eastAsia="Arial" w:hAnsi="Arial"/>
          <w:sz w:val="13"/>
          <w:szCs w:val="13"/>
          <w:color w:val="auto"/>
        </w:rPr>
      </w:pPr>
    </w:p>
    <w:p>
      <w:pPr>
        <w:ind w:left="520" w:right="20" w:hanging="260"/>
        <w:spacing w:after="0" w:line="244"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Former Profits Unit Holders</w:t>
      </w:r>
      <w:r>
        <w:rPr>
          <w:rFonts w:ascii="Arial" w:cs="Arial" w:eastAsia="Arial" w:hAnsi="Arial"/>
          <w:sz w:val="13"/>
          <w:szCs w:val="13"/>
          <w:color w:val="auto"/>
        </w:rPr>
        <w:t>” refers collectively to certain of our directors and certain current and former officers and employees, in each case, who directly or indirectly held existing vested and unvested profits units, which were comprised of profits units that have time-based vesting conditions and profits units that have performance-based vesting conditions, of GoHealth Holdings, LLC pursuant to GoHealth Holdings, LLC’s existing profits unit plan and who received LLC Interests in exchange for their profits units in connection with the Transactions. LLC Interests received in exchange for unvested profits units remain subject to their existing time-based vesting requirements. Profit units with performance-based vesting conditions fully vested as such conditions were met in connection with our IPO.</w:t>
      </w:r>
    </w:p>
    <w:p>
      <w:pPr>
        <w:spacing w:after="0" w:line="152" w:lineRule="exact"/>
        <w:rPr>
          <w:rFonts w:ascii="Arial" w:cs="Arial" w:eastAsia="Arial" w:hAnsi="Arial"/>
          <w:sz w:val="13"/>
          <w:szCs w:val="13"/>
          <w:color w:val="auto"/>
        </w:rPr>
      </w:pPr>
    </w:p>
    <w:p>
      <w:pPr>
        <w:ind w:left="520" w:right="20" w:hanging="260"/>
        <w:spacing w:after="0" w:line="263"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GoHealth Holdings, LLC Agreement</w:t>
      </w:r>
      <w:r>
        <w:rPr>
          <w:rFonts w:ascii="Arial" w:cs="Arial" w:eastAsia="Arial" w:hAnsi="Arial"/>
          <w:sz w:val="13"/>
          <w:szCs w:val="13"/>
          <w:color w:val="auto"/>
        </w:rPr>
        <w:t>” refers to GoHealth Holdings, LLC’s amended and restated limited liability company agreement, as further amended, which became effective substantially concurrently with or prior to the consummation of our IPO.</w:t>
      </w:r>
    </w:p>
    <w:p>
      <w:pPr>
        <w:spacing w:after="0" w:line="139" w:lineRule="exact"/>
        <w:rPr>
          <w:rFonts w:ascii="Arial" w:cs="Arial" w:eastAsia="Arial" w:hAnsi="Arial"/>
          <w:sz w:val="13"/>
          <w:szCs w:val="13"/>
          <w:color w:val="auto"/>
        </w:rPr>
      </w:pP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LLC Interests</w:t>
      </w:r>
      <w:r>
        <w:rPr>
          <w:rFonts w:ascii="Arial" w:cs="Arial" w:eastAsia="Arial" w:hAnsi="Arial"/>
          <w:sz w:val="13"/>
          <w:szCs w:val="13"/>
          <w:color w:val="auto"/>
        </w:rPr>
        <w:t>” refer to the common units of GoHealth Holdings, LLC, including those that we purchased with a portion of the net proceeds from our IPO.</w:t>
      </w:r>
    </w:p>
    <w:p>
      <w:pPr>
        <w:spacing w:after="0" w:line="168" w:lineRule="exact"/>
        <w:rPr>
          <w:rFonts w:ascii="Arial" w:cs="Arial" w:eastAsia="Arial" w:hAnsi="Arial"/>
          <w:sz w:val="13"/>
          <w:szCs w:val="13"/>
          <w:color w:val="auto"/>
        </w:rPr>
      </w:pP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Norwest</w:t>
      </w:r>
      <w:r>
        <w:rPr>
          <w:rFonts w:ascii="Arial" w:cs="Arial" w:eastAsia="Arial" w:hAnsi="Arial"/>
          <w:sz w:val="13"/>
          <w:szCs w:val="13"/>
          <w:color w:val="auto"/>
        </w:rPr>
        <w:t>” refers to Norwest Equity Partners and certain funds affiliated with Norwest Equity Partners.</w:t>
      </w:r>
    </w:p>
    <w:p>
      <w:pPr>
        <w:spacing w:after="0" w:line="168" w:lineRule="exact"/>
        <w:rPr>
          <w:rFonts w:ascii="Arial" w:cs="Arial" w:eastAsia="Arial" w:hAnsi="Arial"/>
          <w:sz w:val="13"/>
          <w:szCs w:val="13"/>
          <w:color w:val="auto"/>
        </w:rPr>
      </w:pP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Norvax</w:t>
      </w:r>
      <w:r>
        <w:rPr>
          <w:rFonts w:ascii="Arial" w:cs="Arial" w:eastAsia="Arial" w:hAnsi="Arial"/>
          <w:sz w:val="13"/>
          <w:szCs w:val="13"/>
          <w:color w:val="auto"/>
        </w:rPr>
        <w:t>” or “</w:t>
      </w:r>
      <w:r>
        <w:rPr>
          <w:rFonts w:ascii="Arial" w:cs="Arial" w:eastAsia="Arial" w:hAnsi="Arial"/>
          <w:sz w:val="13"/>
          <w:szCs w:val="13"/>
          <w:i w:val="1"/>
          <w:iCs w:val="1"/>
          <w:color w:val="auto"/>
        </w:rPr>
        <w:t>Predecessor</w:t>
      </w:r>
      <w:r>
        <w:rPr>
          <w:rFonts w:ascii="Arial" w:cs="Arial" w:eastAsia="Arial" w:hAnsi="Arial"/>
          <w:sz w:val="13"/>
          <w:szCs w:val="13"/>
          <w:color w:val="auto"/>
        </w:rPr>
        <w:t>” refers to Norvax, LLC, a Delaware limited liability company and a subsidiary of GoHealth Holdings, LLC.</w:t>
      </w:r>
    </w:p>
    <w:p>
      <w:pPr>
        <w:spacing w:after="0" w:line="168" w:lineRule="exact"/>
        <w:rPr>
          <w:rFonts w:ascii="Arial" w:cs="Arial" w:eastAsia="Arial" w:hAnsi="Arial"/>
          <w:sz w:val="13"/>
          <w:szCs w:val="13"/>
          <w:color w:val="auto"/>
        </w:rPr>
      </w:pP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NVX Holdings</w:t>
      </w:r>
      <w:r>
        <w:rPr>
          <w:rFonts w:ascii="Arial" w:cs="Arial" w:eastAsia="Arial" w:hAnsi="Arial"/>
          <w:sz w:val="13"/>
          <w:szCs w:val="13"/>
          <w:color w:val="auto"/>
        </w:rPr>
        <w:t>” refers to NVX Holdings, Inc., a Delaware corporation that is controlled by the Founders.</w:t>
      </w:r>
    </w:p>
    <w:p>
      <w:pPr>
        <w:spacing w:after="0" w:line="168" w:lineRule="exact"/>
        <w:rPr>
          <w:rFonts w:ascii="Arial" w:cs="Arial" w:eastAsia="Arial" w:hAnsi="Arial"/>
          <w:sz w:val="13"/>
          <w:szCs w:val="13"/>
          <w:color w:val="auto"/>
        </w:rPr>
      </w:pPr>
    </w:p>
    <w:p>
      <w:pPr>
        <w:ind w:left="520" w:right="120" w:hanging="260"/>
        <w:spacing w:after="0" w:line="263"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Original Equity Owners</w:t>
      </w:r>
      <w:r>
        <w:rPr>
          <w:rFonts w:ascii="Arial" w:cs="Arial" w:eastAsia="Arial" w:hAnsi="Arial"/>
          <w:sz w:val="13"/>
          <w:szCs w:val="13"/>
          <w:color w:val="auto"/>
        </w:rPr>
        <w:t>” refer to the owners of LLC Interests in GoHealth Holdings, LLC prior to the consummation of the Transactions, collectively, which include Centerbridge, Norwest, our Founders and certain executive officers, employees and other minority investors.</w:t>
      </w:r>
    </w:p>
    <w:p>
      <w:pPr>
        <w:spacing w:after="0" w:line="139" w:lineRule="exact"/>
        <w:rPr>
          <w:rFonts w:ascii="Arial" w:cs="Arial" w:eastAsia="Arial" w:hAnsi="Arial"/>
          <w:sz w:val="13"/>
          <w:szCs w:val="13"/>
          <w:color w:val="auto"/>
        </w:rPr>
      </w:pP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Predecessor 2019 Period</w:t>
      </w:r>
      <w:r>
        <w:rPr>
          <w:rFonts w:ascii="Arial" w:cs="Arial" w:eastAsia="Arial" w:hAnsi="Arial"/>
          <w:sz w:val="13"/>
          <w:szCs w:val="13"/>
          <w:color w:val="auto"/>
        </w:rPr>
        <w:t>” refers to the period preceding the Centerbridge Acquisition from January 1, 2019 through September 12, 2019.</w:t>
      </w:r>
    </w:p>
    <w:p>
      <w:pPr>
        <w:spacing w:after="0" w:line="168" w:lineRule="exact"/>
        <w:rPr>
          <w:rFonts w:ascii="Arial" w:cs="Arial" w:eastAsia="Arial" w:hAnsi="Arial"/>
          <w:sz w:val="13"/>
          <w:szCs w:val="13"/>
          <w:color w:val="auto"/>
        </w:rPr>
      </w:pP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Successor 2019 Period</w:t>
      </w:r>
      <w:r>
        <w:rPr>
          <w:rFonts w:ascii="Arial" w:cs="Arial" w:eastAsia="Arial" w:hAnsi="Arial"/>
          <w:sz w:val="13"/>
          <w:szCs w:val="13"/>
          <w:color w:val="auto"/>
        </w:rPr>
        <w:t>” refers to the period succeeding the Centerbridge Acquisition from September 13, 2019 through December 31, 2019.</w:t>
      </w:r>
    </w:p>
    <w:p>
      <w:pPr>
        <w:spacing w:after="0" w:line="168" w:lineRule="exact"/>
        <w:rPr>
          <w:rFonts w:ascii="Arial" w:cs="Arial" w:eastAsia="Arial" w:hAnsi="Arial"/>
          <w:sz w:val="13"/>
          <w:szCs w:val="13"/>
          <w:color w:val="auto"/>
        </w:rPr>
      </w:pPr>
    </w:p>
    <w:p>
      <w:pPr>
        <w:ind w:left="520" w:right="680" w:hanging="260"/>
        <w:spacing w:after="0" w:line="263"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Transactions</w:t>
      </w:r>
      <w:r>
        <w:rPr>
          <w:rFonts w:ascii="Arial" w:cs="Arial" w:eastAsia="Arial" w:hAnsi="Arial"/>
          <w:sz w:val="13"/>
          <w:szCs w:val="13"/>
          <w:color w:val="auto"/>
        </w:rPr>
        <w:t>” refer to our IPO and certain organizational transactions that were effected in connection with our IPO, and the application of the net proceeds therefrom. See Note 1, “Description of Business and Significant Accounting Policies,” to the Consolidated Financial Statements for a description of the Transactions.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color w:val="auto"/>
        </w:rPr>
        <w:t>GoHealth, Inc. is a holding company and the sole managing member of GoHealth Holdings, LLC, and its principal asset consists of LLC Interests.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All dollars and share amounts, except per share amounts, disclosed in this Annual Report on Form 10-K are stated in thousands unless otherwise noted.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SUMMARY RISK FACTORS</w:t>
      </w:r>
    </w:p>
    <w:p>
      <w:pPr>
        <w:spacing w:after="0" w:line="185" w:lineRule="exact"/>
        <w:rPr>
          <w:sz w:val="20"/>
          <w:szCs w:val="20"/>
          <w:color w:val="auto"/>
        </w:rPr>
      </w:pPr>
    </w:p>
    <w:p>
      <w:pPr>
        <w:ind w:right="160"/>
        <w:spacing w:after="0" w:line="244" w:lineRule="auto"/>
        <w:rPr>
          <w:sz w:val="20"/>
          <w:szCs w:val="20"/>
          <w:color w:val="auto"/>
        </w:rPr>
      </w:pPr>
      <w:r>
        <w:rPr>
          <w:rFonts w:ascii="Arial" w:cs="Arial" w:eastAsia="Arial" w:hAnsi="Arial"/>
          <w:sz w:val="13"/>
          <w:szCs w:val="13"/>
          <w:color w:val="auto"/>
        </w:rPr>
        <w:t>Our business is subject to numerous risks and uncertainties, including those described in Part I, Item 1A. “Risk Factors” in this Annual Report on Form 10-K. You should carefully consider these risks and uncertainties when investing in our Class A common stock. The principal risks and uncertainties affecting our business include the following:</w:t>
      </w:r>
    </w:p>
    <w:p>
      <w:pPr>
        <w:spacing w:after="0" w:line="163" w:lineRule="exact"/>
        <w:rPr>
          <w:sz w:val="20"/>
          <w:szCs w:val="20"/>
          <w:color w:val="auto"/>
        </w:rPr>
      </w:pP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marketing and sale of Medicare plans are subject to numerous, complex and frequently changing laws, regulations and guidelines;</w:t>
      </w:r>
    </w:p>
    <w:p>
      <w:pPr>
        <w:spacing w:after="0" w:line="168" w:lineRule="exact"/>
        <w:rPr>
          <w:rFonts w:ascii="Arial" w:cs="Arial" w:eastAsia="Arial" w:hAnsi="Arial"/>
          <w:sz w:val="13"/>
          <w:szCs w:val="13"/>
          <w:color w:val="auto"/>
        </w:rPr>
      </w:pP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business may be harmed if we lose our relationships with carriers or if our relationships with carriers change;</w:t>
      </w:r>
    </w:p>
    <w:p>
      <w:pPr>
        <w:spacing w:after="0" w:line="168" w:lineRule="exact"/>
        <w:rPr>
          <w:rFonts w:ascii="Arial" w:cs="Arial" w:eastAsia="Arial" w:hAnsi="Arial"/>
          <w:sz w:val="13"/>
          <w:szCs w:val="13"/>
          <w:color w:val="auto"/>
        </w:rPr>
      </w:pP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failure to grow our customer base or retain our existing customers;</w:t>
      </w:r>
    </w:p>
    <w:p>
      <w:pPr>
        <w:spacing w:after="0" w:line="168" w:lineRule="exact"/>
        <w:rPr>
          <w:rFonts w:ascii="Arial" w:cs="Arial" w:eastAsia="Arial" w:hAnsi="Arial"/>
          <w:sz w:val="13"/>
          <w:szCs w:val="13"/>
          <w:color w:val="auto"/>
        </w:rPr>
      </w:pPr>
    </w:p>
    <w:p>
      <w:pPr>
        <w:ind w:left="520" w:right="60" w:hanging="260"/>
        <w:spacing w:after="0" w:line="244" w:lineRule="auto"/>
        <w:tabs>
          <w:tab w:leader="none" w:pos="511" w:val="left"/>
        </w:tabs>
        <w:numPr>
          <w:ilvl w:val="0"/>
          <w:numId w:val="5"/>
        </w:numPr>
        <w:rPr>
          <w:rFonts w:ascii="Arial" w:cs="Arial" w:eastAsia="Arial" w:hAnsi="Arial"/>
          <w:sz w:val="13"/>
          <w:szCs w:val="13"/>
          <w:color w:val="auto"/>
        </w:rPr>
      </w:pPr>
      <w:r>
        <w:rPr>
          <w:rFonts w:ascii="Arial" w:cs="Arial" w:eastAsia="Arial" w:hAnsi="Arial"/>
          <w:sz w:val="13"/>
          <w:szCs w:val="13"/>
          <w:color w:val="auto"/>
        </w:rPr>
        <w:t>Carriers may reduce the commissions paid to us and change their underwriting practices in ways that reduce the number of, or impact the renewal or approval rates of, insurance policies sold through our platform;</w:t>
      </w:r>
    </w:p>
    <w:p>
      <w:pPr>
        <w:spacing w:after="0" w:line="162" w:lineRule="exact"/>
        <w:rPr>
          <w:rFonts w:ascii="Arial" w:cs="Arial" w:eastAsia="Arial" w:hAnsi="Arial"/>
          <w:sz w:val="13"/>
          <w:szCs w:val="13"/>
          <w:color w:val="auto"/>
        </w:rPr>
      </w:pP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We currently depend on a small group of carriers for a substantial portion of our revenue;</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643"/>
              <w:spacing w:after="0"/>
              <w:rPr>
                <w:sz w:val="20"/>
                <w:szCs w:val="20"/>
                <w:color w:val="auto"/>
              </w:rPr>
            </w:pPr>
            <w:r>
              <w:rPr>
                <w:rFonts w:ascii="Arial" w:cs="Arial" w:eastAsia="Arial" w:hAnsi="Arial"/>
                <w:sz w:val="11"/>
                <w:szCs w:val="11"/>
                <w:color w:val="auto"/>
              </w:rPr>
              <w:t>2</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5" w:name="page6"/>
    <w:bookmarkEnd w:id="5"/>
    <w:p>
      <w:pPr>
        <w:ind w:left="500" w:hanging="240"/>
        <w:spacing w:after="0"/>
        <w:tabs>
          <w:tab w:leader="none" w:pos="50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Information technology system failures could interrupt our operations;</w:t>
      </w:r>
    </w:p>
    <w:p>
      <w:pPr>
        <w:spacing w:after="0" w:line="168" w:lineRule="exact"/>
        <w:rPr>
          <w:rFonts w:ascii="Arial" w:cs="Arial" w:eastAsia="Arial" w:hAnsi="Arial"/>
          <w:sz w:val="13"/>
          <w:szCs w:val="13"/>
          <w:color w:val="auto"/>
        </w:rPr>
      </w:pPr>
    </w:p>
    <w:p>
      <w:pPr>
        <w:ind w:left="500" w:hanging="240"/>
        <w:spacing w:after="0"/>
        <w:tabs>
          <w:tab w:leader="none" w:pos="500" w:val="left"/>
        </w:tabs>
        <w:numPr>
          <w:ilvl w:val="0"/>
          <w:numId w:val="6"/>
        </w:numPr>
        <w:rPr>
          <w:rFonts w:ascii="Arial" w:cs="Arial" w:eastAsia="Arial" w:hAnsi="Arial"/>
          <w:sz w:val="13"/>
          <w:szCs w:val="13"/>
          <w:color w:val="auto"/>
        </w:rPr>
      </w:pPr>
      <w:r>
        <w:rPr>
          <w:rFonts w:ascii="Arial" w:cs="Arial" w:eastAsia="Arial" w:hAnsi="Arial"/>
          <w:sz w:val="13"/>
          <w:szCs w:val="13"/>
          <w:color w:val="auto"/>
        </w:rPr>
        <w:t>Factors that impact our estimate of LTV (as defined below);</w:t>
      </w:r>
    </w:p>
    <w:p>
      <w:pPr>
        <w:spacing w:after="0" w:line="168" w:lineRule="exact"/>
        <w:rPr>
          <w:rFonts w:ascii="Arial" w:cs="Arial" w:eastAsia="Arial" w:hAnsi="Arial"/>
          <w:sz w:val="13"/>
          <w:szCs w:val="13"/>
          <w:color w:val="auto"/>
        </w:rPr>
      </w:pPr>
    </w:p>
    <w:p>
      <w:pPr>
        <w:ind w:left="500" w:hanging="240"/>
        <w:spacing w:after="0"/>
        <w:tabs>
          <w:tab w:leader="none" w:pos="500" w:val="left"/>
        </w:tabs>
        <w:numPr>
          <w:ilvl w:val="0"/>
          <w:numId w:val="6"/>
        </w:numPr>
        <w:rPr>
          <w:rFonts w:ascii="Arial" w:cs="Arial" w:eastAsia="Arial" w:hAnsi="Arial"/>
          <w:sz w:val="13"/>
          <w:szCs w:val="13"/>
          <w:color w:val="auto"/>
        </w:rPr>
      </w:pPr>
      <w:r>
        <w:rPr>
          <w:rFonts w:ascii="Arial" w:cs="Arial" w:eastAsia="Arial" w:hAnsi="Arial"/>
          <w:sz w:val="13"/>
          <w:szCs w:val="13"/>
          <w:color w:val="auto"/>
        </w:rPr>
        <w:t>Our ability to sell Medicare-related health insurance plans is largely dependent on our licensed health insurance agents;</w:t>
      </w:r>
    </w:p>
    <w:p>
      <w:pPr>
        <w:spacing w:after="0" w:line="168" w:lineRule="exact"/>
        <w:rPr>
          <w:rFonts w:ascii="Arial" w:cs="Arial" w:eastAsia="Arial" w:hAnsi="Arial"/>
          <w:sz w:val="13"/>
          <w:szCs w:val="13"/>
          <w:color w:val="auto"/>
        </w:rPr>
      </w:pPr>
    </w:p>
    <w:p>
      <w:pPr>
        <w:ind w:left="500" w:hanging="240"/>
        <w:spacing w:after="0"/>
        <w:tabs>
          <w:tab w:leader="none" w:pos="500" w:val="left"/>
        </w:tabs>
        <w:numPr>
          <w:ilvl w:val="0"/>
          <w:numId w:val="6"/>
        </w:numPr>
        <w:rPr>
          <w:rFonts w:ascii="Arial" w:cs="Arial" w:eastAsia="Arial" w:hAnsi="Arial"/>
          <w:sz w:val="13"/>
          <w:szCs w:val="13"/>
          <w:color w:val="auto"/>
        </w:rPr>
      </w:pPr>
      <w:r>
        <w:rPr>
          <w:rFonts w:ascii="Arial" w:cs="Arial" w:eastAsia="Arial" w:hAnsi="Arial"/>
          <w:sz w:val="13"/>
          <w:szCs w:val="13"/>
          <w:color w:val="auto"/>
        </w:rPr>
        <w:t>Operating and growing our business may require additional capital;</w:t>
      </w:r>
    </w:p>
    <w:p>
      <w:pPr>
        <w:spacing w:after="0" w:line="168" w:lineRule="exact"/>
        <w:rPr>
          <w:rFonts w:ascii="Arial" w:cs="Arial" w:eastAsia="Arial" w:hAnsi="Arial"/>
          <w:sz w:val="13"/>
          <w:szCs w:val="13"/>
          <w:color w:val="auto"/>
        </w:rPr>
      </w:pPr>
    </w:p>
    <w:p>
      <w:pPr>
        <w:ind w:left="500" w:hanging="240"/>
        <w:spacing w:after="0"/>
        <w:tabs>
          <w:tab w:leader="none" w:pos="500" w:val="left"/>
        </w:tabs>
        <w:numPr>
          <w:ilvl w:val="0"/>
          <w:numId w:val="6"/>
        </w:numPr>
        <w:rPr>
          <w:rFonts w:ascii="Arial" w:cs="Arial" w:eastAsia="Arial" w:hAnsi="Arial"/>
          <w:sz w:val="13"/>
          <w:szCs w:val="13"/>
          <w:color w:val="auto"/>
        </w:rPr>
      </w:pPr>
      <w:r>
        <w:rPr>
          <w:rFonts w:ascii="Arial" w:cs="Arial" w:eastAsia="Arial" w:hAnsi="Arial"/>
          <w:sz w:val="13"/>
          <w:szCs w:val="13"/>
          <w:color w:val="auto"/>
        </w:rPr>
        <w:t>We may lose key employees or fail to attract qualified employees;</w:t>
      </w:r>
    </w:p>
    <w:p>
      <w:pPr>
        <w:spacing w:after="0" w:line="168" w:lineRule="exact"/>
        <w:rPr>
          <w:rFonts w:ascii="Arial" w:cs="Arial" w:eastAsia="Arial" w:hAnsi="Arial"/>
          <w:sz w:val="13"/>
          <w:szCs w:val="13"/>
          <w:color w:val="auto"/>
        </w:rPr>
      </w:pPr>
    </w:p>
    <w:p>
      <w:pPr>
        <w:ind w:left="500" w:hanging="240"/>
        <w:spacing w:after="0"/>
        <w:tabs>
          <w:tab w:leader="none" w:pos="50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Founders and Centerbridge have significant influence over us, including control over decisions that require the approval of stockholders.</w:t>
      </w:r>
    </w:p>
    <w:p>
      <w:pPr>
        <w:spacing w:after="0" w:line="152" w:lineRule="exact"/>
        <w:rPr>
          <w:rFonts w:ascii="Arial" w:cs="Arial" w:eastAsia="Arial" w:hAnsi="Arial"/>
          <w:sz w:val="13"/>
          <w:szCs w:val="13"/>
          <w:color w:val="auto"/>
        </w:rPr>
      </w:pPr>
    </w:p>
    <w:p>
      <w:pPr>
        <w:ind w:left="3060"/>
        <w:spacing w:after="0"/>
        <w:rPr>
          <w:rFonts w:ascii="Arial" w:cs="Arial" w:eastAsia="Arial" w:hAnsi="Arial"/>
          <w:sz w:val="13"/>
          <w:szCs w:val="13"/>
          <w:color w:val="auto"/>
        </w:rPr>
      </w:pPr>
      <w:r>
        <w:rPr>
          <w:rFonts w:ascii="Arial" w:cs="Arial" w:eastAsia="Arial" w:hAnsi="Arial"/>
          <w:sz w:val="13"/>
          <w:szCs w:val="13"/>
          <w:b w:val="1"/>
          <w:bCs w:val="1"/>
          <w:color w:val="auto"/>
        </w:rPr>
        <w:t>KEY TERMS AND PERFORMANCE INDICATORS; NON-GAAP FINANCIAL MEASURES</w:t>
      </w:r>
    </w:p>
    <w:p>
      <w:pPr>
        <w:spacing w:after="0" w:line="185"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color w:val="auto"/>
        </w:rPr>
        <w:t>Throughout this Annual Report on Form 10-K, we use a number of key terms and provide a number of key performance indicators used by management. We define these terms and key performance indicators as follows:</w:t>
      </w:r>
    </w:p>
    <w:p>
      <w:pPr>
        <w:spacing w:after="0" w:line="151" w:lineRule="exact"/>
        <w:rPr>
          <w:sz w:val="20"/>
          <w:szCs w:val="20"/>
          <w:color w:val="auto"/>
        </w:rPr>
      </w:pPr>
    </w:p>
    <w:p>
      <w:pPr>
        <w:ind w:left="520" w:right="200" w:hanging="260"/>
        <w:spacing w:after="0" w:line="263" w:lineRule="auto"/>
        <w:tabs>
          <w:tab w:leader="none" w:pos="511" w:val="left"/>
        </w:tabs>
        <w:numPr>
          <w:ilvl w:val="0"/>
          <w:numId w:val="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Adjusted EBITDA</w:t>
      </w:r>
      <w:r>
        <w:rPr>
          <w:rFonts w:ascii="Arial" w:cs="Arial" w:eastAsia="Arial" w:hAnsi="Arial"/>
          <w:sz w:val="13"/>
          <w:szCs w:val="13"/>
          <w:color w:val="auto"/>
        </w:rPr>
        <w:t>” represents, as applicable for the period, EBITDA as further adjusted for certain items discussed in Item 7. Management’s Discussion and Analysis of Financial Condition and Results of Operations.</w:t>
      </w:r>
    </w:p>
    <w:p>
      <w:pPr>
        <w:spacing w:after="0" w:line="139"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Adjusted EBITDA Margin</w:t>
      </w:r>
      <w:r>
        <w:rPr>
          <w:rFonts w:ascii="Arial" w:cs="Arial" w:eastAsia="Arial" w:hAnsi="Arial"/>
          <w:sz w:val="13"/>
          <w:szCs w:val="13"/>
          <w:color w:val="auto"/>
        </w:rPr>
        <w:t>” refers to Adjusted EBITDA divided by net revenues.</w:t>
      </w:r>
    </w:p>
    <w:p>
      <w:pPr>
        <w:spacing w:after="0" w:line="168"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Approved Submissions</w:t>
      </w:r>
      <w:r>
        <w:rPr>
          <w:rFonts w:ascii="Arial" w:cs="Arial" w:eastAsia="Arial" w:hAnsi="Arial"/>
          <w:sz w:val="13"/>
          <w:szCs w:val="13"/>
          <w:color w:val="auto"/>
        </w:rPr>
        <w:t>” refer to Submitted Policies approved by carriers for the identified product during the indicated period.</w:t>
      </w:r>
    </w:p>
    <w:p>
      <w:pPr>
        <w:spacing w:after="0" w:line="168" w:lineRule="exact"/>
        <w:rPr>
          <w:rFonts w:ascii="Arial" w:cs="Arial" w:eastAsia="Arial" w:hAnsi="Arial"/>
          <w:sz w:val="13"/>
          <w:szCs w:val="13"/>
          <w:color w:val="auto"/>
        </w:rPr>
      </w:pPr>
    </w:p>
    <w:p>
      <w:pPr>
        <w:ind w:left="520" w:right="320" w:hanging="260"/>
        <w:spacing w:after="0" w:line="263" w:lineRule="auto"/>
        <w:tabs>
          <w:tab w:leader="none" w:pos="511" w:val="left"/>
        </w:tabs>
        <w:numPr>
          <w:ilvl w:val="0"/>
          <w:numId w:val="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CAC</w:t>
      </w:r>
      <w:r>
        <w:rPr>
          <w:rFonts w:ascii="Arial" w:cs="Arial" w:eastAsia="Arial" w:hAnsi="Arial"/>
          <w:sz w:val="13"/>
          <w:szCs w:val="13"/>
          <w:color w:val="auto"/>
        </w:rPr>
        <w:t>” refers to the cost to convert a prospect into a customer less other non-commission carrier revenue for such period. CAC is comprised of cost of revenue, marketing and advertising expenses and customer care and enrollment expenses less other revenue and is presented on a per commissionable Approved Submission basis.</w:t>
      </w:r>
    </w:p>
    <w:p>
      <w:pPr>
        <w:spacing w:after="0" w:line="139"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Conversion Rate</w:t>
      </w:r>
      <w:r>
        <w:rPr>
          <w:rFonts w:ascii="Arial" w:cs="Arial" w:eastAsia="Arial" w:hAnsi="Arial"/>
          <w:sz w:val="13"/>
          <w:szCs w:val="13"/>
          <w:color w:val="auto"/>
        </w:rPr>
        <w:t>” refers to approved commissionable submissions over qualified prospects.</w:t>
      </w:r>
    </w:p>
    <w:p>
      <w:pPr>
        <w:spacing w:after="0" w:line="168"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EBITDA</w:t>
      </w:r>
      <w:r>
        <w:rPr>
          <w:rFonts w:ascii="Arial" w:cs="Arial" w:eastAsia="Arial" w:hAnsi="Arial"/>
          <w:sz w:val="13"/>
          <w:szCs w:val="13"/>
          <w:color w:val="auto"/>
        </w:rPr>
        <w:t>” represents net income (loss) before interest expense, income tax expense (benefit) and depreciation and amortization expense.</w:t>
      </w:r>
    </w:p>
    <w:p>
      <w:pPr>
        <w:spacing w:after="0" w:line="168" w:lineRule="exact"/>
        <w:rPr>
          <w:rFonts w:ascii="Arial" w:cs="Arial" w:eastAsia="Arial" w:hAnsi="Arial"/>
          <w:sz w:val="13"/>
          <w:szCs w:val="13"/>
          <w:color w:val="auto"/>
        </w:rPr>
      </w:pPr>
    </w:p>
    <w:p>
      <w:pPr>
        <w:ind w:left="520" w:right="60" w:hanging="260"/>
        <w:spacing w:after="0" w:line="251" w:lineRule="auto"/>
        <w:tabs>
          <w:tab w:leader="none" w:pos="511" w:val="left"/>
        </w:tabs>
        <w:numPr>
          <w:ilvl w:val="0"/>
          <w:numId w:val="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LTV</w:t>
      </w:r>
      <w:r>
        <w:rPr>
          <w:rFonts w:ascii="Arial" w:cs="Arial" w:eastAsia="Arial" w:hAnsi="Arial"/>
          <w:sz w:val="13"/>
          <w:szCs w:val="13"/>
          <w:color w:val="auto"/>
        </w:rPr>
        <w:t>” refers to the Lifetime Value of Commissions per Approved Submission, which we define as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w:t>
      </w:r>
    </w:p>
    <w:p>
      <w:pPr>
        <w:spacing w:after="0" w:line="146" w:lineRule="exact"/>
        <w:rPr>
          <w:rFonts w:ascii="Arial" w:cs="Arial" w:eastAsia="Arial" w:hAnsi="Arial"/>
          <w:sz w:val="13"/>
          <w:szCs w:val="13"/>
          <w:color w:val="auto"/>
        </w:rPr>
      </w:pPr>
    </w:p>
    <w:p>
      <w:pPr>
        <w:ind w:left="520" w:hanging="260"/>
        <w:spacing w:after="0" w:line="246" w:lineRule="auto"/>
        <w:tabs>
          <w:tab w:leader="none" w:pos="511" w:val="left"/>
        </w:tabs>
        <w:numPr>
          <w:ilvl w:val="0"/>
          <w:numId w:val="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LTV Per Approved Submission</w:t>
      </w:r>
      <w:r>
        <w:rPr>
          <w:rFonts w:ascii="Arial" w:cs="Arial" w:eastAsia="Arial" w:hAnsi="Arial"/>
          <w:sz w:val="13"/>
          <w:szCs w:val="13"/>
          <w:color w:val="auto"/>
        </w:rPr>
        <w:t>” refers to the Lifetime Value of Commissions per Approved Submission, which we define as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 excluding revenue adjustments recorded in the period, but relating to performance obligations satisfied in prior periods, divided by (ii) the number of commissionable Approved Submissions for such period.</w:t>
      </w:r>
    </w:p>
    <w:p>
      <w:pPr>
        <w:spacing w:after="0" w:line="150" w:lineRule="exact"/>
        <w:rPr>
          <w:rFonts w:ascii="Arial" w:cs="Arial" w:eastAsia="Arial" w:hAnsi="Arial"/>
          <w:sz w:val="13"/>
          <w:szCs w:val="13"/>
          <w:color w:val="auto"/>
        </w:rPr>
      </w:pPr>
    </w:p>
    <w:p>
      <w:pPr>
        <w:ind w:left="520" w:right="60" w:hanging="260"/>
        <w:spacing w:after="0" w:line="244" w:lineRule="auto"/>
        <w:tabs>
          <w:tab w:leader="none" w:pos="511" w:val="left"/>
        </w:tabs>
        <w:numPr>
          <w:ilvl w:val="0"/>
          <w:numId w:val="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LTV/CAC</w:t>
      </w:r>
      <w:r>
        <w:rPr>
          <w:rFonts w:ascii="Arial" w:cs="Arial" w:eastAsia="Arial" w:hAnsi="Arial"/>
          <w:sz w:val="13"/>
          <w:szCs w:val="13"/>
          <w:color w:val="auto"/>
        </w:rPr>
        <w:t>” refers to the Lifetime Value of Commissions per Consumer Acquisition Cost, which we define as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 excluding revenue adjustments recorded in the period, but relating to performance obligations satisfied in prior periods, divided by (ii) the cost to convert a prospect into a customer less other non-commission carrier revenue for such period, or CAC. CAC is comprised of cost of revenue, marketing and advertising expenses and customer care and enrollment expenses less enterprise revenue and is presented on a per commissionable Approved Submission basis.</w:t>
      </w:r>
    </w:p>
    <w:p>
      <w:pPr>
        <w:spacing w:after="0" w:line="152"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Submitted Policies</w:t>
      </w:r>
      <w:r>
        <w:rPr>
          <w:rFonts w:ascii="Arial" w:cs="Arial" w:eastAsia="Arial" w:hAnsi="Arial"/>
          <w:sz w:val="13"/>
          <w:szCs w:val="13"/>
          <w:color w:val="auto"/>
        </w:rPr>
        <w:t>” refer to completed applications that, with respect to each such application, the consumer has authorized us to submit to the carrier.</w:t>
      </w:r>
    </w:p>
    <w:p>
      <w:pPr>
        <w:spacing w:after="0" w:line="181" w:lineRule="exact"/>
        <w:rPr>
          <w:sz w:val="20"/>
          <w:szCs w:val="20"/>
          <w:color w:val="auto"/>
        </w:rPr>
      </w:pPr>
    </w:p>
    <w:p>
      <w:pPr>
        <w:ind w:right="320"/>
        <w:spacing w:after="0" w:line="244" w:lineRule="auto"/>
        <w:rPr>
          <w:sz w:val="20"/>
          <w:szCs w:val="20"/>
          <w:color w:val="auto"/>
        </w:rPr>
      </w:pPr>
      <w:r>
        <w:rPr>
          <w:rFonts w:ascii="Arial" w:cs="Arial" w:eastAsia="Arial" w:hAnsi="Arial"/>
          <w:sz w:val="13"/>
          <w:szCs w:val="13"/>
          <w:color w:val="auto"/>
        </w:rPr>
        <w:t>We use supplemental measures of our performance that are derived from our consolidated financial information, but which are not presented in our Consolidated Financial Statements prepared in accordance with U.S. generally accepted accounting principles (“GAAP”). These non-GAAP financial measures include EBITDA; Adjusted EBITDA and Adjusted EBITDA margin.</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643"/>
              <w:spacing w:after="0"/>
              <w:rPr>
                <w:sz w:val="20"/>
                <w:szCs w:val="20"/>
                <w:color w:val="auto"/>
              </w:rPr>
            </w:pPr>
            <w:r>
              <w:rPr>
                <w:rFonts w:ascii="Arial" w:cs="Arial" w:eastAsia="Arial" w:hAnsi="Arial"/>
                <w:sz w:val="11"/>
                <w:szCs w:val="11"/>
                <w:color w:val="auto"/>
              </w:rPr>
              <w:t>3</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85" w:right="319" w:bottom="1440" w:gutter="0" w:footer="0" w:header="0"/>
        </w:sectPr>
      </w:pPr>
    </w:p>
    <w:bookmarkStart w:id="6" w:name="page7"/>
    <w:bookmarkEnd w:id="6"/>
    <w:p>
      <w:pPr>
        <w:spacing w:after="0"/>
        <w:rPr>
          <w:sz w:val="20"/>
          <w:szCs w:val="20"/>
          <w:color w:val="auto"/>
        </w:rPr>
      </w:pPr>
      <w:r>
        <w:rPr>
          <w:rFonts w:ascii="Arial" w:cs="Arial" w:eastAsia="Arial" w:hAnsi="Arial"/>
          <w:sz w:val="13"/>
          <w:szCs w:val="13"/>
          <w:color w:val="auto"/>
        </w:rPr>
        <w:t>Adjusted EBITDA is the primary financial performance measure used by management to evaluate its business and monitor its results of operations.</w:t>
      </w:r>
    </w:p>
    <w:p>
      <w:pPr>
        <w:spacing w:after="0" w:line="169"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in this Annual Report on Form 10-K.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54"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The non-GAAP financial measures are not meant to be considered as indicators of performance in isolation from or as a substitute for net income (loss) prepared in accordance with GAAP, and should be read only in conjunction with financial information presented on a GAAP basis. Reconciliations of each of EBITDA and Adjusted EBITDA to its most directly comparable GAAP financial measure, net income (loss), are presented in the tables below in this Annual Report on Form 10-K. We encourage you to review the reconciliations in conjunction with the presentation of the non-GAAP financial measures for each of the periods presented. In future periods, we may exclude similar items, may incur income and expenses similar to these excluded items and include other expenses, costs and non-recurring items.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643"/>
              <w:spacing w:after="0"/>
              <w:rPr>
                <w:sz w:val="20"/>
                <w:szCs w:val="20"/>
                <w:color w:val="auto"/>
              </w:rPr>
            </w:pPr>
            <w:r>
              <w:rPr>
                <w:rFonts w:ascii="Arial" w:cs="Arial" w:eastAsia="Arial" w:hAnsi="Arial"/>
                <w:sz w:val="11"/>
                <w:szCs w:val="11"/>
                <w:color w:val="auto"/>
              </w:rPr>
              <w:t>4</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85" w:right="319" w:bottom="1440" w:gutter="0" w:footer="0" w:header="0"/>
        </w:sectPr>
      </w:pPr>
    </w:p>
    <w:bookmarkStart w:id="7" w:name="page8"/>
    <w:bookmarkEnd w:id="7"/>
    <w:p>
      <w:pPr>
        <w:jc w:val="center"/>
        <w:spacing w:after="0"/>
        <w:rPr>
          <w:sz w:val="20"/>
          <w:szCs w:val="20"/>
          <w:color w:val="auto"/>
        </w:rPr>
      </w:pPr>
      <w:r>
        <w:rPr>
          <w:rFonts w:ascii="Arial" w:cs="Arial" w:eastAsia="Arial" w:hAnsi="Arial"/>
          <w:sz w:val="11"/>
          <w:szCs w:val="11"/>
          <w:b w:val="1"/>
          <w:bCs w:val="1"/>
          <w:color w:val="FFFFFF"/>
        </w:rPr>
        <w:drawing>
          <wp:anchor simplePos="0" relativeHeight="251657728" behindDoc="1" locked="0" layoutInCell="0" allowOverlap="1">
            <wp:simplePos x="0" y="0"/>
            <wp:positionH relativeFrom="page">
              <wp:posOffset>193675</wp:posOffset>
            </wp:positionH>
            <wp:positionV relativeFrom="page">
              <wp:posOffset>701675</wp:posOffset>
            </wp:positionV>
            <wp:extent cx="7161530" cy="946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94615"/>
                    </a:xfrm>
                    <a:prstGeom prst="rect">
                      <a:avLst/>
                    </a:prstGeom>
                    <a:noFill/>
                  </pic:spPr>
                </pic:pic>
              </a:graphicData>
            </a:graphic>
          </wp:anchor>
        </w:drawing>
        <w:t>Part I</w:t>
      </w:r>
    </w:p>
    <w:p>
      <w:pPr>
        <w:spacing w:after="0" w:line="251" w:lineRule="exact"/>
        <w:rPr>
          <w:sz w:val="20"/>
          <w:szCs w:val="20"/>
          <w:color w:val="auto"/>
        </w:rPr>
      </w:pPr>
    </w:p>
    <w:p>
      <w:pPr>
        <w:spacing w:after="0"/>
        <w:rPr>
          <w:sz w:val="20"/>
          <w:szCs w:val="20"/>
          <w:color w:val="auto"/>
        </w:rPr>
      </w:pPr>
      <w:r>
        <w:rPr>
          <w:rFonts w:ascii="Arial" w:cs="Arial" w:eastAsia="Arial" w:hAnsi="Arial"/>
          <w:sz w:val="13"/>
          <w:szCs w:val="13"/>
          <w:b w:val="1"/>
          <w:bCs w:val="1"/>
          <w:color w:val="0A2299"/>
        </w:rPr>
        <w:t>ITEM 1. BUSINESS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Overview</w:t>
      </w:r>
    </w:p>
    <w:p>
      <w:pPr>
        <w:spacing w:after="0" w:line="142" w:lineRule="exact"/>
        <w:rPr>
          <w:sz w:val="20"/>
          <w:szCs w:val="20"/>
          <w:color w:val="auto"/>
        </w:rPr>
      </w:pPr>
    </w:p>
    <w:p>
      <w:pPr>
        <w:ind w:right="100"/>
        <w:spacing w:after="0" w:line="239" w:lineRule="auto"/>
        <w:rPr>
          <w:sz w:val="20"/>
          <w:szCs w:val="20"/>
          <w:color w:val="auto"/>
        </w:rPr>
      </w:pPr>
      <w:r>
        <w:rPr>
          <w:rFonts w:ascii="Arial" w:cs="Arial" w:eastAsia="Arial" w:hAnsi="Arial"/>
          <w:sz w:val="13"/>
          <w:szCs w:val="13"/>
          <w:color w:val="auto"/>
        </w:rPr>
        <w:t>We are a leading health insurance marketplace and Medicare-focused digital health company whose mission is to improve access to healthcare in America. Our proprietary technology platform leverages modern machine-learning algorithms powered by two decades of insurance behavioral data to reimagine the optimal process for helping individuals find the best health insurance plan for their specific needs. Our differentiated combination of a vertically-integrated consumer acquisition platform and highly skilled and trained agents has enabled us to enroll millions of people in Medicare and individual and family plans since our inception. With a current commissionable market of nearly $30 billion, and nearly 11,000 Americans turning 65 years old every day and our track record of significant growth in net revenues in the Medicare space in the past five years, we believe we will continue to be one of the top choices for insurance advice to help navigate one of the most important purchasing decisions individuals make.</w:t>
      </w:r>
    </w:p>
    <w:p>
      <w:pPr>
        <w:spacing w:after="0" w:line="168" w:lineRule="exact"/>
        <w:rPr>
          <w:sz w:val="20"/>
          <w:szCs w:val="20"/>
          <w:color w:val="auto"/>
        </w:rPr>
      </w:pPr>
    </w:p>
    <w:p>
      <w:pPr>
        <w:ind w:right="80"/>
        <w:spacing w:after="0" w:line="239" w:lineRule="auto"/>
        <w:rPr>
          <w:sz w:val="20"/>
          <w:szCs w:val="20"/>
          <w:color w:val="auto"/>
        </w:rPr>
      </w:pPr>
      <w:r>
        <w:rPr>
          <w:rFonts w:ascii="Arial" w:cs="Arial" w:eastAsia="Arial" w:hAnsi="Arial"/>
          <w:sz w:val="13"/>
          <w:szCs w:val="13"/>
          <w:color w:val="auto"/>
        </w:rPr>
        <w:t>Over the last two decades, we have consistently invested in our technology, data science and business processes to enroll people in health insurance plans while helping carriers scale their product and plan offerings. Our platform utilizes proprietary technology, machine-learning capabilities, data feedback, efficient business processes, and highly skilled and trained agents, to connect consumers with health insurance carriers (“carriers”), through multiple channels. Through our platform, we primarily offer Medicare Advantage policies, but also offer a wide array of health insurance policies, including, but not limited to, Medicare Supplement, prescription drug plans, and individual and family plans, and allow consumers to choose how to purchase these plans, either with the assistance of our agents or directly online.</w:t>
      </w:r>
    </w:p>
    <w:p>
      <w:pPr>
        <w:spacing w:after="0" w:line="168" w:lineRule="exact"/>
        <w:rPr>
          <w:sz w:val="20"/>
          <w:szCs w:val="20"/>
          <w:color w:val="auto"/>
        </w:rPr>
      </w:pPr>
    </w:p>
    <w:p>
      <w:pPr>
        <w:ind w:right="40"/>
        <w:spacing w:after="0" w:line="239" w:lineRule="auto"/>
        <w:rPr>
          <w:sz w:val="20"/>
          <w:szCs w:val="20"/>
          <w:color w:val="auto"/>
        </w:rPr>
      </w:pPr>
      <w:r>
        <w:rPr>
          <w:rFonts w:ascii="Arial" w:cs="Arial" w:eastAsia="Arial" w:hAnsi="Arial"/>
          <w:sz w:val="13"/>
          <w:szCs w:val="13"/>
          <w:color w:val="auto"/>
        </w:rPr>
        <w:t>For many consumers, choosing a health insurance plan is confusing and difficult, and seemingly small differences between health insurance plans can lead to significant out-of-pocket costs or lack of access to critical medicines, providers or facilities. We simplify the process by offering education, transparency and choice. This includes providing a large selection of health insurance plan choices, advice informed by consumers’ specific needs, transparency of health insurance plan benefits and fit, assistance accessing available government subsidies and a high-touch TeleCare team. The TeleCare team is focused on increasing consumer engagement with the GoHealth brand, selling new products and services to our consumers that address their healthcare needs, and helping consumers maximize their health insurance plan benefits to support long-term health and wellness. Carriers also benefit from our platform, especially those looking to access the large and fast-growing Medicare-eligible population. We believe carriers utilize our large-scale data and technology as well as our efficient marketing and conversion processes to reduce their CAC, compared to carrier-employed agent workforces.</w:t>
      </w:r>
    </w:p>
    <w:p>
      <w:pPr>
        <w:spacing w:after="0" w:line="167" w:lineRule="exact"/>
        <w:rPr>
          <w:sz w:val="20"/>
          <w:szCs w:val="20"/>
          <w:color w:val="auto"/>
        </w:rPr>
      </w:pPr>
    </w:p>
    <w:p>
      <w:pPr>
        <w:jc w:val="both"/>
        <w:ind w:right="80"/>
        <w:spacing w:after="0" w:line="241" w:lineRule="auto"/>
        <w:rPr>
          <w:sz w:val="20"/>
          <w:szCs w:val="20"/>
          <w:color w:val="auto"/>
        </w:rPr>
      </w:pPr>
      <w:r>
        <w:rPr>
          <w:rFonts w:ascii="Arial" w:cs="Arial" w:eastAsia="Arial" w:hAnsi="Arial"/>
          <w:sz w:val="13"/>
          <w:szCs w:val="13"/>
          <w:color w:val="auto"/>
        </w:rPr>
        <w:t>We also provide services to our consumers in our Medicare segments through our Encompass Platform. The Encompass Platform offerings include value-based care provider engagement, health risk assessments, social determinants of health screening, and preferred pharmacy programs. Our TeleCare team administers Encompass programs on behalf of our carrier partners and further supports consumer persistency by proactively engaging with and educating consumers about their benefits through Plan Fit Check calls.</w:t>
      </w:r>
    </w:p>
    <w:p>
      <w:pPr>
        <w:spacing w:after="0" w:line="165" w:lineRule="exact"/>
        <w:rPr>
          <w:sz w:val="20"/>
          <w:szCs w:val="20"/>
          <w:color w:val="auto"/>
        </w:rPr>
      </w:pPr>
    </w:p>
    <w:p>
      <w:pPr>
        <w:ind w:right="80"/>
        <w:spacing w:after="0" w:line="241" w:lineRule="auto"/>
        <w:rPr>
          <w:sz w:val="20"/>
          <w:szCs w:val="20"/>
          <w:color w:val="auto"/>
        </w:rPr>
      </w:pPr>
      <w:r>
        <w:rPr>
          <w:rFonts w:ascii="Arial" w:cs="Arial" w:eastAsia="Arial" w:hAnsi="Arial"/>
          <w:sz w:val="13"/>
          <w:szCs w:val="13"/>
          <w:color w:val="auto"/>
        </w:rPr>
        <w:t>We have a track record of consistent revenue growth and entering new market segments of insurance products over the last two decades. We create significant value for both consumers and carriers, through our marketplace, which is evidenced by our high growth rate and strong customer engagement dynamics. Over the last five years, we have increasingly shifted our focus towards Medicare products and de-emphasized individual and family health insurance products. This shift in focus has enabled us to capitalize on:</w:t>
      </w:r>
    </w:p>
    <w:p>
      <w:pPr>
        <w:spacing w:after="0" w:line="165" w:lineRule="exact"/>
        <w:rPr>
          <w:sz w:val="20"/>
          <w:szCs w:val="20"/>
          <w:color w:val="auto"/>
        </w:rPr>
      </w:pPr>
    </w:p>
    <w:p>
      <w:pPr>
        <w:ind w:left="500" w:hanging="240"/>
        <w:spacing w:after="0"/>
        <w:tabs>
          <w:tab w:leader="none" w:pos="500" w:val="left"/>
        </w:tabs>
        <w:numPr>
          <w:ilvl w:val="0"/>
          <w:numId w:val="8"/>
        </w:numPr>
        <w:rPr>
          <w:rFonts w:ascii="Arial" w:cs="Arial" w:eastAsia="Arial" w:hAnsi="Arial"/>
          <w:sz w:val="13"/>
          <w:szCs w:val="13"/>
          <w:color w:val="auto"/>
        </w:rPr>
      </w:pPr>
      <w:r>
        <w:rPr>
          <w:rFonts w:ascii="Arial" w:cs="Arial" w:eastAsia="Arial" w:hAnsi="Arial"/>
          <w:sz w:val="13"/>
          <w:szCs w:val="13"/>
          <w:color w:val="auto"/>
        </w:rPr>
        <w:t>Strong demographic trends, with Medicare enrollment expected to grow from approximately 63 million individuals in 2021 to approximately 82 million individuals by 2030;</w:t>
      </w:r>
    </w:p>
    <w:p>
      <w:pPr>
        <w:spacing w:after="0" w:line="168" w:lineRule="exact"/>
        <w:rPr>
          <w:rFonts w:ascii="Arial" w:cs="Arial" w:eastAsia="Arial" w:hAnsi="Arial"/>
          <w:sz w:val="13"/>
          <w:szCs w:val="13"/>
          <w:color w:val="auto"/>
        </w:rPr>
      </w:pPr>
    </w:p>
    <w:p>
      <w:pPr>
        <w:ind w:left="520" w:right="60" w:hanging="260"/>
        <w:spacing w:after="0" w:line="244" w:lineRule="auto"/>
        <w:tabs>
          <w:tab w:leader="none" w:pos="511"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increasing proportion of the Medicare-eligible population that is choosing commercial insurance solutions, with 42% of Medicare beneficiaries, or approximately 26 million people, enrolled in Medicare Advantage plans in 2021, an increase of approximately 2.4 million people from 2020 to 2021; and</w:t>
      </w:r>
    </w:p>
    <w:p>
      <w:pPr>
        <w:spacing w:after="0" w:line="162" w:lineRule="exact"/>
        <w:rPr>
          <w:rFonts w:ascii="Arial" w:cs="Arial" w:eastAsia="Arial" w:hAnsi="Arial"/>
          <w:sz w:val="13"/>
          <w:szCs w:val="13"/>
          <w:color w:val="auto"/>
        </w:rPr>
      </w:pPr>
    </w:p>
    <w:p>
      <w:pPr>
        <w:ind w:left="520" w:right="600" w:hanging="260"/>
        <w:spacing w:after="0" w:line="244" w:lineRule="auto"/>
        <w:tabs>
          <w:tab w:leader="none" w:pos="511" w:val="left"/>
        </w:tabs>
        <w:numPr>
          <w:ilvl w:val="0"/>
          <w:numId w:val="8"/>
        </w:numPr>
        <w:rPr>
          <w:rFonts w:ascii="Arial" w:cs="Arial" w:eastAsia="Arial" w:hAnsi="Arial"/>
          <w:sz w:val="13"/>
          <w:szCs w:val="13"/>
          <w:color w:val="auto"/>
        </w:rPr>
      </w:pPr>
      <w:r>
        <w:rPr>
          <w:rFonts w:ascii="Arial" w:cs="Arial" w:eastAsia="Arial" w:hAnsi="Arial"/>
          <w:sz w:val="13"/>
          <w:szCs w:val="13"/>
          <w:color w:val="auto"/>
        </w:rPr>
        <w:t>Carriers historic reliance on an antiquated traditional field agent driven sales process lacking in transparency, choice and convenience and ripe for disruption by digitally-enabled and technology-driven marketplaces like our platform.</w:t>
      </w:r>
    </w:p>
    <w:p>
      <w:pPr>
        <w:spacing w:after="0" w:line="163"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Today, we estimate a total addressable market of nearly $30 billion for Medicare Advantage and Medicare Supplement products. We believe that these trends will drive a larger market in the coming years that, when taken together with our other product and plan offerings, will result in an even larger addressable market. We also believe that we are poised to benefit from market share gains in what has traditionally been a highly fragmented market.</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Business Model</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643"/>
              <w:spacing w:after="0"/>
              <w:rPr>
                <w:sz w:val="20"/>
                <w:szCs w:val="20"/>
                <w:color w:val="auto"/>
              </w:rPr>
            </w:pPr>
            <w:r>
              <w:rPr>
                <w:rFonts w:ascii="Arial" w:cs="Arial" w:eastAsia="Arial" w:hAnsi="Arial"/>
                <w:sz w:val="11"/>
                <w:szCs w:val="11"/>
                <w:color w:val="auto"/>
              </w:rPr>
              <w:t>5</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05" w:right="319" w:bottom="1440" w:gutter="0" w:footer="0" w:header="0"/>
        </w:sectPr>
      </w:pPr>
    </w:p>
    <w:bookmarkStart w:id="8" w:name="page9"/>
    <w:bookmarkEnd w:id="8"/>
    <w:p>
      <w:pPr>
        <w:spacing w:after="0"/>
        <w:rPr>
          <w:sz w:val="20"/>
          <w:szCs w:val="20"/>
          <w:color w:val="auto"/>
        </w:rPr>
      </w:pPr>
      <w:r>
        <w:rPr>
          <w:rFonts w:ascii="Arial" w:cs="Arial" w:eastAsia="Arial" w:hAnsi="Arial"/>
          <w:sz w:val="13"/>
          <w:szCs w:val="13"/>
          <w:i w:val="1"/>
          <w:iCs w:val="1"/>
          <w:color w:val="auto"/>
        </w:rPr>
        <w:t>Our Platform</w:t>
      </w:r>
    </w:p>
    <w:p>
      <w:pPr>
        <w:spacing w:after="0" w:line="138" w:lineRule="exact"/>
        <w:rPr>
          <w:sz w:val="20"/>
          <w:szCs w:val="20"/>
          <w:color w:val="auto"/>
        </w:rPr>
      </w:pPr>
    </w:p>
    <w:p>
      <w:pPr>
        <w:ind w:right="280"/>
        <w:spacing w:after="0" w:line="244" w:lineRule="auto"/>
        <w:rPr>
          <w:sz w:val="20"/>
          <w:szCs w:val="20"/>
          <w:color w:val="auto"/>
        </w:rPr>
      </w:pPr>
      <w:r>
        <w:rPr>
          <w:rFonts w:ascii="Arial" w:cs="Arial" w:eastAsia="Arial" w:hAnsi="Arial"/>
          <w:sz w:val="13"/>
          <w:szCs w:val="13"/>
          <w:color w:val="auto"/>
        </w:rPr>
        <w:t>Our platform utilizes proprietary technology, machine-learning capabilities, data, efficient business processes, and highly skilled and trained agents to generate a stable, visible revenue stream that benefits from favorable demographic trends. The key components of our platform are:</w:t>
      </w:r>
    </w:p>
    <w:p>
      <w:pPr>
        <w:spacing w:after="0" w:line="147" w:lineRule="exact"/>
        <w:rPr>
          <w:sz w:val="20"/>
          <w:szCs w:val="20"/>
          <w:color w:val="auto"/>
        </w:rPr>
      </w:pPr>
    </w:p>
    <w:p>
      <w:pPr>
        <w:ind w:left="520" w:right="320" w:hanging="260"/>
        <w:spacing w:after="0" w:line="270" w:lineRule="auto"/>
        <w:tabs>
          <w:tab w:leader="none" w:pos="511" w:val="left"/>
        </w:tabs>
        <w:numPr>
          <w:ilvl w:val="0"/>
          <w:numId w:val="9"/>
        </w:numPr>
        <w:rPr>
          <w:rFonts w:ascii="Arial" w:cs="Arial" w:eastAsia="Arial" w:hAnsi="Arial"/>
          <w:sz w:val="13"/>
          <w:szCs w:val="13"/>
          <w:color w:val="auto"/>
        </w:rPr>
      </w:pPr>
      <w:r>
        <w:rPr>
          <w:rFonts w:ascii="Arial" w:cs="Arial" w:eastAsia="Arial" w:hAnsi="Arial"/>
          <w:sz w:val="13"/>
          <w:szCs w:val="13"/>
          <w:b w:val="1"/>
          <w:bCs w:val="1"/>
          <w:color w:val="auto"/>
        </w:rPr>
        <w:t xml:space="preserve">Data-Driven, Omnichannel Marketing: </w:t>
      </w:r>
      <w:r>
        <w:rPr>
          <w:rFonts w:ascii="Arial" w:cs="Arial" w:eastAsia="Arial" w:hAnsi="Arial"/>
          <w:sz w:val="13"/>
          <w:szCs w:val="13"/>
          <w:color w:val="auto"/>
        </w:rPr>
        <w:t>Based on predictive consumer lead targeting and a high cadence of multivariate testing on consumer lead generation properties, our data-driven,</w:t>
      </w:r>
      <w:r>
        <w:rPr>
          <w:rFonts w:ascii="Arial" w:cs="Arial" w:eastAsia="Arial" w:hAnsi="Arial"/>
          <w:sz w:val="13"/>
          <w:szCs w:val="13"/>
          <w:b w:val="1"/>
          <w:bCs w:val="1"/>
          <w:color w:val="auto"/>
        </w:rPr>
        <w:t xml:space="preserve"> </w:t>
      </w:r>
      <w:r>
        <w:rPr>
          <w:rFonts w:ascii="Arial" w:cs="Arial" w:eastAsia="Arial" w:hAnsi="Arial"/>
          <w:sz w:val="13"/>
          <w:szCs w:val="13"/>
          <w:color w:val="auto"/>
        </w:rPr>
        <w:t>omnichannel marketing drives increased impressions and qualified prospects with a target return on marketing spend.</w:t>
      </w:r>
    </w:p>
    <w:p>
      <w:pPr>
        <w:spacing w:after="0" w:line="130" w:lineRule="exact"/>
        <w:rPr>
          <w:rFonts w:ascii="Arial" w:cs="Arial" w:eastAsia="Arial" w:hAnsi="Arial"/>
          <w:sz w:val="13"/>
          <w:szCs w:val="13"/>
          <w:color w:val="auto"/>
        </w:rPr>
      </w:pPr>
    </w:p>
    <w:p>
      <w:pPr>
        <w:ind w:left="520" w:right="460" w:hanging="260"/>
        <w:spacing w:after="0" w:line="270" w:lineRule="auto"/>
        <w:tabs>
          <w:tab w:leader="none" w:pos="511" w:val="left"/>
        </w:tabs>
        <w:numPr>
          <w:ilvl w:val="0"/>
          <w:numId w:val="9"/>
        </w:numPr>
        <w:rPr>
          <w:rFonts w:ascii="Arial" w:cs="Arial" w:eastAsia="Arial" w:hAnsi="Arial"/>
          <w:sz w:val="13"/>
          <w:szCs w:val="13"/>
          <w:color w:val="auto"/>
        </w:rPr>
      </w:pPr>
      <w:r>
        <w:rPr>
          <w:rFonts w:ascii="Arial" w:cs="Arial" w:eastAsia="Arial" w:hAnsi="Arial"/>
          <w:sz w:val="13"/>
          <w:szCs w:val="13"/>
          <w:b w:val="1"/>
          <w:bCs w:val="1"/>
          <w:color w:val="auto"/>
        </w:rPr>
        <w:t xml:space="preserve">Proprietary LeadScore Technology: </w:t>
      </w:r>
      <w:r>
        <w:rPr>
          <w:rFonts w:ascii="Arial" w:cs="Arial" w:eastAsia="Arial" w:hAnsi="Arial"/>
          <w:sz w:val="13"/>
          <w:szCs w:val="13"/>
          <w:color w:val="auto"/>
        </w:rPr>
        <w:t>LeadScore, one of our proprietary machine-learning technologies, is built on large-scale, end-to-end sales data, predicts the LTV and conversion</w:t>
      </w:r>
      <w:r>
        <w:rPr>
          <w:rFonts w:ascii="Arial" w:cs="Arial" w:eastAsia="Arial" w:hAnsi="Arial"/>
          <w:sz w:val="13"/>
          <w:szCs w:val="13"/>
          <w:b w:val="1"/>
          <w:bCs w:val="1"/>
          <w:color w:val="auto"/>
        </w:rPr>
        <w:t xml:space="preserve"> </w:t>
      </w:r>
      <w:r>
        <w:rPr>
          <w:rFonts w:ascii="Arial" w:cs="Arial" w:eastAsia="Arial" w:hAnsi="Arial"/>
          <w:sz w:val="13"/>
          <w:szCs w:val="13"/>
          <w:color w:val="auto"/>
        </w:rPr>
        <w:t>probability of consumer leads, and is utilized to optimize routing of the consumer leads in real-time regardless of their source.</w:t>
      </w:r>
    </w:p>
    <w:p>
      <w:pPr>
        <w:spacing w:after="0" w:line="130" w:lineRule="exact"/>
        <w:rPr>
          <w:rFonts w:ascii="Arial" w:cs="Arial" w:eastAsia="Arial" w:hAnsi="Arial"/>
          <w:sz w:val="13"/>
          <w:szCs w:val="13"/>
          <w:color w:val="auto"/>
        </w:rPr>
      </w:pPr>
    </w:p>
    <w:p>
      <w:pPr>
        <w:ind w:left="520" w:right="120" w:hanging="260"/>
        <w:spacing w:after="0" w:line="270" w:lineRule="auto"/>
        <w:tabs>
          <w:tab w:leader="none" w:pos="511" w:val="left"/>
        </w:tabs>
        <w:numPr>
          <w:ilvl w:val="0"/>
          <w:numId w:val="9"/>
        </w:numPr>
        <w:rPr>
          <w:rFonts w:ascii="Arial" w:cs="Arial" w:eastAsia="Arial" w:hAnsi="Arial"/>
          <w:sz w:val="13"/>
          <w:szCs w:val="13"/>
          <w:color w:val="auto"/>
        </w:rPr>
      </w:pPr>
      <w:r>
        <w:rPr>
          <w:rFonts w:ascii="Arial" w:cs="Arial" w:eastAsia="Arial" w:hAnsi="Arial"/>
          <w:sz w:val="13"/>
          <w:szCs w:val="13"/>
          <w:b w:val="1"/>
          <w:bCs w:val="1"/>
          <w:color w:val="auto"/>
        </w:rPr>
        <w:t xml:space="preserve">Sophisticated Matching Technology: </w:t>
      </w:r>
      <w:r>
        <w:rPr>
          <w:rFonts w:ascii="Arial" w:cs="Arial" w:eastAsia="Arial" w:hAnsi="Arial"/>
          <w:sz w:val="13"/>
          <w:szCs w:val="13"/>
          <w:color w:val="auto"/>
        </w:rPr>
        <w:t>Our proprietary qualified prospect distribution, routing, and priority queuing technology based on LeadScore and agent performance data models help</w:t>
      </w:r>
      <w:r>
        <w:rPr>
          <w:rFonts w:ascii="Arial" w:cs="Arial" w:eastAsia="Arial" w:hAnsi="Arial"/>
          <w:sz w:val="13"/>
          <w:szCs w:val="13"/>
          <w:b w:val="1"/>
          <w:bCs w:val="1"/>
          <w:color w:val="auto"/>
        </w:rPr>
        <w:t xml:space="preserve"> </w:t>
      </w:r>
      <w:r>
        <w:rPr>
          <w:rFonts w:ascii="Arial" w:cs="Arial" w:eastAsia="Arial" w:hAnsi="Arial"/>
          <w:sz w:val="13"/>
          <w:szCs w:val="13"/>
          <w:color w:val="auto"/>
        </w:rPr>
        <w:t>us to optimally match qualified prospects to those agents most likely to convert the qualified prospect to a customer.</w:t>
      </w:r>
    </w:p>
    <w:p>
      <w:pPr>
        <w:spacing w:after="0" w:line="130" w:lineRule="exact"/>
        <w:rPr>
          <w:rFonts w:ascii="Arial" w:cs="Arial" w:eastAsia="Arial" w:hAnsi="Arial"/>
          <w:sz w:val="13"/>
          <w:szCs w:val="13"/>
          <w:color w:val="auto"/>
        </w:rPr>
      </w:pPr>
    </w:p>
    <w:p>
      <w:pPr>
        <w:ind w:left="520" w:right="20" w:hanging="260"/>
        <w:spacing w:after="0" w:line="270" w:lineRule="auto"/>
        <w:tabs>
          <w:tab w:leader="none" w:pos="511" w:val="left"/>
        </w:tabs>
        <w:numPr>
          <w:ilvl w:val="0"/>
          <w:numId w:val="9"/>
        </w:numPr>
        <w:rPr>
          <w:rFonts w:ascii="Arial" w:cs="Arial" w:eastAsia="Arial" w:hAnsi="Arial"/>
          <w:sz w:val="13"/>
          <w:szCs w:val="13"/>
          <w:color w:val="auto"/>
        </w:rPr>
      </w:pPr>
      <w:r>
        <w:rPr>
          <w:rFonts w:ascii="Arial" w:cs="Arial" w:eastAsia="Arial" w:hAnsi="Arial"/>
          <w:sz w:val="13"/>
          <w:szCs w:val="13"/>
          <w:b w:val="1"/>
          <w:bCs w:val="1"/>
          <w:color w:val="auto"/>
        </w:rPr>
        <w:t xml:space="preserve">The Marketplace: </w:t>
      </w:r>
      <w:r>
        <w:rPr>
          <w:rFonts w:ascii="Arial" w:cs="Arial" w:eastAsia="Arial" w:hAnsi="Arial"/>
          <w:sz w:val="13"/>
          <w:szCs w:val="13"/>
          <w:color w:val="auto"/>
        </w:rPr>
        <w:t>Our proprietary Marketplace technology features decision support tools and seamlessly integrates with carrier enterprise systems, empowering our highly skilled and trained</w:t>
      </w:r>
      <w:r>
        <w:rPr>
          <w:rFonts w:ascii="Arial" w:cs="Arial" w:eastAsia="Arial" w:hAnsi="Arial"/>
          <w:sz w:val="13"/>
          <w:szCs w:val="13"/>
          <w:b w:val="1"/>
          <w:bCs w:val="1"/>
          <w:color w:val="auto"/>
        </w:rPr>
        <w:t xml:space="preserve"> </w:t>
      </w:r>
      <w:r>
        <w:rPr>
          <w:rFonts w:ascii="Arial" w:cs="Arial" w:eastAsia="Arial" w:hAnsi="Arial"/>
          <w:sz w:val="13"/>
          <w:szCs w:val="13"/>
          <w:color w:val="auto"/>
        </w:rPr>
        <w:t>agents to quickly and efficiently select the right health insurance plan for each consumer based on their specific needs and enroll them in those plans.</w:t>
      </w:r>
    </w:p>
    <w:p>
      <w:pPr>
        <w:spacing w:after="0" w:line="130" w:lineRule="exact"/>
        <w:rPr>
          <w:rFonts w:ascii="Arial" w:cs="Arial" w:eastAsia="Arial" w:hAnsi="Arial"/>
          <w:sz w:val="13"/>
          <w:szCs w:val="13"/>
          <w:color w:val="auto"/>
        </w:rPr>
      </w:pPr>
    </w:p>
    <w:p>
      <w:pPr>
        <w:ind w:left="520" w:right="120" w:hanging="260"/>
        <w:spacing w:after="0" w:line="270" w:lineRule="auto"/>
        <w:tabs>
          <w:tab w:leader="none" w:pos="511" w:val="left"/>
        </w:tabs>
        <w:numPr>
          <w:ilvl w:val="0"/>
          <w:numId w:val="9"/>
        </w:numPr>
        <w:rPr>
          <w:rFonts w:ascii="Arial" w:cs="Arial" w:eastAsia="Arial" w:hAnsi="Arial"/>
          <w:sz w:val="13"/>
          <w:szCs w:val="13"/>
          <w:color w:val="auto"/>
        </w:rPr>
      </w:pPr>
      <w:r>
        <w:rPr>
          <w:rFonts w:ascii="Arial" w:cs="Arial" w:eastAsia="Arial" w:hAnsi="Arial"/>
          <w:sz w:val="13"/>
          <w:szCs w:val="13"/>
          <w:b w:val="1"/>
          <w:bCs w:val="1"/>
          <w:color w:val="auto"/>
        </w:rPr>
        <w:t xml:space="preserve">TeleCare Team: </w:t>
      </w:r>
      <w:r>
        <w:rPr>
          <w:rFonts w:ascii="Arial" w:cs="Arial" w:eastAsia="Arial" w:hAnsi="Arial"/>
          <w:sz w:val="13"/>
          <w:szCs w:val="13"/>
          <w:color w:val="auto"/>
        </w:rPr>
        <w:t>Our high-touch TeleCare team is focused on increasing consumer engagement with the GoHealth brand, selling new products and services to our consumers that help meet</w:t>
      </w:r>
      <w:r>
        <w:rPr>
          <w:rFonts w:ascii="Arial" w:cs="Arial" w:eastAsia="Arial" w:hAnsi="Arial"/>
          <w:sz w:val="13"/>
          <w:szCs w:val="13"/>
          <w:b w:val="1"/>
          <w:bCs w:val="1"/>
          <w:color w:val="auto"/>
        </w:rPr>
        <w:t xml:space="preserve"> </w:t>
      </w:r>
      <w:r>
        <w:rPr>
          <w:rFonts w:ascii="Arial" w:cs="Arial" w:eastAsia="Arial" w:hAnsi="Arial"/>
          <w:sz w:val="13"/>
          <w:szCs w:val="13"/>
          <w:color w:val="auto"/>
        </w:rPr>
        <w:t>their healthcare needs, and helping consumers maximize their health insurance plan benefits to support long-term health and wellness.</w:t>
      </w:r>
    </w:p>
    <w:p>
      <w:pPr>
        <w:spacing w:after="0" w:line="130" w:lineRule="exact"/>
        <w:rPr>
          <w:rFonts w:ascii="Arial" w:cs="Arial" w:eastAsia="Arial" w:hAnsi="Arial"/>
          <w:sz w:val="13"/>
          <w:szCs w:val="13"/>
          <w:color w:val="auto"/>
        </w:rPr>
      </w:pPr>
    </w:p>
    <w:p>
      <w:pPr>
        <w:ind w:left="520" w:right="20" w:hanging="260"/>
        <w:spacing w:after="0" w:line="270" w:lineRule="auto"/>
        <w:tabs>
          <w:tab w:leader="none" w:pos="511" w:val="left"/>
        </w:tabs>
        <w:numPr>
          <w:ilvl w:val="0"/>
          <w:numId w:val="9"/>
        </w:numPr>
        <w:rPr>
          <w:rFonts w:ascii="Arial" w:cs="Arial" w:eastAsia="Arial" w:hAnsi="Arial"/>
          <w:sz w:val="13"/>
          <w:szCs w:val="13"/>
          <w:color w:val="auto"/>
        </w:rPr>
      </w:pPr>
      <w:r>
        <w:rPr>
          <w:rFonts w:ascii="Arial" w:cs="Arial" w:eastAsia="Arial" w:hAnsi="Arial"/>
          <w:sz w:val="13"/>
          <w:szCs w:val="13"/>
          <w:b w:val="1"/>
          <w:bCs w:val="1"/>
          <w:color w:val="auto"/>
        </w:rPr>
        <w:t xml:space="preserve">Scalable and Compliant Infrastructure: </w:t>
      </w:r>
      <w:r>
        <w:rPr>
          <w:rFonts w:ascii="Arial" w:cs="Arial" w:eastAsia="Arial" w:hAnsi="Arial"/>
          <w:sz w:val="13"/>
          <w:szCs w:val="13"/>
          <w:color w:val="auto"/>
        </w:rPr>
        <w:t>Our cloud infrastructure and compliance-by-design technology ensures scalability and compliance across our platform, essential in a highly regulated</w:t>
      </w:r>
      <w:r>
        <w:rPr>
          <w:rFonts w:ascii="Arial" w:cs="Arial" w:eastAsia="Arial" w:hAnsi="Arial"/>
          <w:sz w:val="13"/>
          <w:szCs w:val="13"/>
          <w:b w:val="1"/>
          <w:bCs w:val="1"/>
          <w:color w:val="auto"/>
        </w:rPr>
        <w:t xml:space="preserve"> </w:t>
      </w:r>
      <w:r>
        <w:rPr>
          <w:rFonts w:ascii="Arial" w:cs="Arial" w:eastAsia="Arial" w:hAnsi="Arial"/>
          <w:sz w:val="13"/>
          <w:szCs w:val="13"/>
          <w:color w:val="auto"/>
        </w:rPr>
        <w:t>industry and crucial from a carrier partner perspective.</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Our Value Proposition: Scale Benefits and LTV/CAC Focus</w:t>
      </w:r>
    </w:p>
    <w:p>
      <w:pPr>
        <w:spacing w:after="0" w:line="181" w:lineRule="exact"/>
        <w:rPr>
          <w:sz w:val="20"/>
          <w:szCs w:val="20"/>
          <w:color w:val="auto"/>
        </w:rPr>
      </w:pPr>
    </w:p>
    <w:p>
      <w:pPr>
        <w:ind w:right="60"/>
        <w:spacing w:after="0"/>
        <w:rPr>
          <w:sz w:val="20"/>
          <w:szCs w:val="20"/>
          <w:color w:val="auto"/>
        </w:rPr>
      </w:pPr>
      <w:r>
        <w:rPr>
          <w:rFonts w:ascii="Arial" w:cs="Arial" w:eastAsia="Arial" w:hAnsi="Arial"/>
          <w:sz w:val="13"/>
          <w:szCs w:val="13"/>
          <w:color w:val="auto"/>
        </w:rPr>
        <w:t>We believe that LTV/CAC provides the best metric on a per commissionable Approved Submission basis into the efficiency and performance of our integrated platform. We focus on strengthening the key drivers of LTV/CAC, including marketing costs, the consumer lead to customer conversion rate and customer satisfaction. While we offer both do-it-yourself and agent-assisted channels to accommodate consumers’ preferences, we believe that for most qualified Medicare prospects, an agent-assisted model maximizes LTV/CAC. As we continue to scale our platform, we improve our key drivers through specialization and optimization using our proprietary data and machine-learning.</w:t>
      </w:r>
    </w:p>
    <w:p>
      <w:pPr>
        <w:spacing w:after="0" w:line="166" w:lineRule="exact"/>
        <w:rPr>
          <w:sz w:val="20"/>
          <w:szCs w:val="20"/>
          <w:color w:val="auto"/>
        </w:rPr>
      </w:pPr>
    </w:p>
    <w:p>
      <w:pPr>
        <w:ind w:right="20"/>
        <w:spacing w:after="0"/>
        <w:rPr>
          <w:sz w:val="20"/>
          <w:szCs w:val="20"/>
          <w:color w:val="auto"/>
        </w:rPr>
      </w:pPr>
      <w:r>
        <w:rPr>
          <w:rFonts w:ascii="Arial" w:cs="Arial" w:eastAsia="Arial" w:hAnsi="Arial"/>
          <w:sz w:val="13"/>
          <w:szCs w:val="13"/>
          <w:color w:val="auto"/>
        </w:rPr>
        <w:t>We believe the key components of our platform are difficult to replicate for field-based agents, carrier-employed agents, and other digital or telesales competitors, making us increasingly valuable to carriers and consumers. As we increase the number of Submitted Policies, our data on qualified prospect, agent, and carrier performance becomes richer, feeding into our machine-learning and data science-enabled feedback loops, making our marketing and technology even smarter. This differentiates us from other channels and competitors, allowing us to generate more consumer leads, convert those consumer leads to customers at a higher rate, serve our customers over a longer period of time, and reduce our CAC.</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Our Products</w:t>
      </w:r>
    </w:p>
    <w:p>
      <w:pPr>
        <w:spacing w:after="0" w:line="138" w:lineRule="exact"/>
        <w:rPr>
          <w:sz w:val="20"/>
          <w:szCs w:val="20"/>
          <w:color w:val="auto"/>
        </w:rPr>
      </w:pPr>
    </w:p>
    <w:p>
      <w:pPr>
        <w:jc w:val="both"/>
        <w:ind w:right="20"/>
        <w:spacing w:after="0" w:line="241" w:lineRule="auto"/>
        <w:rPr>
          <w:sz w:val="20"/>
          <w:szCs w:val="20"/>
          <w:color w:val="auto"/>
        </w:rPr>
      </w:pPr>
      <w:r>
        <w:rPr>
          <w:rFonts w:ascii="Arial" w:cs="Arial" w:eastAsia="Arial" w:hAnsi="Arial"/>
          <w:sz w:val="13"/>
          <w:szCs w:val="13"/>
          <w:color w:val="auto"/>
        </w:rPr>
        <w:t>We operate our business in four segments: (i) Medicare—Internal, (ii) Medicare—External, (iii) Individual and Family Plans, or IFP and Other—Internal and (iv) IFP and Other—External. The Medicare segments focus on sales of Medicare Advantage, Medicare Supplement, Medicare prescription drug plans, and Medicare Special Needs Plans (“SNPs”) for multiple carriers. The Medicare and IFP and Other segments are organized by distribution channel, as further described below:</w:t>
      </w:r>
    </w:p>
    <w:p>
      <w:pPr>
        <w:spacing w:after="0" w:line="149" w:lineRule="exact"/>
        <w:rPr>
          <w:sz w:val="20"/>
          <w:szCs w:val="20"/>
          <w:color w:val="auto"/>
        </w:rPr>
      </w:pPr>
    </w:p>
    <w:p>
      <w:pPr>
        <w:ind w:left="520" w:right="140" w:hanging="260"/>
        <w:spacing w:after="0" w:line="312" w:lineRule="auto"/>
        <w:tabs>
          <w:tab w:leader="none" w:pos="511" w:val="left"/>
        </w:tabs>
        <w:numPr>
          <w:ilvl w:val="0"/>
          <w:numId w:val="10"/>
        </w:numPr>
        <w:rPr>
          <w:rFonts w:ascii="Arial" w:cs="Arial" w:eastAsia="Arial" w:hAnsi="Arial"/>
          <w:sz w:val="12"/>
          <w:szCs w:val="12"/>
          <w:color w:val="auto"/>
        </w:rPr>
      </w:pPr>
      <w:r>
        <w:rPr>
          <w:rFonts w:ascii="Arial" w:cs="Arial" w:eastAsia="Arial" w:hAnsi="Arial"/>
          <w:sz w:val="12"/>
          <w:szCs w:val="12"/>
          <w:b w:val="1"/>
          <w:bCs w:val="1"/>
          <w:color w:val="auto"/>
        </w:rPr>
        <w:t xml:space="preserve">Internal: </w:t>
      </w:r>
      <w:r>
        <w:rPr>
          <w:rFonts w:ascii="Arial" w:cs="Arial" w:eastAsia="Arial" w:hAnsi="Arial"/>
          <w:sz w:val="12"/>
          <w:szCs w:val="12"/>
          <w:color w:val="auto"/>
        </w:rPr>
        <w:t>The internal segments primarily consist of sales of products and plans by GoHealth-employed agents offering qualified prospects plans from multiple carriers, GoHealth-employed</w:t>
      </w:r>
      <w:r>
        <w:rPr>
          <w:rFonts w:ascii="Arial" w:cs="Arial" w:eastAsia="Arial" w:hAnsi="Arial"/>
          <w:sz w:val="12"/>
          <w:szCs w:val="12"/>
          <w:b w:val="1"/>
          <w:bCs w:val="1"/>
          <w:color w:val="auto"/>
        </w:rPr>
        <w:t xml:space="preserve"> </w:t>
      </w:r>
      <w:r>
        <w:rPr>
          <w:rFonts w:ascii="Arial" w:cs="Arial" w:eastAsia="Arial" w:hAnsi="Arial"/>
          <w:sz w:val="12"/>
          <w:szCs w:val="12"/>
          <w:color w:val="auto"/>
        </w:rPr>
        <w:t>agents offering qualified prospects plans on a carrier-specific basis, or sales of products and plans through our online platform without the assistance of our agents, which we refer to as DIY.</w:t>
      </w:r>
    </w:p>
    <w:p>
      <w:pPr>
        <w:spacing w:after="0" w:line="108" w:lineRule="exact"/>
        <w:rPr>
          <w:rFonts w:ascii="Arial" w:cs="Arial" w:eastAsia="Arial" w:hAnsi="Arial"/>
          <w:sz w:val="12"/>
          <w:szCs w:val="12"/>
          <w:color w:val="auto"/>
        </w:rPr>
      </w:pPr>
    </w:p>
    <w:p>
      <w:pPr>
        <w:ind w:left="520" w:right="120" w:hanging="260"/>
        <w:spacing w:after="0" w:line="254" w:lineRule="auto"/>
        <w:tabs>
          <w:tab w:leader="none" w:pos="511" w:val="left"/>
        </w:tabs>
        <w:numPr>
          <w:ilvl w:val="0"/>
          <w:numId w:val="10"/>
        </w:numPr>
        <w:rPr>
          <w:rFonts w:ascii="Arial" w:cs="Arial" w:eastAsia="Arial" w:hAnsi="Arial"/>
          <w:sz w:val="13"/>
          <w:szCs w:val="13"/>
          <w:color w:val="auto"/>
        </w:rPr>
      </w:pPr>
      <w:r>
        <w:rPr>
          <w:rFonts w:ascii="Arial" w:cs="Arial" w:eastAsia="Arial" w:hAnsi="Arial"/>
          <w:sz w:val="13"/>
          <w:szCs w:val="13"/>
          <w:b w:val="1"/>
          <w:bCs w:val="1"/>
          <w:color w:val="auto"/>
        </w:rPr>
        <w:t xml:space="preserve">External: </w:t>
      </w:r>
      <w:r>
        <w:rPr>
          <w:rFonts w:ascii="Arial" w:cs="Arial" w:eastAsia="Arial" w:hAnsi="Arial"/>
          <w:sz w:val="13"/>
          <w:szCs w:val="13"/>
          <w:color w:val="auto"/>
        </w:rPr>
        <w:t>The external segments represent sales of products and plans under GoHealth’s carrier contracts using an independent, national network of agents, or external agencies, which are</w:t>
      </w:r>
      <w:r>
        <w:rPr>
          <w:rFonts w:ascii="Arial" w:cs="Arial" w:eastAsia="Arial" w:hAnsi="Arial"/>
          <w:sz w:val="13"/>
          <w:szCs w:val="13"/>
          <w:b w:val="1"/>
          <w:bCs w:val="1"/>
          <w:color w:val="auto"/>
        </w:rPr>
        <w:t xml:space="preserve"> </w:t>
      </w:r>
      <w:r>
        <w:rPr>
          <w:rFonts w:ascii="Arial" w:cs="Arial" w:eastAsia="Arial" w:hAnsi="Arial"/>
          <w:sz w:val="13"/>
          <w:szCs w:val="13"/>
          <w:color w:val="auto"/>
        </w:rPr>
        <w:t>not employed by GoHealth. These agents utilize our technology and platform to enroll consumers in health insurance plans and provide a means to earn a return on consumer leads that otherwise may have not been addressed.</w:t>
      </w:r>
    </w:p>
    <w:p>
      <w:pPr>
        <w:spacing w:after="0" w:line="157" w:lineRule="exact"/>
        <w:rPr>
          <w:sz w:val="20"/>
          <w:szCs w:val="20"/>
          <w:color w:val="auto"/>
        </w:rPr>
      </w:pPr>
    </w:p>
    <w:p>
      <w:pPr>
        <w:ind w:right="200"/>
        <w:spacing w:after="0" w:line="244" w:lineRule="auto"/>
        <w:rPr>
          <w:sz w:val="20"/>
          <w:szCs w:val="20"/>
          <w:color w:val="auto"/>
        </w:rPr>
      </w:pPr>
      <w:r>
        <w:rPr>
          <w:rFonts w:ascii="Arial" w:cs="Arial" w:eastAsia="Arial" w:hAnsi="Arial"/>
          <w:sz w:val="13"/>
          <w:szCs w:val="13"/>
          <w:color w:val="auto"/>
        </w:rPr>
        <w:t>The Medicare—Internal segment is the largest segment by revenue and a primary contributor to our growth and margin expansion. Over the last two years, we grew the Medicare—Internal segment multi-carrier channel agent count and prioritized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643"/>
              <w:spacing w:after="0"/>
              <w:rPr>
                <w:sz w:val="20"/>
                <w:szCs w:val="20"/>
                <w:color w:val="auto"/>
              </w:rPr>
            </w:pPr>
            <w:r>
              <w:rPr>
                <w:rFonts w:ascii="Arial" w:cs="Arial" w:eastAsia="Arial" w:hAnsi="Arial"/>
                <w:sz w:val="11"/>
                <w:szCs w:val="11"/>
                <w:color w:val="auto"/>
              </w:rPr>
              <w:t>6</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31" w:right="319" w:bottom="1440" w:gutter="0" w:footer="0" w:header="0"/>
        </w:sectPr>
      </w:pPr>
    </w:p>
    <w:bookmarkStart w:id="9" w:name="page10"/>
    <w:bookmarkEnd w:id="9"/>
    <w:p>
      <w:pPr>
        <w:ind w:right="40"/>
        <w:spacing w:after="0" w:line="241" w:lineRule="auto"/>
        <w:rPr>
          <w:sz w:val="20"/>
          <w:szCs w:val="20"/>
          <w:color w:val="auto"/>
        </w:rPr>
      </w:pPr>
      <w:r>
        <w:rPr>
          <w:rFonts w:ascii="Arial" w:cs="Arial" w:eastAsia="Arial" w:hAnsi="Arial"/>
          <w:sz w:val="13"/>
          <w:szCs w:val="13"/>
          <w:color w:val="auto"/>
        </w:rPr>
        <w:t>the placement of qualified prospects into the Medicare—Internal segment. The Medicare—Internal segment also provides significant benefits to the broader business. For example, carriers that partner with us through one or more of our internal segment businesses will often supplement our marketing and technology investments. Additionally, the external segments can be used when the number of consumer leads in our marketplace is higher than we can address in a timely fashion using our internal channel.</w:t>
      </w:r>
    </w:p>
    <w:p>
      <w:pPr>
        <w:spacing w:after="0" w:line="165"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The IFP and Other segments focus on sales of individual and family plans (which include fixed indemnity and major medical plans), dental plans, vision plans and other ancillary plans to individuals that are not Medicare-eligible. The IFP and Other segments represent a valuable source of diversification of products, carriers, consumers and revenue that are not tied solely to Medicare. Many of the products in the IFP and Other segments have a policy life under a single year.</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Market and Trends Impacting the Industry</w:t>
      </w:r>
    </w:p>
    <w:p>
      <w:pPr>
        <w:spacing w:after="0" w:line="142"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color w:val="auto"/>
        </w:rPr>
        <w:t>Demographic, consumer preference and regulatory factors are driving growth in the individual health insurance market. We service this market through the Medicare segments and the IFP and Other segments.</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Medicare</w:t>
      </w:r>
    </w:p>
    <w:p>
      <w:pPr>
        <w:spacing w:after="0" w:line="138"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Medicare enrollment is expected to grow significantly over the next 10 years as nearly 11,000 individuals turn 65 each day and become Medicare-eligible. The proportion of the population that is age 65 and older increased from 13% in 2010 to 16% in 2019 and is expected to reach 21% by 2030, according to the United States Census Bureau. As a result, Medicare enrollment is expected to grow from approximately 63 million individuals in 2021 to approximately 82 million individuals by 2030. This growth in Medicare enrollment will increase the numbers of qualified prospects for our marketing efforts. Internet usage by individuals age 65 and older is also increasing, with 75% using the Internet in 2021 compared to 40% in 2011 according to the Pew Research Center. Seniors are also transacting more online, with 55% of people age 65 and older making online purchases monthly.</w:t>
      </w:r>
    </w:p>
    <w:p>
      <w:pPr>
        <w:spacing w:after="0" w:line="126" w:lineRule="exact"/>
        <w:rPr>
          <w:sz w:val="20"/>
          <w:szCs w:val="20"/>
          <w:color w:val="auto"/>
        </w:rPr>
      </w:pPr>
    </w:p>
    <w:p>
      <w:pPr>
        <w:ind w:right="40"/>
        <w:spacing w:after="0" w:line="239" w:lineRule="auto"/>
        <w:rPr>
          <w:sz w:val="20"/>
          <w:szCs w:val="20"/>
          <w:color w:val="auto"/>
        </w:rPr>
      </w:pPr>
      <w:r>
        <w:rPr>
          <w:rFonts w:ascii="Arial" w:cs="Arial" w:eastAsia="Arial" w:hAnsi="Arial"/>
          <w:sz w:val="13"/>
          <w:szCs w:val="13"/>
          <w:color w:val="auto"/>
        </w:rPr>
        <w:t>In addition to the growth in Medicare-eligible beneficiaries and higher online usage, the interest in Medicare-eligible individuals in private Medicare plans is expected to continue to increase. In 2021, 42% of all Medicare beneficiaries were enrolled in Medicare Advantage plans and between 2020 and 2021, total Medicare Advantage enrollment grew by about 2.4 million individuals. According to estimates, Medicare Advantage penetration is likely to reach 50% penetration for all Medicare-eligible individuals by 2025 and could reach as high as 60% to 70% between 2030 and 2040. Compared to original Medicare, Medicare Advantage has lower annual healthcare costs and access to greater benefits. In addition, we expect the increase in Medicare Advantage penetration to accelerate due to the COVID-19 pandemic because of increasing consumer preference for online and telephonic insurance enrollment as opposed to face-to-face consultations. We believe the increased penetration of Medicare Advantage, as well as the growth of the number of Medicare-eligible individuals, will lead to increased submissions for marketplaces such as ours in the future. Consumers choose Medicare Advantage plans around a specific criteria set which includes premium, total expected costs out of pocket, provider network composition, formulary coverage and supplemental benefits, which we believe are more efficiently addressed through a non-field-based distribution channel.</w:t>
      </w:r>
    </w:p>
    <w:p>
      <w:pPr>
        <w:spacing w:after="0" w:line="125"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The growth in Medicare-eligible seniors and growing interest in private Medicare plans has led to an increase in plan choices. In addition to the increase in plan choices, the differences between health insurance plans has increased significantly. For 2019, the Centers for Medicare and Medicaid Services (“CMS”) eliminated the meaningful difference requirement to improve competition, innovation and available benefit offerings and provide beneficiaries with affordable health insurance plans that are tailored to a consumer’s specific healthcare needs and financial situation. The types of supplemental benefits that health insurance plans cover increased in 2019, 2020 and 2021 and now cover transportation assistance, meal benefits, in-home support, telemonitoring, and caregivers support, among others. This growth in plan choices made education and assistance with plan selection more important for consumers and allows carriers to target specific Medicare Advantage plans with packages of benefits designed to be attractive to different segments of Medicare consumers. Marketplaces such as ours help educate consumers, and assist them in making informed plan choices. In addition, we specifically micro-target our marketing to precise populations to allow carriers to grow increasingly differentiated health insurance plans. This precise marketing is more difficult for traditional radio or television-based marketing channels.</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Individual and Family Plans</w:t>
      </w:r>
    </w:p>
    <w:p>
      <w:pPr>
        <w:spacing w:after="0" w:line="138" w:lineRule="exact"/>
        <w:rPr>
          <w:sz w:val="20"/>
          <w:szCs w:val="20"/>
          <w:color w:val="auto"/>
        </w:rPr>
      </w:pPr>
    </w:p>
    <w:p>
      <w:pPr>
        <w:ind w:right="20"/>
        <w:spacing w:after="0" w:line="239" w:lineRule="auto"/>
        <w:rPr>
          <w:sz w:val="20"/>
          <w:szCs w:val="20"/>
          <w:color w:val="auto"/>
        </w:rPr>
      </w:pPr>
      <w:r>
        <w:rPr>
          <w:rFonts w:ascii="Arial" w:cs="Arial" w:eastAsia="Arial" w:hAnsi="Arial"/>
          <w:sz w:val="13"/>
          <w:szCs w:val="13"/>
          <w:color w:val="auto"/>
        </w:rPr>
        <w:t>After the passage of the Affordable Care Act (“ACA”), the individual health insurance market grew from 10.6 million enrollees in 2013 to 17.4 million enrollees in 2015. Such increase was driven by (1) the requirement to purchase health insurance, or the individual mandate, (2) the requirement that carriers not consider pre-existing medical conditions in coverage decisions and (3) premium subsidies for middle and lower income individuals that were also contained in that legislation. With the repeal of the individual mandate in 2017 and broader economic trends, such as gains in employment, which increased the number of people having job-based coverage, the individual market has declined. The relative importance of the IFP and Other segments continues to diminish as we allocate resources to the fast growing Medicare segments.</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Carrier Relationships</w:t>
      </w:r>
    </w:p>
    <w:p>
      <w:pPr>
        <w:spacing w:after="0" w:line="142" w:lineRule="exact"/>
        <w:rPr>
          <w:sz w:val="20"/>
          <w:szCs w:val="20"/>
          <w:color w:val="auto"/>
        </w:rPr>
      </w:pPr>
    </w:p>
    <w:p>
      <w:pPr>
        <w:ind w:right="220"/>
        <w:spacing w:after="0" w:line="244" w:lineRule="auto"/>
        <w:rPr>
          <w:sz w:val="20"/>
          <w:szCs w:val="20"/>
          <w:color w:val="auto"/>
        </w:rPr>
      </w:pPr>
      <w:r>
        <w:rPr>
          <w:rFonts w:ascii="Arial" w:cs="Arial" w:eastAsia="Arial" w:hAnsi="Arial"/>
          <w:sz w:val="13"/>
          <w:szCs w:val="13"/>
          <w:color w:val="auto"/>
        </w:rPr>
        <w:t>We maintain longstanding, deeply integrated relationships with leading carriers in the United States, who have some of the industry’s most widely recognizable brands. For the twelve months ended December 31, 2021 and 2020, the primary carriers that we served in the Medicare segments were carriers owned by Humana, Anthem, United, and Centene. These high-quality</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643"/>
              <w:spacing w:after="0"/>
              <w:rPr>
                <w:sz w:val="20"/>
                <w:szCs w:val="20"/>
                <w:color w:val="auto"/>
              </w:rPr>
            </w:pPr>
            <w:r>
              <w:rPr>
                <w:rFonts w:ascii="Arial" w:cs="Arial" w:eastAsia="Arial" w:hAnsi="Arial"/>
                <w:sz w:val="11"/>
                <w:szCs w:val="11"/>
                <w:color w:val="auto"/>
              </w:rPr>
              <w:t>7</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85" w:right="319" w:bottom="1440" w:gutter="0" w:footer="0" w:header="0"/>
        </w:sectPr>
      </w:pPr>
    </w:p>
    <w:bookmarkStart w:id="10" w:name="page11"/>
    <w:bookmarkEnd w:id="10"/>
    <w:p>
      <w:pPr>
        <w:ind w:right="100"/>
        <w:spacing w:after="0" w:line="241" w:lineRule="auto"/>
        <w:rPr>
          <w:sz w:val="20"/>
          <w:szCs w:val="20"/>
          <w:color w:val="auto"/>
        </w:rPr>
      </w:pPr>
      <w:r>
        <w:rPr>
          <w:rFonts w:ascii="Arial" w:cs="Arial" w:eastAsia="Arial" w:hAnsi="Arial"/>
          <w:sz w:val="13"/>
          <w:szCs w:val="13"/>
          <w:color w:val="auto"/>
        </w:rPr>
        <w:t>relationships have resulted in strong carrier retention rates; since our inception, we have never had a carrier terminate for performance. We typically enter into contractual agency relationships with carriers that are non-exclusive and terminable on short notice by either party for any reason. Carriers often have the ability to terminate or amend our agreements unilaterally on short notice, including provisions in our agreements relating to our commission rates.</w:t>
      </w:r>
    </w:p>
    <w:p>
      <w:pPr>
        <w:spacing w:after="0" w:line="123" w:lineRule="exact"/>
        <w:rPr>
          <w:sz w:val="20"/>
          <w:szCs w:val="20"/>
          <w:color w:val="auto"/>
        </w:rPr>
      </w:pPr>
    </w:p>
    <w:p>
      <w:pPr>
        <w:ind w:right="80"/>
        <w:spacing w:after="0" w:line="241" w:lineRule="auto"/>
        <w:rPr>
          <w:sz w:val="20"/>
          <w:szCs w:val="20"/>
          <w:color w:val="auto"/>
        </w:rPr>
      </w:pPr>
      <w:r>
        <w:rPr>
          <w:rFonts w:ascii="Arial" w:cs="Arial" w:eastAsia="Arial" w:hAnsi="Arial"/>
          <w:sz w:val="13"/>
          <w:szCs w:val="13"/>
          <w:color w:val="auto"/>
        </w:rPr>
        <w:t>We believe carriers see our method of acquiring consumers as scalable and efficient and, ultimately, as cost-advantageous compared to their own models, and provide us, in some cases, with marketing development. The carriers are responsible for paying our commissions and, for these purposes, act as our customers. We do not currently generate revenues directly from the consumers to whom we sell insurance policies on behalf of carriers.</w:t>
      </w:r>
    </w:p>
    <w:p>
      <w:pPr>
        <w:spacing w:after="0" w:line="123" w:lineRule="exact"/>
        <w:rPr>
          <w:sz w:val="20"/>
          <w:szCs w:val="20"/>
          <w:color w:val="auto"/>
        </w:rPr>
      </w:pPr>
    </w:p>
    <w:p>
      <w:pPr>
        <w:ind w:right="60"/>
        <w:spacing w:after="0" w:line="241" w:lineRule="auto"/>
        <w:rPr>
          <w:sz w:val="20"/>
          <w:szCs w:val="20"/>
          <w:color w:val="auto"/>
        </w:rPr>
      </w:pPr>
      <w:r>
        <w:rPr>
          <w:rFonts w:ascii="Arial" w:cs="Arial" w:eastAsia="Arial" w:hAnsi="Arial"/>
          <w:sz w:val="13"/>
          <w:szCs w:val="13"/>
          <w:color w:val="auto"/>
        </w:rPr>
        <w:t>A core element of our value proposition to carriers relates to our ability to reliably place policies in compliance with applicable regulations and carrier-specific requirements. As such, we work closely with carriers to develop approved scripts and to undertake regular audits of our compliance with carrier requirements. In addition, our agents operate under compensation structures established to fully align their incentives with our compliance objectives.</w:t>
      </w:r>
    </w:p>
    <w:p>
      <w:pPr>
        <w:spacing w:after="0" w:line="80" w:lineRule="exact"/>
        <w:rPr>
          <w:sz w:val="20"/>
          <w:szCs w:val="20"/>
          <w:color w:val="auto"/>
        </w:rPr>
      </w:pPr>
    </w:p>
    <w:p>
      <w:pPr>
        <w:jc w:val="both"/>
        <w:ind w:right="280"/>
        <w:spacing w:after="0" w:line="241" w:lineRule="auto"/>
        <w:rPr>
          <w:sz w:val="20"/>
          <w:szCs w:val="20"/>
          <w:color w:val="auto"/>
        </w:rPr>
      </w:pPr>
      <w:r>
        <w:rPr>
          <w:rFonts w:ascii="Arial" w:cs="Arial" w:eastAsia="Arial" w:hAnsi="Arial"/>
          <w:sz w:val="13"/>
          <w:szCs w:val="13"/>
          <w:color w:val="auto"/>
        </w:rPr>
        <w:t>Carriers owned by Humana, Anthem, Centene, and United accounted for approximately 28%, 22%, 17% and 16%, respectively, of net revenues for the twelve months ended December 31, 2021, approximately 40%, 29%, 9%, and 13%, respectively, of net revenues for the twelve months ended December 31, 2020, approximately 46%, 22%, 4% and 4%, respectively, of net revenues for the Successor 2019 Period, and approximately 31%, 18%, 4% and 10%, respectively, of net revenues for the Predecessor 2019 Period.</w:t>
      </w:r>
    </w:p>
    <w:p>
      <w:pPr>
        <w:spacing w:after="0" w:line="80"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color w:val="auto"/>
        </w:rPr>
        <w:t>We continue to focus on building out our carrier footprint in order to provide our consumers with a greater choice of health insurance plans. This expanded carrier footprint positions the Company well to help maximize the likelihood of finding the right policy for consumers, driving better conversion of incoming calls and higher persistency in plans.</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Technology</w:t>
      </w:r>
    </w:p>
    <w:p>
      <w:pPr>
        <w:spacing w:after="0" w:line="142" w:lineRule="exact"/>
        <w:rPr>
          <w:sz w:val="20"/>
          <w:szCs w:val="20"/>
          <w:color w:val="auto"/>
        </w:rPr>
      </w:pPr>
    </w:p>
    <w:p>
      <w:pPr>
        <w:ind w:right="40"/>
        <w:spacing w:after="0"/>
        <w:rPr>
          <w:sz w:val="20"/>
          <w:szCs w:val="20"/>
          <w:color w:val="auto"/>
        </w:rPr>
      </w:pPr>
      <w:r>
        <w:rPr>
          <w:rFonts w:ascii="Arial" w:cs="Arial" w:eastAsia="Arial" w:hAnsi="Arial"/>
          <w:sz w:val="13"/>
          <w:szCs w:val="13"/>
          <w:color w:val="auto"/>
        </w:rPr>
        <w:t>We have a technology culture that incentivizes the relentless improvement of every measurable point of the consumer experience. We harness our data, in unison with a deep investment in data expertise, to power key decision engines that scrutinize every step of the consumer journey and identify areas where technology and process-improvement investment will most impact our unit economics, including driving improvements in LTV/CAC. We operate dozens of proprietary technology systems, which support a data-driven consumer acquisition, service, and retention lifecycle within the health insurance market.</w:t>
      </w:r>
    </w:p>
    <w:p>
      <w:pPr>
        <w:spacing w:after="0" w:line="150" w:lineRule="exact"/>
        <w:rPr>
          <w:sz w:val="20"/>
          <w:szCs w:val="20"/>
          <w:color w:val="auto"/>
        </w:rPr>
      </w:pPr>
    </w:p>
    <w:p>
      <w:pPr>
        <w:ind w:left="520" w:right="40" w:hanging="260"/>
        <w:spacing w:after="0" w:line="271" w:lineRule="auto"/>
        <w:tabs>
          <w:tab w:leader="none" w:pos="511" w:val="left"/>
        </w:tabs>
        <w:numPr>
          <w:ilvl w:val="0"/>
          <w:numId w:val="11"/>
        </w:numPr>
        <w:rPr>
          <w:rFonts w:ascii="Arial" w:cs="Arial" w:eastAsia="Arial" w:hAnsi="Arial"/>
          <w:sz w:val="12"/>
          <w:szCs w:val="12"/>
          <w:color w:val="auto"/>
        </w:rPr>
      </w:pPr>
      <w:r>
        <w:rPr>
          <w:rFonts w:ascii="Arial" w:cs="Arial" w:eastAsia="Arial" w:hAnsi="Arial"/>
          <w:sz w:val="12"/>
          <w:szCs w:val="12"/>
          <w:b w:val="1"/>
          <w:bCs w:val="1"/>
          <w:color w:val="auto"/>
        </w:rPr>
        <w:t xml:space="preserve">Consumer Lead Acquisition: </w:t>
      </w:r>
      <w:r>
        <w:rPr>
          <w:rFonts w:ascii="Arial" w:cs="Arial" w:eastAsia="Arial" w:hAnsi="Arial"/>
          <w:sz w:val="12"/>
          <w:szCs w:val="12"/>
          <w:color w:val="auto"/>
        </w:rPr>
        <w:t>We acquire consumer leads through many channels, including paid Internet searches, television advertising, direct mail, affiliate sources, organic traffic from</w:t>
      </w:r>
      <w:r>
        <w:rPr>
          <w:rFonts w:ascii="Arial" w:cs="Arial" w:eastAsia="Arial" w:hAnsi="Arial"/>
          <w:sz w:val="12"/>
          <w:szCs w:val="12"/>
          <w:b w:val="1"/>
          <w:bCs w:val="1"/>
          <w:color w:val="auto"/>
        </w:rPr>
        <w:t xml:space="preserve"> </w:t>
      </w:r>
      <w:r>
        <w:rPr>
          <w:rFonts w:ascii="Arial" w:cs="Arial" w:eastAsia="Arial" w:hAnsi="Arial"/>
          <w:sz w:val="12"/>
          <w:szCs w:val="12"/>
          <w:color w:val="auto"/>
        </w:rPr>
        <w:t>GoHealth.com and other channels. We use our streaming data systems to monitor CAC, the attributes and volume of consumer leads, the efficiency of the sales process, and historical performance benchmarks on a real-time basis. These systems allow our marketing team and automated marketing systems to make informed consumer lead acquisition decisions, resulting in lower CAC. Further, we have engineered our online lead generation forms that capture consumer leads to conduct high-volume testing of our consumer lead systems. Finally, our Consent Manager system ensures the capture of verifiable consent to call or text each consumer lead in compliance with the Telephone Consumer Protection Act (“TCPA”).</w:t>
      </w:r>
    </w:p>
    <w:p>
      <w:pPr>
        <w:spacing w:after="0" w:line="133" w:lineRule="exact"/>
        <w:rPr>
          <w:rFonts w:ascii="Arial" w:cs="Arial" w:eastAsia="Arial" w:hAnsi="Arial"/>
          <w:sz w:val="12"/>
          <w:szCs w:val="12"/>
          <w:color w:val="auto"/>
        </w:rPr>
      </w:pPr>
    </w:p>
    <w:p>
      <w:pPr>
        <w:ind w:left="520" w:right="200" w:hanging="260"/>
        <w:spacing w:after="0" w:line="249" w:lineRule="auto"/>
        <w:tabs>
          <w:tab w:leader="none" w:pos="511" w:val="left"/>
        </w:tabs>
        <w:numPr>
          <w:ilvl w:val="0"/>
          <w:numId w:val="11"/>
        </w:numPr>
        <w:rPr>
          <w:rFonts w:ascii="Arial" w:cs="Arial" w:eastAsia="Arial" w:hAnsi="Arial"/>
          <w:sz w:val="13"/>
          <w:szCs w:val="13"/>
          <w:color w:val="auto"/>
        </w:rPr>
      </w:pPr>
      <w:r>
        <w:rPr>
          <w:rFonts w:ascii="Arial" w:cs="Arial" w:eastAsia="Arial" w:hAnsi="Arial"/>
          <w:sz w:val="13"/>
          <w:szCs w:val="13"/>
          <w:b w:val="1"/>
          <w:bCs w:val="1"/>
          <w:color w:val="auto"/>
        </w:rPr>
        <w:t xml:space="preserve">Lead Scoring: </w:t>
      </w:r>
      <w:r>
        <w:rPr>
          <w:rFonts w:ascii="Arial" w:cs="Arial" w:eastAsia="Arial" w:hAnsi="Arial"/>
          <w:sz w:val="13"/>
          <w:szCs w:val="13"/>
          <w:color w:val="auto"/>
        </w:rPr>
        <w:t>When consumers engage with us through the telephone or our website, our data systems capture attributes about the consumer, including the specific advertisement and</w:t>
      </w:r>
      <w:r>
        <w:rPr>
          <w:rFonts w:ascii="Arial" w:cs="Arial" w:eastAsia="Arial" w:hAnsi="Arial"/>
          <w:sz w:val="13"/>
          <w:szCs w:val="13"/>
          <w:b w:val="1"/>
          <w:bCs w:val="1"/>
          <w:color w:val="auto"/>
        </w:rPr>
        <w:t xml:space="preserve"> </w:t>
      </w:r>
      <w:r>
        <w:rPr>
          <w:rFonts w:ascii="Arial" w:cs="Arial" w:eastAsia="Arial" w:hAnsi="Arial"/>
          <w:sz w:val="13"/>
          <w:szCs w:val="13"/>
          <w:color w:val="auto"/>
        </w:rPr>
        <w:t>channel that precipitated the consumer’s engagement. Our proprietary LeadScore technology applies a machine-learning model to years of historical consumer lead data we have gathered and their measured long-term outcomes to predict the expected LTV of all incoming consumer leads from the moment they connect with us. We use LeadScore to make several decisions throughout the sales process about how to optimize the routing of the consumer lead and what agents or agencies are best suited to serve each consumer.</w:t>
      </w:r>
    </w:p>
    <w:p>
      <w:pPr>
        <w:spacing w:after="0" w:line="143" w:lineRule="exact"/>
        <w:rPr>
          <w:rFonts w:ascii="Arial" w:cs="Arial" w:eastAsia="Arial" w:hAnsi="Arial"/>
          <w:sz w:val="13"/>
          <w:szCs w:val="13"/>
          <w:color w:val="auto"/>
        </w:rPr>
      </w:pPr>
    </w:p>
    <w:p>
      <w:pPr>
        <w:ind w:left="520" w:right="300" w:hanging="260"/>
        <w:spacing w:after="0" w:line="270" w:lineRule="auto"/>
        <w:tabs>
          <w:tab w:leader="none" w:pos="511" w:val="left"/>
        </w:tabs>
        <w:numPr>
          <w:ilvl w:val="0"/>
          <w:numId w:val="11"/>
        </w:numPr>
        <w:rPr>
          <w:rFonts w:ascii="Arial" w:cs="Arial" w:eastAsia="Arial" w:hAnsi="Arial"/>
          <w:sz w:val="13"/>
          <w:szCs w:val="13"/>
          <w:color w:val="auto"/>
        </w:rPr>
      </w:pPr>
      <w:r>
        <w:rPr>
          <w:rFonts w:ascii="Arial" w:cs="Arial" w:eastAsia="Arial" w:hAnsi="Arial"/>
          <w:sz w:val="13"/>
          <w:szCs w:val="13"/>
          <w:b w:val="1"/>
          <w:bCs w:val="1"/>
          <w:color w:val="auto"/>
        </w:rPr>
        <w:t xml:space="preserve">Contact Queuing: </w:t>
      </w:r>
      <w:r>
        <w:rPr>
          <w:rFonts w:ascii="Arial" w:cs="Arial" w:eastAsia="Arial" w:hAnsi="Arial"/>
          <w:sz w:val="13"/>
          <w:szCs w:val="13"/>
          <w:color w:val="auto"/>
        </w:rPr>
        <w:t>We utilize our SPLICE system, a proprietary contact queue prioritized by LTV and throttled by an integrated monitor of agent capacity, to optimize outreach to our most</w:t>
      </w:r>
      <w:r>
        <w:rPr>
          <w:rFonts w:ascii="Arial" w:cs="Arial" w:eastAsia="Arial" w:hAnsi="Arial"/>
          <w:sz w:val="13"/>
          <w:szCs w:val="13"/>
          <w:b w:val="1"/>
          <w:bCs w:val="1"/>
          <w:color w:val="auto"/>
        </w:rPr>
        <w:t xml:space="preserve"> </w:t>
      </w:r>
      <w:r>
        <w:rPr>
          <w:rFonts w:ascii="Arial" w:cs="Arial" w:eastAsia="Arial" w:hAnsi="Arial"/>
          <w:sz w:val="13"/>
          <w:szCs w:val="13"/>
          <w:color w:val="auto"/>
        </w:rPr>
        <w:t>valuable online consumer leads at a point in time when they can be connected to our agents with minimal wait time.</w:t>
      </w:r>
    </w:p>
    <w:p>
      <w:pPr>
        <w:spacing w:after="0" w:line="130" w:lineRule="exact"/>
        <w:rPr>
          <w:rFonts w:ascii="Arial" w:cs="Arial" w:eastAsia="Arial" w:hAnsi="Arial"/>
          <w:sz w:val="13"/>
          <w:szCs w:val="13"/>
          <w:color w:val="auto"/>
        </w:rPr>
      </w:pPr>
    </w:p>
    <w:p>
      <w:pPr>
        <w:ind w:left="520" w:right="80" w:hanging="260"/>
        <w:spacing w:after="0" w:line="249" w:lineRule="auto"/>
        <w:tabs>
          <w:tab w:leader="none" w:pos="511" w:val="left"/>
        </w:tabs>
        <w:numPr>
          <w:ilvl w:val="0"/>
          <w:numId w:val="11"/>
        </w:numPr>
        <w:rPr>
          <w:rFonts w:ascii="Arial" w:cs="Arial" w:eastAsia="Arial" w:hAnsi="Arial"/>
          <w:sz w:val="13"/>
          <w:szCs w:val="13"/>
          <w:color w:val="auto"/>
        </w:rPr>
      </w:pPr>
      <w:r>
        <w:rPr>
          <w:rFonts w:ascii="Arial" w:cs="Arial" w:eastAsia="Arial" w:hAnsi="Arial"/>
          <w:sz w:val="13"/>
          <w:szCs w:val="13"/>
          <w:b w:val="1"/>
          <w:bCs w:val="1"/>
          <w:color w:val="auto"/>
        </w:rPr>
        <w:t xml:space="preserve">Outbound Contact and Qualification: </w:t>
      </w:r>
      <w:r>
        <w:rPr>
          <w:rFonts w:ascii="Arial" w:cs="Arial" w:eastAsia="Arial" w:hAnsi="Arial"/>
          <w:sz w:val="13"/>
          <w:szCs w:val="13"/>
          <w:color w:val="auto"/>
        </w:rPr>
        <w:t>Following SPLICE’s automated decision for consumer outreach, our automatic telephony system contacts the consumer and immediately places them</w:t>
      </w:r>
      <w:r>
        <w:rPr>
          <w:rFonts w:ascii="Arial" w:cs="Arial" w:eastAsia="Arial" w:hAnsi="Arial"/>
          <w:sz w:val="13"/>
          <w:szCs w:val="13"/>
          <w:b w:val="1"/>
          <w:bCs w:val="1"/>
          <w:color w:val="auto"/>
        </w:rPr>
        <w:t xml:space="preserve"> </w:t>
      </w:r>
      <w:r>
        <w:rPr>
          <w:rFonts w:ascii="Arial" w:cs="Arial" w:eastAsia="Arial" w:hAnsi="Arial"/>
          <w:sz w:val="13"/>
          <w:szCs w:val="13"/>
          <w:color w:val="auto"/>
        </w:rPr>
        <w:t>on the phone with an agent, who gathers information to personalize the consumer’s sales experience, who we refer to as an Advocate. We also use the data gathered by our Advocates to improve the sales process by testing the questions our Advocates ask and building data models of how consumers’ answers affect agent-consumer fit, consumer-product fit, CAC, LTV, and long-term customer satisfaction.</w:t>
      </w:r>
    </w:p>
    <w:p>
      <w:pPr>
        <w:spacing w:after="0" w:line="143" w:lineRule="exact"/>
        <w:rPr>
          <w:rFonts w:ascii="Arial" w:cs="Arial" w:eastAsia="Arial" w:hAnsi="Arial"/>
          <w:sz w:val="13"/>
          <w:szCs w:val="13"/>
          <w:color w:val="auto"/>
        </w:rPr>
      </w:pPr>
    </w:p>
    <w:p>
      <w:pPr>
        <w:ind w:left="520" w:right="240" w:hanging="260"/>
        <w:spacing w:after="0" w:line="249" w:lineRule="auto"/>
        <w:tabs>
          <w:tab w:leader="none" w:pos="511" w:val="left"/>
        </w:tabs>
        <w:numPr>
          <w:ilvl w:val="0"/>
          <w:numId w:val="11"/>
        </w:numPr>
        <w:rPr>
          <w:rFonts w:ascii="Arial" w:cs="Arial" w:eastAsia="Arial" w:hAnsi="Arial"/>
          <w:sz w:val="13"/>
          <w:szCs w:val="13"/>
          <w:color w:val="auto"/>
        </w:rPr>
      </w:pPr>
      <w:r>
        <w:rPr>
          <w:rFonts w:ascii="Arial" w:cs="Arial" w:eastAsia="Arial" w:hAnsi="Arial"/>
          <w:sz w:val="13"/>
          <w:szCs w:val="13"/>
          <w:b w:val="1"/>
          <w:bCs w:val="1"/>
          <w:color w:val="auto"/>
        </w:rPr>
        <w:t xml:space="preserve">Lead Distribution: </w:t>
      </w:r>
      <w:r>
        <w:rPr>
          <w:rFonts w:ascii="Arial" w:cs="Arial" w:eastAsia="Arial" w:hAnsi="Arial"/>
          <w:sz w:val="13"/>
          <w:szCs w:val="13"/>
          <w:color w:val="auto"/>
        </w:rPr>
        <w:t>At the conclusion of the information-gathering process, and while the consumer is still on the phone, we use our proprietary lead auction system to make a health</w:t>
      </w:r>
      <w:r>
        <w:rPr>
          <w:rFonts w:ascii="Arial" w:cs="Arial" w:eastAsia="Arial" w:hAnsi="Arial"/>
          <w:sz w:val="13"/>
          <w:szCs w:val="13"/>
          <w:b w:val="1"/>
          <w:bCs w:val="1"/>
          <w:color w:val="auto"/>
        </w:rPr>
        <w:t xml:space="preserve"> </w:t>
      </w:r>
      <w:r>
        <w:rPr>
          <w:rFonts w:ascii="Arial" w:cs="Arial" w:eastAsia="Arial" w:hAnsi="Arial"/>
          <w:sz w:val="13"/>
          <w:szCs w:val="13"/>
          <w:color w:val="auto"/>
        </w:rPr>
        <w:t>insurance market for the lead. External agencies participate in the auction along with our internal agency and programs, and present a pricing bid based on the consumer lead’s profile. We compete in the auction, winning the lead in the vast majority of cases, as our unit economics make typical consumer leads far more profitable for us to service than to distribute to external agencies. Our</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643"/>
              <w:spacing w:after="0"/>
              <w:rPr>
                <w:sz w:val="20"/>
                <w:szCs w:val="20"/>
                <w:color w:val="auto"/>
              </w:rPr>
            </w:pPr>
            <w:r>
              <w:rPr>
                <w:rFonts w:ascii="Arial" w:cs="Arial" w:eastAsia="Arial" w:hAnsi="Arial"/>
                <w:sz w:val="11"/>
                <w:szCs w:val="11"/>
                <w:color w:val="auto"/>
              </w:rPr>
              <w:t>8</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43" w:right="319" w:bottom="1440" w:gutter="0" w:footer="0" w:header="0"/>
        </w:sectPr>
      </w:pPr>
    </w:p>
    <w:bookmarkStart w:id="11" w:name="page12"/>
    <w:bookmarkEnd w:id="11"/>
    <w:p>
      <w:pPr>
        <w:ind w:left="520"/>
        <w:spacing w:after="0"/>
        <w:rPr>
          <w:sz w:val="20"/>
          <w:szCs w:val="20"/>
          <w:color w:val="auto"/>
        </w:rPr>
      </w:pPr>
      <w:r>
        <w:rPr>
          <w:rFonts w:ascii="Arial" w:cs="Arial" w:eastAsia="Arial" w:hAnsi="Arial"/>
          <w:sz w:val="13"/>
          <w:szCs w:val="13"/>
          <w:color w:val="auto"/>
        </w:rPr>
        <w:t>Assisted Live Transfer technology connects the call to the winner, via either warm (attended) transfer or cold (blind) transfer, dynamically chosen based on the availability of Advocates.</w:t>
      </w:r>
    </w:p>
    <w:p>
      <w:pPr>
        <w:spacing w:after="0" w:line="153" w:lineRule="exact"/>
        <w:rPr>
          <w:sz w:val="20"/>
          <w:szCs w:val="20"/>
          <w:color w:val="auto"/>
        </w:rPr>
      </w:pPr>
    </w:p>
    <w:p>
      <w:pPr>
        <w:jc w:val="both"/>
        <w:ind w:left="520" w:right="220" w:hanging="260"/>
        <w:spacing w:after="0" w:line="276" w:lineRule="auto"/>
        <w:tabs>
          <w:tab w:leader="none" w:pos="511" w:val="left"/>
        </w:tabs>
        <w:numPr>
          <w:ilvl w:val="0"/>
          <w:numId w:val="12"/>
        </w:numPr>
        <w:rPr>
          <w:rFonts w:ascii="Arial" w:cs="Arial" w:eastAsia="Arial" w:hAnsi="Arial"/>
          <w:sz w:val="12"/>
          <w:szCs w:val="12"/>
          <w:color w:val="auto"/>
        </w:rPr>
      </w:pPr>
      <w:r>
        <w:rPr>
          <w:rFonts w:ascii="Arial" w:cs="Arial" w:eastAsia="Arial" w:hAnsi="Arial"/>
          <w:sz w:val="12"/>
          <w:szCs w:val="12"/>
          <w:b w:val="1"/>
          <w:bCs w:val="1"/>
          <w:color w:val="auto"/>
        </w:rPr>
        <w:t xml:space="preserve">Optimized Call Routing: </w:t>
      </w:r>
      <w:r>
        <w:rPr>
          <w:rFonts w:ascii="Arial" w:cs="Arial" w:eastAsia="Arial" w:hAnsi="Arial"/>
          <w:sz w:val="12"/>
          <w:szCs w:val="12"/>
          <w:color w:val="auto"/>
        </w:rPr>
        <w:t>If the consumer lead is distributed from an Advocate further into our internal sales process, our CallRouter technology partitions the consumer leads into clusters</w:t>
      </w:r>
      <w:r>
        <w:rPr>
          <w:rFonts w:ascii="Arial" w:cs="Arial" w:eastAsia="Arial" w:hAnsi="Arial"/>
          <w:sz w:val="12"/>
          <w:szCs w:val="12"/>
          <w:b w:val="1"/>
          <w:bCs w:val="1"/>
          <w:color w:val="auto"/>
        </w:rPr>
        <w:t xml:space="preserve"> </w:t>
      </w:r>
      <w:r>
        <w:rPr>
          <w:rFonts w:ascii="Arial" w:cs="Arial" w:eastAsia="Arial" w:hAnsi="Arial"/>
          <w:sz w:val="12"/>
          <w:szCs w:val="12"/>
          <w:color w:val="auto"/>
        </w:rPr>
        <w:t>based on lead and agent attributes. Each cluster is serviced by insurance agents with specialized licensing, training, experience, and performance characteristics tailored to that cluster. An agent can be assigned to one or more clusters, and each agent has a rank within each cluster to express the agent’s relative proficiency for servicing consumer leads in the cluster. Agent, consumer lead, and cluster performance data are continuously gathered and regularly analyzed by machine-learning experts and sales managers alike to ensure optimal call-routing.</w:t>
      </w:r>
    </w:p>
    <w:p>
      <w:pPr>
        <w:spacing w:after="0" w:line="129" w:lineRule="exact"/>
        <w:rPr>
          <w:rFonts w:ascii="Arial" w:cs="Arial" w:eastAsia="Arial" w:hAnsi="Arial"/>
          <w:sz w:val="12"/>
          <w:szCs w:val="12"/>
          <w:color w:val="auto"/>
        </w:rPr>
      </w:pPr>
    </w:p>
    <w:p>
      <w:pPr>
        <w:ind w:left="520" w:right="520" w:hanging="260"/>
        <w:spacing w:after="0" w:line="270" w:lineRule="auto"/>
        <w:tabs>
          <w:tab w:leader="none" w:pos="511" w:val="left"/>
        </w:tabs>
        <w:numPr>
          <w:ilvl w:val="0"/>
          <w:numId w:val="12"/>
        </w:numPr>
        <w:rPr>
          <w:rFonts w:ascii="Arial" w:cs="Arial" w:eastAsia="Arial" w:hAnsi="Arial"/>
          <w:sz w:val="13"/>
          <w:szCs w:val="13"/>
          <w:color w:val="auto"/>
        </w:rPr>
      </w:pPr>
      <w:r>
        <w:rPr>
          <w:rFonts w:ascii="Arial" w:cs="Arial" w:eastAsia="Arial" w:hAnsi="Arial"/>
          <w:sz w:val="13"/>
          <w:szCs w:val="13"/>
          <w:b w:val="1"/>
          <w:bCs w:val="1"/>
          <w:color w:val="auto"/>
        </w:rPr>
        <w:t xml:space="preserve">Consumer Lead Management: </w:t>
      </w:r>
      <w:r>
        <w:rPr>
          <w:rFonts w:ascii="Arial" w:cs="Arial" w:eastAsia="Arial" w:hAnsi="Arial"/>
          <w:sz w:val="13"/>
          <w:szCs w:val="13"/>
          <w:color w:val="auto"/>
        </w:rPr>
        <w:t>As consumer leads are assigned and connected to agents, our BrokerOffice technology provides guidance to the agents on the most appealing value</w:t>
      </w:r>
      <w:r>
        <w:rPr>
          <w:rFonts w:ascii="Arial" w:cs="Arial" w:eastAsia="Arial" w:hAnsi="Arial"/>
          <w:sz w:val="13"/>
          <w:szCs w:val="13"/>
          <w:b w:val="1"/>
          <w:bCs w:val="1"/>
          <w:color w:val="auto"/>
        </w:rPr>
        <w:t xml:space="preserve"> </w:t>
      </w:r>
      <w:r>
        <w:rPr>
          <w:rFonts w:ascii="Arial" w:cs="Arial" w:eastAsia="Arial" w:hAnsi="Arial"/>
          <w:sz w:val="13"/>
          <w:szCs w:val="13"/>
          <w:color w:val="auto"/>
        </w:rPr>
        <w:t>proposition to the consumer based on the information previously collected about the consumer.</w:t>
      </w:r>
    </w:p>
    <w:p>
      <w:pPr>
        <w:spacing w:after="0" w:line="130" w:lineRule="exact"/>
        <w:rPr>
          <w:rFonts w:ascii="Arial" w:cs="Arial" w:eastAsia="Arial" w:hAnsi="Arial"/>
          <w:sz w:val="13"/>
          <w:szCs w:val="13"/>
          <w:color w:val="auto"/>
        </w:rPr>
      </w:pPr>
    </w:p>
    <w:p>
      <w:pPr>
        <w:ind w:left="520" w:right="60" w:hanging="260"/>
        <w:spacing w:after="0" w:line="244" w:lineRule="auto"/>
        <w:tabs>
          <w:tab w:leader="none" w:pos="511" w:val="left"/>
        </w:tabs>
        <w:numPr>
          <w:ilvl w:val="0"/>
          <w:numId w:val="12"/>
        </w:numPr>
        <w:rPr>
          <w:rFonts w:ascii="Arial" w:cs="Arial" w:eastAsia="Arial" w:hAnsi="Arial"/>
          <w:sz w:val="13"/>
          <w:szCs w:val="13"/>
          <w:color w:val="auto"/>
        </w:rPr>
      </w:pPr>
      <w:r>
        <w:rPr>
          <w:rFonts w:ascii="Arial" w:cs="Arial" w:eastAsia="Arial" w:hAnsi="Arial"/>
          <w:sz w:val="13"/>
          <w:szCs w:val="13"/>
          <w:b w:val="1"/>
          <w:bCs w:val="1"/>
          <w:color w:val="auto"/>
        </w:rPr>
        <w:t xml:space="preserve">Marketplace: </w:t>
      </w:r>
      <w:r>
        <w:rPr>
          <w:rFonts w:ascii="Arial" w:cs="Arial" w:eastAsia="Arial" w:hAnsi="Arial"/>
          <w:sz w:val="13"/>
          <w:szCs w:val="13"/>
          <w:color w:val="auto"/>
        </w:rPr>
        <w:t>After reviewing the consumer’s profile in BrokerOffice, the agent launches our Marketplace technology. Our Marketplace technology provides comparative shopping capabilities</w:t>
      </w:r>
      <w:r>
        <w:rPr>
          <w:rFonts w:ascii="Arial" w:cs="Arial" w:eastAsia="Arial" w:hAnsi="Arial"/>
          <w:sz w:val="13"/>
          <w:szCs w:val="13"/>
          <w:b w:val="1"/>
          <w:bCs w:val="1"/>
          <w:color w:val="auto"/>
        </w:rPr>
        <w:t xml:space="preserve"> </w:t>
      </w:r>
      <w:r>
        <w:rPr>
          <w:rFonts w:ascii="Arial" w:cs="Arial" w:eastAsia="Arial" w:hAnsi="Arial"/>
          <w:sz w:val="13"/>
          <w:szCs w:val="13"/>
          <w:color w:val="auto"/>
        </w:rPr>
        <w:t>for all products available to the consumer in their geography and across carriers. It also ensures that while the agent has access to, and is able to compare, all products in the market, they only sell products for which they are appointed and licensed. The Marketplace has a growing set of decision support capabilities to guide the agent to the consumer’s ideal plan. For example, agents have the ability to look up each consumer’s providers and prescription drugs to compare their coverage inclusion and cost across plans. When the agent is ready to apply for a specific plan with the consumer, they may do so directly through the Marketplace. If the consumer requires time to consider the plan, the agent can send a personalized plan proposal either by email or SMS text message. Consumers can review proposals and enroll on their own directly from their phone, tablet, or computer.</w:t>
      </w:r>
    </w:p>
    <w:p>
      <w:pPr>
        <w:spacing w:after="0" w:line="149" w:lineRule="exact"/>
        <w:rPr>
          <w:rFonts w:ascii="Arial" w:cs="Arial" w:eastAsia="Arial" w:hAnsi="Arial"/>
          <w:sz w:val="13"/>
          <w:szCs w:val="13"/>
          <w:color w:val="auto"/>
        </w:rPr>
      </w:pPr>
    </w:p>
    <w:p>
      <w:pPr>
        <w:ind w:left="520" w:right="80" w:hanging="260"/>
        <w:spacing w:after="0" w:line="254" w:lineRule="auto"/>
        <w:tabs>
          <w:tab w:leader="none" w:pos="511" w:val="left"/>
        </w:tabs>
        <w:numPr>
          <w:ilvl w:val="0"/>
          <w:numId w:val="12"/>
        </w:numPr>
        <w:rPr>
          <w:rFonts w:ascii="Arial" w:cs="Arial" w:eastAsia="Arial" w:hAnsi="Arial"/>
          <w:sz w:val="13"/>
          <w:szCs w:val="13"/>
          <w:color w:val="auto"/>
        </w:rPr>
      </w:pPr>
      <w:r>
        <w:rPr>
          <w:rFonts w:ascii="Arial" w:cs="Arial" w:eastAsia="Arial" w:hAnsi="Arial"/>
          <w:sz w:val="13"/>
          <w:szCs w:val="13"/>
          <w:b w:val="1"/>
          <w:bCs w:val="1"/>
          <w:color w:val="auto"/>
        </w:rPr>
        <w:t xml:space="preserve">Electronic Applications: </w:t>
      </w:r>
      <w:r>
        <w:rPr>
          <w:rFonts w:ascii="Arial" w:cs="Arial" w:eastAsia="Arial" w:hAnsi="Arial"/>
          <w:sz w:val="13"/>
          <w:szCs w:val="13"/>
          <w:color w:val="auto"/>
        </w:rPr>
        <w:t>We utilize proprietary domain-specific language for the rapid development and deployment of compliant electronic insurance applications. We ensure that insurance</w:t>
      </w:r>
      <w:r>
        <w:rPr>
          <w:rFonts w:ascii="Arial" w:cs="Arial" w:eastAsia="Arial" w:hAnsi="Arial"/>
          <w:sz w:val="13"/>
          <w:szCs w:val="13"/>
          <w:b w:val="1"/>
          <w:bCs w:val="1"/>
          <w:color w:val="auto"/>
        </w:rPr>
        <w:t xml:space="preserve"> </w:t>
      </w:r>
      <w:r>
        <w:rPr>
          <w:rFonts w:ascii="Arial" w:cs="Arial" w:eastAsia="Arial" w:hAnsi="Arial"/>
          <w:sz w:val="13"/>
          <w:szCs w:val="13"/>
          <w:color w:val="auto"/>
        </w:rPr>
        <w:t>applications can be built and validated using standard, reusable modules wherever appropriate, while still being able to seamlessly integrate custom components as necessary. Completed applications are delivered directly to the corresponding carrier through custom integration partnerships.</w:t>
      </w:r>
    </w:p>
    <w:p>
      <w:pPr>
        <w:spacing w:after="0" w:line="140" w:lineRule="exact"/>
        <w:rPr>
          <w:rFonts w:ascii="Arial" w:cs="Arial" w:eastAsia="Arial" w:hAnsi="Arial"/>
          <w:sz w:val="13"/>
          <w:szCs w:val="13"/>
          <w:color w:val="auto"/>
        </w:rPr>
      </w:pPr>
    </w:p>
    <w:p>
      <w:pPr>
        <w:ind w:left="520" w:right="180" w:hanging="260"/>
        <w:spacing w:after="0" w:line="246" w:lineRule="auto"/>
        <w:tabs>
          <w:tab w:leader="none" w:pos="511" w:val="left"/>
        </w:tabs>
        <w:numPr>
          <w:ilvl w:val="0"/>
          <w:numId w:val="12"/>
        </w:numPr>
        <w:rPr>
          <w:rFonts w:ascii="Arial" w:cs="Arial" w:eastAsia="Arial" w:hAnsi="Arial"/>
          <w:sz w:val="13"/>
          <w:szCs w:val="13"/>
          <w:color w:val="auto"/>
        </w:rPr>
      </w:pPr>
      <w:r>
        <w:rPr>
          <w:rFonts w:ascii="Arial" w:cs="Arial" w:eastAsia="Arial" w:hAnsi="Arial"/>
          <w:sz w:val="13"/>
          <w:szCs w:val="13"/>
          <w:b w:val="1"/>
          <w:bCs w:val="1"/>
          <w:color w:val="auto"/>
        </w:rPr>
        <w:t xml:space="preserve">Consumer Lifecycle Management: </w:t>
      </w:r>
      <w:r>
        <w:rPr>
          <w:rFonts w:ascii="Arial" w:cs="Arial" w:eastAsia="Arial" w:hAnsi="Arial"/>
          <w:sz w:val="13"/>
          <w:szCs w:val="13"/>
          <w:color w:val="auto"/>
        </w:rPr>
        <w:t>We receive application submission, commission, and book of business data regularly from each integrated carrier. We integrate this data with the other</w:t>
      </w:r>
      <w:r>
        <w:rPr>
          <w:rFonts w:ascii="Arial" w:cs="Arial" w:eastAsia="Arial" w:hAnsi="Arial"/>
          <w:sz w:val="13"/>
          <w:szCs w:val="13"/>
          <w:b w:val="1"/>
          <w:bCs w:val="1"/>
          <w:color w:val="auto"/>
        </w:rPr>
        <w:t xml:space="preserve"> </w:t>
      </w:r>
      <w:r>
        <w:rPr>
          <w:rFonts w:ascii="Arial" w:cs="Arial" w:eastAsia="Arial" w:hAnsi="Arial"/>
          <w:sz w:val="13"/>
          <w:szCs w:val="13"/>
          <w:color w:val="auto"/>
        </w:rPr>
        <w:t>consumer data gathered throughout the consumer lifecycle to build a Retention Model using our machine-learning technology, which identifies consumers in need of engagement. Similar to many of our other systems, the Retention Model is continuously tested to increase performance and capability. We also use post-sale data from carriers to model how retention outcomes relate to consumer, marketing, and customer journey attributes so that every piece of our technology can be further optimized to maximize customer satisfaction and improve the sales process.</w:t>
      </w:r>
    </w:p>
    <w:p>
      <w:pPr>
        <w:spacing w:after="0" w:line="146" w:lineRule="exact"/>
        <w:rPr>
          <w:rFonts w:ascii="Arial" w:cs="Arial" w:eastAsia="Arial" w:hAnsi="Arial"/>
          <w:sz w:val="13"/>
          <w:szCs w:val="13"/>
          <w:color w:val="auto"/>
        </w:rPr>
      </w:pPr>
    </w:p>
    <w:p>
      <w:pPr>
        <w:jc w:val="both"/>
        <w:ind w:left="520" w:right="200" w:hanging="260"/>
        <w:spacing w:after="0" w:line="254" w:lineRule="auto"/>
        <w:tabs>
          <w:tab w:leader="none" w:pos="511" w:val="left"/>
        </w:tabs>
        <w:numPr>
          <w:ilvl w:val="0"/>
          <w:numId w:val="12"/>
        </w:numPr>
        <w:rPr>
          <w:rFonts w:ascii="Arial" w:cs="Arial" w:eastAsia="Arial" w:hAnsi="Arial"/>
          <w:sz w:val="13"/>
          <w:szCs w:val="13"/>
          <w:color w:val="auto"/>
        </w:rPr>
      </w:pPr>
      <w:r>
        <w:rPr>
          <w:rFonts w:ascii="Arial" w:cs="Arial" w:eastAsia="Arial" w:hAnsi="Arial"/>
          <w:sz w:val="13"/>
          <w:szCs w:val="13"/>
          <w:b w:val="1"/>
          <w:bCs w:val="1"/>
          <w:color w:val="auto"/>
        </w:rPr>
        <w:t xml:space="preserve">Monitoring: </w:t>
      </w:r>
      <w:r>
        <w:rPr>
          <w:rFonts w:ascii="Arial" w:cs="Arial" w:eastAsia="Arial" w:hAnsi="Arial"/>
          <w:sz w:val="13"/>
          <w:szCs w:val="13"/>
          <w:color w:val="auto"/>
        </w:rPr>
        <w:t>We have also developed several enabling and monitoring technologies to detect and automatically address anomalies and inefficiencies in our operations based on deviations</w:t>
      </w:r>
      <w:r>
        <w:rPr>
          <w:rFonts w:ascii="Arial" w:cs="Arial" w:eastAsia="Arial" w:hAnsi="Arial"/>
          <w:sz w:val="13"/>
          <w:szCs w:val="13"/>
          <w:b w:val="1"/>
          <w:bCs w:val="1"/>
          <w:color w:val="auto"/>
        </w:rPr>
        <w:t xml:space="preserve"> </w:t>
      </w:r>
      <w:r>
        <w:rPr>
          <w:rFonts w:ascii="Arial" w:cs="Arial" w:eastAsia="Arial" w:hAnsi="Arial"/>
          <w:sz w:val="13"/>
          <w:szCs w:val="13"/>
          <w:color w:val="auto"/>
        </w:rPr>
        <w:t>from baseline norms, and to ensure that our operations are fully compliant. Agent calls are continuously monitored so that we automatically redact PCI from compliant call recordings in real time. Various network and agent performance metrics are tracked so that we can exert control over our advertising and sales operations.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643"/>
              <w:spacing w:after="0"/>
              <w:rPr>
                <w:sz w:val="20"/>
                <w:szCs w:val="20"/>
                <w:color w:val="auto"/>
              </w:rPr>
            </w:pPr>
            <w:r>
              <w:rPr>
                <w:rFonts w:ascii="Arial" w:cs="Arial" w:eastAsia="Arial" w:hAnsi="Arial"/>
                <w:sz w:val="11"/>
                <w:szCs w:val="11"/>
                <w:color w:val="auto"/>
              </w:rPr>
              <w:t>9</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85" w:right="319" w:bottom="1440" w:gutter="0" w:footer="0" w:header="0"/>
        </w:sectPr>
      </w:pPr>
    </w:p>
    <w:bookmarkStart w:id="12" w:name="page13"/>
    <w:bookmarkEnd w:id="12"/>
    <w:p>
      <w:pPr>
        <w:spacing w:after="0"/>
        <w:rPr>
          <w:sz w:val="20"/>
          <w:szCs w:val="20"/>
          <w:color w:val="auto"/>
        </w:rPr>
      </w:pPr>
      <w:r>
        <w:rPr>
          <w:rFonts w:ascii="Arial" w:cs="Arial" w:eastAsia="Arial" w:hAnsi="Arial"/>
          <w:sz w:val="13"/>
          <w:szCs w:val="13"/>
          <w:b w:val="1"/>
          <w:bCs w:val="1"/>
          <w:color w:val="auto"/>
        </w:rPr>
        <w:t>Our Agents</w:t>
      </w:r>
    </w:p>
    <w:p>
      <w:pPr>
        <w:spacing w:after="0" w:line="142" w:lineRule="exact"/>
        <w:rPr>
          <w:sz w:val="20"/>
          <w:szCs w:val="20"/>
          <w:color w:val="auto"/>
        </w:rPr>
      </w:pPr>
    </w:p>
    <w:p>
      <w:pPr>
        <w:ind w:right="260"/>
        <w:spacing w:after="0" w:line="244" w:lineRule="auto"/>
        <w:rPr>
          <w:sz w:val="20"/>
          <w:szCs w:val="20"/>
          <w:color w:val="auto"/>
        </w:rPr>
      </w:pPr>
      <w:r>
        <w:rPr>
          <w:rFonts w:ascii="Arial" w:cs="Arial" w:eastAsia="Arial" w:hAnsi="Arial"/>
          <w:sz w:val="13"/>
          <w:szCs w:val="13"/>
          <w:color w:val="auto"/>
        </w:rPr>
        <w:t>Since our inception, our highly skilled and trained agents have enrolled millions of people in Medicare and individual and family plans. Our technology, lead distribution and workflow allow agents to work in our Benefits Center or to work remotely at home, providing us with a sustainable avenue for growth.</w:t>
      </w:r>
    </w:p>
    <w:p>
      <w:pPr>
        <w:spacing w:after="0" w:line="163"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Our agent base consists of licensed Tier 2 and TeleCare agents who assist in guiding consumers through their healthcare journey. Our licensed Tier Two agents help consumers choose the best plan for them and enroll consumers into policies. TeleCare agents further engage and help consumers utilize their benefits and better engage consumers, helping drive higher satisfaction and persistency. Our agents benefit from a rigorous training program consisting of four-to-eight weeks of classroom and interactive instruction prior to engaging with consumers. Our training courses cover insurance licensing, compliance requirements, customer service interactions, live role playing, and systems use. We competitively compensate agents to incentivize their productivity, increase member retention and improve customer satisfaction. In addition to an hourly wage, we also compensate our agents through a structured bonus program. Our bonus program is designed to compensate agents based on the customer experience and plan lifetime. Customer experience is measured through a customer satisfaction survey. Plan lifetime is measured through policy issuance and retention.</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Marketing</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color w:val="auto"/>
        </w:rPr>
        <w:t>We employ data-driven, omnichannel marketing efforts to increase consumer phone calls and visits to our website and convert those calls and visits into customers. Our marketing initiatives include:</w:t>
      </w:r>
    </w:p>
    <w:p>
      <w:pPr>
        <w:spacing w:after="0" w:line="122" w:lineRule="exact"/>
        <w:rPr>
          <w:sz w:val="20"/>
          <w:szCs w:val="20"/>
          <w:color w:val="auto"/>
        </w:rPr>
      </w:pPr>
    </w:p>
    <w:p>
      <w:pPr>
        <w:ind w:left="500" w:hanging="240"/>
        <w:spacing w:after="0"/>
        <w:tabs>
          <w:tab w:leader="none" w:pos="500" w:val="left"/>
        </w:tabs>
        <w:numPr>
          <w:ilvl w:val="0"/>
          <w:numId w:val="13"/>
        </w:numPr>
        <w:rPr>
          <w:rFonts w:ascii="Arial" w:cs="Arial" w:eastAsia="Arial" w:hAnsi="Arial"/>
          <w:sz w:val="12"/>
          <w:szCs w:val="12"/>
          <w:color w:val="auto"/>
        </w:rPr>
      </w:pPr>
      <w:r>
        <w:rPr>
          <w:rFonts w:ascii="Arial" w:cs="Arial" w:eastAsia="Arial" w:hAnsi="Arial"/>
          <w:sz w:val="12"/>
          <w:szCs w:val="12"/>
          <w:b w:val="1"/>
          <w:bCs w:val="1"/>
          <w:color w:val="auto"/>
        </w:rPr>
        <w:t xml:space="preserve">Offline Media Marketing: </w:t>
      </w:r>
      <w:r>
        <w:rPr>
          <w:rFonts w:ascii="Arial" w:cs="Arial" w:eastAsia="Arial" w:hAnsi="Arial"/>
          <w:sz w:val="12"/>
          <w:szCs w:val="12"/>
          <w:color w:val="auto"/>
        </w:rPr>
        <w:t>Our offline media channel consists of branded advertisements run on television (both linear and over-the-top) and radio, as well as targeted direct mail campaigns.</w:t>
      </w:r>
    </w:p>
    <w:p>
      <w:pPr>
        <w:spacing w:after="0" w:line="137" w:lineRule="exact"/>
        <w:rPr>
          <w:rFonts w:ascii="Arial" w:cs="Arial" w:eastAsia="Arial" w:hAnsi="Arial"/>
          <w:sz w:val="12"/>
          <w:szCs w:val="12"/>
          <w:color w:val="auto"/>
        </w:rPr>
      </w:pPr>
    </w:p>
    <w:p>
      <w:pPr>
        <w:jc w:val="both"/>
        <w:ind w:left="520" w:right="120" w:hanging="260"/>
        <w:spacing w:after="0" w:line="254" w:lineRule="auto"/>
        <w:tabs>
          <w:tab w:leader="none" w:pos="511" w:val="left"/>
        </w:tabs>
        <w:numPr>
          <w:ilvl w:val="0"/>
          <w:numId w:val="13"/>
        </w:numPr>
        <w:rPr>
          <w:rFonts w:ascii="Arial" w:cs="Arial" w:eastAsia="Arial" w:hAnsi="Arial"/>
          <w:sz w:val="13"/>
          <w:szCs w:val="13"/>
          <w:color w:val="auto"/>
        </w:rPr>
      </w:pPr>
      <w:r>
        <w:rPr>
          <w:rFonts w:ascii="Arial" w:cs="Arial" w:eastAsia="Arial" w:hAnsi="Arial"/>
          <w:sz w:val="13"/>
          <w:szCs w:val="13"/>
          <w:b w:val="1"/>
          <w:bCs w:val="1"/>
          <w:color w:val="auto"/>
        </w:rPr>
        <w:t xml:space="preserve">Digital (Online) Media: </w:t>
      </w:r>
      <w:r>
        <w:rPr>
          <w:rFonts w:ascii="Arial" w:cs="Arial" w:eastAsia="Arial" w:hAnsi="Arial"/>
          <w:sz w:val="13"/>
          <w:szCs w:val="13"/>
          <w:color w:val="auto"/>
        </w:rPr>
        <w:t>Our digital media channel consists of branded advertisements run on paid search, display, native and social media platforms. These paid media efforts are supported</w:t>
      </w:r>
      <w:r>
        <w:rPr>
          <w:rFonts w:ascii="Arial" w:cs="Arial" w:eastAsia="Arial" w:hAnsi="Arial"/>
          <w:sz w:val="13"/>
          <w:szCs w:val="13"/>
          <w:b w:val="1"/>
          <w:bCs w:val="1"/>
          <w:color w:val="auto"/>
        </w:rPr>
        <w:t xml:space="preserve"> </w:t>
      </w:r>
      <w:r>
        <w:rPr>
          <w:rFonts w:ascii="Arial" w:cs="Arial" w:eastAsia="Arial" w:hAnsi="Arial"/>
          <w:sz w:val="13"/>
          <w:szCs w:val="13"/>
          <w:color w:val="auto"/>
        </w:rPr>
        <w:t>by unpaid email and organic search campaigns. Our online advertising programs are delivered across all Internet-enabled devices, including desktop computers, tablet computers and smart phones.</w:t>
      </w:r>
    </w:p>
    <w:p>
      <w:pPr>
        <w:spacing w:after="0" w:line="98" w:lineRule="exact"/>
        <w:rPr>
          <w:rFonts w:ascii="Arial" w:cs="Arial" w:eastAsia="Arial" w:hAnsi="Arial"/>
          <w:sz w:val="13"/>
          <w:szCs w:val="13"/>
          <w:color w:val="auto"/>
        </w:rPr>
      </w:pPr>
    </w:p>
    <w:p>
      <w:pPr>
        <w:ind w:left="520" w:hanging="260"/>
        <w:spacing w:after="0" w:line="254" w:lineRule="auto"/>
        <w:tabs>
          <w:tab w:leader="none" w:pos="511" w:val="left"/>
        </w:tabs>
        <w:numPr>
          <w:ilvl w:val="0"/>
          <w:numId w:val="13"/>
        </w:numPr>
        <w:rPr>
          <w:rFonts w:ascii="Arial" w:cs="Arial" w:eastAsia="Arial" w:hAnsi="Arial"/>
          <w:sz w:val="13"/>
          <w:szCs w:val="13"/>
          <w:color w:val="auto"/>
        </w:rPr>
      </w:pPr>
      <w:r>
        <w:rPr>
          <w:rFonts w:ascii="Arial" w:cs="Arial" w:eastAsia="Arial" w:hAnsi="Arial"/>
          <w:sz w:val="13"/>
          <w:szCs w:val="13"/>
          <w:b w:val="1"/>
          <w:bCs w:val="1"/>
          <w:color w:val="auto"/>
        </w:rPr>
        <w:t xml:space="preserve">Marketing Partners: </w:t>
      </w:r>
      <w:r>
        <w:rPr>
          <w:rFonts w:ascii="Arial" w:cs="Arial" w:eastAsia="Arial" w:hAnsi="Arial"/>
          <w:sz w:val="13"/>
          <w:szCs w:val="13"/>
          <w:color w:val="auto"/>
        </w:rPr>
        <w:t>Our marketing partner consumer acquisition channel consists of a network comprised of hundreds of partners that drive consumers to our e-commerce platform and</w:t>
      </w:r>
      <w:r>
        <w:rPr>
          <w:rFonts w:ascii="Arial" w:cs="Arial" w:eastAsia="Arial" w:hAnsi="Arial"/>
          <w:sz w:val="13"/>
          <w:szCs w:val="13"/>
          <w:b w:val="1"/>
          <w:bCs w:val="1"/>
          <w:color w:val="auto"/>
        </w:rPr>
        <w:t xml:space="preserve"> </w:t>
      </w:r>
      <w:r>
        <w:rPr>
          <w:rFonts w:ascii="Arial" w:cs="Arial" w:eastAsia="Arial" w:hAnsi="Arial"/>
          <w:sz w:val="13"/>
          <w:szCs w:val="13"/>
          <w:color w:val="auto"/>
        </w:rPr>
        <w:t>Benefits Center. These partners include healthcare industry participants, such as insurance carriers, financial and online services partners in industries, such as banking and insurance, as well as affiliate organizations.</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Government Regulation and Compliance</w:t>
      </w:r>
    </w:p>
    <w:p>
      <w:pPr>
        <w:spacing w:after="0" w:line="142" w:lineRule="exact"/>
        <w:rPr>
          <w:sz w:val="20"/>
          <w:szCs w:val="20"/>
          <w:color w:val="auto"/>
        </w:rPr>
      </w:pPr>
    </w:p>
    <w:p>
      <w:pPr>
        <w:ind w:right="40"/>
        <w:spacing w:after="0" w:line="239" w:lineRule="auto"/>
        <w:rPr>
          <w:sz w:val="20"/>
          <w:szCs w:val="20"/>
          <w:color w:val="auto"/>
        </w:rPr>
      </w:pPr>
      <w:r>
        <w:rPr>
          <w:rFonts w:ascii="Arial" w:cs="Arial" w:eastAsia="Arial" w:hAnsi="Arial"/>
          <w:sz w:val="13"/>
          <w:szCs w:val="13"/>
          <w:color w:val="auto"/>
        </w:rPr>
        <w:t>The marketing and sale of insurance products and plans is a heavily regulated industry. Various aspects of our business are, may become, or may be viewed by regulators from time to time as subject, directly or indirectly, to U.S. federal, state and foreign laws and regulations. We are affected by laws and regulations that apply to businesses in general, the healthcare industry, and the insurance industry, as well as to businesses operating on the internet. This includes a continually expanding and evolving range of laws, regulations and standards that address financial services, information security, data protection, privacy and data collection and destruction, marketing of Medicare Advantage and other Medicare plans, healthcare compliance and fraud and abuse, among other things. We are also subject to laws governing marketing and advertising activities conducted by telephone, email, mobile devices and the internet. In addition, we are a licensed insurance producer in all 50 U.S. states and the District of Columbia. Insurance is highly regulated by the states in which we do business, and we are required to comply with and maintain various licenses and approvals. Regulatory authorities often have the discretion to grant, renew and revoke the various licenses and approvals we need to conduct our activities and, should we fail to retain our licenses, our business and results of operations could be adversely affected.</w:t>
      </w:r>
    </w:p>
    <w:p>
      <w:pPr>
        <w:spacing w:after="0" w:line="125" w:lineRule="exact"/>
        <w:rPr>
          <w:sz w:val="20"/>
          <w:szCs w:val="20"/>
          <w:color w:val="auto"/>
        </w:rPr>
      </w:pPr>
    </w:p>
    <w:p>
      <w:pPr>
        <w:ind w:right="220"/>
        <w:spacing w:after="0" w:line="239" w:lineRule="auto"/>
        <w:rPr>
          <w:sz w:val="20"/>
          <w:szCs w:val="20"/>
          <w:color w:val="auto"/>
        </w:rPr>
      </w:pPr>
      <w:r>
        <w:rPr>
          <w:rFonts w:ascii="Arial" w:cs="Arial" w:eastAsia="Arial" w:hAnsi="Arial"/>
          <w:sz w:val="13"/>
          <w:szCs w:val="13"/>
          <w:color w:val="auto"/>
        </w:rPr>
        <w:t>The Medicare segments are subject to regulations and guidelines issued by CMS that place a number of requirements on carriers, agents and brokers in connection with the marketing and sale of Medicare Advantage and Medicare Part D prescription drug plans. State insurance departments also regulate the marketing and sale of Medicare Supplement plans. CMS and state insurance department regulations and guidelines include a number of prohibitions regarding the ability to contact Medicare-eligible individuals and place many restrictions on the marketing of Medicare-related plans. For example, our carriers are required to file with CMS and state departments of insurance certain of our platforms, our call center scripts and other marketing materials we use to market Medicare-related plans. In some instances, CMS or state departments of insurance must approve the material before we use it. In addition, the laws and regulations applicable to the marketing and sale of Medicare-related plans are ambiguous, complex and, with respect to regulations and guidance issued by CMS for Medicare Advantage and Medicare Part D prescription drug plans, change frequently, and may do so as a result of the effects of the COVID-19 pandemic.</w:t>
      </w:r>
    </w:p>
    <w:p>
      <w:pPr>
        <w:spacing w:after="0" w:line="125" w:lineRule="exact"/>
        <w:rPr>
          <w:sz w:val="20"/>
          <w:szCs w:val="20"/>
          <w:color w:val="auto"/>
        </w:rPr>
      </w:pPr>
    </w:p>
    <w:p>
      <w:pPr>
        <w:ind w:right="220"/>
        <w:spacing w:after="0" w:line="267" w:lineRule="auto"/>
        <w:rPr>
          <w:sz w:val="20"/>
          <w:szCs w:val="20"/>
          <w:color w:val="auto"/>
        </w:rPr>
      </w:pPr>
      <w:r>
        <w:rPr>
          <w:rFonts w:ascii="Arial" w:cs="Arial" w:eastAsia="Arial" w:hAnsi="Arial"/>
          <w:sz w:val="12"/>
          <w:szCs w:val="12"/>
          <w:color w:val="auto"/>
        </w:rPr>
        <w:t>There are also numerous state and federal laws and regulations related to the privacy and security of health information. Laws in all 50 states require businesses to provide notices to affected individuals whose personal information has been disclosed as a result of a data breach, and certain states require notifications for data breaches involving individually identifiable health information. Most states require holders of personal information to maintain safeguards and take certain actions in response to a data breach, such as maintaining reasonable security measures and providing prompt notification of the breach to affected individuals and the state’s attorney general. In particular, regulations promulgated pursuant to the HIPAA require us to maintain</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10</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69" w:right="319" w:bottom="1440" w:gutter="0" w:footer="0" w:header="0"/>
        </w:sectPr>
      </w:pPr>
    </w:p>
    <w:bookmarkStart w:id="13" w:name="page14"/>
    <w:bookmarkEnd w:id="13"/>
    <w:p>
      <w:pPr>
        <w:ind w:right="40"/>
        <w:spacing w:after="0" w:line="260" w:lineRule="auto"/>
        <w:rPr>
          <w:sz w:val="20"/>
          <w:szCs w:val="20"/>
          <w:color w:val="auto"/>
        </w:rPr>
      </w:pPr>
      <w:r>
        <w:rPr>
          <w:rFonts w:ascii="Arial" w:cs="Arial" w:eastAsia="Arial" w:hAnsi="Arial"/>
          <w:sz w:val="12"/>
          <w:szCs w:val="12"/>
          <w:color w:val="auto"/>
        </w:rPr>
        <w:t>the privacy of individually-identifiable health information that we collect on behalf of carriers, implement measures to safeguard such information and provide notification in the event of a breach in the privacy or confidentiality of such information. If we were to be found to have breached our obligations under HIPAA, we could be subject to enforcement actions by the U.S. Department of Health and Human Services Office for Civil Rights (“OCR”) and state health regulators and lawsuits, including class action law suits, by private plaintiffs. In addition, OCR performs compliance audits in order to proactively enforce the HIPAA privacy and security standards. OCR has become an increasingly active regulator and has signaled its intention to continue this trend. OCR has the discretion to impose penalties without being required to attempt to resolve violations through informal means; further OCR may require companies to enter into resolution agreements and corrective action plans which impose ongoing compliance requirements. OCR enforcement activity can result in financial liability and reputational harm, and responses to such enforcement activity can consume significant internal resources. In addition to enforcement by OCR, state attorneys general are authorized to bring civil actions under either HIPAA or relevant state laws seeking either injunctions or damages in response to violations that threaten the privacy of state residents. Although we have implemented and maintained policies, processes and a compliance program infrastructure to assist us in complying with these laws and regulations and our contractual obligations, we cannot provide assurance regarding how these laws and regulations will be interpreted, enforced or applied to our operations. In addition to the risks associated with enforcement activities and potential contractual liabilities, our ongoing efforts to comply with evolving laws and regulations at the federal and state levels also might require us to make costly system purchases and/or modifications or otherwise divert significant resources to HIPAA compliance initiatives from time to time.</w:t>
      </w:r>
    </w:p>
    <w:p>
      <w:pPr>
        <w:spacing w:after="0" w:line="117" w:lineRule="exact"/>
        <w:rPr>
          <w:sz w:val="20"/>
          <w:szCs w:val="20"/>
          <w:color w:val="auto"/>
        </w:rPr>
      </w:pPr>
    </w:p>
    <w:p>
      <w:pPr>
        <w:ind w:right="20"/>
        <w:spacing w:after="0" w:line="239" w:lineRule="auto"/>
        <w:rPr>
          <w:sz w:val="20"/>
          <w:szCs w:val="20"/>
          <w:color w:val="auto"/>
        </w:rPr>
      </w:pPr>
      <w:r>
        <w:rPr>
          <w:rFonts w:ascii="Arial" w:cs="Arial" w:eastAsia="Arial" w:hAnsi="Arial"/>
          <w:sz w:val="13"/>
          <w:szCs w:val="13"/>
          <w:color w:val="auto"/>
        </w:rPr>
        <w:t>In addition, we have entered into contracts with carriers and others regarding the collection, maintenance, protection, use, transmission, disclosure or disposal of sensitive personal information. The use and disclosure of certain data that we collect from consumers are also regulated in some instances by other federal laws, including the Gramm-Leach-Bliley Act (“GLBA”), and state statutes implementing GLBA, which generally require brokers to provide customers with notice regarding how their non-public personal health and financial information is used and the opportunity to “opt out” of certain disclosures before sharing such information with a third party, and which generally require safeguards for the protection of personal information. We regularly assess our compliance with privacy and security requirements.</w:t>
      </w:r>
    </w:p>
    <w:p>
      <w:pPr>
        <w:spacing w:after="0" w:line="126" w:lineRule="exact"/>
        <w:rPr>
          <w:sz w:val="20"/>
          <w:szCs w:val="20"/>
          <w:color w:val="auto"/>
        </w:rPr>
      </w:pPr>
    </w:p>
    <w:p>
      <w:pPr>
        <w:ind w:right="60"/>
        <w:spacing w:after="0" w:line="262" w:lineRule="auto"/>
        <w:rPr>
          <w:sz w:val="20"/>
          <w:szCs w:val="20"/>
          <w:color w:val="auto"/>
        </w:rPr>
      </w:pPr>
      <w:r>
        <w:rPr>
          <w:rFonts w:ascii="Arial" w:cs="Arial" w:eastAsia="Arial" w:hAnsi="Arial"/>
          <w:sz w:val="12"/>
          <w:szCs w:val="12"/>
          <w:color w:val="auto"/>
        </w:rPr>
        <w:t>These requirements are evolving, and states are beginning to adopt additional requirements, including California, where the California Consumer Privacy Act of 2018 (“CCPA”) took effect beginning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In addition to government action, health insurance carrier expectations relating to privacy and security protections are increasing and evolving. We have incurred significant costs to develop new processes and procedures and to adopt new technology in an effort to comply with privacy and security laws and regulations and carrier expectations and to protect against cybersecurity risks and security breaches. We expect to continue to do so in the future. Violations of federal and state privacy and security laws and other contractual requirements may result in significant liability and expense, damage to our reputation or termination of relationship with government-run health insurance exchanges and our members, marketing partners and carriers.</w:t>
      </w:r>
    </w:p>
    <w:p>
      <w:pPr>
        <w:spacing w:after="0" w:line="113" w:lineRule="exact"/>
        <w:rPr>
          <w:sz w:val="20"/>
          <w:szCs w:val="20"/>
          <w:color w:val="auto"/>
        </w:rPr>
      </w:pPr>
    </w:p>
    <w:p>
      <w:pPr>
        <w:ind w:right="140"/>
        <w:spacing w:after="0" w:line="239" w:lineRule="auto"/>
        <w:rPr>
          <w:sz w:val="20"/>
          <w:szCs w:val="20"/>
          <w:color w:val="auto"/>
        </w:rPr>
      </w:pPr>
      <w:r>
        <w:rPr>
          <w:rFonts w:ascii="Arial" w:cs="Arial" w:eastAsia="Arial" w:hAnsi="Arial"/>
          <w:sz w:val="13"/>
          <w:szCs w:val="13"/>
          <w:color w:val="auto"/>
        </w:rPr>
        <w:t>Federal and state consumer protection laws are being applied increasingly by the Federal Trade Commission (“FTC”), Federal Communications Commission (“FCC”), and states’ attorneys general to regulate the collection, use, storage and disclosure of personal or health information, through websites or otherwise, and to regulate the presentation of website content. Courts may also adopt the standards for fair information practices promulgated by the FTC, which concern consumer notice, choice, security and access. Consumer protection laws require us to publish statements to our members that describe how we handle personal information and choices members may have about the way we handle personal information. If such information that we publish is considered untrue, we may be subject to government claims of unfair or deceptive trade practices, which could lead to significant liabilities and consequences.</w:t>
      </w:r>
    </w:p>
    <w:p>
      <w:pPr>
        <w:spacing w:after="0" w:line="126" w:lineRule="exact"/>
        <w:rPr>
          <w:sz w:val="20"/>
          <w:szCs w:val="20"/>
          <w:color w:val="auto"/>
        </w:rPr>
      </w:pPr>
    </w:p>
    <w:p>
      <w:pPr>
        <w:ind w:right="20"/>
        <w:spacing w:after="0"/>
        <w:rPr>
          <w:sz w:val="20"/>
          <w:szCs w:val="20"/>
          <w:color w:val="auto"/>
        </w:rPr>
      </w:pPr>
      <w:r>
        <w:rPr>
          <w:rFonts w:ascii="Arial" w:cs="Arial" w:eastAsia="Arial" w:hAnsi="Arial"/>
          <w:sz w:val="13"/>
          <w:szCs w:val="13"/>
          <w:color w:val="auto"/>
        </w:rPr>
        <w:t>New York’s cybersecurity regulation for financial services companies requires entities under the jurisdiction of the New York Department of Financial Services (“NYDFS”), including insurance entities, to establish and maintain a cybersecurity program designed to protect private consumer data. The Cybersecurity Model Law adopted by the National Association of Insurance Commissioners (“NAIC”) is functionally similar to the NYDFS rule and is intended to establish the standards for data security and for the investigation and notification of data breaches applicable to insurance licensees in states adopting the law.</w:t>
      </w:r>
    </w:p>
    <w:p>
      <w:pPr>
        <w:spacing w:after="0" w:line="123" w:lineRule="exact"/>
        <w:rPr>
          <w:sz w:val="20"/>
          <w:szCs w:val="20"/>
          <w:color w:val="auto"/>
        </w:rPr>
      </w:pPr>
    </w:p>
    <w:p>
      <w:pPr>
        <w:ind w:right="160"/>
        <w:spacing w:after="0" w:line="239" w:lineRule="auto"/>
        <w:rPr>
          <w:sz w:val="20"/>
          <w:szCs w:val="20"/>
          <w:color w:val="auto"/>
        </w:rPr>
      </w:pPr>
      <w:r>
        <w:rPr>
          <w:rFonts w:ascii="Arial" w:cs="Arial" w:eastAsia="Arial" w:hAnsi="Arial"/>
          <w:sz w:val="13"/>
          <w:szCs w:val="13"/>
          <w:color w:val="auto"/>
        </w:rPr>
        <w:t>In addition, the United States regulates marketing and certain other communications by telephone and email, and individual states also impose restrictions on telephone marketing. The laws and regulations governing the use of emails and telephone calls for such purposes continue to evolve, and changes in technology, the marketplace or consumer preferences may lead to the adoption of additional laws or regulations or changes in interpretation of existing laws or regulations. The TCPA and other federal and state laws prohibit companies from making telemarketing calls to numbers listed in the Federal Do-Not-Call Registry and impose other obligations and limitations on making phone calls and sending text messages to consumers. The CAN-SPAM Act regulates commercial email messages and specifies penalties for the transmission of commercial email messages that do not comply with certain requirements, such as providing an opt-out mechanism for stopping future emails from senders. We are required to comply with these and similar laws, rules and regulations.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11</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43" w:right="319" w:bottom="1440" w:gutter="0" w:footer="0" w:header="0"/>
        </w:sectPr>
      </w:pPr>
    </w:p>
    <w:bookmarkStart w:id="14" w:name="page15"/>
    <w:bookmarkEnd w:id="14"/>
    <w:p>
      <w:pPr>
        <w:spacing w:after="0"/>
        <w:rPr>
          <w:sz w:val="20"/>
          <w:szCs w:val="20"/>
          <w:color w:val="auto"/>
        </w:rPr>
      </w:pPr>
      <w:r>
        <w:rPr>
          <w:rFonts w:ascii="Arial" w:cs="Arial" w:eastAsia="Arial" w:hAnsi="Arial"/>
          <w:sz w:val="13"/>
          <w:szCs w:val="13"/>
          <w:b w:val="1"/>
          <w:bCs w:val="1"/>
          <w:color w:val="auto"/>
        </w:rPr>
        <w:t>Patents, Trademarks and Other Intellectual Property</w:t>
      </w:r>
    </w:p>
    <w:p>
      <w:pPr>
        <w:spacing w:after="0" w:line="142" w:lineRule="exact"/>
        <w:rPr>
          <w:sz w:val="20"/>
          <w:szCs w:val="20"/>
          <w:color w:val="auto"/>
        </w:rPr>
      </w:pPr>
    </w:p>
    <w:p>
      <w:pPr>
        <w:ind w:right="20"/>
        <w:spacing w:after="0" w:line="239" w:lineRule="auto"/>
        <w:rPr>
          <w:sz w:val="20"/>
          <w:szCs w:val="20"/>
          <w:color w:val="auto"/>
        </w:rPr>
      </w:pPr>
      <w:r>
        <w:rPr>
          <w:rFonts w:ascii="Arial" w:cs="Arial" w:eastAsia="Arial" w:hAnsi="Arial"/>
          <w:sz w:val="13"/>
          <w:szCs w:val="13"/>
          <w:color w:val="auto"/>
        </w:rPr>
        <w:t>We rely on a combination of copyright, trademark and trade secret laws as well as confidentiality procedures and contractual provisions to protect our proprietary software, including Marketplace, and our brands. We have registered or applied to register certain of our trademarks in the United States and several other countries. Our registered trademarks have an original duration between 10 and 20 years. We also license intellectual property from third parties, including software that is incorporated in or bundled with our proprietary software applications. We generally control access to and use of our proprietary software and other confidential information through the use of internal and external controls, including entering into non-disclosure and confidentiality agreements with both our employees and third parties.</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Competition</w:t>
      </w:r>
    </w:p>
    <w:p>
      <w:pPr>
        <w:spacing w:after="0" w:line="142" w:lineRule="exact"/>
        <w:rPr>
          <w:sz w:val="20"/>
          <w:szCs w:val="20"/>
          <w:color w:val="auto"/>
        </w:rPr>
      </w:pPr>
    </w:p>
    <w:p>
      <w:pPr>
        <w:ind w:right="20"/>
        <w:spacing w:after="0" w:line="239" w:lineRule="auto"/>
        <w:rPr>
          <w:sz w:val="20"/>
          <w:szCs w:val="20"/>
          <w:color w:val="auto"/>
        </w:rPr>
      </w:pPr>
      <w:r>
        <w:rPr>
          <w:rFonts w:ascii="Arial" w:cs="Arial" w:eastAsia="Arial" w:hAnsi="Arial"/>
          <w:sz w:val="13"/>
          <w:szCs w:val="13"/>
          <w:color w:val="auto"/>
        </w:rPr>
        <w:t>The market for the distribution of health insurance products and plans is highly competitive, fragmented and evolving as purchasing behavior shifts from traditional field-based agent models towards digital and telephonic platforms. Our competition leverages a variety of channels including government-run health insurance exchanges, carrier-employed agents, field based independent agents and brokers, or platforms that distribute directly to the consumer digitally or telephonically. We aim to differentiate our products and services on the basis of our ability to match consumers with the insurance products that best match their needs by leveraging our carrier relationships, proprietary technology, machine-learning capabilities and extensive data, efficient business processes, and highly skilled and trained agents.</w:t>
      </w:r>
    </w:p>
    <w:p>
      <w:pPr>
        <w:spacing w:after="0" w:line="110" w:lineRule="exact"/>
        <w:rPr>
          <w:sz w:val="20"/>
          <w:szCs w:val="20"/>
          <w:color w:val="auto"/>
        </w:rPr>
      </w:pPr>
    </w:p>
    <w:p>
      <w:pPr>
        <w:ind w:left="520" w:right="300" w:hanging="260"/>
        <w:spacing w:after="0" w:line="254" w:lineRule="auto"/>
        <w:tabs>
          <w:tab w:leader="none" w:pos="511" w:val="left"/>
        </w:tabs>
        <w:numPr>
          <w:ilvl w:val="0"/>
          <w:numId w:val="14"/>
        </w:numPr>
        <w:rPr>
          <w:rFonts w:ascii="Arial" w:cs="Arial" w:eastAsia="Arial" w:hAnsi="Arial"/>
          <w:sz w:val="13"/>
          <w:szCs w:val="13"/>
          <w:color w:val="auto"/>
        </w:rPr>
      </w:pPr>
      <w:r>
        <w:rPr>
          <w:rFonts w:ascii="Arial" w:cs="Arial" w:eastAsia="Arial" w:hAnsi="Arial"/>
          <w:sz w:val="13"/>
          <w:szCs w:val="13"/>
          <w:b w:val="1"/>
          <w:bCs w:val="1"/>
          <w:color w:val="auto"/>
        </w:rPr>
        <w:t xml:space="preserve">Internet Marketers and Telesales Distribution Platforms: </w:t>
      </w:r>
      <w:r>
        <w:rPr>
          <w:rFonts w:ascii="Arial" w:cs="Arial" w:eastAsia="Arial" w:hAnsi="Arial"/>
          <w:sz w:val="13"/>
          <w:szCs w:val="13"/>
          <w:color w:val="auto"/>
        </w:rPr>
        <w:t>There are many marketing companies and distribution platforms that use the Internet or telesales models to find consumers</w:t>
      </w:r>
      <w:r>
        <w:rPr>
          <w:rFonts w:ascii="Arial" w:cs="Arial" w:eastAsia="Arial" w:hAnsi="Arial"/>
          <w:sz w:val="13"/>
          <w:szCs w:val="13"/>
          <w:b w:val="1"/>
          <w:bCs w:val="1"/>
          <w:color w:val="auto"/>
        </w:rPr>
        <w:t xml:space="preserve"> </w:t>
      </w:r>
      <w:r>
        <w:rPr>
          <w:rFonts w:ascii="Arial" w:cs="Arial" w:eastAsia="Arial" w:hAnsi="Arial"/>
          <w:sz w:val="13"/>
          <w:szCs w:val="13"/>
          <w:color w:val="auto"/>
        </w:rPr>
        <w:t>interested in purchasing health insurance and are compensated for referring those consumers to agents and carriers. We compete with these companies using similar business models to ours, such as eHealth, Inc. and SelectQuote Inc., for qualified prospects, sales, and carrier relationships.</w:t>
      </w:r>
    </w:p>
    <w:p>
      <w:pPr>
        <w:spacing w:after="0" w:line="98" w:lineRule="exact"/>
        <w:rPr>
          <w:rFonts w:ascii="Arial" w:cs="Arial" w:eastAsia="Arial" w:hAnsi="Arial"/>
          <w:sz w:val="13"/>
          <w:szCs w:val="13"/>
          <w:color w:val="auto"/>
        </w:rPr>
      </w:pPr>
    </w:p>
    <w:p>
      <w:pPr>
        <w:ind w:left="520" w:right="260" w:hanging="260"/>
        <w:spacing w:after="0" w:line="254" w:lineRule="auto"/>
        <w:tabs>
          <w:tab w:leader="none" w:pos="511" w:val="left"/>
        </w:tabs>
        <w:numPr>
          <w:ilvl w:val="0"/>
          <w:numId w:val="14"/>
        </w:numPr>
        <w:rPr>
          <w:rFonts w:ascii="Arial" w:cs="Arial" w:eastAsia="Arial" w:hAnsi="Arial"/>
          <w:sz w:val="13"/>
          <w:szCs w:val="13"/>
          <w:color w:val="auto"/>
        </w:rPr>
      </w:pPr>
      <w:r>
        <w:rPr>
          <w:rFonts w:ascii="Arial" w:cs="Arial" w:eastAsia="Arial" w:hAnsi="Arial"/>
          <w:sz w:val="13"/>
          <w:szCs w:val="13"/>
          <w:b w:val="1"/>
          <w:bCs w:val="1"/>
          <w:color w:val="auto"/>
        </w:rPr>
        <w:t xml:space="preserve">Carrier-Employed Agents: </w:t>
      </w:r>
      <w:r>
        <w:rPr>
          <w:rFonts w:ascii="Arial" w:cs="Arial" w:eastAsia="Arial" w:hAnsi="Arial"/>
          <w:sz w:val="13"/>
          <w:szCs w:val="13"/>
          <w:color w:val="auto"/>
        </w:rPr>
        <w:t>Some health insurance carriers directly market and sell their plans to consumers through their own agents, call centers and websites. Although we offer health</w:t>
      </w:r>
      <w:r>
        <w:rPr>
          <w:rFonts w:ascii="Arial" w:cs="Arial" w:eastAsia="Arial" w:hAnsi="Arial"/>
          <w:sz w:val="13"/>
          <w:szCs w:val="13"/>
          <w:b w:val="1"/>
          <w:bCs w:val="1"/>
          <w:color w:val="auto"/>
        </w:rPr>
        <w:t xml:space="preserve"> </w:t>
      </w:r>
      <w:r>
        <w:rPr>
          <w:rFonts w:ascii="Arial" w:cs="Arial" w:eastAsia="Arial" w:hAnsi="Arial"/>
          <w:sz w:val="13"/>
          <w:szCs w:val="13"/>
          <w:color w:val="auto"/>
        </w:rPr>
        <w:t>insurance plans for many of these carriers, they also compete with us by offering their plans directly to consumers. Most of these carriers have brand recognition, significant financial resources, and have become experienced in marketing their products to consumers through traditional and emerging channels.</w:t>
      </w:r>
    </w:p>
    <w:p>
      <w:pPr>
        <w:spacing w:after="0" w:line="55" w:lineRule="exact"/>
        <w:rPr>
          <w:rFonts w:ascii="Arial" w:cs="Arial" w:eastAsia="Arial" w:hAnsi="Arial"/>
          <w:sz w:val="13"/>
          <w:szCs w:val="13"/>
          <w:color w:val="auto"/>
        </w:rPr>
      </w:pPr>
    </w:p>
    <w:p>
      <w:pPr>
        <w:ind w:left="520" w:right="20" w:hanging="260"/>
        <w:spacing w:after="0" w:line="254" w:lineRule="auto"/>
        <w:tabs>
          <w:tab w:leader="none" w:pos="511" w:val="left"/>
        </w:tabs>
        <w:numPr>
          <w:ilvl w:val="0"/>
          <w:numId w:val="14"/>
        </w:numPr>
        <w:rPr>
          <w:rFonts w:ascii="Arial" w:cs="Arial" w:eastAsia="Arial" w:hAnsi="Arial"/>
          <w:sz w:val="13"/>
          <w:szCs w:val="13"/>
          <w:color w:val="auto"/>
        </w:rPr>
      </w:pPr>
      <w:r>
        <w:rPr>
          <w:rFonts w:ascii="Arial" w:cs="Arial" w:eastAsia="Arial" w:hAnsi="Arial"/>
          <w:sz w:val="13"/>
          <w:szCs w:val="13"/>
          <w:b w:val="1"/>
          <w:bCs w:val="1"/>
          <w:color w:val="auto"/>
        </w:rPr>
        <w:t xml:space="preserve">Independent Agents and Brokers: </w:t>
      </w:r>
      <w:r>
        <w:rPr>
          <w:rFonts w:ascii="Arial" w:cs="Arial" w:eastAsia="Arial" w:hAnsi="Arial"/>
          <w:sz w:val="13"/>
          <w:szCs w:val="13"/>
          <w:color w:val="auto"/>
        </w:rPr>
        <w:t>We compete with thousands of local insurance agents and brokers across the United States who sell insurance products in their communities. While many</w:t>
      </w:r>
      <w:r>
        <w:rPr>
          <w:rFonts w:ascii="Arial" w:cs="Arial" w:eastAsia="Arial" w:hAnsi="Arial"/>
          <w:sz w:val="13"/>
          <w:szCs w:val="13"/>
          <w:b w:val="1"/>
          <w:bCs w:val="1"/>
          <w:color w:val="auto"/>
        </w:rPr>
        <w:t xml:space="preserve"> </w:t>
      </w:r>
      <w:r>
        <w:rPr>
          <w:rFonts w:ascii="Arial" w:cs="Arial" w:eastAsia="Arial" w:hAnsi="Arial"/>
          <w:sz w:val="13"/>
          <w:szCs w:val="13"/>
          <w:color w:val="auto"/>
        </w:rPr>
        <w:t>of these agents offer health insurance products without significant utilization of advanced technology or the Internet, a number have embraced telesales or established websites providing an online shopping experience for consumers.</w:t>
      </w:r>
    </w:p>
    <w:p>
      <w:pPr>
        <w:spacing w:after="0" w:line="140" w:lineRule="exact"/>
        <w:rPr>
          <w:rFonts w:ascii="Arial" w:cs="Arial" w:eastAsia="Arial" w:hAnsi="Arial"/>
          <w:sz w:val="13"/>
          <w:szCs w:val="13"/>
          <w:color w:val="auto"/>
        </w:rPr>
      </w:pPr>
    </w:p>
    <w:p>
      <w:pPr>
        <w:ind w:left="520" w:right="20" w:hanging="260"/>
        <w:spacing w:after="0" w:line="249" w:lineRule="auto"/>
        <w:tabs>
          <w:tab w:leader="none" w:pos="511" w:val="left"/>
        </w:tabs>
        <w:numPr>
          <w:ilvl w:val="0"/>
          <w:numId w:val="1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Government: </w:t>
      </w:r>
      <w:r>
        <w:rPr>
          <w:rFonts w:ascii="Arial" w:cs="Arial" w:eastAsia="Arial" w:hAnsi="Arial"/>
          <w:sz w:val="13"/>
          <w:szCs w:val="13"/>
          <w:color w:val="auto"/>
        </w:rPr>
        <w:t>We compete with the federal government’s original Medicare program in marketing Medicare insurance plans. CMS also offers Medicare-plan online enrollment, information and</w:t>
      </w:r>
      <w:r>
        <w:rPr>
          <w:rFonts w:ascii="Arial" w:cs="Arial" w:eastAsia="Arial" w:hAnsi="Arial"/>
          <w:sz w:val="13"/>
          <w:szCs w:val="13"/>
          <w:b w:val="1"/>
          <w:bCs w:val="1"/>
          <w:color w:val="auto"/>
        </w:rPr>
        <w:t xml:space="preserve"> </w:t>
      </w:r>
      <w:r>
        <w:rPr>
          <w:rFonts w:ascii="Arial" w:cs="Arial" w:eastAsia="Arial" w:hAnsi="Arial"/>
          <w:sz w:val="13"/>
          <w:szCs w:val="13"/>
          <w:color w:val="auto"/>
        </w:rPr>
        <w:t>comparison tools, and has established call centers for the sale of Medicare Advantage and Medicare Part D prescription drug plans (collectively, Medicare Plans). CMS has regulatory authority over Medicare Plans and can influence the competitiveness of Medicare Plans compared to the original Medicare program, as well as the compensation that health insurance carriers are allowed to pay to us.</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Seasonality</w:t>
      </w:r>
    </w:p>
    <w:p>
      <w:pPr>
        <w:spacing w:after="0" w:line="142" w:lineRule="exact"/>
        <w:rPr>
          <w:sz w:val="20"/>
          <w:szCs w:val="20"/>
          <w:color w:val="auto"/>
        </w:rPr>
      </w:pPr>
    </w:p>
    <w:p>
      <w:pPr>
        <w:ind w:right="20"/>
        <w:spacing w:after="0" w:line="239" w:lineRule="auto"/>
        <w:rPr>
          <w:sz w:val="20"/>
          <w:szCs w:val="20"/>
          <w:color w:val="auto"/>
        </w:rPr>
      </w:pPr>
      <w:r>
        <w:rPr>
          <w:rFonts w:ascii="Arial" w:cs="Arial" w:eastAsia="Arial" w:hAnsi="Arial"/>
          <w:sz w:val="13"/>
          <w:szCs w:val="13"/>
          <w:color w:val="auto"/>
        </w:rPr>
        <w:t>The Medicare annual enrollment period occurs from October 15th to December 7th. As a result, we experience an increase in the number of submitted Medicare-related applications during the fourth quarter and an increase in expense related to the Medicare segments during the third and fourth quarters. Additionally, as a result of the annual Medicare Advantage open enrollment period that occurs from January 1st to March 31st, commission revenue is typically second-highest in our first quarter. The second and third quarters are known as special election periods, and commission revenue is lower during these quarters. A significant portion of our marketing and advertising expenses is driven by the number of health insurance applications submitted through us. Marketing and advertising expenses are generally higher in the fourth quarter during the Medicare annual enrollment period, but because commissions from approved customers are paid to us over time, our operating cash flows could be adversely impacted by a substantial increase in marketing and advertising expenses as a result of a higher volume of applications submitted during the fourth quarter or positively impacted by a substantial decline in marketing and advertising expenses as a result of lower volume of applications submitted during the fourth quarter.</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Employees</w:t>
      </w:r>
    </w:p>
    <w:p>
      <w:pPr>
        <w:spacing w:after="0" w:line="100" w:lineRule="exact"/>
        <w:rPr>
          <w:sz w:val="20"/>
          <w:szCs w:val="20"/>
          <w:color w:val="auto"/>
        </w:rPr>
      </w:pPr>
    </w:p>
    <w:p>
      <w:pPr>
        <w:jc w:val="both"/>
        <w:ind w:right="420"/>
        <w:spacing w:after="0" w:line="241" w:lineRule="auto"/>
        <w:rPr>
          <w:sz w:val="20"/>
          <w:szCs w:val="20"/>
          <w:color w:val="auto"/>
        </w:rPr>
      </w:pPr>
      <w:r>
        <w:rPr>
          <w:rFonts w:ascii="Arial" w:cs="Arial" w:eastAsia="Arial" w:hAnsi="Arial"/>
          <w:sz w:val="13"/>
          <w:szCs w:val="13"/>
          <w:color w:val="auto"/>
        </w:rPr>
        <w:t>As of December 31, 2021, we employed 5,448 employees. We employed 5,323 people in the United States and 125 in Slovakia. During the Medicare annual enrollment period, we typically hire additional full time employees. None of our employees are represented by a labor union or are party to a collective bargaining agreement, and we have had no labor-related work stoppages. We consider our employee relations to be good.</w:t>
      </w:r>
    </w:p>
    <w:p>
      <w:pPr>
        <w:spacing w:after="0" w:line="165" w:lineRule="exact"/>
        <w:rPr>
          <w:sz w:val="20"/>
          <w:szCs w:val="20"/>
          <w:color w:val="auto"/>
        </w:rPr>
      </w:pPr>
    </w:p>
    <w:p>
      <w:pPr>
        <w:ind w:right="180"/>
        <w:spacing w:after="0" w:line="244" w:lineRule="auto"/>
        <w:rPr>
          <w:sz w:val="20"/>
          <w:szCs w:val="20"/>
          <w:color w:val="auto"/>
        </w:rPr>
      </w:pPr>
      <w:r>
        <w:rPr>
          <w:rFonts w:ascii="Arial" w:cs="Arial" w:eastAsia="Arial" w:hAnsi="Arial"/>
          <w:sz w:val="13"/>
          <w:szCs w:val="13"/>
          <w:color w:val="auto"/>
        </w:rPr>
        <w:t>We consider diversity and inclusion as part of what drives our success. Our diverse teams positively affect our relationships with consumers, carriers, and the communities we serve. As we grow, we intend to continue to use the strength of our mission and our diverse people to continue to make a difference to the lives of our customers.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12</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69" w:right="319" w:bottom="1440" w:gutter="0" w:footer="0" w:header="0"/>
        </w:sectPr>
      </w:pPr>
    </w:p>
    <w:bookmarkStart w:id="15" w:name="page16"/>
    <w:bookmarkEnd w:id="15"/>
    <w:p>
      <w:pPr>
        <w:spacing w:after="0"/>
        <w:rPr>
          <w:sz w:val="20"/>
          <w:szCs w:val="20"/>
          <w:color w:val="auto"/>
        </w:rPr>
      </w:pPr>
      <w:r>
        <w:rPr>
          <w:rFonts w:ascii="Arial" w:cs="Arial" w:eastAsia="Arial" w:hAnsi="Arial"/>
          <w:sz w:val="13"/>
          <w:szCs w:val="13"/>
          <w:color w:val="auto"/>
        </w:rPr>
        <w:t>We have implemented several measures to incorporate diversity and inclusion practices into our business strategy, including the following:</w:t>
      </w:r>
    </w:p>
    <w:p>
      <w:pPr>
        <w:spacing w:after="0" w:line="169" w:lineRule="exact"/>
        <w:rPr>
          <w:sz w:val="20"/>
          <w:szCs w:val="20"/>
          <w:color w:val="auto"/>
        </w:rPr>
      </w:pP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Requiring all employees to attend cultural training, a series of courses providing education and awareness specific to diversity, discrimination, harassment, and emotional intelligence.</w:t>
      </w:r>
    </w:p>
    <w:p>
      <w:pPr>
        <w:spacing w:after="0" w:line="168" w:lineRule="exact"/>
        <w:rPr>
          <w:rFonts w:ascii="Arial" w:cs="Arial" w:eastAsia="Arial" w:hAnsi="Arial"/>
          <w:sz w:val="13"/>
          <w:szCs w:val="13"/>
          <w:color w:val="auto"/>
        </w:rPr>
      </w:pPr>
    </w:p>
    <w:p>
      <w:pPr>
        <w:ind w:left="520" w:right="200" w:hanging="260"/>
        <w:spacing w:after="0" w:line="244" w:lineRule="auto"/>
        <w:tabs>
          <w:tab w:leader="none" w:pos="511"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development and implementation of Respectful Spaces, a program affording employees an outlet to have dialogue about sensitive topics impacting them at work, home and within their communities and globally.</w:t>
      </w:r>
    </w:p>
    <w:p>
      <w:pPr>
        <w:spacing w:after="0" w:line="162" w:lineRule="exact"/>
        <w:rPr>
          <w:rFonts w:ascii="Arial" w:cs="Arial" w:eastAsia="Arial" w:hAnsi="Arial"/>
          <w:sz w:val="13"/>
          <w:szCs w:val="13"/>
          <w:color w:val="auto"/>
        </w:rPr>
      </w:pPr>
    </w:p>
    <w:p>
      <w:pPr>
        <w:ind w:left="520" w:right="160" w:hanging="260"/>
        <w:spacing w:after="0" w:line="241" w:lineRule="auto"/>
        <w:tabs>
          <w:tab w:leader="none" w:pos="511" w:val="left"/>
        </w:tabs>
        <w:numPr>
          <w:ilvl w:val="0"/>
          <w:numId w:val="15"/>
        </w:numPr>
        <w:rPr>
          <w:rFonts w:ascii="Arial" w:cs="Arial" w:eastAsia="Arial" w:hAnsi="Arial"/>
          <w:sz w:val="13"/>
          <w:szCs w:val="13"/>
          <w:color w:val="auto"/>
        </w:rPr>
      </w:pPr>
      <w:r>
        <w:rPr>
          <w:rFonts w:ascii="Arial" w:cs="Arial" w:eastAsia="Arial" w:hAnsi="Arial"/>
          <w:sz w:val="13"/>
          <w:szCs w:val="13"/>
          <w:color w:val="auto"/>
        </w:rPr>
        <w:t>Formal training of our leaders to help employees successfully navigate sensitive topics that may surface and encourage respectful dialogue. To support the development of our diversity strategy, leaders and executive teams attended a vendor-led training to gain fundamental knowledge about diversity, inclusion, and belonging. The objective of the training was to outline our commitments to diversity and inclusion for the future.</w:t>
      </w:r>
    </w:p>
    <w:p>
      <w:pPr>
        <w:spacing w:after="0" w:line="165" w:lineRule="exact"/>
        <w:rPr>
          <w:rFonts w:ascii="Arial" w:cs="Arial" w:eastAsia="Arial" w:hAnsi="Arial"/>
          <w:sz w:val="13"/>
          <w:szCs w:val="13"/>
          <w:color w:val="auto"/>
        </w:rPr>
      </w:pPr>
    </w:p>
    <w:p>
      <w:pPr>
        <w:ind w:left="520" w:right="180" w:hanging="260"/>
        <w:spacing w:after="0" w:line="244" w:lineRule="auto"/>
        <w:tabs>
          <w:tab w:leader="none" w:pos="511"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Formation of interest and employee resource groups to allow employees to share information, network, and work on their professional and personal development; including, Black Lives Matter, Women in Sales and Allies and Women at GoHealth.</w:t>
      </w:r>
    </w:p>
    <w:p>
      <w:pPr>
        <w:spacing w:after="0" w:line="163" w:lineRule="exact"/>
        <w:rPr>
          <w:sz w:val="20"/>
          <w:szCs w:val="20"/>
          <w:color w:val="auto"/>
        </w:rPr>
      </w:pPr>
    </w:p>
    <w:p>
      <w:pPr>
        <w:ind w:right="60"/>
        <w:spacing w:after="0" w:line="267" w:lineRule="auto"/>
        <w:rPr>
          <w:sz w:val="20"/>
          <w:szCs w:val="20"/>
          <w:color w:val="auto"/>
        </w:rPr>
      </w:pPr>
      <w:r>
        <w:rPr>
          <w:rFonts w:ascii="Arial" w:cs="Arial" w:eastAsia="Arial" w:hAnsi="Arial"/>
          <w:sz w:val="12"/>
          <w:szCs w:val="12"/>
          <w:color w:val="auto"/>
        </w:rPr>
        <w:t>As of December 31, 2021, approximately 54% of our global workforce and 44% of our employees in managerial roles identified as female. Additionally, as of December 31, 2021, approximately 3%, 34%, 13%, 6%, and 44%, of our global workforce identified as Asian, Black or African American, Hispanic or Latino, Other (defined as American Indian, Alaska Native, Native Hawaiian or Other Pacific Islander, and Multiracial ethnicities), or White, respectively. As of December 31, 2021, approximately 4%, 31%, 8%, 5%, and 52%, of our employees in managerial roles identified as Asian, Black or African American, Hispanic or Latino, Other (defined as American Indian, Alaska Native, Native Hawaiian or Other Pacific Islander, and Multiracial ethnicities), or White, respectively.</w:t>
      </w:r>
    </w:p>
    <w:p>
      <w:pPr>
        <w:spacing w:after="0" w:line="150" w:lineRule="exact"/>
        <w:rPr>
          <w:sz w:val="20"/>
          <w:szCs w:val="20"/>
          <w:color w:val="auto"/>
        </w:rPr>
      </w:pPr>
    </w:p>
    <w:p>
      <w:pPr>
        <w:ind w:right="60"/>
        <w:spacing w:after="0" w:line="239" w:lineRule="auto"/>
        <w:rPr>
          <w:sz w:val="20"/>
          <w:szCs w:val="20"/>
          <w:color w:val="auto"/>
        </w:rPr>
      </w:pPr>
      <w:r>
        <w:rPr>
          <w:rFonts w:ascii="Arial" w:cs="Arial" w:eastAsia="Arial" w:hAnsi="Arial"/>
          <w:sz w:val="13"/>
          <w:szCs w:val="13"/>
          <w:color w:val="auto"/>
        </w:rPr>
        <w:t>Our success is also rooted in hiring passionate employees, including sales professionals, entrepreneurs, analysts, marketers, engineers, and more – all of whom believe in our mission statement. We are proud of our lively, employee-driven culture and aim to offer our team the benefits and support they need to thrive. We offer comprehensive benefit programs to our employees, including major medical, dental and vision benefits, life insurance coverage, flexible spending accounts, 401(k) retirement plan with a Company match, an employee stock purchase plan offering, along with numerous other offers aimed at supporting our employees both personally and professionally. We recognize and support the growth and development of our employees and offer opportunities to participate in internal as well as external learning programs.</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Available Information</w:t>
      </w:r>
    </w:p>
    <w:p>
      <w:pPr>
        <w:spacing w:after="0" w:line="142" w:lineRule="exact"/>
        <w:rPr>
          <w:sz w:val="20"/>
          <w:szCs w:val="20"/>
          <w:color w:val="auto"/>
        </w:rPr>
      </w:pPr>
    </w:p>
    <w:p>
      <w:pPr>
        <w:ind w:right="40"/>
        <w:spacing w:after="0"/>
        <w:rPr>
          <w:sz w:val="20"/>
          <w:szCs w:val="20"/>
          <w:color w:val="auto"/>
        </w:rPr>
      </w:pPr>
      <w:r>
        <w:rPr>
          <w:rFonts w:ascii="Arial" w:cs="Arial" w:eastAsia="Arial" w:hAnsi="Arial"/>
          <w:sz w:val="13"/>
          <w:szCs w:val="13"/>
          <w:color w:val="auto"/>
        </w:rPr>
        <w:t>The U.S. Securities and Exchange Commission (“SEC”) maintains an internet site that contains reports, proxy and information statements, and other information regarding issuers that file electronically with the SEC (</w:t>
      </w:r>
      <w:r>
        <w:rPr>
          <w:rFonts w:ascii="Arial" w:cs="Arial" w:eastAsia="Arial" w:hAnsi="Arial"/>
          <w:sz w:val="13"/>
          <w:szCs w:val="13"/>
          <w:i w:val="1"/>
          <w:iCs w:val="1"/>
          <w:color w:val="auto"/>
        </w:rPr>
        <w:t>www.sec.gov</w:t>
      </w:r>
      <w:r>
        <w:rPr>
          <w:rFonts w:ascii="Arial" w:cs="Arial" w:eastAsia="Arial" w:hAnsi="Arial"/>
          <w:sz w:val="13"/>
          <w:szCs w:val="13"/>
          <w:color w:val="auto"/>
        </w:rPr>
        <w:t>). Our Annual Reports on Form 10-K, Quarterly Reports on Form 10-Q, Current Reports on Form 8-K and amendments to reports filed or furnished pursuant to Sections 13(a) and 15(d) of the Exchange Act are also available free of charge on our investor relations website as soon as reasonably practicable after we electronically file such material with, or furnish it to, the SEC (</w:t>
      </w:r>
      <w:r>
        <w:rPr>
          <w:rFonts w:ascii="Arial" w:cs="Arial" w:eastAsia="Arial" w:hAnsi="Arial"/>
          <w:sz w:val="13"/>
          <w:szCs w:val="13"/>
          <w:i w:val="1"/>
          <w:iCs w:val="1"/>
          <w:color w:val="auto"/>
        </w:rPr>
        <w:t>investors.gohealth.com</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13</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85" w:right="319" w:bottom="1440" w:gutter="0" w:footer="0" w:header="0"/>
        </w:sectPr>
      </w:pPr>
    </w:p>
    <w:bookmarkStart w:id="16" w:name="page17"/>
    <w:bookmarkEnd w:id="16"/>
    <w:p>
      <w:pPr>
        <w:spacing w:after="0"/>
        <w:rPr>
          <w:sz w:val="20"/>
          <w:szCs w:val="20"/>
          <w:color w:val="auto"/>
        </w:rPr>
      </w:pPr>
      <w:r>
        <w:rPr>
          <w:rFonts w:ascii="Arial" w:cs="Arial" w:eastAsia="Arial" w:hAnsi="Arial"/>
          <w:sz w:val="13"/>
          <w:szCs w:val="13"/>
          <w:b w:val="1"/>
          <w:bCs w:val="1"/>
          <w:color w:val="0A2299"/>
        </w:rPr>
        <w:t>ITEM 1A. RISK FACTORS</w:t>
      </w:r>
    </w:p>
    <w:p>
      <w:pPr>
        <w:spacing w:after="0" w:line="173" w:lineRule="exact"/>
        <w:rPr>
          <w:sz w:val="20"/>
          <w:szCs w:val="20"/>
          <w:color w:val="auto"/>
        </w:rPr>
      </w:pPr>
    </w:p>
    <w:p>
      <w:pPr>
        <w:spacing w:after="0" w:line="274" w:lineRule="auto"/>
        <w:rPr>
          <w:sz w:val="20"/>
          <w:szCs w:val="20"/>
          <w:color w:val="auto"/>
        </w:rPr>
      </w:pPr>
      <w:r>
        <w:rPr>
          <w:rFonts w:ascii="Arial" w:cs="Arial" w:eastAsia="Arial" w:hAnsi="Arial"/>
          <w:sz w:val="12"/>
          <w:szCs w:val="12"/>
          <w:i w:val="1"/>
          <w:iCs w:val="1"/>
          <w:color w:val="auto"/>
        </w:rPr>
        <w:t>Investing in our Class A common stock involves a high degree of risk. You should carefully consider the risks and uncertainties described below, together with all of the other information in this Annual Report on Form 10-K, including our Consolidated Financial Statements and the related Notes, before deciding to invest in our Class A common stock. The occurrence of any of the events described below could harm our business, operating results and financial condition. In such an event, the market price of our Class A common stock could decline, and you may lose all or part of your investment. Additional risks and uncertainties not presently known to us or that we currently deem immaterial may also impair our business. See “Cautionary Note Regarding Forward-Looking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Our Business</w:t>
      </w:r>
    </w:p>
    <w:p>
      <w:pPr>
        <w:spacing w:after="0" w:line="171" w:lineRule="exact"/>
        <w:rPr>
          <w:sz w:val="20"/>
          <w:szCs w:val="20"/>
          <w:color w:val="auto"/>
        </w:rPr>
      </w:pPr>
    </w:p>
    <w:p>
      <w:pPr>
        <w:ind w:right="320"/>
        <w:spacing w:after="0" w:line="266" w:lineRule="auto"/>
        <w:rPr>
          <w:sz w:val="20"/>
          <w:szCs w:val="20"/>
          <w:color w:val="auto"/>
        </w:rPr>
      </w:pPr>
      <w:r>
        <w:rPr>
          <w:rFonts w:ascii="Arial" w:cs="Arial" w:eastAsia="Arial" w:hAnsi="Arial"/>
          <w:sz w:val="13"/>
          <w:szCs w:val="13"/>
          <w:b w:val="1"/>
          <w:bCs w:val="1"/>
          <w:i w:val="1"/>
          <w:iCs w:val="1"/>
          <w:color w:val="auto"/>
        </w:rPr>
        <w:t>The marketing and sale of Medicare plans are subject to numerous, complex and frequently changing laws, regulations and guidelines, and non-compliance with or changes in laws, regulations and guidelines could harm our business, operating results and financial condition.</w:t>
      </w:r>
    </w:p>
    <w:p>
      <w:pPr>
        <w:spacing w:after="0" w:line="149" w:lineRule="exact"/>
        <w:rPr>
          <w:sz w:val="20"/>
          <w:szCs w:val="20"/>
          <w:color w:val="auto"/>
        </w:rPr>
      </w:pPr>
    </w:p>
    <w:p>
      <w:pPr>
        <w:ind w:right="120"/>
        <w:spacing w:after="0" w:line="239" w:lineRule="auto"/>
        <w:rPr>
          <w:sz w:val="20"/>
          <w:szCs w:val="20"/>
          <w:color w:val="auto"/>
        </w:rPr>
      </w:pPr>
      <w:r>
        <w:rPr>
          <w:rFonts w:ascii="Arial" w:cs="Arial" w:eastAsia="Arial" w:hAnsi="Arial"/>
          <w:sz w:val="13"/>
          <w:szCs w:val="13"/>
          <w:color w:val="auto"/>
        </w:rPr>
        <w:t>Our business and operating results are heavily dependent on marketing and selling Medicare plans. The marketing and sale of Medicare Advantage and Medicare Part D prescription drug plans are principally regulated by CMS, but are also subject to state laws. The marketing and sale of Medicare Supplement plans are principally regulated on a state-by-state basis by state departments of insurance or equivalent state departments. The laws and regulations applicable to the marketing and sale of Medicare plans are numerous, ambiguous and complex, and regulations and guidance issued by CMS for Medicare Advantage and Medicare Part D prescription drug plans are frequently changing. Many aspects of our online platforms and our marketing material and processes, as well as changes to these platforms, materials and processes, including call center scripts, must be filed with CMS and reviewed and approved by carriers in light of CMS requirements. In addition, certain aspects of our Medicare plan marketing partner relationships have been in the past, and will be in the future, subjected to CMS review and carrier review. Changes to the laws, regulations and guidelines relating to the sale and marketing of Medicare plans, their interpretation or the manner in which they are enforced could be incompatible with these relationships, the manner in which we conduct our business, our platforms or our sale of Medicare plans, which could harm our business, operating results and financial condition.</w:t>
      </w:r>
    </w:p>
    <w:p>
      <w:pPr>
        <w:spacing w:after="0" w:line="167"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Due to potential changes in CMS guidance, enforcement, interpretation or, in light of the COVID-19 pandemic, waivers of existing laws, regulations and guidance applicable to our marketing and sale of Medicare products, or as a result of new laws, regulations and guidelines, CMS, state departments of insurance or carriers may object to or not approve aspects of our online platforms or marketing materials and processes and determine that certain existing aspects of our Medicare-related business are not in compliance with the applicable laws, regulations and guidance. As a result, the progress of our Medicare operations could be slowed or we could be prevented from operating aspects of our Medicare revenue generating activities altogether, which would harm our business, operating results and financial condition, particularly if it occurred during the Medicare annual enrollment period.</w:t>
      </w:r>
    </w:p>
    <w:p>
      <w:pPr>
        <w:spacing w:after="0" w:line="154" w:lineRule="exact"/>
        <w:rPr>
          <w:sz w:val="20"/>
          <w:szCs w:val="20"/>
          <w:color w:val="auto"/>
        </w:rPr>
      </w:pPr>
    </w:p>
    <w:p>
      <w:pPr>
        <w:ind w:right="120"/>
        <w:spacing w:after="0" w:line="266" w:lineRule="auto"/>
        <w:rPr>
          <w:sz w:val="20"/>
          <w:szCs w:val="20"/>
          <w:color w:val="auto"/>
        </w:rPr>
      </w:pPr>
      <w:r>
        <w:rPr>
          <w:rFonts w:ascii="Arial" w:cs="Arial" w:eastAsia="Arial" w:hAnsi="Arial"/>
          <w:sz w:val="13"/>
          <w:szCs w:val="13"/>
          <w:b w:val="1"/>
          <w:bCs w:val="1"/>
          <w:i w:val="1"/>
          <w:iCs w:val="1"/>
          <w:color w:val="auto"/>
        </w:rPr>
        <w:t>Our business may be harmed if we lose our relationship with carriers or if our relationships with carriers change, particularly if we or our contracted carriers temporarily or permanently lose the ability to market and sell Medicare plans.</w:t>
      </w:r>
    </w:p>
    <w:p>
      <w:pPr>
        <w:spacing w:after="0" w:line="149" w:lineRule="exact"/>
        <w:rPr>
          <w:sz w:val="20"/>
          <w:szCs w:val="20"/>
          <w:color w:val="auto"/>
        </w:rPr>
      </w:pPr>
    </w:p>
    <w:p>
      <w:pPr>
        <w:ind w:right="120"/>
        <w:spacing w:after="0" w:line="239" w:lineRule="auto"/>
        <w:rPr>
          <w:sz w:val="20"/>
          <w:szCs w:val="20"/>
          <w:color w:val="auto"/>
        </w:rPr>
      </w:pPr>
      <w:r>
        <w:rPr>
          <w:rFonts w:ascii="Arial" w:cs="Arial" w:eastAsia="Arial" w:hAnsi="Arial"/>
          <w:sz w:val="13"/>
          <w:szCs w:val="13"/>
          <w:color w:val="auto"/>
        </w:rPr>
        <w:t>Our contractual relationships with carriers, including those with whom we have carrier-branded sales arrangements, are typically non-exclusive and terminable on short notice by either party for any reason. Carriers may be unwilling to allow us to sell their insurance products for a variety of reasons, including competitive or regulatory reasons, dissatisfaction with the insureds that we place with them or because they do not want to be associated with our brand. Additionally, in the future, an increasing number of carriers may decide to rely on their own internal distribution channels, including traditional in-house agents and their own websites, to sell their own products, which could limit or prohibit us from distributing their products. Also, because we do not have exclusive relationships with carriers, carriers can and do use our competitors to sell their products.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If a carrier is not satisfied with our services, it could cause us to incur additional costs and impact our profitability. For example, a carrier could terminate our services, decrease our commissions going forward or restrict our ability to market their products. Moreover, if we fail to meet our contractual obligations to any of our carriers, we could be subject to legal liability or lose our carrier relationships. In addition, these claims against us may produce negative publicity that could hurt our reputation and business and adversely affect our ability to retain business, find new consumers to sell products to or secure new business with other carriers.</w:t>
      </w:r>
    </w:p>
    <w:p>
      <w:pPr>
        <w:spacing w:after="0" w:line="187" w:lineRule="exact"/>
        <w:rPr>
          <w:sz w:val="20"/>
          <w:szCs w:val="20"/>
          <w:color w:val="auto"/>
        </w:rPr>
      </w:pPr>
    </w:p>
    <w:p>
      <w:pPr>
        <w:jc w:val="both"/>
        <w:ind w:right="40"/>
        <w:spacing w:after="0" w:line="241" w:lineRule="auto"/>
        <w:rPr>
          <w:sz w:val="20"/>
          <w:szCs w:val="20"/>
          <w:color w:val="auto"/>
        </w:rPr>
      </w:pPr>
      <w:r>
        <w:rPr>
          <w:rFonts w:ascii="Arial" w:cs="Arial" w:eastAsia="Arial" w:hAnsi="Arial"/>
          <w:sz w:val="13"/>
          <w:szCs w:val="13"/>
          <w:color w:val="auto"/>
        </w:rPr>
        <w:t>In addition, with respect to the plans we sell in the IFP and Other segments and Medicare Supplement plans, carriers periodically change the criteria they use for determining whether they are willing to insure individuals. Future changes in carrier underwriting criteria could negatively impact sales of, or the renewal or approval rates of, insurance policies on our platform, which could negatively impact our revenue.</w:t>
      </w:r>
    </w:p>
    <w:p>
      <w:pPr>
        <w:spacing w:after="0" w:line="186"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color w:val="auto"/>
        </w:rPr>
        <w:t>We may decide to terminate our relationship with a carrier for a number of reasons and the termination of our relationship with a carrier could reduce the variety of insurance products we distribute. In connection with such a termination, we would lose a</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14</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69" w:right="319" w:bottom="1440" w:gutter="0" w:footer="0" w:header="0"/>
        </w:sectPr>
      </w:pPr>
    </w:p>
    <w:bookmarkStart w:id="17" w:name="page18"/>
    <w:bookmarkEnd w:id="17"/>
    <w:p>
      <w:pPr>
        <w:ind w:right="160"/>
        <w:spacing w:after="0" w:line="244" w:lineRule="auto"/>
        <w:rPr>
          <w:sz w:val="20"/>
          <w:szCs w:val="20"/>
          <w:color w:val="auto"/>
        </w:rPr>
      </w:pPr>
      <w:r>
        <w:rPr>
          <w:rFonts w:ascii="Arial" w:cs="Arial" w:eastAsia="Arial" w:hAnsi="Arial"/>
          <w:sz w:val="13"/>
          <w:szCs w:val="13"/>
          <w:color w:val="auto"/>
        </w:rPr>
        <w:t>source of commissions for future sales, and, in a limited number of cases, future commissions for past sales. Our business could also be harmed if we fail to develop new carrier relationships or offer customers a wide variety of insurance products.</w:t>
      </w:r>
    </w:p>
    <w:p>
      <w:pPr>
        <w:spacing w:after="0" w:line="184" w:lineRule="exact"/>
        <w:rPr>
          <w:sz w:val="20"/>
          <w:szCs w:val="20"/>
          <w:color w:val="auto"/>
        </w:rPr>
      </w:pPr>
    </w:p>
    <w:p>
      <w:pPr>
        <w:ind w:right="60"/>
        <w:spacing w:after="0" w:line="239" w:lineRule="auto"/>
        <w:rPr>
          <w:sz w:val="20"/>
          <w:szCs w:val="20"/>
          <w:color w:val="auto"/>
        </w:rPr>
      </w:pPr>
      <w:r>
        <w:rPr>
          <w:rFonts w:ascii="Arial" w:cs="Arial" w:eastAsia="Arial" w:hAnsi="Arial"/>
          <w:sz w:val="13"/>
          <w:szCs w:val="13"/>
          <w:color w:val="auto"/>
        </w:rPr>
        <w:t>We may also lose the ability to market and sell Medicare plans for one or more Medicare carriers. The regulations for selling Medicare health insurance are complex and can change frequently. If we, our agents, or a carrier violate any of the requirements imposed by CMS, or federal or state laws or regulations, a carrier may terminate our relationship or take other corrective action against us, or CMS may penalize a carrier by suspending, limiting, or terminating that carrier’s ability to market and sell Medicare plans. Moreover, if any of our carriers terminate its relationship with us for cause, we may have to disclose such termination to other carriers, which may result in termination of additional carrier relationships. Because the Medicare products we sell are sourced from a relatively small number of carriers, if we lose the ability to market one of those carrier’s Medicare plans, even temporarily, or if one of those carriers loses its Medicare product membership, our business, operating results and financial condition could be harmed.</w:t>
      </w:r>
    </w:p>
    <w:p>
      <w:pPr>
        <w:spacing w:after="0" w:line="175" w:lineRule="exact"/>
        <w:rPr>
          <w:sz w:val="20"/>
          <w:szCs w:val="20"/>
          <w:color w:val="auto"/>
        </w:rPr>
      </w:pPr>
    </w:p>
    <w:p>
      <w:pPr>
        <w:ind w:right="20"/>
        <w:spacing w:after="0" w:line="266" w:lineRule="auto"/>
        <w:rPr>
          <w:sz w:val="20"/>
          <w:szCs w:val="20"/>
          <w:color w:val="auto"/>
        </w:rPr>
      </w:pPr>
      <w:r>
        <w:rPr>
          <w:rFonts w:ascii="Arial" w:cs="Arial" w:eastAsia="Arial" w:hAnsi="Arial"/>
          <w:sz w:val="13"/>
          <w:szCs w:val="13"/>
          <w:b w:val="1"/>
          <w:bCs w:val="1"/>
          <w:i w:val="1"/>
          <w:iCs w:val="1"/>
          <w:color w:val="auto"/>
        </w:rPr>
        <w:t>Our failure to grow our customer base or retain our existing customers, including if we are unable to effectively advertise our products in a cost-effective way, could adversely impact our business, operating results and financial condition.</w:t>
      </w:r>
    </w:p>
    <w:p>
      <w:pPr>
        <w:spacing w:after="0" w:line="171"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We receive commissions from carriers for health insurance plans sold through us. When one of these plans is canceled, or if we otherwise do not remain the agent on the plan, we no longer receive the related commission payment and do not receive any commissions from renewals. Our customers may choose to discontinue their health insurance plans for a variety of reasons. Any decrease in the amount of time we retain our customers could adversely impact the estimated LTV we use for purposes of recognizing revenue. See “—Our operating results may be adversely impacted by factors that impact our estimate of LTV.” Moreover, if we are not able to successfully retain existing customers and limit health insurance plan turnover, our cash flows from operations will be adversely impacted and our business, operating results and financial condition would be harmed.</w:t>
      </w:r>
    </w:p>
    <w:p>
      <w:pPr>
        <w:spacing w:after="0" w:line="189" w:lineRule="exact"/>
        <w:rPr>
          <w:sz w:val="20"/>
          <w:szCs w:val="20"/>
          <w:color w:val="auto"/>
        </w:rPr>
      </w:pPr>
    </w:p>
    <w:p>
      <w:pPr>
        <w:ind w:right="140"/>
        <w:spacing w:after="0" w:line="241" w:lineRule="auto"/>
        <w:rPr>
          <w:sz w:val="20"/>
          <w:szCs w:val="20"/>
          <w:color w:val="auto"/>
        </w:rPr>
      </w:pPr>
      <w:r>
        <w:rPr>
          <w:rFonts w:ascii="Arial" w:cs="Arial" w:eastAsia="Arial" w:hAnsi="Arial"/>
          <w:sz w:val="13"/>
          <w:szCs w:val="13"/>
          <w:color w:val="auto"/>
        </w:rPr>
        <w:t>In addition, in certain circumstances, the Medicare-related commission rates that we receive may be higher in the first calendar year of a plan if the plan is the first Medicare Advantage plan issued to the customer. Similarly, the individual and family plans commission rates that we receive are typically higher in the first twelve months of a policy. After the first twelve months, they generally decline significantly. As a result, if we do not add a sufficient number of customers to new plans, our business, operating results and financial condition would be harmed.</w:t>
      </w:r>
    </w:p>
    <w:p>
      <w:pPr>
        <w:spacing w:after="0" w:line="186" w:lineRule="exact"/>
        <w:rPr>
          <w:sz w:val="20"/>
          <w:szCs w:val="20"/>
          <w:color w:val="auto"/>
        </w:rPr>
      </w:pPr>
    </w:p>
    <w:p>
      <w:pPr>
        <w:ind w:right="20"/>
        <w:spacing w:after="0"/>
        <w:rPr>
          <w:sz w:val="20"/>
          <w:szCs w:val="20"/>
          <w:color w:val="auto"/>
        </w:rPr>
      </w:pPr>
      <w:r>
        <w:rPr>
          <w:rFonts w:ascii="Arial" w:cs="Arial" w:eastAsia="Arial" w:hAnsi="Arial"/>
          <w:sz w:val="13"/>
          <w:szCs w:val="13"/>
          <w:color w:val="auto"/>
        </w:rPr>
        <w:t>We use the Internet, television, radio, mail, e-mail and the telephone, among other channels, to market our services and to communicate with qualified prospects or our existing customers. Some of our competitors have greater financial resources, which enable them to purchase significantly more advertising than we are able to purchase. Further, the cost of marketing and advertising may fluctuate significantly based on demand. If the cost of marketing and advertising increases for any reason, we may not be able to purchase as many advertisements as we typically would or would have to incur greater costs to do so.</w:t>
      </w:r>
    </w:p>
    <w:p>
      <w:pPr>
        <w:spacing w:after="0" w:line="187" w:lineRule="exact"/>
        <w:rPr>
          <w:sz w:val="20"/>
          <w:szCs w:val="20"/>
          <w:color w:val="auto"/>
        </w:rPr>
      </w:pPr>
    </w:p>
    <w:p>
      <w:pPr>
        <w:ind w:right="20"/>
        <w:spacing w:after="0" w:line="239" w:lineRule="auto"/>
        <w:rPr>
          <w:sz w:val="20"/>
          <w:szCs w:val="20"/>
          <w:color w:val="auto"/>
        </w:rPr>
      </w:pPr>
      <w:r>
        <w:rPr>
          <w:rFonts w:ascii="Arial" w:cs="Arial" w:eastAsia="Arial" w:hAnsi="Arial"/>
          <w:sz w:val="13"/>
          <w:szCs w:val="13"/>
          <w:color w:val="auto"/>
        </w:rPr>
        <w:t>Additionally, we derive a significant portion of our website traffic from consumers who search for health insurance through Internet search engines and through social media. A critical factor in attracting consumers to our website is whether we are prominently displayed in response to an Internet search relating to health insurance or on a social media platform. We rely primarily on paid advertisements to attract consumers to our websites and otherwise generate demand for our services. To the extent the competition for advertising is high, we may experience increases in the cost of paid Internet search advertising and social media advertising. Further, the competition for search engine placement and social media presence increases substantially during the enrollment periods for Medicare-related health insurance and for individual and family health insurance. If paid search advertising costs or social media advertising costs increase or become cost prohibitive, whether as a result of competition, algorithm changes or otherwise, our advertising expenses could rise significantly or we could reduce or discontinue our paid search advertisements or social media advertisements, in either case which would harm our ability to attract and retain customers.</w:t>
      </w:r>
    </w:p>
    <w:p>
      <w:pPr>
        <w:spacing w:after="0" w:line="189" w:lineRule="exact"/>
        <w:rPr>
          <w:sz w:val="20"/>
          <w:szCs w:val="20"/>
          <w:color w:val="auto"/>
        </w:rPr>
      </w:pPr>
    </w:p>
    <w:p>
      <w:pPr>
        <w:ind w:right="40"/>
        <w:spacing w:after="0"/>
        <w:rPr>
          <w:sz w:val="20"/>
          <w:szCs w:val="20"/>
          <w:color w:val="auto"/>
        </w:rPr>
      </w:pPr>
      <w:r>
        <w:rPr>
          <w:rFonts w:ascii="Arial" w:cs="Arial" w:eastAsia="Arial" w:hAnsi="Arial"/>
          <w:sz w:val="13"/>
          <w:szCs w:val="13"/>
          <w:color w:val="auto"/>
        </w:rPr>
        <w:t>Our ability to advertise is also dependent on the laws and regulations governing the advertising and marketing of health insurance products and our other products or services, which continue to evolve and carry significant penalties for violations of law. Changes in technology, the marketplace or consumer preferences may lead to the adoption of additional laws or regulations or changes in interpretation of existing laws or regulations. If new laws or regulations are adopted, or existing laws and regulations are interpreted or enforced, to impose additional restrictions on our ability to advertise to our customers or qualified prospects, we may not be able to communicate with them in a cost-effective manner.</w:t>
      </w:r>
    </w:p>
    <w:p>
      <w:pPr>
        <w:spacing w:after="0" w:line="187" w:lineRule="exact"/>
        <w:rPr>
          <w:sz w:val="20"/>
          <w:szCs w:val="20"/>
          <w:color w:val="auto"/>
        </w:rPr>
      </w:pPr>
    </w:p>
    <w:p>
      <w:pPr>
        <w:ind w:right="60"/>
        <w:spacing w:after="0"/>
        <w:rPr>
          <w:sz w:val="20"/>
          <w:szCs w:val="20"/>
          <w:color w:val="auto"/>
        </w:rPr>
      </w:pPr>
      <w:r>
        <w:rPr>
          <w:rFonts w:ascii="Arial" w:cs="Arial" w:eastAsia="Arial" w:hAnsi="Arial"/>
          <w:sz w:val="13"/>
          <w:szCs w:val="13"/>
          <w:color w:val="auto"/>
        </w:rPr>
        <w:t>For example, Internet service providers, e-mail service providers and others attempt to block the transmission of unsolicited e-mail, commonly known as “spam.” Many Internet and e-mail service providers have relationships with organizations whose purpose it is to detect and notify the Internet and e-mail service providers of entities that the organization believes are sending unsolicited e-mail. If an Internet or e-mail service provider identifies e-mail from us as “spam” as a result of reports from these organizations or otherwise, we can be placed on a restricted list that will block our e-mail to customers or qualified prospects.</w:t>
      </w:r>
    </w:p>
    <w:p>
      <w:pPr>
        <w:spacing w:after="0" w:line="187" w:lineRule="exact"/>
        <w:rPr>
          <w:sz w:val="20"/>
          <w:szCs w:val="20"/>
          <w:color w:val="auto"/>
        </w:rPr>
      </w:pPr>
    </w:p>
    <w:p>
      <w:pPr>
        <w:ind w:right="180"/>
        <w:spacing w:after="0" w:line="244" w:lineRule="auto"/>
        <w:rPr>
          <w:sz w:val="20"/>
          <w:szCs w:val="20"/>
          <w:color w:val="auto"/>
        </w:rPr>
      </w:pPr>
      <w:r>
        <w:rPr>
          <w:rFonts w:ascii="Arial" w:cs="Arial" w:eastAsia="Arial" w:hAnsi="Arial"/>
          <w:sz w:val="13"/>
          <w:szCs w:val="13"/>
          <w:color w:val="auto"/>
        </w:rPr>
        <w:t>Customers also increasingly screen their incoming e-mails, telephone calls, and text messages, including by using screening tools and warnings, and, therefore, our customers or qualified prospects may not reliably receive our communications. In addition, telephone carriers may block or put customer warnings on calls originating from call centers. If we are unable to</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15</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15" w:right="319" w:bottom="1440" w:gutter="0" w:footer="0" w:header="0"/>
        </w:sectPr>
      </w:pPr>
    </w:p>
    <w:bookmarkStart w:id="18" w:name="page19"/>
    <w:bookmarkEnd w:id="18"/>
    <w:p>
      <w:pPr>
        <w:ind w:right="380"/>
        <w:spacing w:after="0" w:line="244" w:lineRule="auto"/>
        <w:rPr>
          <w:sz w:val="20"/>
          <w:szCs w:val="20"/>
          <w:color w:val="auto"/>
        </w:rPr>
      </w:pPr>
      <w:r>
        <w:rPr>
          <w:rFonts w:ascii="Arial" w:cs="Arial" w:eastAsia="Arial" w:hAnsi="Arial"/>
          <w:sz w:val="13"/>
          <w:szCs w:val="13"/>
          <w:color w:val="auto"/>
        </w:rPr>
        <w:t>communicate effectively by e-mail or telephone with our customers and qualified prospects as a result of legislation, blockage, screening technologies or otherwise, our ability to attract and retain customers will be limited.</w:t>
      </w:r>
    </w:p>
    <w:p>
      <w:pPr>
        <w:spacing w:after="0" w:line="184" w:lineRule="exact"/>
        <w:rPr>
          <w:sz w:val="20"/>
          <w:szCs w:val="20"/>
          <w:color w:val="auto"/>
        </w:rPr>
      </w:pPr>
    </w:p>
    <w:p>
      <w:pPr>
        <w:ind w:right="260"/>
        <w:spacing w:after="0" w:line="241" w:lineRule="auto"/>
        <w:rPr>
          <w:sz w:val="20"/>
          <w:szCs w:val="20"/>
          <w:color w:val="auto"/>
        </w:rPr>
      </w:pPr>
      <w:r>
        <w:rPr>
          <w:rFonts w:ascii="Arial" w:cs="Arial" w:eastAsia="Arial" w:hAnsi="Arial"/>
          <w:sz w:val="13"/>
          <w:szCs w:val="13"/>
          <w:color w:val="auto"/>
        </w:rPr>
        <w:t>Our business primarily generates revenue through the sale of Medicare Advantage plans. In some instances, traditional Medicare may be more attractive than Medicare Advantage because, for example, potential provider network restrictions imposed by Medicare Advantage plans do not exist in traditional Medicare, allowing patients with traditional Medicare to visit any doctor that accepts Medicare. In those instances, consumers may opt not to purchase a Medicare Advantage plan from us.</w:t>
      </w:r>
    </w:p>
    <w:p>
      <w:pPr>
        <w:spacing w:after="0" w:line="186"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In general, the growth in our customer base is highly dependent upon our success in attracting new customers during the Medicare annual enrollment period. In 2021, approximately 56% of our Medicare Advantage and Medicare Supplement policies were submitted during the three months ended December 31, 2021.If our ability to market and sell Medicare-related health insurance and individual and family plans is constrained during an enrollment period for any reason, such as technology failures, reduced allocation of resources, any inability to timely employ, license, train, certify and retain our employees and our contractors and their agents to sell plans, interruptions in the operation of our website or systems, disruptions caused by other external factors, such as the COVID-19 pandemic, or issues with government-run health insurance exchanges, we could acquire fewer customers or suffer a reduction in our existing customer base and our business, operating results and financial condition could be harmed.</w:t>
      </w:r>
    </w:p>
    <w:p>
      <w:pPr>
        <w:spacing w:after="0" w:line="175" w:lineRule="exact"/>
        <w:rPr>
          <w:sz w:val="20"/>
          <w:szCs w:val="20"/>
          <w:color w:val="auto"/>
        </w:rPr>
      </w:pPr>
    </w:p>
    <w:p>
      <w:pPr>
        <w:ind w:right="500"/>
        <w:spacing w:after="0" w:line="266" w:lineRule="auto"/>
        <w:rPr>
          <w:sz w:val="20"/>
          <w:szCs w:val="20"/>
          <w:color w:val="auto"/>
        </w:rPr>
      </w:pPr>
      <w:r>
        <w:rPr>
          <w:rFonts w:ascii="Arial" w:cs="Arial" w:eastAsia="Arial" w:hAnsi="Arial"/>
          <w:sz w:val="13"/>
          <w:szCs w:val="13"/>
          <w:b w:val="1"/>
          <w:bCs w:val="1"/>
          <w:i w:val="1"/>
          <w:iCs w:val="1"/>
          <w:color w:val="auto"/>
        </w:rPr>
        <w:t>Carriers may reduce the commissions paid to us and change their underwriting practices in ways that reduce the number of, or impact the renewal or approval rates of, insurance policies sold through our platform, which could harm our business, operating results and financial condition.</w:t>
      </w:r>
    </w:p>
    <w:p>
      <w:pPr>
        <w:spacing w:after="0" w:line="171" w:lineRule="exact"/>
        <w:rPr>
          <w:sz w:val="20"/>
          <w:szCs w:val="20"/>
          <w:color w:val="auto"/>
        </w:rPr>
      </w:pPr>
    </w:p>
    <w:p>
      <w:pPr>
        <w:ind w:right="40"/>
        <w:spacing w:after="0" w:line="239" w:lineRule="auto"/>
        <w:rPr>
          <w:sz w:val="20"/>
          <w:szCs w:val="20"/>
          <w:color w:val="auto"/>
        </w:rPr>
      </w:pPr>
      <w:r>
        <w:rPr>
          <w:rFonts w:ascii="Arial" w:cs="Arial" w:eastAsia="Arial" w:hAnsi="Arial"/>
          <w:sz w:val="13"/>
          <w:szCs w:val="13"/>
          <w:color w:val="auto"/>
        </w:rPr>
        <w:t>Our commission rates from carriers are either set by each carrier or negotiated between us and each carrier. The commission rates we are paid are, for any given plan for a given customer, based on a number of factors, including the carriers offering those plans, the state of residence of customers, the laws and regulations in the jurisdictions where the customer is located, and the customer’s previous Medicare enrollment history (if any). Carriers have the right to alter these commission rates with relatively short notice and have altered, and may in the future alter, the contractual relationships we have with them, including in certain instances by unilateral amendment of our contracts relating to commission rates or otherwise. For example, CMS could reduce the amount paid by CMS to Medicare Advantage plans or change the regulations and/or timelines applicable to the Medicare Advantage program, particularly in response to the COVID-19 pandemic, which could result in decreased commission rates or reduce carrier participation in the Medicare Advantage program. Changes of this nature could result in reduced commissions, or could impact our relationship with such carriers and potentially lead to contract termination. Because revenue in the Medicare segments is concentrated in a relatively small number of carriers, we are particularly vulnerable to changes in commission rates and changes in the competitiveness of our carriers’ Medicare products.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Information technology system failures could interrupt our operations and have a material adverse effect on our business, financial condition and results of operations.</w:t>
      </w:r>
    </w:p>
    <w:p>
      <w:pPr>
        <w:spacing w:after="0" w:line="204"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Our ability to sell insurance is dependent upon our information technology systems. In connection with sales of Medicare plans, CMS rules require that our health insurance agent employees utilize CMS-approved scripts and that we record and maintain the recording of telephonic interactions. We rely on telephone, call recording, customer relationship management and other systems and technology in our sales operations to sell Medicare plans, and we are dependent upon third parties for some of these systems and technologies, including our telephone services, which are provided by Five9, call recording systems and other communications systems. Carriers often audit these recordings for compliance purposes and listen to them in connection with investigating complaints. We have had in the past, and may in the future, experience failures of certain of our systems, including our telephone and call recording systems. For example, we have experienced failures of our systems due to power outages, which have negatively impacted our ability to sell plans. The effectiveness and stability of our systems and technology are critical to our ability to sell Medicare plans, particularly during the Medicare enrollment periods, and the failure or interruption of any of these systems and technologies or any inability to handle increased business volume may have a material adverse effect on our business, operating results and financial condition and subject us to litigation or to actions by regulatory authorities.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operating results may be adversely impacted by factors that impact our estimate of LTV.</w:t>
      </w:r>
    </w:p>
    <w:p>
      <w:pPr>
        <w:spacing w:after="0" w:line="204" w:lineRule="exact"/>
        <w:rPr>
          <w:sz w:val="20"/>
          <w:szCs w:val="20"/>
          <w:color w:val="auto"/>
        </w:rPr>
      </w:pPr>
    </w:p>
    <w:p>
      <w:pPr>
        <w:ind w:right="20"/>
        <w:spacing w:after="0" w:line="239" w:lineRule="auto"/>
        <w:rPr>
          <w:sz w:val="20"/>
          <w:szCs w:val="20"/>
          <w:color w:val="auto"/>
        </w:rPr>
      </w:pPr>
      <w:r>
        <w:rPr>
          <w:rFonts w:ascii="Arial" w:cs="Arial" w:eastAsia="Arial" w:hAnsi="Arial"/>
          <w:sz w:val="13"/>
          <w:szCs w:val="13"/>
          <w:color w:val="auto"/>
        </w:rPr>
        <w:t>We recognize revenue at the time a Submitted Policy becomes an Approved Submission by applying the latest estimated LTV for that product. We estimate commission revenue for each product by using a portfolio approach to a group of approved customers that are organized based on a variety of attributes, which we refer to as “vintages.” We estimate the cash commissions we expect to collect for each approved customer vintage by evaluating various factors, including, but not limited to, commission rates, carriers, estimated average plan duration, the regulatory environment, and historic cancellations of health insurance plans offered by carriers with which we have a relationship. On a quarterly basis, we recompute LTV at a vintage level for all outstanding vintages, review and monitor changes in the data used to estimate LTV as well as the cash received for each vintage as compared to our original estimates. The fluctuations of cash received for each vintage and LTV may be significant and may or may not be indicative of the need to adjust LTVs for prior period vintages. Management analyzes these fluctuations and, to the extent we see changes in our estimates of the cash commission collections that we believe are indicative of an increase or decrease to prior period LTVs, we will adjust LTVs for the affected vintages at the time such determination is made. Changes in</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16</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16" w:right="319" w:bottom="1440" w:gutter="0" w:footer="0" w:header="0"/>
        </w:sectPr>
      </w:pPr>
    </w:p>
    <w:bookmarkStart w:id="19" w:name="page20"/>
    <w:bookmarkEnd w:id="19"/>
    <w:p>
      <w:pPr>
        <w:spacing w:after="0"/>
        <w:rPr>
          <w:sz w:val="20"/>
          <w:szCs w:val="20"/>
          <w:color w:val="auto"/>
        </w:rPr>
      </w:pPr>
      <w:r>
        <w:rPr>
          <w:rFonts w:ascii="Arial" w:cs="Arial" w:eastAsia="Arial" w:hAnsi="Arial"/>
          <w:sz w:val="13"/>
          <w:szCs w:val="13"/>
          <w:color w:val="auto"/>
        </w:rPr>
        <w:t>LTV may result in an increase or a decrease to revenue and a corresponding increase or decrease to net commissions receivable accordingly.</w:t>
      </w:r>
    </w:p>
    <w:p>
      <w:pPr>
        <w:spacing w:after="0" w:line="190" w:lineRule="exact"/>
        <w:rPr>
          <w:sz w:val="20"/>
          <w:szCs w:val="20"/>
          <w:color w:val="auto"/>
        </w:rPr>
      </w:pPr>
    </w:p>
    <w:p>
      <w:pPr>
        <w:ind w:right="20"/>
        <w:spacing w:after="0" w:line="239" w:lineRule="auto"/>
        <w:rPr>
          <w:sz w:val="20"/>
          <w:szCs w:val="20"/>
          <w:color w:val="auto"/>
        </w:rPr>
      </w:pPr>
      <w:r>
        <w:rPr>
          <w:rFonts w:ascii="Arial" w:cs="Arial" w:eastAsia="Arial" w:hAnsi="Arial"/>
          <w:sz w:val="13"/>
          <w:szCs w:val="13"/>
          <w:color w:val="auto"/>
        </w:rPr>
        <w:t>As we continue to evaluate our LTV estimation models, we have and will make further changes based on a number of factors and such changes could result in significant increases or decreases in revenue. LTVs are estimates and are based on a number of assumptions, which include, but are not limited to, estimates of the conversion rates of commissionable Approved Submissions into customers, forecasted average plan duration and forecasted commission rates we expect to receive per approved customer’s plan. These assumptions are based on historical trends and require significant judgment by our management in interpreting those trends. Changes in our historical trends will result in changes to our LTV estimates in future periods and, therefore, could adversely affect our revenue and financial results in those future periods. As a result, negative changes in the factors upon which we estimate LTVs, such as reduced conversion of commissionable Approved Submissions to customers, increased health insurance plan termination or a reduction in the lifetime commission amounts we expect to receive for selling the plan to a customer or other changes could harm our business, operating results and financial condition. In addition, if we ultimately receive commission payments that are less than the amount we estimated when we recognized commission revenues, we would need to write off the remaining commissions receivable balance, which could materially adversely impact our operating results and financial condition.</w:t>
      </w:r>
    </w:p>
    <w:p>
      <w:pPr>
        <w:spacing w:after="0" w:line="188"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The forecasted average plan duration is another important factor in our estimation of LTV. We receive commissions from carriers for policies sold through us that go on to become customers of those carriers. When one of these plans is canceled, or if we otherwise do not remain the agent on the policy, we no longer receive the related commission payment. Our forecasted average plan duration and health insurance plan termination rates are calculated based on our historical data by plan type and for certain products, such as our Medicare Advantage products which constitute the majority of our revenue, and if we are unable to produce an accurate forecasted average plan duration, our business, operating results and financial condition may be adversely impacted. Additionally, from time to time, carriers may stop offering products in a geographic area. While in many cases, carriers will still support existing customers in those geographic areas, because they are no longer offering new plans, the retention of those customers may be adversely impacted, thereby impacting our expected LTVs.</w:t>
      </w:r>
    </w:p>
    <w:p>
      <w:pPr>
        <w:spacing w:after="0" w:line="189" w:lineRule="exact"/>
        <w:rPr>
          <w:sz w:val="20"/>
          <w:szCs w:val="20"/>
          <w:color w:val="auto"/>
        </w:rPr>
      </w:pPr>
    </w:p>
    <w:p>
      <w:pPr>
        <w:ind w:right="320"/>
        <w:spacing w:after="0" w:line="241" w:lineRule="auto"/>
        <w:rPr>
          <w:sz w:val="20"/>
          <w:szCs w:val="20"/>
          <w:color w:val="auto"/>
        </w:rPr>
      </w:pPr>
      <w:r>
        <w:rPr>
          <w:rFonts w:ascii="Arial" w:cs="Arial" w:eastAsia="Arial" w:hAnsi="Arial"/>
          <w:sz w:val="13"/>
          <w:szCs w:val="13"/>
          <w:color w:val="auto"/>
        </w:rPr>
        <w:t>Commission rates are also a factor in estimating our LTVs, which are impacted by a variety of factors, including the particular health insurance plans chosen by our customers, the carriers offering those plans, our customers’ states of residence, the laws and regulations in those jurisdictions, the average premiums of plans purchased through us and healthcare reform. Any reduction in our average commission revenue per customer could harm our business, operating results and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ability to sell Medicare-related health insurance plans is largely dependent on our licensed health insurance agents.</w:t>
      </w:r>
    </w:p>
    <w:p>
      <w:pPr>
        <w:spacing w:after="0" w:line="204" w:lineRule="exact"/>
        <w:rPr>
          <w:sz w:val="20"/>
          <w:szCs w:val="20"/>
          <w:color w:val="auto"/>
        </w:rPr>
      </w:pPr>
    </w:p>
    <w:p>
      <w:pPr>
        <w:ind w:right="100"/>
        <w:spacing w:after="0" w:line="239" w:lineRule="auto"/>
        <w:rPr>
          <w:sz w:val="20"/>
          <w:szCs w:val="20"/>
          <w:color w:val="auto"/>
        </w:rPr>
      </w:pPr>
      <w:r>
        <w:rPr>
          <w:rFonts w:ascii="Arial" w:cs="Arial" w:eastAsia="Arial" w:hAnsi="Arial"/>
          <w:sz w:val="13"/>
          <w:szCs w:val="13"/>
          <w:color w:val="auto"/>
        </w:rPr>
        <w:t>The success of our operations is largely dependent on our licensed health insurance agents, upon whom we rely to sell insurance. To sell Medicare-related health insurance plans, agents must be licensed by the states in which they are selling plans and certified and appointed with the carrier that offers the plans in each applicable state. Because a significant number of Medicare plans are sold in the fourth quarter each year during the Medicare annual enrollment period, we retain and train a significant number of additional employees in a limited period of time. We must also ensure that our agents are timely licensed in a significant number of states and certified and appointed with the carriers whose products we sell. We depend upon our employees, state departments of insurance and carriers for the licensing, certification and appointment of our agents. We may not be successful in timely hiring or sourcing enough additional agents or other employees needed to operate our business. Even if we are successful in hiring or sourcing a sufficient number of agents, we may experience temporary shortages of agents due to illness, poor weather conditions or other natural disasters, personal emergencies and other events outside our control. See “—The extent to which the COVID-19 pandemic and measures taken in response thereto impact our business, results of operations and financial condition will depend on future developments, which are highly uncertain and cannot be predicted.”</w:t>
      </w:r>
    </w:p>
    <w:p>
      <w:pPr>
        <w:spacing w:after="0" w:line="188" w:lineRule="exact"/>
        <w:rPr>
          <w:sz w:val="20"/>
          <w:szCs w:val="20"/>
          <w:color w:val="auto"/>
        </w:rPr>
      </w:pPr>
    </w:p>
    <w:p>
      <w:pPr>
        <w:ind w:right="20"/>
        <w:spacing w:after="0"/>
        <w:rPr>
          <w:sz w:val="20"/>
          <w:szCs w:val="20"/>
          <w:color w:val="auto"/>
        </w:rPr>
      </w:pPr>
      <w:r>
        <w:rPr>
          <w:rFonts w:ascii="Arial" w:cs="Arial" w:eastAsia="Arial" w:hAnsi="Arial"/>
          <w:sz w:val="13"/>
          <w:szCs w:val="13"/>
          <w:color w:val="auto"/>
        </w:rPr>
        <w:t>We have implemented a work from home program for our agents, partly in response to the effects from the COVID-19 pandemic. It may be more difficult for us to manage and monitor our agents in remote settings and we may have to expend more management time and incur more costs to do so. Agents may also face additional distractions working from home that may prevent them from efficiently selling plans. If our agents are not able to effectively work from home, we may not be able to sell as many plans, which would negatively impact our business, financial condition and results of operations.</w:t>
      </w:r>
    </w:p>
    <w:p>
      <w:pPr>
        <w:spacing w:after="0" w:line="187" w:lineRule="exact"/>
        <w:rPr>
          <w:sz w:val="20"/>
          <w:szCs w:val="20"/>
          <w:color w:val="auto"/>
        </w:rPr>
      </w:pPr>
    </w:p>
    <w:p>
      <w:pPr>
        <w:ind w:right="140"/>
        <w:spacing w:after="0" w:line="239" w:lineRule="auto"/>
        <w:rPr>
          <w:sz w:val="20"/>
          <w:szCs w:val="20"/>
          <w:color w:val="auto"/>
        </w:rPr>
      </w:pPr>
      <w:r>
        <w:rPr>
          <w:rFonts w:ascii="Arial" w:cs="Arial" w:eastAsia="Arial" w:hAnsi="Arial"/>
          <w:sz w:val="13"/>
          <w:szCs w:val="13"/>
          <w:color w:val="auto"/>
        </w:rPr>
        <w:t>Our success in recruiting highly skilled and qualified agents can depend on factors outside of our control, including the strength of the general economy and local employment markets and the availability of alternative forms of employment. As a result of the highly competitive labor market in the U.S., our cost to hire and retain agents has increased. During periods when we face challenges recruiting high-performing agents, including [the second half of fiscal 2021 to the present], we tend to experience higher turnover rates. The productivity of our agents is influenced by their average tenure. Without qualified individuals to serve in customer facing roles, we may produce less commission revenue, which could have a material adverse effect on our business, operating results and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Operating and growing our business may require additional capital, and if capital is not available to us, our business, operating results and financial condition may suffer.</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17</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15" w:right="319" w:bottom="1440" w:gutter="0" w:footer="0" w:header="0"/>
        </w:sectPr>
      </w:pPr>
    </w:p>
    <w:bookmarkStart w:id="20" w:name="page21"/>
    <w:bookmarkEnd w:id="20"/>
    <w:p>
      <w:pPr>
        <w:ind w:right="20"/>
        <w:spacing w:after="0" w:line="239" w:lineRule="auto"/>
        <w:rPr>
          <w:sz w:val="20"/>
          <w:szCs w:val="20"/>
          <w:color w:val="auto"/>
        </w:rPr>
      </w:pPr>
      <w:r>
        <w:rPr>
          <w:rFonts w:ascii="Arial" w:cs="Arial" w:eastAsia="Arial" w:hAnsi="Arial"/>
          <w:sz w:val="13"/>
          <w:szCs w:val="13"/>
          <w:color w:val="auto"/>
        </w:rPr>
        <w:t>Operating and growing our business is expected to require further investments in our business. We may be presented with opportunities that we want to pursue, and unforeseen challenges may present themselves, any of which could cause us to require additional capital. Our business model does not require us to hold a significant amount of cash and cash equivalents at any given time and if our cash needs exceed our expectations or we experience rapid growth, we could experience strain in our cash flow, which could adversely affect our operations in the event we were unable to obtain other sources of liquidity. If we seek to raise funds through equity or debt financing, those funds may prove to be unavailable, may only be available on terms that are not acceptable to us or may result in significant dilution to you or higher levels of leverage. If we are unable to obtain adequate financing or financing on terms satisfactory to us, when we require it, our ability to continue to pursue our business objectives and to respond to business opportunities, challenges or unforeseen circumstances could be significantly limited, and our business, operating results and financial condition could be materially and adversely affected.</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lose key management or fail to meet our need for qualified employees, our business, financial condition and results of operations could be materially adversely affected.</w:t>
      </w:r>
    </w:p>
    <w:p>
      <w:pPr>
        <w:spacing w:after="0" w:line="204" w:lineRule="exact"/>
        <w:rPr>
          <w:sz w:val="20"/>
          <w:szCs w:val="20"/>
          <w:color w:val="auto"/>
        </w:rPr>
      </w:pPr>
    </w:p>
    <w:p>
      <w:pPr>
        <w:ind w:right="20"/>
        <w:spacing w:after="0" w:line="239" w:lineRule="auto"/>
        <w:rPr>
          <w:sz w:val="20"/>
          <w:szCs w:val="20"/>
          <w:color w:val="auto"/>
        </w:rPr>
      </w:pPr>
      <w:r>
        <w:rPr>
          <w:rFonts w:ascii="Arial" w:cs="Arial" w:eastAsia="Arial" w:hAnsi="Arial"/>
          <w:sz w:val="13"/>
          <w:szCs w:val="13"/>
          <w:color w:val="auto"/>
        </w:rPr>
        <w:t>We rely, in part, upon the accumulated knowledge, skills and experience of our executive officers. Our Chief Executive Officer has been with us for more than 20 years and our executive officers have a combined total of 69 years of experience in the health insurance industry. The loss of the services of any of our executive officers could have a material adverse effect on our business, financial condition and results of operations, as we may not be able to find suitable individuals to replace such officers on a timely basis or without incurring increased costs, or at all. We currently do not have any key man insurance covering our Chief Executive Officer. If our executive officers were to leave us or become incapacitated, it might negatively impact our planning and execution of business strategy and operations. We believe that our future success will depend on our continued ability to attract and retain highly skilled and qualified executive personnel for all areas of our organization, for which there is a high level of competition for such personnel in our industry. Our inability to meet our executive staffing requirements in the future could have a material adverse effect on our business, financial condition and results of operations.</w:t>
      </w:r>
    </w:p>
    <w:p>
      <w:pPr>
        <w:spacing w:after="0" w:line="189" w:lineRule="exact"/>
        <w:rPr>
          <w:sz w:val="20"/>
          <w:szCs w:val="20"/>
          <w:color w:val="auto"/>
        </w:rPr>
      </w:pPr>
    </w:p>
    <w:p>
      <w:pPr>
        <w:ind w:right="40"/>
        <w:spacing w:after="0" w:line="239" w:lineRule="auto"/>
        <w:rPr>
          <w:sz w:val="20"/>
          <w:szCs w:val="20"/>
          <w:color w:val="auto"/>
        </w:rPr>
      </w:pPr>
      <w:r>
        <w:rPr>
          <w:rFonts w:ascii="Arial" w:cs="Arial" w:eastAsia="Arial" w:hAnsi="Arial"/>
          <w:sz w:val="13"/>
          <w:szCs w:val="13"/>
          <w:color w:val="auto"/>
        </w:rPr>
        <w:t>Our future success is also dependent upon our ability to attract, retain and effectively deploy qualified employees. As a result of the highly competitive labor market in the U.S., we have needed to offer higher compensation and other benefits in order to attract and retain key personnel. To attract top talent, we must offer competitive compensation packages before we have the opportunity to validate the productivity and effectiveness of new employees. Additionally, we may not be able to hire new employees quickly enough, we may not have adequate resources to meet our hiring needs, and we may not effectively deploy our workforce in order to efficiently allocate our internal resources. Stock price fluctuations could impact the value of our equity compensation, which could affect our ability to recruit and retain employees. If we fail to meet our hiring needs, successfully integrate our new hires or effectively deploy our existing personnel, our efficiency and ability to meet our forecasts, our ability to successfully execute on our strategic plan to return to revenue growth and our employee morale, productivity and retention could all suffer. Any of these factors could materially adversely affect our business, operating results and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currently depend on a small group of carriers for a substantial portion of our revenue, and further consolidation in the health insurance industry could exacerbate this risk.</w:t>
      </w:r>
    </w:p>
    <w:p>
      <w:pPr>
        <w:spacing w:after="0" w:line="183" w:lineRule="exact"/>
        <w:rPr>
          <w:sz w:val="20"/>
          <w:szCs w:val="20"/>
          <w:color w:val="auto"/>
        </w:rPr>
      </w:pPr>
    </w:p>
    <w:p>
      <w:pPr>
        <w:ind w:right="40"/>
        <w:spacing w:after="0"/>
        <w:rPr>
          <w:sz w:val="20"/>
          <w:szCs w:val="20"/>
          <w:color w:val="auto"/>
        </w:rPr>
      </w:pPr>
      <w:r>
        <w:rPr>
          <w:rFonts w:ascii="Arial" w:cs="Arial" w:eastAsia="Arial" w:hAnsi="Arial"/>
          <w:sz w:val="13"/>
          <w:szCs w:val="13"/>
          <w:color w:val="auto"/>
        </w:rPr>
        <w:t>We derive a large portion of our revenue from a limited number of carriers. Carriers owned by Humana, Anthem, Centene, and United accounted for approximately 28%, 22%, 17% and 16%, respectively, of net revenues for the twelve months ended December 31, 2021, approximately 40%, 29%, 9%, and 13%, respectively, of net revenues for the twelve months ended December 31, 2020, approximately 46%, 22%, 4% and 4%, respectively, of net revenues for the Successor 2019 Period, and approximately 31%, 18%, 4% and 10%, respectively, of net revenues for the Predecessor 2019 Period.</w:t>
      </w:r>
    </w:p>
    <w:p>
      <w:pPr>
        <w:spacing w:after="0" w:line="166" w:lineRule="exact"/>
        <w:rPr>
          <w:sz w:val="20"/>
          <w:szCs w:val="20"/>
          <w:color w:val="auto"/>
        </w:rPr>
      </w:pPr>
    </w:p>
    <w:p>
      <w:pPr>
        <w:ind w:right="20"/>
        <w:spacing w:after="0"/>
        <w:rPr>
          <w:sz w:val="20"/>
          <w:szCs w:val="20"/>
          <w:color w:val="auto"/>
        </w:rPr>
      </w:pPr>
      <w:r>
        <w:rPr>
          <w:rFonts w:ascii="Arial" w:cs="Arial" w:eastAsia="Arial" w:hAnsi="Arial"/>
          <w:sz w:val="13"/>
          <w:szCs w:val="13"/>
          <w:color w:val="auto"/>
        </w:rPr>
        <w:t>The health insurance industry in the United States has experienced a substantial amount of consolidation, resulting in a decrease in the number of carriers. Further consolidation in the health insurance industry, particularly involving one of our key carriers, could cause a loss of, or changes in, our relationship with that carrier and may reduce our commission or other revenue from that carrier. In the future, due to this consolidation, we may be forced to offer health insurance from a reduced number of carriers or to derive a greater portion of our revenue from a more concentrated number of carriers as our business and the health insurance industry evolve.</w:t>
      </w:r>
    </w:p>
    <w:p>
      <w:pPr>
        <w:spacing w:after="0" w:line="166" w:lineRule="exact"/>
        <w:rPr>
          <w:sz w:val="20"/>
          <w:szCs w:val="20"/>
          <w:color w:val="auto"/>
        </w:rPr>
      </w:pPr>
    </w:p>
    <w:p>
      <w:pPr>
        <w:jc w:val="both"/>
        <w:ind w:right="40"/>
        <w:spacing w:after="0" w:line="271" w:lineRule="auto"/>
        <w:rPr>
          <w:sz w:val="20"/>
          <w:szCs w:val="20"/>
          <w:color w:val="auto"/>
        </w:rPr>
      </w:pPr>
      <w:r>
        <w:rPr>
          <w:rFonts w:ascii="Arial" w:cs="Arial" w:eastAsia="Arial" w:hAnsi="Arial"/>
          <w:sz w:val="12"/>
          <w:szCs w:val="12"/>
          <w:color w:val="auto"/>
        </w:rPr>
        <w:t>Our agreements with carriers to sell policies are typically terminable by our carriers without cause. Should we become dependent on fewer carrier relationships (whether as a result of the termination of carrier relationships, carrier consolidation or otherwise), we may become more vulnerable to adverse changes in our relationships with carriers, particularly in states where we distribute insurance from a relatively smaller number of carriers or where a small number of carriers dominate the market, and our business, operating results and financial condition could be harmed.</w:t>
      </w:r>
    </w:p>
    <w:p>
      <w:pPr>
        <w:spacing w:after="0" w:line="148" w:lineRule="exact"/>
        <w:rPr>
          <w:sz w:val="20"/>
          <w:szCs w:val="20"/>
          <w:color w:val="auto"/>
        </w:rPr>
      </w:pPr>
    </w:p>
    <w:p>
      <w:pPr>
        <w:ind w:right="60"/>
        <w:spacing w:after="0" w:line="239" w:lineRule="auto"/>
        <w:rPr>
          <w:sz w:val="20"/>
          <w:szCs w:val="20"/>
          <w:color w:val="auto"/>
        </w:rPr>
      </w:pPr>
      <w:r>
        <w:rPr>
          <w:rFonts w:ascii="Arial" w:cs="Arial" w:eastAsia="Arial" w:hAnsi="Arial"/>
          <w:sz w:val="13"/>
          <w:szCs w:val="13"/>
          <w:color w:val="auto"/>
        </w:rPr>
        <w:t>Additionally, mergers among carriers or an acquisition of one carrier by another carrier may trigger changes to our agreements with such carriers. For example, carriers may unilaterally amend or terminate our agreements on short notice, which could adversely impact or terminate the commission payments that we receive from these carriers. Our revenue could be adversely impacted if we are unable to maintain currently existing levels of business with any of our significant carriers or if we are unable to offset any loss of business with alternative carriers. We expect that a small number of carriers will account for a significant portion of our revenue for the foreseeable future and any impairment of our relationship with, or the material financial impairment of, these carriers could adversely affect our business, operating results and financial condition.</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18</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15" w:right="319" w:bottom="1440" w:gutter="0" w:footer="0" w:header="0"/>
        </w:sectPr>
      </w:pPr>
    </w:p>
    <w:bookmarkStart w:id="21" w:name="page22"/>
    <w:bookmarkEnd w:id="21"/>
    <w:p>
      <w:pPr>
        <w:ind w:right="220"/>
        <w:spacing w:after="0" w:line="266" w:lineRule="auto"/>
        <w:rPr>
          <w:sz w:val="20"/>
          <w:szCs w:val="20"/>
          <w:color w:val="auto"/>
        </w:rPr>
      </w:pPr>
      <w:r>
        <w:rPr>
          <w:rFonts w:ascii="Arial" w:cs="Arial" w:eastAsia="Arial" w:hAnsi="Arial"/>
          <w:sz w:val="13"/>
          <w:szCs w:val="13"/>
          <w:b w:val="1"/>
          <w:bCs w:val="1"/>
          <w:i w:val="1"/>
          <w:iCs w:val="1"/>
          <w:color w:val="auto"/>
        </w:rPr>
        <w:t>Changes and developments in the health insurance system and laws and regulations governing the health insurance markets in the United States could materially adversely affect our business, operating results, financial condition and qualified prospects.</w:t>
      </w:r>
    </w:p>
    <w:p>
      <w:pPr>
        <w:spacing w:after="0" w:line="171" w:lineRule="exact"/>
        <w:rPr>
          <w:sz w:val="20"/>
          <w:szCs w:val="20"/>
          <w:color w:val="auto"/>
        </w:rPr>
      </w:pPr>
    </w:p>
    <w:p>
      <w:pPr>
        <w:ind w:right="60"/>
        <w:spacing w:after="0" w:line="239" w:lineRule="auto"/>
        <w:rPr>
          <w:sz w:val="20"/>
          <w:szCs w:val="20"/>
          <w:color w:val="auto"/>
        </w:rPr>
      </w:pPr>
      <w:r>
        <w:rPr>
          <w:rFonts w:ascii="Arial" w:cs="Arial" w:eastAsia="Arial" w:hAnsi="Arial"/>
          <w:sz w:val="13"/>
          <w:szCs w:val="13"/>
          <w:color w:val="auto"/>
        </w:rPr>
        <w:t>Our business depends upon the public and private sector of the U.S. insurance system, which is subject to a changing regulatory environment. Accordingly, the future financial performance of our business will depend in part on our ability to adapt to regulatory developments, including changes in laws and regulations or changes to interpretations of such laws or regulations, especially laws and regulations governing Medicare. For example, the ACA substantially changed the way healthcare is financed by both commercial and government payers and contains a number of provisions that impact our business and operations, including the expansion of Medicaid eligibility to additional categories of individuals. Since its enactment, there have been judicial and Congressional challenges to certain aspects of the ACA, and we expect there will be additional challenges and amendments to the ACA in the future.</w:t>
      </w:r>
    </w:p>
    <w:p>
      <w:pPr>
        <w:spacing w:after="0" w:line="189" w:lineRule="exact"/>
        <w:rPr>
          <w:sz w:val="20"/>
          <w:szCs w:val="20"/>
          <w:color w:val="auto"/>
        </w:rPr>
      </w:pPr>
    </w:p>
    <w:p>
      <w:pPr>
        <w:spacing w:after="0" w:line="238" w:lineRule="auto"/>
        <w:rPr>
          <w:sz w:val="20"/>
          <w:szCs w:val="20"/>
          <w:color w:val="auto"/>
        </w:rPr>
      </w:pPr>
      <w:r>
        <w:rPr>
          <w:rFonts w:ascii="Arial" w:cs="Arial" w:eastAsia="Arial" w:hAnsi="Arial"/>
          <w:sz w:val="13"/>
          <w:szCs w:val="13"/>
          <w:color w:val="auto"/>
        </w:rPr>
        <w:t>Additionally, ongoing health reform efforts and measures may expand the role of government-sponsored coverage, including single payer or so called “Medicare-for-All” proposals, which could have far-reaching implications for the insurance industry if enacted. Some proposals would seek to eliminate the private marketplace, whereas others would expand a government-sponsored option to a larger population. We are unable to predict the full impact of healthcare reform initiatives on our operations in light of the uncertainty of whether initiatives will be successful and the uncertainty regarding the terms and timing of any provisions enacted and the impact of any of those provisions on various healthcare and insurance industry participants. In particular, because our platform provides customers with a venue to shop for insurance policies from a curated panel of the nation’s leading carriers, the expansion of government-sponsored coverage through “Medicare-for-All” or the implantation of a single payer system may materially and adversely impact our business, operating results, financial condition and prospects.</w:t>
      </w:r>
    </w:p>
    <w:p>
      <w:pPr>
        <w:spacing w:after="0" w:line="2" w:lineRule="exact"/>
        <w:rPr>
          <w:sz w:val="20"/>
          <w:szCs w:val="20"/>
          <w:color w:val="auto"/>
        </w:rPr>
      </w:pPr>
    </w:p>
    <w:p>
      <w:pPr>
        <w:ind w:right="460"/>
        <w:spacing w:after="0" w:line="244" w:lineRule="auto"/>
        <w:rPr>
          <w:sz w:val="20"/>
          <w:szCs w:val="20"/>
          <w:color w:val="auto"/>
        </w:rPr>
      </w:pPr>
      <w:r>
        <w:rPr>
          <w:rFonts w:ascii="Arial" w:cs="Arial" w:eastAsia="Arial" w:hAnsi="Arial"/>
          <w:sz w:val="13"/>
          <w:szCs w:val="13"/>
          <w:color w:val="auto"/>
        </w:rPr>
        <w:t>Changes in laws, regulations and guidelines governing health insurance may also be incompatible with various aspects of our business and require that we make significant modifications to our existing technology or practices, which may be costly and time-consuming to implement and could also harm our business, operating results and financial condition.</w:t>
      </w:r>
    </w:p>
    <w:p>
      <w:pPr>
        <w:spacing w:after="0" w:line="184" w:lineRule="exact"/>
        <w:rPr>
          <w:sz w:val="20"/>
          <w:szCs w:val="20"/>
          <w:color w:val="auto"/>
        </w:rPr>
      </w:pPr>
    </w:p>
    <w:p>
      <w:pPr>
        <w:jc w:val="both"/>
        <w:ind w:right="160"/>
        <w:spacing w:after="0" w:line="241" w:lineRule="auto"/>
        <w:rPr>
          <w:sz w:val="20"/>
          <w:szCs w:val="20"/>
          <w:color w:val="auto"/>
        </w:rPr>
      </w:pPr>
      <w:r>
        <w:rPr>
          <w:rFonts w:ascii="Arial" w:cs="Arial" w:eastAsia="Arial" w:hAnsi="Arial"/>
          <w:sz w:val="13"/>
          <w:szCs w:val="13"/>
          <w:color w:val="auto"/>
        </w:rPr>
        <w:t>For instance, some carriers compensate us for marketing services, consistent with CMS regulations. If regulatory developments limit or remove the ability for carriers to compensate us through these funds, or the government determines that our arrangements do not meet the regulatory requirements, the compensation we receive from carriers would decline, which would materially and adversely impact our business, operating results and financial condition.</w:t>
      </w:r>
    </w:p>
    <w:p>
      <w:pPr>
        <w:spacing w:after="0" w:line="186" w:lineRule="exact"/>
        <w:rPr>
          <w:sz w:val="20"/>
          <w:szCs w:val="20"/>
          <w:color w:val="auto"/>
        </w:rPr>
      </w:pPr>
    </w:p>
    <w:p>
      <w:pPr>
        <w:ind w:right="220"/>
        <w:spacing w:after="0" w:line="239" w:lineRule="auto"/>
        <w:rPr>
          <w:sz w:val="20"/>
          <w:szCs w:val="20"/>
          <w:color w:val="auto"/>
        </w:rPr>
      </w:pPr>
      <w:r>
        <w:rPr>
          <w:rFonts w:ascii="Arial" w:cs="Arial" w:eastAsia="Arial" w:hAnsi="Arial"/>
          <w:sz w:val="13"/>
          <w:szCs w:val="13"/>
          <w:color w:val="auto"/>
        </w:rPr>
        <w:t>Various aspects of healthcare reform could also cause carriers to discontinue certain health insurance products or prohibit us from distributing certain health insurance products in particular jurisdictions. We rely heavily on SNPs during the special enrollment periods, which allows us to utilize our agents throughout the year. If states adopt new laws and regulations or modify the existing laws and regulations governing Medicaid, such changes could decrease the number of individuals eligible for Dual Eligible Special Needs Plans, which could have a material adverse impact on our business, operating results and financial condition. Our business, operating results, financial condition and prospects may be materially and adversely affected if we are unable to adapt to developments in healthcare reform in the United States.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rely on carriers to prepare accurate commission reports and send them to us in a timely manner.</w:t>
      </w:r>
    </w:p>
    <w:p>
      <w:pPr>
        <w:spacing w:after="0" w:line="204"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Our carriers typically pay us a specified percentage of the premium amount collected by the carrier or a flat rate per policy during the period that a consumer maintains coverage under a policy. We rely on carriers to report the amount of commissions we earn accurately and on time. We use carriers’ commission reports to calculate our revenue, prepare our financial reports, projections, and budgets and direct our marketing and other operating efforts. It is often difficult for us to independently determine whether carriers are reporting all commissions due to us, primarily because the majority of the purchasers of our insurance products who terminate their policies do so by discontinuing their premium payments to the carrier instead of informing us of the cancellation. For example, there have been instances where we have determined that policy cancellation data reported to us by a carrier has not been accurate. To the extent that carriers inaccurately or belatedly report the amount of commissions due to us, we may not be able to collect and recognize revenue to which we are entitled, which would harm our business, operating results and financial condition. In addition, the technological connections of our systems with the carriers’ systems that provide us up-to-date information about coverage and commissions could fail or carriers could cease providing us with access to this information, which could impede our ability to compile our operating results in a timely manner.</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quarterly results of operations may fluctuate significantly due to seasonality.</w:t>
      </w:r>
    </w:p>
    <w:p>
      <w:pPr>
        <w:spacing w:after="0" w:line="204" w:lineRule="exact"/>
        <w:rPr>
          <w:sz w:val="20"/>
          <w:szCs w:val="20"/>
          <w:color w:val="auto"/>
        </w:rPr>
      </w:pPr>
    </w:p>
    <w:p>
      <w:pPr>
        <w:ind w:right="100"/>
        <w:spacing w:after="0" w:line="239" w:lineRule="auto"/>
        <w:rPr>
          <w:sz w:val="20"/>
          <w:szCs w:val="20"/>
          <w:color w:val="auto"/>
        </w:rPr>
      </w:pPr>
      <w:r>
        <w:rPr>
          <w:rFonts w:ascii="Arial" w:cs="Arial" w:eastAsia="Arial" w:hAnsi="Arial"/>
          <w:sz w:val="13"/>
          <w:szCs w:val="13"/>
          <w:color w:val="auto"/>
        </w:rPr>
        <w:t>The Medicare annual enrollment period occurs from October 15th to December 7th each year. As a result, we experience an increase in the number of submitted Medicare-related applications during the fourth quarter and an increase in expense related to the Medicare segments during the third and fourth quarters. Additionally, as a result of the annual Medicare Advantage open enrollment period that occurs from January 1st to March 31st, commission revenue is typically second-highest in our first quarter. The individual and family health insurance open enrollment period runs from November 1st through December 15th of each year for most states, and we expect the number of approved applications for individual and family health insurance to be higher in the fourth quarter compared to other quarters of the year as a result. A significant portion of our marketing and advertising expenses is driven by the number of health insurance applications submitted through us. Marketing and advertising expenses are generally</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19</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92" w:right="319" w:bottom="1440" w:gutter="0" w:footer="0" w:header="0"/>
        </w:sectPr>
      </w:pPr>
    </w:p>
    <w:bookmarkStart w:id="22" w:name="page23"/>
    <w:bookmarkEnd w:id="22"/>
    <w:p>
      <w:pPr>
        <w:ind w:right="20"/>
        <w:spacing w:after="0" w:line="241" w:lineRule="auto"/>
        <w:rPr>
          <w:sz w:val="20"/>
          <w:szCs w:val="20"/>
          <w:color w:val="auto"/>
        </w:rPr>
      </w:pPr>
      <w:r>
        <w:rPr>
          <w:rFonts w:ascii="Arial" w:cs="Arial" w:eastAsia="Arial" w:hAnsi="Arial"/>
          <w:sz w:val="13"/>
          <w:szCs w:val="13"/>
          <w:color w:val="auto"/>
        </w:rPr>
        <w:t>higher in the fourth quarter during the Medicare annual enrollment period, but because commissions from approved customers are paid to us over time, our operating cash flows could be adversely impacted by a substantial increase in marketing and advertising expense as a result of a higher volume of applications submitted during the fourth quarter or positively impacted by a substantial decline in marketing and advertising expenses as a result of lower volume of applications submitted during the fourth quarter.</w:t>
      </w:r>
    </w:p>
    <w:p>
      <w:pPr>
        <w:spacing w:after="0" w:line="186" w:lineRule="exact"/>
        <w:rPr>
          <w:sz w:val="20"/>
          <w:szCs w:val="20"/>
          <w:color w:val="auto"/>
        </w:rPr>
      </w:pPr>
    </w:p>
    <w:p>
      <w:pPr>
        <w:ind w:right="120"/>
        <w:spacing w:after="0"/>
        <w:rPr>
          <w:sz w:val="20"/>
          <w:szCs w:val="20"/>
          <w:color w:val="auto"/>
        </w:rPr>
      </w:pPr>
      <w:r>
        <w:rPr>
          <w:rFonts w:ascii="Arial" w:cs="Arial" w:eastAsia="Arial" w:hAnsi="Arial"/>
          <w:sz w:val="13"/>
          <w:szCs w:val="13"/>
          <w:color w:val="auto"/>
        </w:rPr>
        <w:t>The seasonality of our business could change in the future due to other factors, including as a result of changes in timing of the Medicare or individual and family health plan enrollment periods and changes in the laws and regulations that govern the sale of health insurance. We may not be able to timely adjust to changes in the seasonality of our business. If the timing of the enrollment periods for Medicare-related health insurance or individual and family health insurance changes, we may not be able to timely adapt to changes in customer demand. If we are not successful in responding to changes in the seasonality of our business, our business, operating results and financial condition could be harmed.</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System failures or capacity constraints could harm our business, financial condition and operating results.</w:t>
      </w:r>
    </w:p>
    <w:p>
      <w:pPr>
        <w:spacing w:after="0" w:line="204" w:lineRule="exact"/>
        <w:rPr>
          <w:sz w:val="20"/>
          <w:szCs w:val="20"/>
          <w:color w:val="auto"/>
        </w:rPr>
      </w:pPr>
    </w:p>
    <w:p>
      <w:pPr>
        <w:ind w:right="140"/>
        <w:spacing w:after="0" w:line="239" w:lineRule="auto"/>
        <w:rPr>
          <w:sz w:val="20"/>
          <w:szCs w:val="20"/>
          <w:color w:val="auto"/>
        </w:rPr>
      </w:pPr>
      <w:r>
        <w:rPr>
          <w:rFonts w:ascii="Arial" w:cs="Arial" w:eastAsia="Arial" w:hAnsi="Arial"/>
          <w:sz w:val="13"/>
          <w:szCs w:val="13"/>
          <w:color w:val="auto"/>
        </w:rPr>
        <w:t>The performance, reliability and availability of our technology platform and underlying network infrastructures are critical to our financial results, our brand and our relationship with customers, marketing partners and carriers. Although we regularly attempt to enhance our technology platform and system infrastructure, system failures and interruptions may occur if we are unsuccessful in these efforts, if we are unable to accurately project the rate or timing of increases in our website traffic or inbound call volume or for other reasons, some of which are completely outside our control. Additionally, we are also reliant on the systems of our carriers to submit plan enrollment applications from potential customers. We have in the past, and could in the future, experience significant failures and interruptions of our systems and the systems of our carriers, which would harm our business, operating results and financial condition. If these failures or interruptions occurred during the Medicare annual enrollment period or during the open enrollment period under healthcare reform, the negative impact on us would be particularly pronounced.</w:t>
      </w:r>
    </w:p>
    <w:p>
      <w:pPr>
        <w:spacing w:after="0" w:line="178" w:lineRule="exact"/>
        <w:rPr>
          <w:sz w:val="20"/>
          <w:szCs w:val="20"/>
          <w:color w:val="auto"/>
        </w:rPr>
      </w:pPr>
    </w:p>
    <w:p>
      <w:pPr>
        <w:spacing w:after="0" w:line="243" w:lineRule="auto"/>
        <w:rPr>
          <w:sz w:val="20"/>
          <w:szCs w:val="20"/>
          <w:color w:val="auto"/>
        </w:rPr>
      </w:pPr>
      <w:r>
        <w:rPr>
          <w:rFonts w:ascii="Arial" w:cs="Arial" w:eastAsia="Arial" w:hAnsi="Arial"/>
          <w:sz w:val="12"/>
          <w:szCs w:val="12"/>
          <w:color w:val="auto"/>
        </w:rPr>
        <w:t>We rely in part upon third-party vendors, including data center and bandwidth providers, to operate our technology platform. We cannot predict whether additional network capacity will be available from these vendors as we need it, and our network or our suppliers’ networks might be unable to achieve or maintain a sufficiently high capacity of data transmission to allow us to process health insurance applications in a timely manner or effectively download data, especially if our website traffic increases. For example, a rapid expansion of our business could affect the service levels at our data centers or cause such data centers and systems to fail. Any system failure or service level reduction that causes an interruption to, or decreases the responsiveness of, our services would impair our revenue-generating capabilities and damage our reputation. In addition, any loss of data could result in loss of customers and subject us to potential liability. Our databases and systems are vulnerable to damage or interruption from human error, fire, floods, power loss, telecommunications failures, physical or electronic break-ins, computer viruses, acts of terrorism, other attempts to harm our systems and similar events. In addition, our operations are vulnerable to earthquakes, fires, severe weather, pandemics and other natural disasters in Illinois, North Carolina, Utah, Honduras, Slovakia and other parts of the world where we, our agents and vendors operate. Global climate change is resulting in certain types of natural disasters occurring more frequently or with more intense effects.</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The owners of our data center facilities and our other third-party vendors have no obligation to renew their agreements with us on commercially reasonable terms, or at all. If we are unable to renew these agreements on commercially reasonable terms, or if one of our data center operators is acquired, we may be required to transfer our servers and other infrastructure to new data center facilities, and we may incur significant costs and possible service interruption in connection with doing so. Problems faced by our third-party data center locations with the telecommunications network providers with whom we or they contract, or with the systems by which our telecommunications providers allocate capacity among their clients, including us, could adversely affect the experience of our clients and consumers. Our third-party data center operators could decide to close their facilities without adequate notice. In addition, any financial difficulties, such as bankruptcy, faced by our third-party data centers, operators or any of the service providers with whom we or they contract may have negative effects on our business, the nature and extent of which are difficult to predict.</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Pressure from existing and new competitors may adversely affect our business, operating results and financial condition.</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Our competitors provide services designed to help customers shop for insurance. Some of these competitors include:</w:t>
      </w:r>
    </w:p>
    <w:p>
      <w:pPr>
        <w:spacing w:after="0" w:line="190" w:lineRule="exact"/>
        <w:rPr>
          <w:sz w:val="20"/>
          <w:szCs w:val="20"/>
          <w:color w:val="auto"/>
        </w:rPr>
      </w:pPr>
    </w:p>
    <w:p>
      <w:pPr>
        <w:ind w:left="520" w:right="480" w:hanging="260"/>
        <w:spacing w:after="0" w:line="238" w:lineRule="auto"/>
        <w:tabs>
          <w:tab w:leader="none" w:pos="511" w:val="left"/>
        </w:tabs>
        <w:numPr>
          <w:ilvl w:val="0"/>
          <w:numId w:val="16"/>
        </w:numPr>
        <w:rPr>
          <w:rFonts w:ascii="Arial" w:cs="Arial" w:eastAsia="Arial" w:hAnsi="Arial"/>
          <w:sz w:val="13"/>
          <w:szCs w:val="13"/>
          <w:color w:val="auto"/>
        </w:rPr>
      </w:pPr>
      <w:r>
        <w:rPr>
          <w:rFonts w:ascii="Arial" w:cs="Arial" w:eastAsia="Arial" w:hAnsi="Arial"/>
          <w:sz w:val="13"/>
          <w:szCs w:val="13"/>
          <w:color w:val="auto"/>
        </w:rPr>
        <w:t>companies that operate insurance search websites or websites that provide quote information or the opportunity to purchase insurance products online, including aggregators and lead generators;</w:t>
      </w: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companies that advertise primarily through television;</w:t>
      </w: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individual insurance carriers, including through the operation of their own websites, physical storefront operations and broker arrangements;</w:t>
      </w: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traditional insurance agents or brokers; and</w:t>
      </w: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field marketing organizations.</w:t>
      </w:r>
    </w:p>
    <w:p>
      <w:pPr>
        <w:spacing w:after="0" w:line="190"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New competitors may enter the market for the distribution of insurance products with competing insurance platforms, which could have an adverse effect on our business, operating results and financial condition. Our competitors could significantly impede our ability to maintain or increase the number of policies sold through our platform and may develop and market new technologies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20</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15" w:right="319" w:bottom="1440" w:gutter="0" w:footer="0" w:header="0"/>
        </w:sectPr>
      </w:pPr>
    </w:p>
    <w:bookmarkStart w:id="23" w:name="page24"/>
    <w:bookmarkEnd w:id="23"/>
    <w:p>
      <w:pPr>
        <w:ind w:right="40"/>
        <w:spacing w:after="0" w:line="244" w:lineRule="auto"/>
        <w:rPr>
          <w:sz w:val="20"/>
          <w:szCs w:val="20"/>
          <w:color w:val="auto"/>
        </w:rPr>
      </w:pPr>
      <w:r>
        <w:rPr>
          <w:rFonts w:ascii="Arial" w:cs="Arial" w:eastAsia="Arial" w:hAnsi="Arial"/>
          <w:sz w:val="13"/>
          <w:szCs w:val="13"/>
          <w:color w:val="auto"/>
        </w:rPr>
        <w:t>that render our platform less competitive or obsolete. In addition, if our competitors develop platforms with similar or superior functionality to ours and we are not able to produce certain volumes for our carriers, we may see a reduction in our marketing payments, our revenue would likely be reduced and our business, operating results and financial condition would be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do not successfully compete with government-run health insurance exchanges, our business may be harmed.</w:t>
      </w:r>
    </w:p>
    <w:p>
      <w:pPr>
        <w:spacing w:after="0" w:line="204" w:lineRule="exact"/>
        <w:rPr>
          <w:sz w:val="20"/>
          <w:szCs w:val="20"/>
          <w:color w:val="auto"/>
        </w:rPr>
      </w:pPr>
    </w:p>
    <w:p>
      <w:pPr>
        <w:ind w:right="100"/>
        <w:spacing w:after="0"/>
        <w:rPr>
          <w:sz w:val="20"/>
          <w:szCs w:val="20"/>
          <w:color w:val="auto"/>
        </w:rPr>
      </w:pPr>
      <w:r>
        <w:rPr>
          <w:rFonts w:ascii="Arial" w:cs="Arial" w:eastAsia="Arial" w:hAnsi="Arial"/>
          <w:sz w:val="13"/>
          <w:szCs w:val="13"/>
          <w:color w:val="auto"/>
        </w:rPr>
        <w:t>Our business competes with government-run health insurance exchanges with respect to our sale of Medicare-related health insurance and individual and family plans. Consumers can shop for and purchase Medicare Advantage and Medicare Part D Prescription Drug plans through a website operated by the federal government and can also obtain plan selection assistance from the federal government in connection with their purchase of a Medicare Advantage and Medicare Part D Prescription Drug plan. Competition from government-run health insurance exchanges could increase our marketing costs, reduce our revenue and could otherwise harm our business, operating results and financial condition.</w:t>
      </w:r>
    </w:p>
    <w:p>
      <w:pPr>
        <w:spacing w:after="0" w:line="173" w:lineRule="exact"/>
        <w:rPr>
          <w:sz w:val="20"/>
          <w:szCs w:val="20"/>
          <w:color w:val="auto"/>
        </w:rPr>
      </w:pPr>
    </w:p>
    <w:p>
      <w:pPr>
        <w:spacing w:after="0" w:line="266" w:lineRule="auto"/>
        <w:rPr>
          <w:sz w:val="20"/>
          <w:szCs w:val="20"/>
          <w:color w:val="auto"/>
        </w:rPr>
      </w:pPr>
      <w:r>
        <w:rPr>
          <w:rFonts w:ascii="Arial" w:cs="Arial" w:eastAsia="Arial" w:hAnsi="Arial"/>
          <w:sz w:val="13"/>
          <w:szCs w:val="13"/>
          <w:b w:val="1"/>
          <w:bCs w:val="1"/>
          <w:i w:val="1"/>
          <w:iCs w:val="1"/>
          <w:color w:val="auto"/>
        </w:rPr>
        <w:t>If we fail to comply with certain healthcare and consumer protection laws, including fraud and abuse laws, we could face substantial penalties and our business, results of operations and financial condition could be adversely affected.</w:t>
      </w:r>
    </w:p>
    <w:p>
      <w:pPr>
        <w:spacing w:after="0" w:line="171" w:lineRule="exact"/>
        <w:rPr>
          <w:sz w:val="20"/>
          <w:szCs w:val="20"/>
          <w:color w:val="auto"/>
        </w:rPr>
      </w:pPr>
    </w:p>
    <w:p>
      <w:pPr>
        <w:ind w:right="100"/>
        <w:spacing w:after="0" w:line="241" w:lineRule="auto"/>
        <w:rPr>
          <w:sz w:val="20"/>
          <w:szCs w:val="20"/>
          <w:color w:val="auto"/>
        </w:rPr>
      </w:pPr>
      <w:r>
        <w:rPr>
          <w:rFonts w:ascii="Arial" w:cs="Arial" w:eastAsia="Arial" w:hAnsi="Arial"/>
          <w:sz w:val="13"/>
          <w:szCs w:val="13"/>
          <w:color w:val="auto"/>
        </w:rPr>
        <w:t>Our arrangements with carriers, particularly those that contract with federal healthcare programs, are highly regulated and subject us to broadly applicable federal and state fraud and abuse and other federal and state healthcare and consumer protection laws and regulations. These laws may constrain the business or financial arrangements and relationships through which we conduct our operations, including the following:</w:t>
      </w:r>
    </w:p>
    <w:p>
      <w:pPr>
        <w:spacing w:after="0" w:line="186" w:lineRule="exact"/>
        <w:rPr>
          <w:sz w:val="20"/>
          <w:szCs w:val="20"/>
          <w:color w:val="auto"/>
        </w:rPr>
      </w:pPr>
    </w:p>
    <w:p>
      <w:pPr>
        <w:ind w:left="520" w:right="20" w:hanging="260"/>
        <w:spacing w:after="0" w:line="258" w:lineRule="auto"/>
        <w:tabs>
          <w:tab w:leader="none" w:pos="511"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federal Anti-Kickback Statute, which prohibits, among other things, any person or entity from knowingly and willfully soliciting, receiving, offering or paying any remuneration, directly or indirectly, overtly or covertly, in cash or in kind, to induce or reward either the referral of an individual for, or the purchase, order or recommendation of an item or service reimbursable, in whole or in part, under a federal healthcare program, such as the Medicare and Medicaid programs. The term “remuneration” has been broadly interpreted to include anything of value. There are a number of statutory exceptions and regulatory safe harbors protecting some common activities from prosecution; however, these are drawn narrowly and require strict compliance in order to offer protection. Additionally, a person or entity does not need to have actual knowledge of the statute or specific intent to violate it in order to have committed a violation;</w:t>
      </w:r>
    </w:p>
    <w:p>
      <w:pPr>
        <w:ind w:left="520" w:right="100" w:hanging="260"/>
        <w:spacing w:after="0" w:line="238" w:lineRule="auto"/>
        <w:tabs>
          <w:tab w:leader="none" w:pos="511"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federal False Claims Act, which, among other things, imposes criminal and civil penalties against individuals or entities for knowingly 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 The False Claims Act can be enforced by private citizens through civil qui tam actions. A claim includes “any request or demand” for money or property presented to the U.S. government;</w:t>
      </w:r>
    </w:p>
    <w:p>
      <w:pPr>
        <w:spacing w:after="0" w:line="1" w:lineRule="exact"/>
        <w:rPr>
          <w:rFonts w:ascii="Arial" w:cs="Arial" w:eastAsia="Arial" w:hAnsi="Arial"/>
          <w:sz w:val="13"/>
          <w:szCs w:val="13"/>
          <w:color w:val="auto"/>
        </w:rPr>
      </w:pPr>
    </w:p>
    <w:p>
      <w:pPr>
        <w:ind w:left="520" w:right="220" w:hanging="260"/>
        <w:spacing w:after="0" w:line="238" w:lineRule="auto"/>
        <w:tabs>
          <w:tab w:leader="none" w:pos="511"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ind w:left="520" w:right="280" w:hanging="260"/>
        <w:spacing w:after="0" w:line="238" w:lineRule="auto"/>
        <w:tabs>
          <w:tab w:leader="none" w:pos="511"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Health Insurance Portability and Accountability Act, or HIPAA, which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payers, willingly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federal Anti-Kickback Statute, a person or entity need not have actual knowledge of the statute or specific intent to violate it in order to have committed a violation;</w:t>
      </w:r>
    </w:p>
    <w:p>
      <w:pPr>
        <w:spacing w:after="0" w:line="1" w:lineRule="exact"/>
        <w:rPr>
          <w:rFonts w:ascii="Arial" w:cs="Arial" w:eastAsia="Arial" w:hAnsi="Arial"/>
          <w:sz w:val="13"/>
          <w:szCs w:val="13"/>
          <w:color w:val="auto"/>
        </w:rPr>
      </w:pPr>
    </w:p>
    <w:p>
      <w:pPr>
        <w:ind w:left="520" w:right="180" w:hanging="260"/>
        <w:spacing w:after="0" w:line="238" w:lineRule="auto"/>
        <w:tabs>
          <w:tab w:leader="none" w:pos="511"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CAN-SPAM Act, which regulates commercial e-mail messages and specifies penalties for the transmission of commercial e-mail messages that do not comply with certain requirements, such as providing an opt-out mechanism for stopping future e-mails from senders;</w:t>
      </w:r>
    </w:p>
    <w:p>
      <w:pPr>
        <w:ind w:left="520" w:right="60" w:hanging="260"/>
        <w:spacing w:after="0" w:line="238" w:lineRule="auto"/>
        <w:tabs>
          <w:tab w:leader="none" w:pos="511"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TCPA, which prohibits us from using an automatic telephone dialing system to make certain telephone calls or transmit text messages to wireless telephone numbers without prior express consent or without consulting the Federal Trade Commission’s, or FTC, national “Do Not Call” registry. We have in the past and may in the future become subject to claims that we have violated the TCPA and/or other telemarketing laws. The TCPA provides for private rights of action and potential statutory damages for each violation and additional penalties for each willful violation; and</w:t>
      </w:r>
    </w:p>
    <w:p>
      <w:pPr>
        <w:spacing w:after="0" w:line="1" w:lineRule="exact"/>
        <w:rPr>
          <w:rFonts w:ascii="Arial" w:cs="Arial" w:eastAsia="Arial" w:hAnsi="Arial"/>
          <w:sz w:val="13"/>
          <w:szCs w:val="13"/>
          <w:color w:val="auto"/>
        </w:rPr>
      </w:pPr>
    </w:p>
    <w:p>
      <w:pPr>
        <w:ind w:left="520" w:right="120" w:hanging="260"/>
        <w:spacing w:after="0" w:line="244" w:lineRule="auto"/>
        <w:tabs>
          <w:tab w:leader="none" w:pos="511" w:val="left"/>
        </w:tabs>
        <w:numPr>
          <w:ilvl w:val="0"/>
          <w:numId w:val="17"/>
        </w:numPr>
        <w:rPr>
          <w:rFonts w:ascii="Arial" w:cs="Arial" w:eastAsia="Arial" w:hAnsi="Arial"/>
          <w:sz w:val="13"/>
          <w:szCs w:val="13"/>
          <w:color w:val="auto"/>
        </w:rPr>
      </w:pPr>
      <w:r>
        <w:rPr>
          <w:rFonts w:ascii="Arial" w:cs="Arial" w:eastAsia="Arial" w:hAnsi="Arial"/>
          <w:sz w:val="13"/>
          <w:szCs w:val="13"/>
          <w:color w:val="auto"/>
        </w:rPr>
        <w:t>analogous state and foreign laws and regulations, such as state anti-kickback and false claims laws, which may be more restrictive and may apply to healthcare items or services reimbursed by non-governmental third-party payors, including private insurers, or by the patients themselves.</w:t>
      </w:r>
    </w:p>
    <w:p>
      <w:pPr>
        <w:spacing w:after="0" w:line="184" w:lineRule="exact"/>
        <w:rPr>
          <w:sz w:val="20"/>
          <w:szCs w:val="20"/>
          <w:color w:val="auto"/>
        </w:rPr>
      </w:pPr>
    </w:p>
    <w:p>
      <w:pPr>
        <w:ind w:right="220"/>
        <w:spacing w:after="0"/>
        <w:rPr>
          <w:sz w:val="20"/>
          <w:szCs w:val="20"/>
          <w:color w:val="auto"/>
        </w:rPr>
      </w:pPr>
      <w:r>
        <w:rPr>
          <w:rFonts w:ascii="Arial" w:cs="Arial" w:eastAsia="Arial" w:hAnsi="Arial"/>
          <w:sz w:val="13"/>
          <w:szCs w:val="13"/>
          <w:color w:val="auto"/>
        </w:rPr>
        <w:t>Ensuring business arrangements with third parties comply with applicable healthcare laws and regulations is a costly endeavor. If our operations are found to be in violation of any of the federal and state healthcare laws described above or any other current or future governmental regulations that apply to us, we may be subject to penalties, including without limitation, civil, criminal and/or administrative penalties, damages, fines, disgorgement, individual imprisonment, exclusion from participation in government programs, such as Medicare and Medicaid, injunctions, private “qui tam” actions brought by individual whistleblowers in the</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21</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15" w:right="319" w:bottom="1440" w:gutter="0" w:footer="0" w:header="0"/>
        </w:sectPr>
      </w:pPr>
    </w:p>
    <w:bookmarkStart w:id="24" w:name="page25"/>
    <w:bookmarkEnd w:id="24"/>
    <w:p>
      <w:pPr>
        <w:ind w:right="220"/>
        <w:spacing w:after="0" w:line="241" w:lineRule="auto"/>
        <w:rPr>
          <w:sz w:val="20"/>
          <w:szCs w:val="20"/>
          <w:color w:val="auto"/>
        </w:rPr>
      </w:pPr>
      <w:r>
        <w:rPr>
          <w:rFonts w:ascii="Arial" w:cs="Arial" w:eastAsia="Arial" w:hAnsi="Arial"/>
          <w:sz w:val="13"/>
          <w:szCs w:val="13"/>
          <w:color w:val="auto"/>
        </w:rPr>
        <w:t>name of the government, or refusal to allow us to enter into government contracts, contractual damages, reputational harm, administrative burdens,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spacing w:after="0" w:line="172" w:lineRule="exact"/>
        <w:rPr>
          <w:sz w:val="20"/>
          <w:szCs w:val="20"/>
          <w:color w:val="auto"/>
        </w:rPr>
      </w:pPr>
    </w:p>
    <w:p>
      <w:pPr>
        <w:ind w:right="340"/>
        <w:spacing w:after="0" w:line="266" w:lineRule="auto"/>
        <w:rPr>
          <w:sz w:val="20"/>
          <w:szCs w:val="20"/>
          <w:color w:val="auto"/>
        </w:rPr>
      </w:pPr>
      <w:r>
        <w:rPr>
          <w:rFonts w:ascii="Arial" w:cs="Arial" w:eastAsia="Arial" w:hAnsi="Arial"/>
          <w:sz w:val="13"/>
          <w:szCs w:val="13"/>
          <w:b w:val="1"/>
          <w:bCs w:val="1"/>
          <w:i w:val="1"/>
          <w:iCs w:val="1"/>
          <w:color w:val="auto"/>
        </w:rPr>
        <w:t>We operate in a complex state regulatory environment that is constantly changing. If we fail to comply with the numerous state laws and regulations that are applicable to the sale of health insurance, our business, operating results and financial condition could be harmed.</w:t>
      </w:r>
    </w:p>
    <w:p>
      <w:pPr>
        <w:spacing w:after="0" w:line="171" w:lineRule="exact"/>
        <w:rPr>
          <w:sz w:val="20"/>
          <w:szCs w:val="20"/>
          <w:color w:val="auto"/>
        </w:rPr>
      </w:pPr>
    </w:p>
    <w:p>
      <w:pPr>
        <w:ind w:right="20"/>
        <w:spacing w:after="0" w:line="241" w:lineRule="auto"/>
        <w:rPr>
          <w:sz w:val="20"/>
          <w:szCs w:val="20"/>
          <w:color w:val="auto"/>
        </w:rPr>
      </w:pPr>
      <w:r>
        <w:rPr>
          <w:rFonts w:ascii="Arial" w:cs="Arial" w:eastAsia="Arial" w:hAnsi="Arial"/>
          <w:sz w:val="13"/>
          <w:szCs w:val="13"/>
          <w:color w:val="auto"/>
        </w:rPr>
        <w:t>The offer, sale and purchase of health insurance is heavily regulated by various states and the regulatory landscape is constantly changing. States have adopted and will continue to adopt new laws and regulations, and it is difficult to predict how these new laws and regulations will impact our business. These rules and regulations could adversely impact our business because carriers may exit the market of selling such plans due to regulatory concerns, determine it is not profitable to sell the plans or increase plan premiums to a degree that reduces customer demand for them.</w:t>
      </w:r>
    </w:p>
    <w:p>
      <w:pPr>
        <w:spacing w:after="0" w:line="186" w:lineRule="exact"/>
        <w:rPr>
          <w:sz w:val="20"/>
          <w:szCs w:val="20"/>
          <w:color w:val="auto"/>
        </w:rPr>
      </w:pPr>
    </w:p>
    <w:p>
      <w:pPr>
        <w:ind w:right="120"/>
        <w:spacing w:after="0" w:line="239" w:lineRule="auto"/>
        <w:rPr>
          <w:sz w:val="20"/>
          <w:szCs w:val="20"/>
          <w:color w:val="auto"/>
        </w:rPr>
      </w:pPr>
      <w:r>
        <w:rPr>
          <w:rFonts w:ascii="Arial" w:cs="Arial" w:eastAsia="Arial" w:hAnsi="Arial"/>
          <w:sz w:val="13"/>
          <w:szCs w:val="13"/>
          <w:color w:val="auto"/>
        </w:rPr>
        <w:t>Additionally, a long-standing provision in almost all states’ laws provides that once health insurance premiums are set by the carrier and approved by state regulators, they are fixed and not generally subject to negotiation or discounting by insurance companies or agents. State regulations generally prohibit carriers, agents and brokers from providing financial incentives, such as rebates, to their customers in connection with the sale of health insurance. As a result, we do not currently compete with carriers or other agents and brokers on the price of the health insurance plans offered on our website. If these regulations change, we could be forced to reduce prices or provide rebates or other incentives for the health insurance plans sold through our technology platform, which would harm our business, operating results and financial condition. Although commissions do not currently have to be disclosed to the public, if commissions become more regulated and commissions paid to us have to be disclosed, it is possible that carriers may lower our commission rates, which could reduce our revenue.</w:t>
      </w:r>
    </w:p>
    <w:p>
      <w:pPr>
        <w:spacing w:after="0" w:line="189" w:lineRule="exact"/>
        <w:rPr>
          <w:sz w:val="20"/>
          <w:szCs w:val="20"/>
          <w:color w:val="auto"/>
        </w:rPr>
      </w:pPr>
    </w:p>
    <w:p>
      <w:pPr>
        <w:ind w:right="20"/>
        <w:spacing w:after="0"/>
        <w:rPr>
          <w:sz w:val="20"/>
          <w:szCs w:val="20"/>
          <w:color w:val="auto"/>
        </w:rPr>
      </w:pPr>
      <w:r>
        <w:rPr>
          <w:rFonts w:ascii="Arial" w:cs="Arial" w:eastAsia="Arial" w:hAnsi="Arial"/>
          <w:sz w:val="13"/>
          <w:szCs w:val="13"/>
          <w:color w:val="auto"/>
        </w:rPr>
        <w:t>State regulators require us to maintain a valid license in each state in which we transact health insurance business and further require that we adhere to sales, documentation and administration practices specific to that state. We must maintain our health insurance licenses to continue selling plans and to continue to receive commissions from carriers. In addition, each employee who transacts health insurance business on our behalf must maintain a valid license in one or more states. Because we do business in all 50 states and the District of Columbia, compliance with health insurance-related laws, rules and regulations is difficult and imposes significant costs on our business.</w:t>
      </w:r>
    </w:p>
    <w:p>
      <w:pPr>
        <w:spacing w:after="0" w:line="187" w:lineRule="exact"/>
        <w:rPr>
          <w:sz w:val="20"/>
          <w:szCs w:val="20"/>
          <w:color w:val="auto"/>
        </w:rPr>
      </w:pPr>
    </w:p>
    <w:p>
      <w:pPr>
        <w:ind w:right="200"/>
        <w:spacing w:after="0" w:line="241" w:lineRule="auto"/>
        <w:rPr>
          <w:sz w:val="20"/>
          <w:szCs w:val="20"/>
          <w:color w:val="auto"/>
        </w:rPr>
      </w:pPr>
      <w:r>
        <w:rPr>
          <w:rFonts w:ascii="Arial" w:cs="Arial" w:eastAsia="Arial" w:hAnsi="Arial"/>
          <w:sz w:val="13"/>
          <w:szCs w:val="13"/>
          <w:color w:val="auto"/>
        </w:rPr>
        <w:t>In addition, we must ensure that our agents have received all licenses, appointments and certifications required by state authorities and our carriers in order to transact business. If the relevant state authorities or our carriers experience shutdowns or continued business disruptions due to the COVID-19 pandemic, we may be unable to secure these required licenses, appointments and certifications for our agents in a timely manner, or at all.</w:t>
      </w:r>
    </w:p>
    <w:p>
      <w:pPr>
        <w:spacing w:after="0" w:line="186" w:lineRule="exact"/>
        <w:rPr>
          <w:sz w:val="20"/>
          <w:szCs w:val="20"/>
          <w:color w:val="auto"/>
        </w:rPr>
      </w:pPr>
    </w:p>
    <w:p>
      <w:pPr>
        <w:ind w:right="60"/>
        <w:spacing w:after="0" w:line="239" w:lineRule="auto"/>
        <w:rPr>
          <w:sz w:val="20"/>
          <w:szCs w:val="20"/>
          <w:color w:val="auto"/>
        </w:rPr>
      </w:pPr>
      <w:r>
        <w:rPr>
          <w:rFonts w:ascii="Arial" w:cs="Arial" w:eastAsia="Arial" w:hAnsi="Arial"/>
          <w:sz w:val="13"/>
          <w:szCs w:val="13"/>
          <w:color w:val="auto"/>
        </w:rPr>
        <w:t>Due to the complexity, periodic modification and differing interpretations of state insurance laws and regulations, we may not have always been, and we may not always be, in compliance with them. New state insurance laws, regulations and guidelines also may not be compatible with the sale of health insurance over the Internet or with various aspects of our platform or manner of marketing or selling health insurance plans. Failure to comply with insurance laws, regulations and guidelines or other laws and regulations applicable to our business could result in significant liability, additional department of insurance licensing requirements, required modification of our advertising and business practices, the revocation of our licenses in a particular jurisdiction, termination of our relationship with carriers, loss of commissions and/or our inability to sell health insurance plans, which could significantly increase our operating expenses, result in the loss of carrier relationships and our commission revenue and otherwise harm our business, operating results and financial condition. Moreover, an adverse regulatory action in one jurisdiction could result in penalties and adversely affect our license status, business or reputation in other jurisdictions due to the requirement that adverse regulatory actions in one jurisdiction be reported to other jurisdictions. We have received, and may in the future receive, inquiries from regulators regarding our marketing and business practices and compliance with laws and regulations. We may be required to modify our practices in connection with the inquiries. Failure to adequately respond to such inquiries could result in adverse regulatory action that could harm our business, operating results and financial condition. Even if the allegations in any regulatory or other action against us are proven false, any surrounding negative publicity could harm consumer, marketing partner or carrier confidence in us, which could significantly damage our brand.</w:t>
      </w:r>
    </w:p>
    <w:p>
      <w:pPr>
        <w:spacing w:after="0" w:line="173" w:lineRule="exact"/>
        <w:rPr>
          <w:sz w:val="20"/>
          <w:szCs w:val="20"/>
          <w:color w:val="auto"/>
        </w:rPr>
      </w:pPr>
    </w:p>
    <w:p>
      <w:pPr>
        <w:ind w:right="160"/>
        <w:spacing w:after="0" w:line="266" w:lineRule="auto"/>
        <w:rPr>
          <w:sz w:val="20"/>
          <w:szCs w:val="20"/>
          <w:color w:val="auto"/>
        </w:rPr>
      </w:pPr>
      <w:r>
        <w:rPr>
          <w:rFonts w:ascii="Arial" w:cs="Arial" w:eastAsia="Arial" w:hAnsi="Arial"/>
          <w:sz w:val="13"/>
          <w:szCs w:val="13"/>
          <w:b w:val="1"/>
          <w:bCs w:val="1"/>
          <w:i w:val="1"/>
          <w:iCs w:val="1"/>
          <w:color w:val="auto"/>
        </w:rPr>
        <w:t>If we are not successful in cost-effectively converting consumer leads into customers for which we receive commissions, our business, operating results and financial condition would be harmed.</w:t>
      </w:r>
    </w:p>
    <w:p>
      <w:pPr>
        <w:spacing w:after="0" w:line="171" w:lineRule="exact"/>
        <w:rPr>
          <w:sz w:val="20"/>
          <w:szCs w:val="20"/>
          <w:color w:val="auto"/>
        </w:rPr>
      </w:pPr>
    </w:p>
    <w:p>
      <w:pPr>
        <w:ind w:right="80"/>
        <w:spacing w:after="0"/>
        <w:rPr>
          <w:sz w:val="20"/>
          <w:szCs w:val="20"/>
          <w:color w:val="auto"/>
        </w:rPr>
      </w:pPr>
      <w:r>
        <w:rPr>
          <w:rFonts w:ascii="Arial" w:cs="Arial" w:eastAsia="Arial" w:hAnsi="Arial"/>
          <w:sz w:val="13"/>
          <w:szCs w:val="13"/>
          <w:color w:val="auto"/>
        </w:rPr>
        <w:t>Obtaining quality consumer leads is important to our business, but our ability to convert these consumer leads to customers is also a key to our success. Our growth depends in large part upon growth in Approved Submissions in a given period. The rate at which we grow our Approved Submissions directly impacts our revenue. In addition, the rate at which Submitted Policies turn into commissionable Approved Submissions impacts the expected LTV of our customers, which impacts the revenue that we are able to recognize. A number of factors have influenced, and could in the future influence, these conversion rates for any given period, some of which are outside of our control. These factors include:</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22</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15" w:right="319" w:bottom="1440" w:gutter="0" w:footer="0" w:header="0"/>
        </w:sectPr>
      </w:pPr>
    </w:p>
    <w:bookmarkStart w:id="25" w:name="page26"/>
    <w:bookmarkEnd w:id="25"/>
    <w:p>
      <w:pPr>
        <w:ind w:left="520" w:right="60" w:hanging="260"/>
        <w:spacing w:after="0" w:line="238" w:lineRule="auto"/>
        <w:tabs>
          <w:tab w:leader="none" w:pos="511" w:val="left"/>
        </w:tabs>
        <w:numPr>
          <w:ilvl w:val="0"/>
          <w:numId w:val="18"/>
        </w:numPr>
        <w:rPr>
          <w:rFonts w:ascii="Arial" w:cs="Arial" w:eastAsia="Arial" w:hAnsi="Arial"/>
          <w:sz w:val="13"/>
          <w:szCs w:val="13"/>
          <w:color w:val="auto"/>
        </w:rPr>
      </w:pPr>
      <w:r>
        <w:rPr>
          <w:rFonts w:ascii="Arial" w:cs="Arial" w:eastAsia="Arial" w:hAnsi="Arial"/>
          <w:sz w:val="13"/>
          <w:szCs w:val="13"/>
          <w:color w:val="auto"/>
        </w:rPr>
        <w:t>changes in customer shopping behavior due to circumstances outside of our control, such as economic conditions, customers’ ability or willingness to pay for health insurance, adverse weather conditions or natural disasters, the effects of pandemics, such as COVID-19, availability of unemployment benefits or proposed or enacted legislative or regulatory changes impacting our business, including healthcare reform;</w:t>
      </w: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quality of, and changes to, the customer experience on our platform;</w:t>
      </w:r>
    </w:p>
    <w:p>
      <w:pPr>
        <w:ind w:left="520" w:right="600" w:hanging="260"/>
        <w:spacing w:after="0" w:line="238" w:lineRule="auto"/>
        <w:tabs>
          <w:tab w:leader="none" w:pos="511" w:val="left"/>
        </w:tabs>
        <w:numPr>
          <w:ilvl w:val="0"/>
          <w:numId w:val="18"/>
        </w:numPr>
        <w:rPr>
          <w:rFonts w:ascii="Arial" w:cs="Arial" w:eastAsia="Arial" w:hAnsi="Arial"/>
          <w:sz w:val="13"/>
          <w:szCs w:val="13"/>
          <w:color w:val="auto"/>
        </w:rPr>
      </w:pPr>
      <w:r>
        <w:rPr>
          <w:rFonts w:ascii="Arial" w:cs="Arial" w:eastAsia="Arial" w:hAnsi="Arial"/>
          <w:sz w:val="13"/>
          <w:szCs w:val="13"/>
          <w:color w:val="auto"/>
        </w:rPr>
        <w:t>regulatory requirements, including those that make the experience on our platform cumbersome or difficult to navigate or reduce the ability of customers to purchase plans outside of enrollment periods;</w:t>
      </w: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variety, competitiveness and affordability of the health insurance plans that we offer;</w:t>
      </w: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system failures or interruptions in the operation of our technology platform or call center operations;</w:t>
      </w: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changes in the mix of customers who are referred to us through our direct, marketing partner and online advertising customer acquisition channels;</w:t>
      </w: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carriers offering health insurance plans for which customers have expressed interest, and the degree to which our technology is integrated with those carriers;</w:t>
      </w:r>
    </w:p>
    <w:p>
      <w:pPr>
        <w:ind w:left="520" w:right="260" w:hanging="260"/>
        <w:spacing w:after="0" w:line="238" w:lineRule="auto"/>
        <w:tabs>
          <w:tab w:leader="none" w:pos="511" w:val="left"/>
        </w:tabs>
        <w:numPr>
          <w:ilvl w:val="0"/>
          <w:numId w:val="18"/>
        </w:numPr>
        <w:rPr>
          <w:rFonts w:ascii="Arial" w:cs="Arial" w:eastAsia="Arial" w:hAnsi="Arial"/>
          <w:sz w:val="13"/>
          <w:szCs w:val="13"/>
          <w:color w:val="auto"/>
        </w:rPr>
      </w:pPr>
      <w:r>
        <w:rPr>
          <w:rFonts w:ascii="Arial" w:cs="Arial" w:eastAsia="Arial" w:hAnsi="Arial"/>
          <w:sz w:val="13"/>
          <w:szCs w:val="13"/>
          <w:color w:val="auto"/>
        </w:rPr>
        <w:t>carrier guidelines applicable to applications submitted by customers, the amount of time a carrier takes to make a decision on that application and the percentage of submitted applications approved by carriers;</w:t>
      </w: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effectiveness of agents in assisting customers; and</w:t>
      </w: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our ability to enroll subsidy-eligible individuals in qualified health plans through government-run health insurance exchanges and the efficacy of the process we are required to use to do so.</w:t>
      </w:r>
    </w:p>
    <w:p>
      <w:pPr>
        <w:spacing w:after="0" w:line="190" w:lineRule="exact"/>
        <w:rPr>
          <w:sz w:val="20"/>
          <w:szCs w:val="20"/>
          <w:color w:val="auto"/>
        </w:rPr>
      </w:pPr>
    </w:p>
    <w:p>
      <w:pPr>
        <w:ind w:right="80"/>
        <w:spacing w:after="0" w:line="239" w:lineRule="auto"/>
        <w:rPr>
          <w:sz w:val="20"/>
          <w:szCs w:val="20"/>
          <w:color w:val="auto"/>
        </w:rPr>
      </w:pPr>
      <w:r>
        <w:rPr>
          <w:rFonts w:ascii="Arial" w:cs="Arial" w:eastAsia="Arial" w:hAnsi="Arial"/>
          <w:sz w:val="13"/>
          <w:szCs w:val="13"/>
          <w:color w:val="auto"/>
        </w:rPr>
        <w:t>Our conversion rates can be impacted by changes in the mix of customers referred to us through our customer acquisition channels. We may make changes to our technology platform in response to regulatory requirements or undertake other initiatives in an attempt to improve the customer experience or for other reasons. These changes have in the past, and may in the future have the unintended consequence of adversely impacting our conversion rates. A decline in the percentage of consumers who submit health insurance applications on our platform and are converted into approved customers could cause an increase in our CAC and impact our revenue in any given period. To the extent our conversion rate suffers, our customer base may decline, which would harm our business, operating results and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receive commission payments from carriers over time, but incur significant upfront expenses to enroll customers.</w:t>
      </w:r>
    </w:p>
    <w:p>
      <w:pPr>
        <w:spacing w:after="0" w:line="204" w:lineRule="exact"/>
        <w:rPr>
          <w:sz w:val="20"/>
          <w:szCs w:val="20"/>
          <w:color w:val="auto"/>
        </w:rPr>
      </w:pPr>
    </w:p>
    <w:p>
      <w:pPr>
        <w:ind w:right="80"/>
        <w:spacing w:after="0"/>
        <w:rPr>
          <w:sz w:val="20"/>
          <w:szCs w:val="20"/>
          <w:color w:val="auto"/>
        </w:rPr>
      </w:pPr>
      <w:r>
        <w:rPr>
          <w:rFonts w:ascii="Arial" w:cs="Arial" w:eastAsia="Arial" w:hAnsi="Arial"/>
          <w:sz w:val="13"/>
          <w:szCs w:val="13"/>
          <w:color w:val="auto"/>
        </w:rPr>
        <w:t>The enrollment of consumers on our platform requires significant upfront expenses, including marketing and advertising expenses and customer care and enrollment expenses, in order to generate qualified prospects, educate and enroll those consumers in our products and plans, and submit completed applications to carriers. However, the resulting commissions are generally paid to us over time, with the first payments often several weeks or months after we submit completed applications to our carriers. These factors cause us to require significant cash to fund our working capital needs, and our operating cash flows could be adversely impacted by a substantial increase in the volume of applications submitted by us.</w:t>
      </w:r>
    </w:p>
    <w:p>
      <w:pPr>
        <w:spacing w:after="0" w:line="173" w:lineRule="exact"/>
        <w:rPr>
          <w:sz w:val="20"/>
          <w:szCs w:val="20"/>
          <w:color w:val="auto"/>
        </w:rPr>
      </w:pPr>
    </w:p>
    <w:p>
      <w:pPr>
        <w:ind w:right="200"/>
        <w:spacing w:after="0" w:line="266" w:lineRule="auto"/>
        <w:rPr>
          <w:sz w:val="20"/>
          <w:szCs w:val="20"/>
          <w:color w:val="auto"/>
        </w:rPr>
      </w:pPr>
      <w:r>
        <w:rPr>
          <w:rFonts w:ascii="Arial" w:cs="Arial" w:eastAsia="Arial" w:hAnsi="Arial"/>
          <w:sz w:val="13"/>
          <w:szCs w:val="13"/>
          <w:b w:val="1"/>
          <w:bCs w:val="1"/>
          <w:i w:val="1"/>
          <w:iCs w:val="1"/>
          <w:color w:val="auto"/>
        </w:rPr>
        <w:t>If we are unable to maintain effective relationships with our existing third-party marketing companies or if we do not establish successful relationships with new marketing companies, our business, operating results and financial condition could be harmed.</w:t>
      </w:r>
    </w:p>
    <w:p>
      <w:pPr>
        <w:spacing w:after="0" w:line="171" w:lineRule="exact"/>
        <w:rPr>
          <w:sz w:val="20"/>
          <w:szCs w:val="20"/>
          <w:color w:val="auto"/>
        </w:rPr>
      </w:pPr>
    </w:p>
    <w:p>
      <w:pPr>
        <w:ind w:right="160"/>
        <w:spacing w:after="0" w:line="239" w:lineRule="auto"/>
        <w:rPr>
          <w:sz w:val="20"/>
          <w:szCs w:val="20"/>
          <w:color w:val="auto"/>
        </w:rPr>
      </w:pPr>
      <w:r>
        <w:rPr>
          <w:rFonts w:ascii="Arial" w:cs="Arial" w:eastAsia="Arial" w:hAnsi="Arial"/>
          <w:sz w:val="13"/>
          <w:szCs w:val="13"/>
          <w:color w:val="auto"/>
        </w:rPr>
        <w:t>We frequently enter into contractual marketing relationships with online and offline businesses that help us acquire consumer leads. These marketing partners include television advertisers, online advertising companies, call referral programs, and other marketing vendors. We compensate some marketing companies on a fee-per-service model and some on a submitted health insurance application basis. The success of our relationship with each marketing company is dependent on a number of factors, including but not limited to: the continued positive market presence, reputation and growth of the marketing company, the effectiveness of the marketing company’s advertisements, the compliance of each marketing company with applicable laws, regulations and guidelines and the contractual terms we negotiate with the marketing company, including the marketing fees we agree to pay.</w:t>
      </w:r>
    </w:p>
    <w:p>
      <w:pPr>
        <w:spacing w:after="0" w:line="189" w:lineRule="exact"/>
        <w:rPr>
          <w:sz w:val="20"/>
          <w:szCs w:val="20"/>
          <w:color w:val="auto"/>
        </w:rPr>
      </w:pPr>
    </w:p>
    <w:p>
      <w:pPr>
        <w:jc w:val="both"/>
        <w:ind w:right="40"/>
        <w:spacing w:after="0"/>
        <w:rPr>
          <w:sz w:val="20"/>
          <w:szCs w:val="20"/>
          <w:color w:val="auto"/>
        </w:rPr>
      </w:pPr>
      <w:r>
        <w:rPr>
          <w:rFonts w:ascii="Arial" w:cs="Arial" w:eastAsia="Arial" w:hAnsi="Arial"/>
          <w:sz w:val="13"/>
          <w:szCs w:val="13"/>
          <w:color w:val="auto"/>
        </w:rPr>
        <w:t>While we have relationships with a large number of marketing companies, we depend upon services and/or referrals from only a limited number for a significant portion of the submitted applications we receive. Given our reliance on various marketing companies, our business operating results and financial condition would be harmed if (i) we are unable to maintain successful relationships with these companies; (ii) we fail to establish successful relationships with new marketing companies; (iii) we experience competition in our provision of services from key marketing companies; and (iv) if we are required to pay increased amounts to these marketing companies.</w:t>
      </w:r>
    </w:p>
    <w:p>
      <w:pPr>
        <w:spacing w:after="0" w:line="187" w:lineRule="exact"/>
        <w:rPr>
          <w:sz w:val="20"/>
          <w:szCs w:val="20"/>
          <w:color w:val="auto"/>
        </w:rPr>
      </w:pPr>
    </w:p>
    <w:p>
      <w:pPr>
        <w:ind w:right="20"/>
        <w:spacing w:after="0" w:line="239" w:lineRule="auto"/>
        <w:rPr>
          <w:sz w:val="20"/>
          <w:szCs w:val="20"/>
          <w:color w:val="auto"/>
        </w:rPr>
      </w:pPr>
      <w:r>
        <w:rPr>
          <w:rFonts w:ascii="Arial" w:cs="Arial" w:eastAsia="Arial" w:hAnsi="Arial"/>
          <w:sz w:val="13"/>
          <w:szCs w:val="13"/>
          <w:color w:val="auto"/>
        </w:rPr>
        <w:t>Competition for referrals from third-party lead referral companies has increased, particularly during the enrollment periods for Medicare-related health insurance and individual and family health insurance. We may lose referrals if our competitors pay these companies more than we do or be forced to pay increased fees, which could harm our business, operating results and financial condition. In addition, the promulgation of laws, regulations or guidelines, or the interpretation of existing laws, regulations and guidelines, by state departments of insurance or by CMS, could cause our relationships with third-party referral companies to be in non-compliance with those laws, regulations and guidelines. If CMS or state departments of insurance were to change existing laws, regulations or guidelines, or interpret existing laws, regulations or guidelines, to prohibit these arrangements, we could experience a significant decline in the number of Medicare-eligible individuals who are referred to our platforms and Benefits Center, which would harm our business, operating results and financial condition.</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23</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15" w:right="319" w:bottom="1440" w:gutter="0" w:footer="0" w:header="0"/>
        </w:sectPr>
      </w:pPr>
    </w:p>
    <w:bookmarkStart w:id="26" w:name="page27"/>
    <w:bookmarkEnd w:id="26"/>
    <w:p>
      <w:pPr>
        <w:ind w:right="360"/>
        <w:spacing w:after="0" w:line="309" w:lineRule="auto"/>
        <w:rPr>
          <w:sz w:val="20"/>
          <w:szCs w:val="20"/>
          <w:color w:val="auto"/>
        </w:rPr>
      </w:pPr>
      <w:r>
        <w:rPr>
          <w:rFonts w:ascii="Arial" w:cs="Arial" w:eastAsia="Arial" w:hAnsi="Arial"/>
          <w:sz w:val="12"/>
          <w:szCs w:val="12"/>
          <w:b w:val="1"/>
          <w:bCs w:val="1"/>
          <w:i w:val="1"/>
          <w:iCs w:val="1"/>
          <w:color w:val="auto"/>
        </w:rPr>
        <w:t>We are subject to privacy and data protection laws governing the transmission, security and privacy of personal information, particularly individually identifiable health information, which may impose restrictions on the manner in which we process such information and subject us to enforcement and penalties if we are unable to fully comply with such laws.</w:t>
      </w:r>
    </w:p>
    <w:p>
      <w:pPr>
        <w:spacing w:after="0" w:line="147" w:lineRule="exact"/>
        <w:rPr>
          <w:sz w:val="20"/>
          <w:szCs w:val="20"/>
          <w:color w:val="auto"/>
        </w:rPr>
      </w:pPr>
    </w:p>
    <w:p>
      <w:pPr>
        <w:ind w:right="180"/>
        <w:spacing w:after="0" w:line="241" w:lineRule="auto"/>
        <w:rPr>
          <w:sz w:val="20"/>
          <w:szCs w:val="20"/>
          <w:color w:val="auto"/>
        </w:rPr>
      </w:pPr>
      <w:r>
        <w:rPr>
          <w:rFonts w:ascii="Arial" w:cs="Arial" w:eastAsia="Arial" w:hAnsi="Arial"/>
          <w:sz w:val="13"/>
          <w:szCs w:val="13"/>
          <w:color w:val="auto"/>
        </w:rPr>
        <w:t>Numerous federal, state and international laws and regulations govern the collection, use, disclosure, storage, processing, transmission and destruction of personal information, including individually identifiable health information. These laws and regulations, including their interpretation by governmental agencies and regulators, are subject to frequent change. These regulations could have a negative impact on our business, for example:</w:t>
      </w:r>
    </w:p>
    <w:p>
      <w:pPr>
        <w:spacing w:after="0" w:line="186" w:lineRule="exact"/>
        <w:rPr>
          <w:sz w:val="20"/>
          <w:szCs w:val="20"/>
          <w:color w:val="auto"/>
        </w:rPr>
      </w:pPr>
    </w:p>
    <w:p>
      <w:pPr>
        <w:ind w:left="520" w:right="120" w:hanging="260"/>
        <w:spacing w:after="0" w:line="238" w:lineRule="auto"/>
        <w:tabs>
          <w:tab w:leader="none" w:pos="511" w:val="left"/>
        </w:tabs>
        <w:numPr>
          <w:ilvl w:val="0"/>
          <w:numId w:val="19"/>
        </w:numPr>
        <w:rPr>
          <w:rFonts w:ascii="Arial" w:cs="Arial" w:eastAsia="Arial" w:hAnsi="Arial"/>
          <w:sz w:val="13"/>
          <w:szCs w:val="13"/>
          <w:color w:val="auto"/>
        </w:rPr>
      </w:pPr>
      <w:r>
        <w:rPr>
          <w:rFonts w:ascii="Arial" w:cs="Arial" w:eastAsia="Arial" w:hAnsi="Arial"/>
          <w:sz w:val="13"/>
          <w:szCs w:val="13"/>
          <w:color w:val="auto"/>
        </w:rPr>
        <w:t>HIPAA and its implementing regulations were enacted to ensure that employees can retain and at times transfer their health insurance when they change jobs, and to simplify healthcare administrative processes. The enactment of HIPAA also expanded protection of the privacy and security of protected health information and required the adoption of standards for the exchange of electronic health information. Among the standards that the Department of Health and Human Services has adopted pursuant to HIPAA are standards for electronic transactions and code sets, unique identifiers for providers, employers, health plans and individuals, security, electronic signatures, privacy and enforcement. Failure to comply with HIPAA could result in enforcement activity, fines, penalties and litigation that could have a material adverse effect on us;</w:t>
      </w:r>
    </w:p>
    <w:p>
      <w:pPr>
        <w:spacing w:after="0" w:line="1" w:lineRule="exact"/>
        <w:rPr>
          <w:rFonts w:ascii="Arial" w:cs="Arial" w:eastAsia="Arial" w:hAnsi="Arial"/>
          <w:sz w:val="13"/>
          <w:szCs w:val="13"/>
          <w:color w:val="auto"/>
        </w:rPr>
      </w:pPr>
    </w:p>
    <w:p>
      <w:pPr>
        <w:ind w:left="520" w:right="180" w:hanging="260"/>
        <w:spacing w:after="0" w:line="238" w:lineRule="auto"/>
        <w:tabs>
          <w:tab w:leader="none" w:pos="511"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Health Information Technology for Economic and Clinical Health Act (“HITECH Act”) sets forth health information security breach notification requirements and increased penalties for violation of HIPAA. The HITECH Act requires individual notification for all breaches, media notification of breaches of over 500 individuals and at least annual reporting of all breaches to the Department of Health and Human Services. The HITECH Act also replaced the prior penalty system with a four-tier system of sanctions for breaches ranging from the original $100 per violation and an annual maximum of $25,000 for the first tier to a fourth-tier minimum of $50,000 per violation and an annual maximum of $1.5 million per violation category. These penalties are required to be adjusted for inflation. Failure to comply with the HITECH Act could result in enforcement activity, fines, penalties and litigation that could have a material adverse effect on us;</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Other federal and state laws restricting the use and protecting the privacy and security of individually identifiable information may apply, many of which are not preempted by HIPAA; and</w:t>
      </w:r>
    </w:p>
    <w:p>
      <w:pPr>
        <w:ind w:left="520" w:right="440" w:hanging="260"/>
        <w:spacing w:after="0" w:line="244" w:lineRule="auto"/>
        <w:tabs>
          <w:tab w:leader="none" w:pos="511" w:val="left"/>
        </w:tabs>
        <w:numPr>
          <w:ilvl w:val="0"/>
          <w:numId w:val="19"/>
        </w:numPr>
        <w:rPr>
          <w:rFonts w:ascii="Arial" w:cs="Arial" w:eastAsia="Arial" w:hAnsi="Arial"/>
          <w:sz w:val="13"/>
          <w:szCs w:val="13"/>
          <w:color w:val="auto"/>
        </w:rPr>
      </w:pPr>
      <w:r>
        <w:rPr>
          <w:rFonts w:ascii="Arial" w:cs="Arial" w:eastAsia="Arial" w:hAnsi="Arial"/>
          <w:sz w:val="13"/>
          <w:szCs w:val="13"/>
          <w:color w:val="auto"/>
        </w:rPr>
        <w:t>Federal and state consumer protection laws are increasingly being applied by the FTC and states’ attorneys general to regulate the collection, use, processing, destruction, storage and disclosure of individually identifiable information, through websites or otherwise, and to regulate the presentation of website content.</w:t>
      </w:r>
    </w:p>
    <w:p>
      <w:pPr>
        <w:spacing w:after="0" w:line="184" w:lineRule="exact"/>
        <w:rPr>
          <w:sz w:val="20"/>
          <w:szCs w:val="20"/>
          <w:color w:val="auto"/>
        </w:rPr>
      </w:pPr>
    </w:p>
    <w:p>
      <w:pPr>
        <w:ind w:right="40"/>
        <w:spacing w:after="0" w:line="264" w:lineRule="auto"/>
        <w:rPr>
          <w:sz w:val="20"/>
          <w:szCs w:val="20"/>
          <w:color w:val="auto"/>
        </w:rPr>
      </w:pPr>
      <w:r>
        <w:rPr>
          <w:rFonts w:ascii="Arial" w:cs="Arial" w:eastAsia="Arial" w:hAnsi="Arial"/>
          <w:sz w:val="12"/>
          <w:szCs w:val="12"/>
          <w:color w:val="auto"/>
        </w:rPr>
        <w:t>We are required to comply with federal and state laws governing the transmission, security and privacy of personal information that we may obtain or have access to in connection with the provision of our services. Our facilities and systems, and those of our third-party vendors and subcontractors, are vulnerable to security breaches, acts of vandalism or theft, computer viruses, malware, ransomware, denial-of-service attacks, misplaced or lost data, programming and human errors or other similar events. Due to the enactment of the HITECH Act, we are not able to predict the extent of the impact such incidents may have on our business. Our failure to comply may result in criminal and civil liability especially because the potential for enforcement action against business associates is now greater. Enforcement actions against us could be costly and could interrupt regular operations or the availability of data, which may adversely affect our business.</w:t>
      </w:r>
    </w:p>
    <w:p>
      <w:pPr>
        <w:spacing w:after="0" w:line="175" w:lineRule="exact"/>
        <w:rPr>
          <w:sz w:val="20"/>
          <w:szCs w:val="20"/>
          <w:color w:val="auto"/>
        </w:rPr>
      </w:pPr>
    </w:p>
    <w:p>
      <w:pPr>
        <w:ind w:right="60"/>
        <w:spacing w:after="0" w:line="239" w:lineRule="auto"/>
        <w:rPr>
          <w:sz w:val="20"/>
          <w:szCs w:val="20"/>
          <w:color w:val="auto"/>
        </w:rPr>
      </w:pPr>
      <w:r>
        <w:rPr>
          <w:rFonts w:ascii="Arial" w:cs="Arial" w:eastAsia="Arial" w:hAnsi="Arial"/>
          <w:sz w:val="13"/>
          <w:szCs w:val="13"/>
          <w:color w:val="auto"/>
        </w:rPr>
        <w:t>Under the HITECH Act, as a business associate we may also be directly or independently liable for privacy and security breaches and failures of our subcontractors. We have limited control over their actions and practices, and a breach of privacy or security of individually identifiable health information by a subcontractor or other entity operating on our behalf may result in an enforcement action, including criminal and civil liability, against us or litigation by a covered entity with whom we have a contractual relationship. In addition, numerous other federal and state laws protect the confidentiality of individually identifiable information as well as employee personal information, including state medical privacy laws, state social security number protection laws, and federal and state consumer protection laws. These various laws in many cases are not preempted by HIPAA and may be subject to varying interpretations by the courts and government agencies, creating complex compliance issues for us and our customers and potentially exposing us to additional expense, adverse publicity and liability, any of which could adversely affect our business, operating results and financial condition.</w:t>
      </w:r>
    </w:p>
    <w:p>
      <w:pPr>
        <w:spacing w:after="0" w:line="189"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State and federal laws may apply to our collection, use, handling, processing, destruction, disclosure, and storage as well. For example, the CCPA, which became enforceable by the California Attorney General on July 1, 2020, affords consumers expanded privacy protections and control over the collection, use and sharing of their personal information. The CCPA was recently amended, and it is possible it will be amended again by other pending legislative initiatives or by popular referendum. The Attorney General of California is promulgating implementing CCPA regulations which are undergoing successive rounds of public comment and revision. The potential effects of this legislation, including whether and how the law will be applied to the consumer health-related data we collect through our service, are far-reaching and may require us to modify our data processing practices and policies and to incur substantial costs and expenses in an effort to comply. The CCPA gives California residents expanded rights to access and require deletion of their personal information, opt out of certain personal information sharing and receive detailed information about how their personal information is used. The CCPA also provides for civil penalties for violations, as well as a private right of action for data breaches that may increase data breach litigation. The CCPA does contain an exemption</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24</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92" w:right="319" w:bottom="1440" w:gutter="0" w:footer="0" w:header="0"/>
        </w:sectPr>
      </w:pPr>
    </w:p>
    <w:bookmarkStart w:id="27" w:name="page28"/>
    <w:bookmarkEnd w:id="27"/>
    <w:p>
      <w:pPr>
        <w:jc w:val="both"/>
        <w:ind w:right="40"/>
        <w:spacing w:after="0" w:line="241" w:lineRule="auto"/>
        <w:rPr>
          <w:sz w:val="20"/>
          <w:szCs w:val="20"/>
          <w:color w:val="auto"/>
        </w:rPr>
      </w:pPr>
      <w:r>
        <w:rPr>
          <w:rFonts w:ascii="Arial" w:cs="Arial" w:eastAsia="Arial" w:hAnsi="Arial"/>
          <w:sz w:val="13"/>
          <w:szCs w:val="13"/>
          <w:color w:val="auto"/>
        </w:rPr>
        <w:t>for medical information governed by the California Confidentiality of Medical Information Act (“CMIA”), and for protected health information collected by a covered entity or business associate governed by the privacy, security and breach notification rule established pursuant to HIPAA and HITECH, but the precise application and scope of this exemption as well as how it would apply to our business is not yet clear. The CCPA also has encouraged “copycat” legislative proposals in other states across the country such as Nevada, Virginia, New Hampshire, Illinois and Nebraska.</w:t>
      </w:r>
    </w:p>
    <w:p>
      <w:pPr>
        <w:spacing w:after="0" w:line="186" w:lineRule="exact"/>
        <w:rPr>
          <w:sz w:val="20"/>
          <w:szCs w:val="20"/>
          <w:color w:val="auto"/>
        </w:rPr>
      </w:pPr>
    </w:p>
    <w:p>
      <w:pPr>
        <w:ind w:right="100"/>
        <w:spacing w:after="0" w:line="239" w:lineRule="auto"/>
        <w:rPr>
          <w:sz w:val="20"/>
          <w:szCs w:val="20"/>
          <w:color w:val="auto"/>
        </w:rPr>
      </w:pPr>
      <w:r>
        <w:rPr>
          <w:rFonts w:ascii="Arial" w:cs="Arial" w:eastAsia="Arial" w:hAnsi="Arial"/>
          <w:sz w:val="13"/>
          <w:szCs w:val="13"/>
          <w:color w:val="auto"/>
        </w:rPr>
        <w:t>The NYDFS Cybersecurity Regulation for financial services companies, including insurance entities under NYDFS jurisdiction, requires entities to establish and maintain a cybersecurity program designed to protect private consumer data, and implement a risk assessment designed to perform core cybersecurity functions. The regulation specifically provides for: (i) controls relating to the governance framework for a cybersecurity program; (ii) risk-based minimum standards for technology systems for data protection; (iii) minimum standards for cyber breach responses, including notice to the NYDFS, of material events; and (iv) identification and documentation of material deficiencies, remediation plans and annual certification of regulatory compliance with the NYDFS. The Cybersecurity Regulation also requires implementation of continuous monitoring of information technology systems or periodic penetration testing and vulnerability assessments. Similarly, the Massachusetts data protection law and the New York Stop Hacks and Improve Data Security Act (“SHIELD Act”) both require companies to implement a written information security program that contains appropriate administrative, technical, and physical safeguards as defined in the respective statute.</w:t>
      </w:r>
    </w:p>
    <w:p>
      <w:pPr>
        <w:spacing w:after="0" w:line="189" w:lineRule="exact"/>
        <w:rPr>
          <w:sz w:val="20"/>
          <w:szCs w:val="20"/>
          <w:color w:val="auto"/>
        </w:rPr>
      </w:pPr>
    </w:p>
    <w:p>
      <w:pPr>
        <w:jc w:val="both"/>
        <w:ind w:right="220"/>
        <w:spacing w:after="0"/>
        <w:rPr>
          <w:sz w:val="20"/>
          <w:szCs w:val="20"/>
          <w:color w:val="auto"/>
        </w:rPr>
      </w:pPr>
      <w:r>
        <w:rPr>
          <w:rFonts w:ascii="Arial" w:cs="Arial" w:eastAsia="Arial" w:hAnsi="Arial"/>
          <w:sz w:val="13"/>
          <w:szCs w:val="13"/>
          <w:color w:val="auto"/>
        </w:rPr>
        <w:t>In October 2017, the NAIC adopted the Insurance Data Security Model Law (“Cybersecurity Model Law”), which is intended to establish the standards for data security and for the investigation and notification of data breaches applicable to insurance licensees in states adopting such law. To date, the Cybersecurity Model Law has been adopted by Alabama, Connecticut, Delaware, Michigan, Mississippi, New Hampshire, Ohio and South Carolina, with several other states expected to adopt in the near future. The Cybersecurity Model Law could impose significant new regulatory burdens intended to protect the confidentiality, integrity and availability of information systems. The NAIC model law is functionally similar to the NYDFS rule.</w:t>
      </w:r>
    </w:p>
    <w:p>
      <w:pPr>
        <w:spacing w:after="0" w:line="187"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We are subject to these and other complex and evolving federal, state and local laws and regulations regarding privacy, data protection and other matters. Many of these laws and regulations are subject to change and uncertain interpretation. The U.S. federal and state governments and agencies may in the future enact new legislation and promulgate new regulations governing collection, use, disclosure, storage, processing, transmission and destruction of personal information and other data. Compliance with existing and emerging privacy and cybersecurity laws and regulations could result in increased compliance costs and/or lead to changes in business practices and policies. In addition, any failure or perceived failure by us to maintain posted privacy policies which are accurate, comprehensive and fully implemented, and any violation or perceived violation of our privacy-, data protection- or information security-related obligations to customers, users or other third parties or any of our other legal obligations relating to privacy, data protection or information security may result in governmental investigations or enforcement actions, litigation, claims or public statements against us by consumer advocacy groups or others, and could result in significant liability, loss of relationships with key third parties including carriers, social media networks and other data providers, or cause our consumers to lose trust in us, which could have material impacts on our revenue and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Risks from third-party products could adversely affect our businesses.</w:t>
      </w:r>
    </w:p>
    <w:p>
      <w:pPr>
        <w:spacing w:after="0" w:line="204" w:lineRule="exact"/>
        <w:rPr>
          <w:sz w:val="20"/>
          <w:szCs w:val="20"/>
          <w:color w:val="auto"/>
        </w:rPr>
      </w:pPr>
    </w:p>
    <w:p>
      <w:pPr>
        <w:ind w:right="260"/>
        <w:spacing w:after="0" w:line="241" w:lineRule="auto"/>
        <w:rPr>
          <w:sz w:val="20"/>
          <w:szCs w:val="20"/>
          <w:color w:val="auto"/>
        </w:rPr>
      </w:pPr>
      <w:r>
        <w:rPr>
          <w:rFonts w:ascii="Arial" w:cs="Arial" w:eastAsia="Arial" w:hAnsi="Arial"/>
          <w:sz w:val="13"/>
          <w:szCs w:val="13"/>
          <w:color w:val="auto"/>
        </w:rPr>
        <w:t>We offer third-party products, including health insurance products. Insurance involves a transfer of risk and our reputation may be harmed and we may become a target for litigation if risk is not transferred in the way expected by customers and carriers. In addition, if these third party products do not provide the quality of service our customers expect, customers may correlate the negative experience with our service. Significant declines in the performance of these third-party products could subject us to reputational damage and litigation risk.</w:t>
      </w:r>
    </w:p>
    <w:p>
      <w:pPr>
        <w:spacing w:after="0" w:line="172" w:lineRule="exact"/>
        <w:rPr>
          <w:sz w:val="20"/>
          <w:szCs w:val="20"/>
          <w:color w:val="auto"/>
        </w:rPr>
      </w:pPr>
    </w:p>
    <w:p>
      <w:pPr>
        <w:ind w:right="100"/>
        <w:spacing w:after="0" w:line="266" w:lineRule="auto"/>
        <w:rPr>
          <w:sz w:val="20"/>
          <w:szCs w:val="20"/>
          <w:color w:val="auto"/>
        </w:rPr>
      </w:pPr>
      <w:r>
        <w:rPr>
          <w:rFonts w:ascii="Arial" w:cs="Arial" w:eastAsia="Arial" w:hAnsi="Arial"/>
          <w:sz w:val="13"/>
          <w:szCs w:val="13"/>
          <w:b w:val="1"/>
          <w:bCs w:val="1"/>
          <w:i w:val="1"/>
          <w:iCs w:val="1"/>
          <w:color w:val="auto"/>
        </w:rPr>
        <w:t>If we are unable to develop new product and service offerings and expand our business scope to penetrate new markets and opportunities, our business, operating results and financial condition would be harmed.</w:t>
      </w:r>
    </w:p>
    <w:p>
      <w:pPr>
        <w:spacing w:after="0" w:line="171" w:lineRule="exact"/>
        <w:rPr>
          <w:sz w:val="20"/>
          <w:szCs w:val="20"/>
          <w:color w:val="auto"/>
        </w:rPr>
      </w:pPr>
    </w:p>
    <w:p>
      <w:pPr>
        <w:jc w:val="both"/>
        <w:ind w:right="480"/>
        <w:spacing w:after="0" w:line="267" w:lineRule="auto"/>
        <w:rPr>
          <w:sz w:val="20"/>
          <w:szCs w:val="20"/>
          <w:color w:val="auto"/>
        </w:rPr>
      </w:pPr>
      <w:r>
        <w:rPr>
          <w:rFonts w:ascii="Arial" w:cs="Arial" w:eastAsia="Arial" w:hAnsi="Arial"/>
          <w:sz w:val="12"/>
          <w:szCs w:val="12"/>
          <w:color w:val="auto"/>
        </w:rPr>
        <w:t>Our business strategy includes expanding our existing products and services. We are investing in new opportunities to broaden our business scope to penetrate new markets and opportunities. However, we may not be able to execute on all of these investments. We may be limited by current or future laws, regulations and guidelines, carriers may not embrace these investments, and customers may not appreciate these products and services. In addition, these investments often rely upon appropriate and effective relationships with third parties and we may not find suitable partners. Failure to develop new and successful product and service offerings may hinder our growth potential and adversely affect our business, operating results and financial condition.</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international operations subject us to additional risks which could have an adverse effect on our business, operating results and financial condition.</w:t>
      </w:r>
    </w:p>
    <w:p>
      <w:pPr>
        <w:spacing w:after="0" w:line="204" w:lineRule="exact"/>
        <w:rPr>
          <w:sz w:val="20"/>
          <w:szCs w:val="20"/>
          <w:color w:val="auto"/>
        </w:rPr>
      </w:pPr>
    </w:p>
    <w:p>
      <w:pPr>
        <w:ind w:right="40"/>
        <w:spacing w:after="0"/>
        <w:rPr>
          <w:sz w:val="20"/>
          <w:szCs w:val="20"/>
          <w:color w:val="auto"/>
        </w:rPr>
      </w:pPr>
      <w:r>
        <w:rPr>
          <w:rFonts w:ascii="Arial" w:cs="Arial" w:eastAsia="Arial" w:hAnsi="Arial"/>
          <w:sz w:val="13"/>
          <w:szCs w:val="13"/>
          <w:color w:val="auto"/>
        </w:rPr>
        <w:t>We have attempted to control our operating expenses by utilizing lower cost labor in foreign countries such as Slovakia and Honduras and we may in the future expand our reliance on offshore labor to other countries. As of December 31, 2021, 125 of our employees were based in Slovakia. Our employees in Slovakia help develop, test and maintain our Marketplace technology. Additionally, we outsource certain of our call center operations to a company in Honduras. Countries outside of the United States may be subject to relatively higher degrees of political and social instability and may lack the infrastructure to withstand political unrest or natural disasters. The occurrence of natural disasters, pandemics, such as COVID-19, or political or economic</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25</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15" w:right="319" w:bottom="1440" w:gutter="0" w:footer="0" w:header="0"/>
        </w:sectPr>
      </w:pPr>
    </w:p>
    <w:bookmarkStart w:id="28" w:name="page29"/>
    <w:bookmarkEnd w:id="28"/>
    <w:p>
      <w:pPr>
        <w:ind w:right="80"/>
        <w:spacing w:after="0" w:line="239" w:lineRule="auto"/>
        <w:rPr>
          <w:sz w:val="20"/>
          <w:szCs w:val="20"/>
          <w:color w:val="auto"/>
        </w:rPr>
      </w:pPr>
      <w:r>
        <w:rPr>
          <w:rFonts w:ascii="Arial" w:cs="Arial" w:eastAsia="Arial" w:hAnsi="Arial"/>
          <w:sz w:val="13"/>
          <w:szCs w:val="13"/>
          <w:color w:val="auto"/>
        </w:rPr>
        <w:t>instability in these countries could interfere with work performed by these labor sources or could result in our having to replace or reduce these labor sources. Our vendors in other countries could potentially shut down suddenly for any reason, including financial problems or personnel issues. Such disruptions could decrease efficiency, increase our costs and have an adverse effect on our business or results of operations. For example, following Russia’s military invasion of Ukraine in February 2022, NATO deployed additional military forces to Eastern Europe, and the United States, European Union, and other nations announced various sanctions against Russia. The invasion of Ukraine and the retaliatory measures that have been taken, and could be taken in future, by the U.S., NATO, and other countries have created global security concerns that could result in a regional conflict and otherwise have a lasting impact on regional and global economies, any or all of which could adversely affect our business.</w:t>
      </w:r>
    </w:p>
    <w:p>
      <w:pPr>
        <w:spacing w:after="0" w:line="189" w:lineRule="exact"/>
        <w:rPr>
          <w:sz w:val="20"/>
          <w:szCs w:val="20"/>
          <w:color w:val="auto"/>
        </w:rPr>
      </w:pPr>
    </w:p>
    <w:p>
      <w:pPr>
        <w:ind w:right="300"/>
        <w:spacing w:after="0"/>
        <w:rPr>
          <w:sz w:val="20"/>
          <w:szCs w:val="20"/>
          <w:color w:val="auto"/>
        </w:rPr>
      </w:pPr>
      <w:r>
        <w:rPr>
          <w:rFonts w:ascii="Arial" w:cs="Arial" w:eastAsia="Arial" w:hAnsi="Arial"/>
          <w:sz w:val="13"/>
          <w:szCs w:val="13"/>
          <w:color w:val="auto"/>
        </w:rPr>
        <w:t>The practice of utilizing labor based in foreign countries has come under increased scrutiny in the United States. Governmental authorities, including CMS, could seek to impose financial costs or restrictions on foreign companies providing services to customers or companies in the United States. Governmental authorities may attempt to prohibit or otherwise discourage us from sourcing services from offshore labor. In addition, carriers may require us to use labor based in the United States for regulatory or other reasons. To the extent that we are required to use labor based in the United States, we may face increased costs as a result of higher-priced United States-based labor.</w:t>
      </w:r>
    </w:p>
    <w:p>
      <w:pPr>
        <w:spacing w:after="0" w:line="187" w:lineRule="exact"/>
        <w:rPr>
          <w:sz w:val="20"/>
          <w:szCs w:val="20"/>
          <w:color w:val="auto"/>
        </w:rPr>
      </w:pPr>
    </w:p>
    <w:p>
      <w:pPr>
        <w:ind w:right="100"/>
        <w:spacing w:after="0" w:line="241" w:lineRule="auto"/>
        <w:rPr>
          <w:sz w:val="20"/>
          <w:szCs w:val="20"/>
          <w:color w:val="auto"/>
        </w:rPr>
      </w:pPr>
      <w:r>
        <w:rPr>
          <w:rFonts w:ascii="Arial" w:cs="Arial" w:eastAsia="Arial" w:hAnsi="Arial"/>
          <w:sz w:val="13"/>
          <w:szCs w:val="13"/>
          <w:color w:val="auto"/>
        </w:rPr>
        <w:t>The Foreign Corrupt Practices Act (“FCPA”), and other applicable anti-corruption laws and regulations prohibit certain types of payments by our employees, vendors and agents. Any violation of the applicable anti-corruption laws or regulations by us, our subsidiaries or our local agents could expose us to significant penalties, fines, settlements, costs and consent orders that may curtail or restrict our business as it is currently conducted and could have an adverse effect on our business, financial condition or results of operations.</w:t>
      </w:r>
    </w:p>
    <w:p>
      <w:pPr>
        <w:spacing w:after="0" w:line="172" w:lineRule="exact"/>
        <w:rPr>
          <w:sz w:val="20"/>
          <w:szCs w:val="20"/>
          <w:color w:val="auto"/>
        </w:rPr>
      </w:pPr>
    </w:p>
    <w:p>
      <w:pPr>
        <w:ind w:right="140"/>
        <w:spacing w:after="0" w:line="266" w:lineRule="auto"/>
        <w:rPr>
          <w:sz w:val="20"/>
          <w:szCs w:val="20"/>
          <w:color w:val="auto"/>
        </w:rPr>
      </w:pPr>
      <w:r>
        <w:rPr>
          <w:rFonts w:ascii="Arial" w:cs="Arial" w:eastAsia="Arial" w:hAnsi="Arial"/>
          <w:sz w:val="13"/>
          <w:szCs w:val="13"/>
          <w:b w:val="1"/>
          <w:bCs w:val="1"/>
          <w:i w:val="1"/>
          <w:iCs w:val="1"/>
          <w:color w:val="auto"/>
        </w:rPr>
        <w:t>If we are not able to maintain and enhance our brand, our business and operating results will be harmed. Damage to our reputation and negative publicity could have a material adverse effect on our business, financial condition and results of operations.</w:t>
      </w:r>
    </w:p>
    <w:p>
      <w:pPr>
        <w:spacing w:after="0" w:line="171" w:lineRule="exact"/>
        <w:rPr>
          <w:sz w:val="20"/>
          <w:szCs w:val="20"/>
          <w:color w:val="auto"/>
        </w:rPr>
      </w:pPr>
    </w:p>
    <w:p>
      <w:pPr>
        <w:ind w:right="20"/>
        <w:spacing w:after="0" w:line="239" w:lineRule="auto"/>
        <w:rPr>
          <w:sz w:val="20"/>
          <w:szCs w:val="20"/>
          <w:color w:val="auto"/>
        </w:rPr>
      </w:pPr>
      <w:r>
        <w:rPr>
          <w:rFonts w:ascii="Arial" w:cs="Arial" w:eastAsia="Arial" w:hAnsi="Arial"/>
          <w:sz w:val="13"/>
          <w:szCs w:val="13"/>
          <w:color w:val="auto"/>
        </w:rPr>
        <w:t>We believe that maintaining and enhancing our brand identity is critical to our relationships with our existing carriers and to our ability to attract new customers, marketing partners and carriers. We also intend to grow our brand awareness among consumers, marketing partners and carriers in order to further expand our marketplace and attract new consumers, marketing partners and carriers. The promotion of our brand in these and other ways may require us to make substantial investments and we anticipate that, as our market becomes increasingly competitive, these branding initiatives may become increasingly difficult and expensive. Our brand promotion activities may not be successful or yield increased revenue, and to the extent that these activities yield increased revenue, the increased revenue may not offset the expenses we incur and our operating results could be harmed. If we do not successfully maintain and enhance our brand, our business may not grow and we could lose our relationships with carriers, marketing partners or customers, which would harm our business, operating results and financial condition.</w:t>
      </w:r>
    </w:p>
    <w:p>
      <w:pPr>
        <w:spacing w:after="0" w:line="189" w:lineRule="exact"/>
        <w:rPr>
          <w:sz w:val="20"/>
          <w:szCs w:val="20"/>
          <w:color w:val="auto"/>
        </w:rPr>
      </w:pPr>
    </w:p>
    <w:p>
      <w:pPr>
        <w:ind w:right="100"/>
        <w:spacing w:after="0" w:line="239" w:lineRule="auto"/>
        <w:rPr>
          <w:sz w:val="20"/>
          <w:szCs w:val="20"/>
          <w:color w:val="auto"/>
        </w:rPr>
      </w:pPr>
      <w:r>
        <w:rPr>
          <w:rFonts w:ascii="Arial" w:cs="Arial" w:eastAsia="Arial" w:hAnsi="Arial"/>
          <w:sz w:val="13"/>
          <w:szCs w:val="13"/>
          <w:color w:val="auto"/>
        </w:rPr>
        <w:t>We may be adversely affected by negative publicity relating to brand and activities. For instance, if our brand receives negative publicity, the number of customers visiting our platforms or Benefits Center could decrease, and our cost of acquiring customers could increase as a result of a reduction in the number of consumers coming from our direct customer acquisition channel. Additionally, there is at least one other third party business which uses the “GoHealth” name, but is not affiliated with our business. While we agreed with the third party that our “GoHealth” marks can coexist with the third party’s use of “GoHealth” in their business without creating a likelihood of consumer confusion, we entered into a co-existence agreement with the third-party that, among other things, places certain restrictions on both their use of “GoHealth,” as well as ours, in order to further mitigate any risk of confusion. Nevertheless, if our business is mistakenly confused with their business or another business, the value of our brand could be adversely impacted, which could harm our business, operating results and financial condition.</w:t>
      </w:r>
    </w:p>
    <w:p>
      <w:pPr>
        <w:spacing w:after="0" w:line="175" w:lineRule="exact"/>
        <w:rPr>
          <w:sz w:val="20"/>
          <w:szCs w:val="20"/>
          <w:color w:val="auto"/>
        </w:rPr>
      </w:pPr>
    </w:p>
    <w:p>
      <w:pPr>
        <w:ind w:right="320"/>
        <w:spacing w:after="0" w:line="266" w:lineRule="auto"/>
        <w:rPr>
          <w:sz w:val="20"/>
          <w:szCs w:val="20"/>
          <w:color w:val="auto"/>
        </w:rPr>
      </w:pPr>
      <w:r>
        <w:rPr>
          <w:rFonts w:ascii="Arial" w:cs="Arial" w:eastAsia="Arial" w:hAnsi="Arial"/>
          <w:sz w:val="13"/>
          <w:szCs w:val="13"/>
          <w:b w:val="1"/>
          <w:bCs w:val="1"/>
          <w:i w:val="1"/>
          <w:iCs w:val="1"/>
          <w:color w:val="auto"/>
        </w:rPr>
        <w:t>Any legal liability, regulatory penalties, or negative publicity for the information on our website or that we otherwise provide could harm our business, operating results and financial condition.</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We provide information on our website, through our Benefits Center, in our marketing materials and in other ways regarding health insurance in general and the health insurance plans we market and sell, including information relating to insurance premiums, coverage, benefits, provider networks, exclusions, limitations, availability, plan comparisons and insurance company ratings. A significant amount of both automated and manual effort is required to maintain the considerable amount of insurance plan information on our website. If the information we provide on our website, through our Benefits Center, in our marketing materials or otherwise is not accurate or is construed as misleading, or if we do not properly assist individuals and businesses in purchasing health insurance, customers, carriers and others could attempt to hold us liable for damages, our relationships with carriers could be terminated or impaired and regulators could attempt to subject us to penalties, revoke our licenses to transact health insurance business in a particular jurisdiction, and/or compromise the status of our licenses to transact health insurance business in other jurisdictions, which could result in our loss of commission revenue. In the ordinary course of operating our business, we have received complaints that the information we provided was not accurate or was misleading. Although in the past we have resolved these complaints without significant financial cost or impact to our brand or reputation, we cannot guarantee that we will be able to do so in the future. Our sales of individual and family plans that do not qualify as minimum essential coverage, thereby lacking the same benefits as major medical health insurance plans, may increase the risk that we</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26</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15" w:right="319" w:bottom="1440" w:gutter="0" w:footer="0" w:header="0"/>
        </w:sectPr>
      </w:pPr>
    </w:p>
    <w:bookmarkStart w:id="29" w:name="page30"/>
    <w:bookmarkEnd w:id="29"/>
    <w:p>
      <w:pPr>
        <w:jc w:val="both"/>
        <w:ind w:right="40"/>
        <w:spacing w:after="0" w:line="238" w:lineRule="auto"/>
        <w:rPr>
          <w:sz w:val="20"/>
          <w:szCs w:val="20"/>
          <w:color w:val="auto"/>
        </w:rPr>
      </w:pPr>
      <w:r>
        <w:rPr>
          <w:rFonts w:ascii="Arial" w:cs="Arial" w:eastAsia="Arial" w:hAnsi="Arial"/>
          <w:sz w:val="13"/>
          <w:szCs w:val="13"/>
          <w:color w:val="auto"/>
        </w:rPr>
        <w:t>receive complaints regarding our marketing and business practices due to the potential for customer confusion between such plans and major medical health insurance. These types of claims could be time-consuming and expensive to defend, could divert our management’s attention and other resources, and could cause a loss of confidence in our services. As a result, whether or not we are able to successfully resolve these claims, they could harm our business, operating results and financial condition.</w:t>
      </w:r>
    </w:p>
    <w:p>
      <w:pPr>
        <w:spacing w:after="0" w:line="1" w:lineRule="exact"/>
        <w:rPr>
          <w:sz w:val="20"/>
          <w:szCs w:val="20"/>
          <w:color w:val="auto"/>
        </w:rPr>
      </w:pPr>
    </w:p>
    <w:p>
      <w:pPr>
        <w:ind w:right="220"/>
        <w:spacing w:after="0" w:line="244" w:lineRule="auto"/>
        <w:rPr>
          <w:sz w:val="20"/>
          <w:szCs w:val="20"/>
          <w:color w:val="auto"/>
        </w:rPr>
      </w:pPr>
      <w:r>
        <w:rPr>
          <w:rFonts w:ascii="Arial" w:cs="Arial" w:eastAsia="Arial" w:hAnsi="Arial"/>
          <w:sz w:val="13"/>
          <w:szCs w:val="13"/>
          <w:color w:val="auto"/>
        </w:rPr>
        <w:t>In addition, if regulators believe our websites or marketing material are not compliant with applicable laws or regulations, we could be forced to stop using our websites, marketing material or certain aspects of them, which would harm our business, operating results and financial condition.</w:t>
      </w:r>
    </w:p>
    <w:p>
      <w:pPr>
        <w:spacing w:after="0" w:line="170" w:lineRule="exact"/>
        <w:rPr>
          <w:sz w:val="20"/>
          <w:szCs w:val="20"/>
          <w:color w:val="auto"/>
        </w:rPr>
      </w:pPr>
    </w:p>
    <w:p>
      <w:pPr>
        <w:ind w:right="360"/>
        <w:spacing w:after="0" w:line="266" w:lineRule="auto"/>
        <w:rPr>
          <w:sz w:val="20"/>
          <w:szCs w:val="20"/>
          <w:color w:val="auto"/>
        </w:rPr>
      </w:pPr>
      <w:r>
        <w:rPr>
          <w:rFonts w:ascii="Arial" w:cs="Arial" w:eastAsia="Arial" w:hAnsi="Arial"/>
          <w:sz w:val="13"/>
          <w:szCs w:val="13"/>
          <w:b w:val="1"/>
          <w:bCs w:val="1"/>
          <w:i w:val="1"/>
          <w:iCs w:val="1"/>
          <w:color w:val="auto"/>
        </w:rPr>
        <w:t>The ongoing COVID-19 pandemic has had and may continue to have an adverse effect on our business, results of operations and financial condition. The nature and extent of future impacts is uncertain and unpredictable.</w:t>
      </w:r>
    </w:p>
    <w:p>
      <w:pPr>
        <w:spacing w:after="0" w:line="171" w:lineRule="exact"/>
        <w:rPr>
          <w:sz w:val="20"/>
          <w:szCs w:val="20"/>
          <w:color w:val="auto"/>
        </w:rPr>
      </w:pPr>
    </w:p>
    <w:p>
      <w:pPr>
        <w:ind w:right="20"/>
        <w:spacing w:after="0" w:line="239" w:lineRule="auto"/>
        <w:rPr>
          <w:sz w:val="20"/>
          <w:szCs w:val="20"/>
          <w:color w:val="auto"/>
        </w:rPr>
      </w:pPr>
      <w:r>
        <w:rPr>
          <w:rFonts w:ascii="Arial" w:cs="Arial" w:eastAsia="Arial" w:hAnsi="Arial"/>
          <w:sz w:val="13"/>
          <w:szCs w:val="13"/>
          <w:color w:val="auto"/>
        </w:rPr>
        <w:t>Global health concerns relating specifically to public health crises, illnesses and pandemics, could materially impact our business, operations and financial condition. Specifically, the COVID-19 pandemic have been weighing on the macroeconomic environment, and has at times significantly increased economic uncertainty. In particular, the continuing preventative and precautionary measures that we and other businesses, communities and governments have taken to mitigate the spread of the disease has led to restrictions on, disruptions in, and other related impacts on business and personal activities. These measures have not only negatively impacted consumer spending and business spending habits, but they have also adversely impacted and may further impact our workforce and operations and the operations of carriers, consumers and our business partners. While Covid-19 case volumes appear to be decreasing in the U.S. and certain other countries, uncertainty remains.</w:t>
      </w:r>
    </w:p>
    <w:p>
      <w:pPr>
        <w:spacing w:after="0" w:line="178" w:lineRule="exact"/>
        <w:rPr>
          <w:sz w:val="20"/>
          <w:szCs w:val="20"/>
          <w:color w:val="auto"/>
        </w:rPr>
      </w:pPr>
    </w:p>
    <w:p>
      <w:pPr>
        <w:ind w:right="60"/>
        <w:spacing w:after="0" w:line="225" w:lineRule="auto"/>
        <w:rPr>
          <w:sz w:val="20"/>
          <w:szCs w:val="20"/>
          <w:color w:val="auto"/>
        </w:rPr>
      </w:pPr>
      <w:r>
        <w:rPr>
          <w:rFonts w:ascii="Arial" w:cs="Arial" w:eastAsia="Arial" w:hAnsi="Arial"/>
          <w:sz w:val="13"/>
          <w:szCs w:val="13"/>
          <w:color w:val="auto"/>
        </w:rPr>
        <w:t>The COVID-19 pandemic has caused us to modify our business practices (including with respect to employee travel, employee work locations, and at times cancellation or modification of physical participation in meetings, events and conferences. For example, we have implemented remote working measures, which have required us to provide technical support to our agents to enable them to connect to our technology platform from their homes, including by purchasing laptops for our agents and upgrading their Internet connections. In addition to an investment of financial resources, implementing work from home measures to respond to COVID-19 has diverted management’s time and attention. Furthermore, our employees continue to face challenges in their well-being, given the additional financial, family and health burdens that many employees have experienced and could continue to experience because of the pandemic that may negatively impact our employees’ mental and physical health, engagement and retention.</w:t>
      </w:r>
    </w:p>
    <w:p>
      <w:pPr>
        <w:spacing w:after="0" w:line="188" w:lineRule="exact"/>
        <w:rPr>
          <w:sz w:val="20"/>
          <w:szCs w:val="20"/>
          <w:color w:val="auto"/>
        </w:rPr>
      </w:pPr>
    </w:p>
    <w:p>
      <w:pPr>
        <w:ind w:right="20"/>
        <w:spacing w:after="0"/>
        <w:rPr>
          <w:sz w:val="20"/>
          <w:szCs w:val="20"/>
          <w:color w:val="auto"/>
        </w:rPr>
      </w:pPr>
      <w:r>
        <w:rPr>
          <w:rFonts w:ascii="Arial" w:cs="Arial" w:eastAsia="Arial" w:hAnsi="Arial"/>
          <w:sz w:val="13"/>
          <w:szCs w:val="13"/>
          <w:color w:val="auto"/>
        </w:rPr>
        <w:t>Further, because most of our employees are working remotely, we may experience an increased risk of security breaches, loss of data, and other disruptions because of accessing sensitive information from remote locations. Correspondingly, it remains unclear how the third-party firms or organizations who have independently audited our information security program against specific standards will assess and evaluate the sufficiency of the security measures we have taken to mitigate remote working related information security risks. Failure to meet these standards could impact our ability to service customers in the healthcare industry, which could have a material adverse impact on our business, financial condition and results of operations.</w:t>
      </w:r>
    </w:p>
    <w:p>
      <w:pPr>
        <w:spacing w:after="0" w:line="177" w:lineRule="exact"/>
        <w:rPr>
          <w:sz w:val="20"/>
          <w:szCs w:val="20"/>
          <w:color w:val="auto"/>
        </w:rPr>
      </w:pPr>
    </w:p>
    <w:p>
      <w:pPr>
        <w:ind w:right="220"/>
        <w:spacing w:after="0" w:line="233" w:lineRule="auto"/>
        <w:rPr>
          <w:sz w:val="20"/>
          <w:szCs w:val="20"/>
          <w:color w:val="auto"/>
        </w:rPr>
      </w:pPr>
      <w:r>
        <w:rPr>
          <w:rFonts w:ascii="Arial" w:cs="Arial" w:eastAsia="Arial" w:hAnsi="Arial"/>
          <w:sz w:val="13"/>
          <w:szCs w:val="13"/>
          <w:color w:val="auto"/>
        </w:rPr>
        <w:t>While the impact of Covid-19 has had, and may continue to have, an adverse effect on our business, results of operations, financial condition and cash flows, the nature and extent of such impact is highly uncertain and unpredictable, as we cannot predict with confidence the duration of the pandemic.</w:t>
      </w:r>
    </w:p>
    <w:p>
      <w:pPr>
        <w:spacing w:after="0" w:line="173" w:lineRule="exact"/>
        <w:rPr>
          <w:sz w:val="20"/>
          <w:szCs w:val="20"/>
          <w:color w:val="auto"/>
        </w:rPr>
      </w:pPr>
    </w:p>
    <w:p>
      <w:pPr>
        <w:ind w:right="260"/>
        <w:spacing w:after="0" w:line="266" w:lineRule="auto"/>
        <w:rPr>
          <w:sz w:val="20"/>
          <w:szCs w:val="20"/>
          <w:color w:val="auto"/>
        </w:rPr>
      </w:pPr>
      <w:r>
        <w:rPr>
          <w:rFonts w:ascii="Arial" w:cs="Arial" w:eastAsia="Arial" w:hAnsi="Arial"/>
          <w:sz w:val="13"/>
          <w:szCs w:val="13"/>
          <w:b w:val="1"/>
          <w:bCs w:val="1"/>
          <w:i w:val="1"/>
          <w:iCs w:val="1"/>
          <w:color w:val="auto"/>
        </w:rPr>
        <w:t>We rely upon third parties to operate our Marketplace technology and any disruption of or interference with our use of such third-party providers would adversely affect our business, results of operations and financial condition.</w:t>
      </w:r>
    </w:p>
    <w:p>
      <w:pPr>
        <w:spacing w:after="0" w:line="171" w:lineRule="exact"/>
        <w:rPr>
          <w:sz w:val="20"/>
          <w:szCs w:val="20"/>
          <w:color w:val="auto"/>
        </w:rPr>
      </w:pPr>
    </w:p>
    <w:p>
      <w:pPr>
        <w:ind w:right="20"/>
        <w:spacing w:after="0" w:line="260" w:lineRule="auto"/>
        <w:rPr>
          <w:sz w:val="20"/>
          <w:szCs w:val="20"/>
          <w:color w:val="auto"/>
        </w:rPr>
      </w:pPr>
      <w:r>
        <w:rPr>
          <w:rFonts w:ascii="Arial" w:cs="Arial" w:eastAsia="Arial" w:hAnsi="Arial"/>
          <w:sz w:val="12"/>
          <w:szCs w:val="12"/>
          <w:color w:val="auto"/>
        </w:rPr>
        <w:t>We outsource our hosting infrastructure to Amazon Web Services and Rackspace, or together, our Hosting Providers, which host our Marketplace technology. Consumers and agents must have the ability to access our Marketplace technology at any time, without interruption or degradation of performance. Our Hosting Providers run their own infrastructure upon which our Marketplace technology and products depend, and we are, therefore, vulnerable to service interruptions at each Hosting Provider. Though very rare, we have experienced, and expect that in the future we may experience, interruptions, delays and outages in service and availability from time to time due to a variety of factors, including infrastructure changes, human or software errors, application hosting disruptions and capacity constraints. Capacity constraints could be due to a number of potential causes including technical failures, natural disasters, fraud or security attacks. In addition, if our security, or that of one of our Hosting Providers, is compromised, our platform or products are unavailable or our users are unable to use our products within a reasonable amount of time or at all, then our business, results of operations and financial condition could be adversely affected. We note that our ability to conduct security audits on our Hosting Providers is limited; therefore, we rely heavily on third-party security reviews, such as the Statement on Standards for Attestation Engagements No. 16 (“SSAE 16”) assessments. Our contracts do not contain strong indemnification terms in our favor. In some instances, we may not be able to identify and/or remedy the cause or causes of these performance problems within a period of time acceptable to our customers. It may become increasingly difficult to maintain and improve our marketplace platform performance, especially during peak usage times, as our marketplace platform becomes more complex and the usage of the platform increases. To the extent we do not effectively address capacity constraints, either through our Hosting Providers or alternative providers of cloud infrastructure, our business, results of operations and financial condition may be adversely affected. In addition, any changes in service levels from our Hosting Providers may adversely affect our ability to meet our customers’ requirements.</w:t>
      </w:r>
    </w:p>
    <w:p>
      <w:pPr>
        <w:spacing w:after="0" w:line="180" w:lineRule="exact"/>
        <w:rPr>
          <w:sz w:val="20"/>
          <w:szCs w:val="20"/>
          <w:color w:val="auto"/>
        </w:rPr>
      </w:pPr>
    </w:p>
    <w:p>
      <w:pPr>
        <w:ind w:right="380"/>
        <w:spacing w:after="0" w:line="244" w:lineRule="auto"/>
        <w:rPr>
          <w:sz w:val="20"/>
          <w:szCs w:val="20"/>
          <w:color w:val="auto"/>
        </w:rPr>
      </w:pPr>
      <w:r>
        <w:rPr>
          <w:rFonts w:ascii="Arial" w:cs="Arial" w:eastAsia="Arial" w:hAnsi="Arial"/>
          <w:sz w:val="13"/>
          <w:szCs w:val="13"/>
          <w:color w:val="auto"/>
        </w:rPr>
        <w:t>The substantial majority of the services we use from our Hosting Providers are for cloud-based server capacity and managed colocation services. We access our Hosting Providers’ infrastructure through standard Internet connectivity. Our Hosting</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27</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15" w:right="319" w:bottom="1440" w:gutter="0" w:footer="0" w:header="0"/>
        </w:sectPr>
      </w:pPr>
    </w:p>
    <w:bookmarkStart w:id="30" w:name="page31"/>
    <w:bookmarkEnd w:id="30"/>
    <w:p>
      <w:pPr>
        <w:ind w:right="20"/>
        <w:spacing w:after="0" w:line="239" w:lineRule="auto"/>
        <w:rPr>
          <w:sz w:val="20"/>
          <w:szCs w:val="20"/>
          <w:color w:val="auto"/>
        </w:rPr>
      </w:pPr>
      <w:r>
        <w:rPr>
          <w:rFonts w:ascii="Arial" w:cs="Arial" w:eastAsia="Arial" w:hAnsi="Arial"/>
          <w:sz w:val="13"/>
          <w:szCs w:val="13"/>
          <w:color w:val="auto"/>
        </w:rPr>
        <w:t>Providers provide us with computing and storage capacity, network capacity, managed colocation space, and leased computing hardware pursuant to agreements that continue until terminated by either party. If any of the data centers become unavailable to us without sufficient advance notice, we would likely experience delays in delivering our platform and products until we could migrate to an alternate data center provider. Our disaster recovery program contemplates transitioning our platform and products to our backup center in the event of a catastrophe, but we have not yet fully tested the procedure, and our platform and products may be unavailable, in whole or in part, during any transition procedure. Although we expect that we could receive similar services from other third parties, if any of our arrangements with our Hosting Providers are terminated, we could experience interruptions on our platform and in our ability to make our products available to customers, as well as delays and additional expenses (including research and development expenses) in arranging alternative cloud infrastructure services.</w:t>
      </w:r>
    </w:p>
    <w:p>
      <w:pPr>
        <w:spacing w:after="0" w:line="189" w:lineRule="exact"/>
        <w:rPr>
          <w:sz w:val="20"/>
          <w:szCs w:val="20"/>
          <w:color w:val="auto"/>
        </w:rPr>
      </w:pPr>
    </w:p>
    <w:p>
      <w:pPr>
        <w:ind w:right="140"/>
        <w:spacing w:after="0" w:line="241" w:lineRule="auto"/>
        <w:rPr>
          <w:sz w:val="20"/>
          <w:szCs w:val="20"/>
          <w:color w:val="auto"/>
        </w:rPr>
      </w:pPr>
      <w:r>
        <w:rPr>
          <w:rFonts w:ascii="Arial" w:cs="Arial" w:eastAsia="Arial" w:hAnsi="Arial"/>
          <w:sz w:val="13"/>
          <w:szCs w:val="13"/>
          <w:color w:val="auto"/>
        </w:rPr>
        <w:t>Any of the above circumstances or events may cause outages where we are unable to generate revenue, harm our reputation, cause customers to stop using our products, impair our ability to attract new customers and increase revenue from customers, subject us to financial penalties and liabilities under our service level agreements and otherwise harm our revenue, business, results of operations and financial condition.</w:t>
      </w:r>
    </w:p>
    <w:p>
      <w:pPr>
        <w:spacing w:after="0" w:line="172" w:lineRule="exact"/>
        <w:rPr>
          <w:sz w:val="20"/>
          <w:szCs w:val="20"/>
          <w:color w:val="auto"/>
        </w:rPr>
      </w:pPr>
    </w:p>
    <w:p>
      <w:pPr>
        <w:ind w:right="180"/>
        <w:spacing w:after="0" w:line="266" w:lineRule="auto"/>
        <w:rPr>
          <w:sz w:val="20"/>
          <w:szCs w:val="20"/>
          <w:color w:val="auto"/>
        </w:rPr>
      </w:pPr>
      <w:r>
        <w:rPr>
          <w:rFonts w:ascii="Arial" w:cs="Arial" w:eastAsia="Arial" w:hAnsi="Arial"/>
          <w:sz w:val="13"/>
          <w:szCs w:val="13"/>
          <w:b w:val="1"/>
          <w:bCs w:val="1"/>
          <w:i w:val="1"/>
          <w:iCs w:val="1"/>
          <w:color w:val="auto"/>
        </w:rPr>
        <w:t>Our balance sheet includes significant amounts of intangible assets. The impairment of a significant portion of these assets would negatively affect our financial condition or results of operations.</w:t>
      </w:r>
    </w:p>
    <w:p>
      <w:pPr>
        <w:spacing w:after="0" w:line="171" w:lineRule="exact"/>
        <w:rPr>
          <w:sz w:val="20"/>
          <w:szCs w:val="20"/>
          <w:color w:val="auto"/>
        </w:rPr>
      </w:pPr>
    </w:p>
    <w:p>
      <w:pPr>
        <w:ind w:right="100"/>
        <w:spacing w:after="0" w:line="239" w:lineRule="auto"/>
        <w:rPr>
          <w:sz w:val="20"/>
          <w:szCs w:val="20"/>
          <w:color w:val="auto"/>
        </w:rPr>
      </w:pPr>
      <w:r>
        <w:rPr>
          <w:rFonts w:ascii="Arial" w:cs="Arial" w:eastAsia="Arial" w:hAnsi="Arial"/>
          <w:sz w:val="13"/>
          <w:szCs w:val="13"/>
          <w:color w:val="auto"/>
        </w:rPr>
        <w:t>A significant portion of our total assets consists of intangible assets. Intangible assets accounted for approximately 28.7% of total assets on our balance sheet as of December 31, 2021. During the twelve months ended December 31, 2021, we recorded impairment charges of $386.6. See Note 4 "Goodwill and Intangibles Assets" for further discussion over the goodwill impairment charges. We evaluate goodwill and indefinite-lived intangible assets for impairment annually in the fourth quarter and whenever events or circumstances make it more likely than not that impairment may have occurred. Under current accounting rules, any determination that impairment has occurred would require us to record an impairment charge, which would adversely affect our earnings. An impairment of a significant portion of intangible assets could adversely affect our operating results and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are unable to maintain a high level of service, our business, operating results and financial condition may be harmed.</w:t>
      </w:r>
    </w:p>
    <w:p>
      <w:pPr>
        <w:spacing w:after="0" w:line="204" w:lineRule="exact"/>
        <w:rPr>
          <w:sz w:val="20"/>
          <w:szCs w:val="20"/>
          <w:color w:val="auto"/>
        </w:rPr>
      </w:pPr>
    </w:p>
    <w:p>
      <w:pPr>
        <w:ind w:right="60"/>
        <w:spacing w:after="0" w:line="239" w:lineRule="auto"/>
        <w:rPr>
          <w:sz w:val="20"/>
          <w:szCs w:val="20"/>
          <w:color w:val="auto"/>
        </w:rPr>
      </w:pPr>
      <w:r>
        <w:rPr>
          <w:rFonts w:ascii="Arial" w:cs="Arial" w:eastAsia="Arial" w:hAnsi="Arial"/>
          <w:sz w:val="13"/>
          <w:szCs w:val="13"/>
          <w:color w:val="auto"/>
        </w:rPr>
        <w:t>One of the key attributes of our business is providing high quality service to our carriers and customers. We may be unable to sustain these levels of service, which would harm our reputation and our business. Alternatively, we may only be able to sustain high levels of service by significantly increasing our operating costs, which would materially and adversely affect our operating results. The level of service we are able to provide depends on our personnel to a significant extent. Our personnel must be well-trained in our processes and able to handle customer calls effectively and efficiently. Any inability of our personnel to meet our demand, whether due to absenteeism, training, turnover, disruptions at our facilities, including due to the effects of the COVID-19 pandemic, bad weather, power outages or other reasons, could adversely impact our business. If we are unable to maintain high levels of service performance, our reputation could suffer and our business, operating results and financial condition would be harmed.</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Global economic conditions could materially and adversely affect our revenue and results of operations.</w:t>
      </w:r>
    </w:p>
    <w:p>
      <w:pPr>
        <w:spacing w:after="0" w:line="204" w:lineRule="exact"/>
        <w:rPr>
          <w:sz w:val="20"/>
          <w:szCs w:val="20"/>
          <w:color w:val="auto"/>
        </w:rPr>
      </w:pPr>
    </w:p>
    <w:p>
      <w:pPr>
        <w:ind w:right="380"/>
        <w:spacing w:after="0" w:line="244" w:lineRule="auto"/>
        <w:rPr>
          <w:sz w:val="20"/>
          <w:szCs w:val="20"/>
          <w:color w:val="auto"/>
        </w:rPr>
      </w:pPr>
      <w:r>
        <w:rPr>
          <w:rFonts w:ascii="Arial" w:cs="Arial" w:eastAsia="Arial" w:hAnsi="Arial"/>
          <w:sz w:val="13"/>
          <w:szCs w:val="13"/>
          <w:color w:val="auto"/>
        </w:rPr>
        <w:t>Our business has been and may continue to be affected by a number of factors that are beyond our control, such as general geopolitical, economic and business conditions, and conditions in the financial markets. A severe or prolonged economic downturn could adversely affect consumers’ financial condition and the demand for insurance products.</w:t>
      </w:r>
    </w:p>
    <w:p>
      <w:pPr>
        <w:spacing w:after="0" w:line="184" w:lineRule="exact"/>
        <w:rPr>
          <w:sz w:val="20"/>
          <w:szCs w:val="20"/>
          <w:color w:val="auto"/>
        </w:rPr>
      </w:pPr>
    </w:p>
    <w:p>
      <w:pPr>
        <w:ind w:right="20"/>
        <w:spacing w:after="0" w:line="239" w:lineRule="auto"/>
        <w:rPr>
          <w:sz w:val="20"/>
          <w:szCs w:val="20"/>
          <w:color w:val="auto"/>
        </w:rPr>
      </w:pPr>
      <w:r>
        <w:rPr>
          <w:rFonts w:ascii="Arial" w:cs="Arial" w:eastAsia="Arial" w:hAnsi="Arial"/>
          <w:sz w:val="13"/>
          <w:szCs w:val="13"/>
          <w:color w:val="auto"/>
        </w:rPr>
        <w:t>We are also exposed to risks associated with the potential financial instability of our carriers and customers, many of whom may be adversely affected by volatile conditions in the financial markets or an economic slowdown. As a result of uncertainties with respect to financial institutions and the global credit markets and other macroeconomic challenges currently or potentially affecting the economy of the U.S. and other parts of the world, customers may experience serious cash flow problems and other financial difficulties, decreasing demand for the products of our carriers. In addition, events in the U.S. or foreign markets, such as the U.K.’s exit from the European Union, the worldwide effects from the COVID-19 pandemic and political and social unrest in various countries around the world, can impact the global economy and capital markets. Our carriers may modify, delay, or cancel plans to offer new products or may make changes in the mix of products purchased that are unfavorable to us. Additionally, if carriers are not successful in generating sufficient revenue or are precluded from securing financing, their businesses will suffer, which may materially and adversely affect our business, operating results and financial condition.</w:t>
      </w:r>
    </w:p>
    <w:p>
      <w:pPr>
        <w:spacing w:after="0" w:line="189" w:lineRule="exact"/>
        <w:rPr>
          <w:sz w:val="20"/>
          <w:szCs w:val="20"/>
          <w:color w:val="auto"/>
        </w:rPr>
      </w:pPr>
    </w:p>
    <w:p>
      <w:pPr>
        <w:ind w:right="160"/>
        <w:spacing w:after="0" w:line="239" w:lineRule="auto"/>
        <w:rPr>
          <w:sz w:val="20"/>
          <w:szCs w:val="20"/>
          <w:color w:val="auto"/>
        </w:rPr>
      </w:pPr>
      <w:r>
        <w:rPr>
          <w:rFonts w:ascii="Arial" w:cs="Arial" w:eastAsia="Arial" w:hAnsi="Arial"/>
          <w:sz w:val="13"/>
          <w:szCs w:val="13"/>
          <w:color w:val="auto"/>
        </w:rPr>
        <w:t>In addition, we are susceptible to risks associated with the potential financial instability of the vendors on which we rely to provide services or to whom we delegate certain functions. The same conditions that may affect carriers and customers also could adversely affect our vendors, causing them to significantly and quickly increase their prices or reduce their output. Our business depends on our ability to perform, in an efficient and uninterrupted fashion, our necessary business functions, and any interruption in the services provided by third parties could also adversely affect our business, operating results and financial condition. See “—The extent to which the COVID-19 pandemic and measures taken in response thereto impact our business, results of operations and financial condition will depend on future developments, which are highly uncertain and cannot be predicted.”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28</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15" w:right="319" w:bottom="1440" w:gutter="0" w:footer="0" w:header="0"/>
        </w:sectPr>
      </w:pPr>
    </w:p>
    <w:bookmarkStart w:id="31" w:name="page32"/>
    <w:bookmarkEnd w:id="31"/>
    <w:p>
      <w:pPr>
        <w:spacing w:after="0"/>
        <w:rPr>
          <w:sz w:val="20"/>
          <w:szCs w:val="20"/>
          <w:color w:val="auto"/>
        </w:rPr>
      </w:pPr>
      <w:r>
        <w:rPr>
          <w:rFonts w:ascii="Arial" w:cs="Arial" w:eastAsia="Arial" w:hAnsi="Arial"/>
          <w:sz w:val="13"/>
          <w:szCs w:val="13"/>
          <w:b w:val="1"/>
          <w:bCs w:val="1"/>
          <w:i w:val="1"/>
          <w:iCs w:val="1"/>
          <w:color w:val="auto"/>
        </w:rPr>
        <w:t>Acquisitions of other businesses or technologies could disrupt and harm our business, operating results and financial condition.</w:t>
      </w:r>
    </w:p>
    <w:p>
      <w:pPr>
        <w:spacing w:after="0" w:line="204" w:lineRule="exact"/>
        <w:rPr>
          <w:sz w:val="20"/>
          <w:szCs w:val="20"/>
          <w:color w:val="auto"/>
        </w:rPr>
      </w:pPr>
    </w:p>
    <w:p>
      <w:pPr>
        <w:ind w:right="460"/>
        <w:spacing w:after="0" w:line="244" w:lineRule="auto"/>
        <w:rPr>
          <w:sz w:val="20"/>
          <w:szCs w:val="20"/>
          <w:color w:val="auto"/>
        </w:rPr>
      </w:pPr>
      <w:r>
        <w:rPr>
          <w:rFonts w:ascii="Arial" w:cs="Arial" w:eastAsia="Arial" w:hAnsi="Arial"/>
          <w:sz w:val="13"/>
          <w:szCs w:val="13"/>
          <w:color w:val="auto"/>
        </w:rPr>
        <w:t>We have in the past acquired businesses and in the future may decide to acquire other businesses, products and technologies. Our ability as an organization to successfully make and integrate acquisitions is unproven. Acquisitions could require significant capital infusions and could involve many risks, including the following:</w:t>
      </w:r>
    </w:p>
    <w:p>
      <w:pPr>
        <w:spacing w:after="0" w:line="184" w:lineRule="exact"/>
        <w:rPr>
          <w:sz w:val="20"/>
          <w:szCs w:val="20"/>
          <w:color w:val="auto"/>
        </w:rPr>
      </w:pPr>
    </w:p>
    <w:p>
      <w:pPr>
        <w:ind w:left="520" w:right="220" w:hanging="260"/>
        <w:spacing w:after="0" w:line="238" w:lineRule="auto"/>
        <w:tabs>
          <w:tab w:leader="none" w:pos="511" w:val="left"/>
        </w:tabs>
        <w:numPr>
          <w:ilvl w:val="0"/>
          <w:numId w:val="20"/>
        </w:numPr>
        <w:rPr>
          <w:rFonts w:ascii="Arial" w:cs="Arial" w:eastAsia="Arial" w:hAnsi="Arial"/>
          <w:sz w:val="13"/>
          <w:szCs w:val="13"/>
          <w:color w:val="auto"/>
        </w:rPr>
      </w:pPr>
      <w:r>
        <w:rPr>
          <w:rFonts w:ascii="Arial" w:cs="Arial" w:eastAsia="Arial" w:hAnsi="Arial"/>
          <w:sz w:val="13"/>
          <w:szCs w:val="13"/>
          <w:color w:val="auto"/>
        </w:rPr>
        <w:t>an acquisition may negatively impact our results of operations because it will require us to incur transaction expenses, and after the transaction, may require us to incur charges and substantial debt or liabilities, may require the amortization, write down or impairment of amounts related to goodwill and other intangible assets, or may cause adverse tax consequences or substantial depreciation charges;</w:t>
      </w: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an acquisition undertaken for strategic business purposes may negatively impact our results of operations;</w:t>
      </w:r>
    </w:p>
    <w:p>
      <w:pPr>
        <w:ind w:left="520" w:right="260" w:hanging="260"/>
        <w:spacing w:after="0" w:line="238" w:lineRule="auto"/>
        <w:tabs>
          <w:tab w:leader="none" w:pos="511" w:val="left"/>
        </w:tabs>
        <w:numPr>
          <w:ilvl w:val="0"/>
          <w:numId w:val="20"/>
        </w:numPr>
        <w:rPr>
          <w:rFonts w:ascii="Arial" w:cs="Arial" w:eastAsia="Arial" w:hAnsi="Arial"/>
          <w:sz w:val="13"/>
          <w:szCs w:val="13"/>
          <w:color w:val="auto"/>
        </w:rPr>
      </w:pPr>
      <w:r>
        <w:rPr>
          <w:rFonts w:ascii="Arial" w:cs="Arial" w:eastAsia="Arial" w:hAnsi="Arial"/>
          <w:sz w:val="13"/>
          <w:szCs w:val="13"/>
          <w:color w:val="auto"/>
        </w:rPr>
        <w:t>we may encounter difficulties in assimilating and integrating the business, technologies, products, personnel or operations of companies that we acquire, particularly if key personnel of the acquired company decide not to work for us;</w:t>
      </w: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an acquisition may disrupt our ongoing business, divert resources, increase our expenses and distract our management;</w:t>
      </w:r>
    </w:p>
    <w:p>
      <w:pPr>
        <w:ind w:left="520" w:right="440" w:hanging="260"/>
        <w:spacing w:after="0" w:line="238" w:lineRule="auto"/>
        <w:tabs>
          <w:tab w:leader="none" w:pos="511" w:val="left"/>
        </w:tabs>
        <w:numPr>
          <w:ilvl w:val="0"/>
          <w:numId w:val="20"/>
        </w:numPr>
        <w:rPr>
          <w:rFonts w:ascii="Arial" w:cs="Arial" w:eastAsia="Arial" w:hAnsi="Arial"/>
          <w:sz w:val="13"/>
          <w:szCs w:val="13"/>
          <w:color w:val="auto"/>
        </w:rPr>
      </w:pPr>
      <w:r>
        <w:rPr>
          <w:rFonts w:ascii="Arial" w:cs="Arial" w:eastAsia="Arial" w:hAnsi="Arial"/>
          <w:sz w:val="13"/>
          <w:szCs w:val="13"/>
          <w:color w:val="auto"/>
        </w:rPr>
        <w:t>we may be required to implement or improve internal controls, procedures and policies appropriate for a public company at a business that prior to the acquisition lacked these controls, procedures and policies;</w:t>
      </w: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acquired businesses may have unexpected liabilities that we will be forced to assume;</w:t>
      </w: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acquired businesses, products or technologies may not generate sufficient revenue to offset acquisition costs or to maintain our financial results; and</w:t>
      </w:r>
    </w:p>
    <w:p>
      <w:pPr>
        <w:ind w:left="500" w:hanging="240"/>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acquisitions may involve the entry into geographic or business markets in which we have little or no prior experience, such as our acquisition of Creatix which had operations in Slovakia.</w:t>
      </w:r>
    </w:p>
    <w:p>
      <w:pPr>
        <w:spacing w:after="0" w:line="190" w:lineRule="exact"/>
        <w:rPr>
          <w:sz w:val="20"/>
          <w:szCs w:val="20"/>
          <w:color w:val="auto"/>
        </w:rPr>
      </w:pPr>
    </w:p>
    <w:p>
      <w:pPr>
        <w:ind w:right="100"/>
        <w:spacing w:after="0" w:line="241" w:lineRule="auto"/>
        <w:rPr>
          <w:sz w:val="20"/>
          <w:szCs w:val="20"/>
          <w:color w:val="auto"/>
        </w:rPr>
      </w:pPr>
      <w:r>
        <w:rPr>
          <w:rFonts w:ascii="Arial" w:cs="Arial" w:eastAsia="Arial" w:hAnsi="Arial"/>
          <w:sz w:val="13"/>
          <w:szCs w:val="13"/>
          <w:color w:val="auto"/>
        </w:rPr>
        <w:t>We cannot provide assurance that we will be able to identify or consummate any future acquisition on favorable terms, or at all. If we do pursue an acquisition, it is possible that we may not realize the anticipated benefits from the acquisition or that the financial markets or investors will negatively view the acquisition. Even if we successfully complete an acquisition, it could harm our business, operating results and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business may not grow if consumers are not informed about the availability and accessibility of affordable health insurance.</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Numerous health insurance products are available to consumers in any given market. Most of these products vary by price, benefits and other policy features. Health insurance terminology and provisions are often confusing and difficult to understand. As a result, researching, selecting and purchasing health insurance can be a complex process. We believe that this complexity has contributed to a perception held by many consumers that individual health insurance is prohibitively expensive and difficult to obtain. If consumers are not informed about the availability and accessibility of affordable health insurance, our business may not grow and our business, operating results and financial condition would be harmed.</w:t>
      </w:r>
    </w:p>
    <w:p>
      <w:pPr>
        <w:spacing w:after="0" w:line="173" w:lineRule="exact"/>
        <w:rPr>
          <w:sz w:val="20"/>
          <w:szCs w:val="20"/>
          <w:color w:val="auto"/>
        </w:rPr>
      </w:pPr>
    </w:p>
    <w:p>
      <w:pPr>
        <w:ind w:right="240"/>
        <w:spacing w:after="0" w:line="266" w:lineRule="auto"/>
        <w:rPr>
          <w:sz w:val="20"/>
          <w:szCs w:val="20"/>
          <w:color w:val="auto"/>
        </w:rPr>
      </w:pPr>
      <w:r>
        <w:rPr>
          <w:rFonts w:ascii="Arial" w:cs="Arial" w:eastAsia="Arial" w:hAnsi="Arial"/>
          <w:sz w:val="13"/>
          <w:szCs w:val="13"/>
          <w:b w:val="1"/>
          <w:bCs w:val="1"/>
          <w:i w:val="1"/>
          <w:iCs w:val="1"/>
          <w:color w:val="auto"/>
        </w:rPr>
        <w:t>Economic sanction laws in the United States and other jurisdictions may prohibit us and our affiliates from transacting with certain countries, individuals and companies, which could negatively impact our business, operating results and financial condition.</w:t>
      </w:r>
    </w:p>
    <w:p>
      <w:pPr>
        <w:spacing w:after="0" w:line="171" w:lineRule="exact"/>
        <w:rPr>
          <w:sz w:val="20"/>
          <w:szCs w:val="20"/>
          <w:color w:val="auto"/>
        </w:rPr>
      </w:pPr>
    </w:p>
    <w:p>
      <w:pPr>
        <w:ind w:right="60"/>
        <w:spacing w:after="0" w:line="271" w:lineRule="auto"/>
        <w:rPr>
          <w:sz w:val="20"/>
          <w:szCs w:val="20"/>
          <w:color w:val="auto"/>
        </w:rPr>
      </w:pPr>
      <w:r>
        <w:rPr>
          <w:rFonts w:ascii="Arial" w:cs="Arial" w:eastAsia="Arial" w:hAnsi="Arial"/>
          <w:sz w:val="12"/>
          <w:szCs w:val="12"/>
          <w:color w:val="auto"/>
        </w:rPr>
        <w:t>The FCPA and other anti-corruption laws and regulations, as well as anti-boycott regulations, may apply to and restrict our activities, including our software development operations in Slovakia. If we were to violate any such laws or regulations, we may face significant legal and monetary penalties. The U.S. government has indicated that it is focused on FCPA enforcement, which may increase the risk that we become the subject of such actual or threatened enforcement. As such, a violation of the FCPA or other applicable regulations could have a material adverse effect on our business.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Our Intellectual Property and Technology</w:t>
      </w:r>
    </w:p>
    <w:p>
      <w:pPr>
        <w:spacing w:after="0" w:line="192" w:lineRule="exact"/>
        <w:rPr>
          <w:sz w:val="20"/>
          <w:szCs w:val="20"/>
          <w:color w:val="auto"/>
        </w:rPr>
      </w:pPr>
    </w:p>
    <w:p>
      <w:pPr>
        <w:ind w:right="80"/>
        <w:spacing w:after="0" w:line="266" w:lineRule="auto"/>
        <w:rPr>
          <w:sz w:val="20"/>
          <w:szCs w:val="20"/>
          <w:color w:val="auto"/>
        </w:rPr>
      </w:pPr>
      <w:r>
        <w:rPr>
          <w:rFonts w:ascii="Arial" w:cs="Arial" w:eastAsia="Arial" w:hAnsi="Arial"/>
          <w:sz w:val="13"/>
          <w:szCs w:val="13"/>
          <w:b w:val="1"/>
          <w:bCs w:val="1"/>
          <w:i w:val="1"/>
          <w:iCs w:val="1"/>
          <w:color w:val="auto"/>
        </w:rPr>
        <w:t>We rely on data provided to us by customers, carriers and third-party lead suppliers to improve our technology and service offerings, and if we are unable to maintain or grow such data, we may be unable to provide customers with an insurance shopping experience that is relevant, efficient and effective, which could adversely affect our business.</w:t>
      </w:r>
    </w:p>
    <w:p>
      <w:pPr>
        <w:spacing w:after="0" w:line="171" w:lineRule="exact"/>
        <w:rPr>
          <w:sz w:val="20"/>
          <w:szCs w:val="20"/>
          <w:color w:val="auto"/>
        </w:rPr>
      </w:pPr>
    </w:p>
    <w:p>
      <w:pPr>
        <w:ind w:right="40"/>
        <w:spacing w:after="0" w:line="239" w:lineRule="auto"/>
        <w:rPr>
          <w:sz w:val="20"/>
          <w:szCs w:val="20"/>
          <w:color w:val="auto"/>
        </w:rPr>
      </w:pPr>
      <w:r>
        <w:rPr>
          <w:rFonts w:ascii="Arial" w:cs="Arial" w:eastAsia="Arial" w:hAnsi="Arial"/>
          <w:sz w:val="13"/>
          <w:szCs w:val="13"/>
          <w:color w:val="auto"/>
        </w:rPr>
        <w:t>Our business relies on the data provided to us by customers, carriers and third-party lead suppliers. The large amount of data that we use in operating our marketplace platform, and the accuracy of such data, is critical to our ability to provide a relevant, efficient and effective insurance shopping experience for customers. For example, if the data provided to us by our customers during the insurance shopping process is not accurate, our ability to match our customers with relevant and suitable insurance products would be impaired, which could lead to an increase in rejections of policies that we submit to carriers. Further, if we are unable to maintain or effectively utilize the data provided to us, the value that we provide to customers and carriers may be limited as well. If we do not obtain accurate data from our consumers or if we are unable to maintain or effectively utilize the data</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29</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92" w:right="319" w:bottom="1440" w:gutter="0" w:footer="0" w:header="0"/>
        </w:sectPr>
      </w:pPr>
    </w:p>
    <w:bookmarkStart w:id="32" w:name="page33"/>
    <w:bookmarkEnd w:id="32"/>
    <w:p>
      <w:pPr>
        <w:spacing w:after="0"/>
        <w:rPr>
          <w:sz w:val="20"/>
          <w:szCs w:val="20"/>
          <w:color w:val="auto"/>
        </w:rPr>
      </w:pPr>
      <w:r>
        <w:rPr>
          <w:rFonts w:ascii="Arial" w:cs="Arial" w:eastAsia="Arial" w:hAnsi="Arial"/>
          <w:sz w:val="13"/>
          <w:szCs w:val="13"/>
          <w:color w:val="auto"/>
        </w:rPr>
        <w:t>provided to us, consumers who use our platform could have a negative shopping experience, which could materially and adversely affect our business, operating results and financial condition.</w:t>
      </w:r>
    </w:p>
    <w:p>
      <w:pPr>
        <w:spacing w:after="0" w:line="190" w:lineRule="exact"/>
        <w:rPr>
          <w:sz w:val="20"/>
          <w:szCs w:val="20"/>
          <w:color w:val="auto"/>
        </w:rPr>
      </w:pPr>
    </w:p>
    <w:p>
      <w:pPr>
        <w:ind w:right="740"/>
        <w:spacing w:after="0" w:line="244" w:lineRule="auto"/>
        <w:rPr>
          <w:sz w:val="20"/>
          <w:szCs w:val="20"/>
          <w:color w:val="auto"/>
        </w:rPr>
      </w:pPr>
      <w:r>
        <w:rPr>
          <w:rFonts w:ascii="Arial" w:cs="Arial" w:eastAsia="Arial" w:hAnsi="Arial"/>
          <w:sz w:val="13"/>
          <w:szCs w:val="13"/>
          <w:color w:val="auto"/>
        </w:rPr>
        <w:t>Although we have made substantial investments into our technology systems, we cannot assure you that we will be able to continually collect and retain sufficient data, or improve our data technologies to satisfy our operating needs. Failure to do so could materially and adversely affect our business, operating results and financial condition.</w:t>
      </w:r>
    </w:p>
    <w:p>
      <w:pPr>
        <w:spacing w:after="0" w:line="170" w:lineRule="exact"/>
        <w:rPr>
          <w:sz w:val="20"/>
          <w:szCs w:val="20"/>
          <w:color w:val="auto"/>
        </w:rPr>
      </w:pPr>
    </w:p>
    <w:p>
      <w:pPr>
        <w:ind w:right="560"/>
        <w:spacing w:after="0" w:line="266" w:lineRule="auto"/>
        <w:rPr>
          <w:sz w:val="20"/>
          <w:szCs w:val="20"/>
          <w:color w:val="auto"/>
        </w:rPr>
      </w:pPr>
      <w:r>
        <w:rPr>
          <w:rFonts w:ascii="Arial" w:cs="Arial" w:eastAsia="Arial" w:hAnsi="Arial"/>
          <w:sz w:val="13"/>
          <w:szCs w:val="13"/>
          <w:b w:val="1"/>
          <w:bCs w:val="1"/>
          <w:i w:val="1"/>
          <w:iCs w:val="1"/>
          <w:color w:val="auto"/>
        </w:rPr>
        <w:t>Our business is subject to security risks and, if we are subject to cyber-attacks, security breaches or otherwise unable to safeguard the security and privacy of confidential data, including personal health information, our business will be harmed.</w:t>
      </w:r>
    </w:p>
    <w:p>
      <w:pPr>
        <w:spacing w:after="0" w:line="171" w:lineRule="exact"/>
        <w:rPr>
          <w:sz w:val="20"/>
          <w:szCs w:val="20"/>
          <w:color w:val="auto"/>
        </w:rPr>
      </w:pPr>
    </w:p>
    <w:p>
      <w:pPr>
        <w:ind w:right="80"/>
        <w:spacing w:after="0" w:line="239" w:lineRule="auto"/>
        <w:rPr>
          <w:sz w:val="20"/>
          <w:szCs w:val="20"/>
          <w:color w:val="auto"/>
        </w:rPr>
      </w:pPr>
      <w:r>
        <w:rPr>
          <w:rFonts w:ascii="Arial" w:cs="Arial" w:eastAsia="Arial" w:hAnsi="Arial"/>
          <w:sz w:val="13"/>
          <w:szCs w:val="13"/>
          <w:color w:val="auto"/>
        </w:rPr>
        <w:t>Our services involve the collection and storage of confidential and personal information of consumers and employees, including protected health information subject to HIPAA and other individually identifiable health information, and the transmission of this information to their chosen carriers and to government. For example, in our online lead generation business, we collect and disclose names, contact information, date of birth, and sensitive information regarding the medical history of consumers. Information security risks have generally increased in recent years because of the proliferation of new technologies and the increased sophistication and activities of perpetrators of cyber-attacks. Hackers and data thieves are increasingly sophisticated and operating large-scale and complex automated attacks, including on companies within the healthcare industry. As cyber threats continue to evolve, we are required to expend additional resources to further enhance our information security measures, develop additional protocols and/or to investigate and remediate any information security vulnerabilities.</w:t>
      </w:r>
    </w:p>
    <w:p>
      <w:pPr>
        <w:spacing w:after="0" w:line="189" w:lineRule="exact"/>
        <w:rPr>
          <w:sz w:val="20"/>
          <w:szCs w:val="20"/>
          <w:color w:val="auto"/>
        </w:rPr>
      </w:pPr>
    </w:p>
    <w:p>
      <w:pPr>
        <w:ind w:right="20"/>
        <w:spacing w:after="0" w:line="239" w:lineRule="auto"/>
        <w:rPr>
          <w:sz w:val="20"/>
          <w:szCs w:val="20"/>
          <w:color w:val="auto"/>
        </w:rPr>
      </w:pPr>
      <w:r>
        <w:rPr>
          <w:rFonts w:ascii="Arial" w:cs="Arial" w:eastAsia="Arial" w:hAnsi="Arial"/>
          <w:sz w:val="13"/>
          <w:szCs w:val="13"/>
          <w:color w:val="auto"/>
        </w:rPr>
        <w:t>Because our services involve the collection, processing, use, storage and transmission of confidential and personal information of consumers and employees, including protected health information subject to HIPAA and other individually identifiable health information, we are subject to various laws, regulations, industry standards and contractual requirements regarding the collection, maintenance, protection, use, transmission, disclosure and disposal of personal information. We also hold a significant amount of personal information relating to our current and former employees. We cannot guarantee that our facilities and systems, and those of our third-party service providers, will be free of security breaches, cyber-attacks, acts of vandalism, computer viruses, malware, ransomware, denial-of-service attacks, misplaced or lost data, programming and/or human errors or other similar events, and we are required to expend significant amounts and other resources to protect against security breaches or to alleviate problems caused by security breaches and other threats to our information technology systems.</w:t>
      </w:r>
    </w:p>
    <w:p>
      <w:pPr>
        <w:spacing w:after="0" w:line="189" w:lineRule="exact"/>
        <w:rPr>
          <w:sz w:val="20"/>
          <w:szCs w:val="20"/>
          <w:color w:val="auto"/>
        </w:rPr>
      </w:pPr>
    </w:p>
    <w:p>
      <w:pPr>
        <w:ind w:right="260"/>
        <w:spacing w:after="0" w:line="244" w:lineRule="auto"/>
        <w:rPr>
          <w:sz w:val="20"/>
          <w:szCs w:val="20"/>
          <w:color w:val="auto"/>
        </w:rPr>
      </w:pPr>
      <w:r>
        <w:rPr>
          <w:rFonts w:ascii="Arial" w:cs="Arial" w:eastAsia="Arial" w:hAnsi="Arial"/>
          <w:sz w:val="13"/>
          <w:szCs w:val="13"/>
          <w:color w:val="auto"/>
        </w:rPr>
        <w:t>Techniques used to obtain unauthorized access or to sabotage systems change frequently, and as a result, we may be unable to anticipate these techniques or to implement adequate preventative measures. Additionally, our third-party service providers who process information on our behalf may cause security breaches for which we are responsible.</w:t>
      </w:r>
    </w:p>
    <w:p>
      <w:pPr>
        <w:spacing w:after="0" w:line="184" w:lineRule="exact"/>
        <w:rPr>
          <w:sz w:val="20"/>
          <w:szCs w:val="20"/>
          <w:color w:val="auto"/>
        </w:rPr>
      </w:pPr>
    </w:p>
    <w:p>
      <w:pPr>
        <w:ind w:right="140"/>
        <w:spacing w:after="0" w:line="239" w:lineRule="auto"/>
        <w:rPr>
          <w:sz w:val="20"/>
          <w:szCs w:val="20"/>
          <w:color w:val="auto"/>
        </w:rPr>
      </w:pPr>
      <w:r>
        <w:rPr>
          <w:rFonts w:ascii="Arial" w:cs="Arial" w:eastAsia="Arial" w:hAnsi="Arial"/>
          <w:sz w:val="13"/>
          <w:szCs w:val="13"/>
          <w:color w:val="auto"/>
        </w:rPr>
        <w:t>Any compromise or perceived compromise of the security of our systems or the systems of one or more of our vendors or service providers could damage our reputation, cause the termination of relationships with government-run health insurance exchanges, carriers, and/or our customers, result in disruption or interruption to our business operations, marketing partners and carriers, reduce demand for our services and subject us to significant liability and expense as well as regulatory action and lawsuits, which would harm our business, operating results and financial condition. We may not carry insurance or maintain coverage sufficient to compensate for all liability and in any event, insurance coverage would not address the reputational damage that could result from a security incident or any regulatory actions or litigation that may result.</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not be able to adequately protect our intellectual property, which could harm our business and operating results.</w:t>
      </w:r>
    </w:p>
    <w:p>
      <w:pPr>
        <w:spacing w:after="0" w:line="204" w:lineRule="exact"/>
        <w:rPr>
          <w:sz w:val="20"/>
          <w:szCs w:val="20"/>
          <w:color w:val="auto"/>
        </w:rPr>
      </w:pPr>
    </w:p>
    <w:p>
      <w:pPr>
        <w:ind w:right="80"/>
        <w:spacing w:after="0" w:line="262" w:lineRule="auto"/>
        <w:rPr>
          <w:sz w:val="20"/>
          <w:szCs w:val="20"/>
          <w:color w:val="auto"/>
        </w:rPr>
      </w:pPr>
      <w:r>
        <w:rPr>
          <w:rFonts w:ascii="Arial" w:cs="Arial" w:eastAsia="Arial" w:hAnsi="Arial"/>
          <w:sz w:val="12"/>
          <w:szCs w:val="12"/>
          <w:color w:val="auto"/>
        </w:rPr>
        <w:t>We believe that our intellectual property is an essential asset of our business and that our technology currently gives us a competitive advantage in the distribution of Medicare-related, individual and family health insurance. We rely on a combination of copyright, trademark and trade secret laws as well as confidentiality procedures and contractual provisions to establish and protect our intellectual property rights in the United States. The efforts we have taken to protect our intellectual property may not be sufficient or effective. In addition, monitoring unauthorized uses of our intellectual property and unauthorized disclosures of our trade secrets and other confidential or proprietary information can be difficult, and even if we do detect violations, litigation may be necessary to enforce our intellectual property rights. Any enforcement efforts we undertake, including litigation, could be time-consuming and expensive, could divert our management’s attention and may result in a court determining that our intellectual property or other proprietary rights are unenforceable. If we are not successful in cost-effectively protecting our confidential information, trade secrets and other intellectual property rights, our business, operating results and financial condition could be harmed. Further, if a competitor lawfully obtains or independently develops the technology that we maintain as a trade secret, we would have no right to prevent such competitor from using that technology or proprietary information to compete with us, which could harm our competitive position.</w:t>
      </w:r>
    </w:p>
    <w:p>
      <w:pPr>
        <w:spacing w:after="0" w:line="174" w:lineRule="exact"/>
        <w:rPr>
          <w:sz w:val="20"/>
          <w:szCs w:val="20"/>
          <w:color w:val="auto"/>
        </w:rPr>
      </w:pPr>
    </w:p>
    <w:p>
      <w:pPr>
        <w:ind w:right="100"/>
        <w:spacing w:after="0"/>
        <w:rPr>
          <w:sz w:val="20"/>
          <w:szCs w:val="20"/>
          <w:color w:val="auto"/>
        </w:rPr>
      </w:pPr>
      <w:r>
        <w:rPr>
          <w:rFonts w:ascii="Arial" w:cs="Arial" w:eastAsia="Arial" w:hAnsi="Arial"/>
          <w:sz w:val="13"/>
          <w:szCs w:val="13"/>
          <w:color w:val="auto"/>
        </w:rPr>
        <w:t>In addition, we use open source software in connection with our proprietary software and expect to continue to use open source software in the future. Some open-source licenses, commonly referred to as “copyleft” licenses, require licensors to provide source code to licensees upon request, or prohibit licensors from charging a fee to licensees. We try to insulate our proprietary code from the effects of such “copyleft” provisions. While we have policies in place to avoid usage of software from “copyleft” licenses, and while we conduct audits and have other procedures in place in an effort to ensure these policies are followed, we</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30</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15" w:right="319" w:bottom="1440" w:gutter="0" w:footer="0" w:header="0"/>
        </w:sectPr>
      </w:pPr>
    </w:p>
    <w:bookmarkStart w:id="33" w:name="page34"/>
    <w:bookmarkEnd w:id="33"/>
    <w:p>
      <w:pPr>
        <w:ind w:right="120"/>
        <w:spacing w:after="0" w:line="263" w:lineRule="auto"/>
        <w:rPr>
          <w:sz w:val="20"/>
          <w:szCs w:val="20"/>
          <w:color w:val="auto"/>
        </w:rPr>
      </w:pPr>
      <w:r>
        <w:rPr>
          <w:rFonts w:ascii="Arial" w:cs="Arial" w:eastAsia="Arial" w:hAnsi="Arial"/>
          <w:sz w:val="12"/>
          <w:szCs w:val="12"/>
          <w:color w:val="auto"/>
        </w:rPr>
        <w:t>cannot guarantee that these efforts will be successful. Accordingly, we may face claims from others claiming ownership of, or seeking to enforce the license terms applicable to such open source software, including by demanding release of the open source software, derivative works or our proprietary source code that was developed or distributed with such software. These claims could also result in litigation, require us to purchase a costly license or require us to devote additional research and development resources to change our software, any of which would have a negative effect on our business and results of operations. In addition, if the license terms for the open source software change, we may be forced to re-engineer our software or incur additional costs. We cannot assure you that we have not incorporated open source software into our proprietary software in a manner that may subject our proprietary software to an open source license that requires disclosure, to customers or the public, of the source code to such proprietary software. Any such disclosure would have a negative effect on our business and the value of our proprietary software.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become subject to intellectual property disputes, which are costly and may subject us to significant liability and increased costs of doing business.</w:t>
      </w:r>
    </w:p>
    <w:p>
      <w:pPr>
        <w:spacing w:after="0" w:line="204" w:lineRule="exact"/>
        <w:rPr>
          <w:sz w:val="20"/>
          <w:szCs w:val="20"/>
          <w:color w:val="auto"/>
        </w:rPr>
      </w:pPr>
    </w:p>
    <w:p>
      <w:pPr>
        <w:jc w:val="both"/>
        <w:ind w:right="40"/>
        <w:spacing w:after="0"/>
        <w:rPr>
          <w:sz w:val="20"/>
          <w:szCs w:val="20"/>
          <w:color w:val="auto"/>
        </w:rPr>
      </w:pPr>
      <w:r>
        <w:rPr>
          <w:rFonts w:ascii="Arial" w:cs="Arial" w:eastAsia="Arial" w:hAnsi="Arial"/>
          <w:sz w:val="13"/>
          <w:szCs w:val="13"/>
          <w:color w:val="auto"/>
        </w:rPr>
        <w:t>Third parties may be able to successfully challenge, oppose, invalidate, render unenforceable, dilute, misappropriate or circumvent our trademarks, copyrights and other intellectual property rights. 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2"/>
          <w:szCs w:val="12"/>
          <w:color w:val="auto"/>
        </w:rPr>
        <w:t>Actions we may take to enforce our intellectual property rights may be expensive and divert management’s attention away from the ordinary operation of our business, and our inability to secure and protect our intellectual property rights could materially and adversely affect our brand and business, operating results and financial condition. Furthermore, such enforcement actions, even if successful, may not result in an adequate remedy. In addition, many companies have the capability to dedicate greater resources to enforce their intellectual property rights and to defend claims that may be brought against them. If a third-party is able to obtain an injunction preventing us from accessing such third-party intellectual property rights, or if we cannot license or develop alternative technology for any infringing aspect of our business, we would be forced to limit or stop sales of our products and platform capabilities or cease business activities related to such intellectual property.</w:t>
      </w:r>
    </w:p>
    <w:p>
      <w:pPr>
        <w:spacing w:after="0" w:line="175" w:lineRule="exact"/>
        <w:rPr>
          <w:sz w:val="20"/>
          <w:szCs w:val="20"/>
          <w:color w:val="auto"/>
        </w:rPr>
      </w:pPr>
    </w:p>
    <w:p>
      <w:pPr>
        <w:ind w:right="20"/>
        <w:spacing w:after="0" w:line="239" w:lineRule="auto"/>
        <w:rPr>
          <w:sz w:val="20"/>
          <w:szCs w:val="20"/>
          <w:color w:val="auto"/>
        </w:rPr>
      </w:pPr>
      <w:r>
        <w:rPr>
          <w:rFonts w:ascii="Arial" w:cs="Arial" w:eastAsia="Arial" w:hAnsi="Arial"/>
          <w:sz w:val="13"/>
          <w:szCs w:val="13"/>
          <w:color w:val="auto"/>
        </w:rPr>
        <w:t>Although we carry general liability insurance, our insurance may not cover potential claims of this type and may not be adequate to indemnify us for all liability that may be imposed. We cannot predict the outcome of lawsuits and cannot ensure that the results of any such actions will not have an adverse effect on our business, financial condition or results of operations. Such claims could subject us to significant liability for damages and could result in our having to stop using technology found to be in violation of a third party’s rights. Further, we might be required to seek a license for third-party intellectual property, which may not be available on reasonable royalty or other terms. Alternatively, we could be required to develop alternative non-infringing technology, which could require significant effort and expense. If we cannot license or develop technology for any infringing aspect of our business, we would be forced to limit our services, which could affect our ability to compete effectively. Any of these results would harm our business, operating results and financial condition.</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Our Indebtedness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debt obligations contain restrictions that impact our business and expose us to risks that could materially adversely affect our liquidity and financial condition.</w:t>
      </w:r>
    </w:p>
    <w:p>
      <w:pPr>
        <w:spacing w:after="0" w:line="374" w:lineRule="exact"/>
        <w:rPr>
          <w:sz w:val="20"/>
          <w:szCs w:val="20"/>
          <w:color w:val="auto"/>
        </w:rPr>
      </w:pPr>
    </w:p>
    <w:p>
      <w:pPr>
        <w:ind w:right="80"/>
        <w:spacing w:after="0" w:line="284" w:lineRule="auto"/>
        <w:rPr>
          <w:sz w:val="20"/>
          <w:szCs w:val="20"/>
          <w:color w:val="auto"/>
        </w:rPr>
      </w:pPr>
      <w:r>
        <w:rPr>
          <w:rFonts w:ascii="Arial" w:cs="Arial" w:eastAsia="Arial" w:hAnsi="Arial"/>
          <w:sz w:val="12"/>
          <w:szCs w:val="12"/>
          <w:color w:val="auto"/>
        </w:rPr>
        <w:t>The total principal amount of debt outstanding under our Credit Facilities, excluding unamortized debt discount and deferred issuance costs, as of December 31, 2021 was $678.4 million, consisting of $523.4 million and $155.0 million outstanding under our term loans and revolving credit facilities, respectively. Our indebtedness could have significant effects on our business, such as:</w:t>
      </w:r>
    </w:p>
    <w:p>
      <w:pPr>
        <w:spacing w:after="0" w:line="161" w:lineRule="exact"/>
        <w:rPr>
          <w:sz w:val="20"/>
          <w:szCs w:val="20"/>
          <w:color w:val="auto"/>
        </w:rPr>
      </w:pPr>
    </w:p>
    <w:p>
      <w:pPr>
        <w:ind w:left="500" w:hanging="240"/>
        <w:spacing w:after="0"/>
        <w:tabs>
          <w:tab w:leader="none" w:pos="5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limiting our ability to borrow additional amounts to fund capital expenditures, acquisitions, debt service requirements, execution of our growth strategy and other purposes;</w:t>
      </w:r>
    </w:p>
    <w:p>
      <w:pPr>
        <w:ind w:left="500" w:hanging="240"/>
        <w:spacing w:after="0"/>
        <w:tabs>
          <w:tab w:leader="none" w:pos="5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limiting our ability to make investments, including acquisitions, loans and advances, and to sell, transfer or otherwise dispose of assets;</w:t>
      </w:r>
    </w:p>
    <w:p>
      <w:pPr>
        <w:ind w:left="520" w:right="140" w:hanging="260"/>
        <w:spacing w:after="0" w:line="238" w:lineRule="auto"/>
        <w:tabs>
          <w:tab w:leader="none" w:pos="511" w:val="left"/>
        </w:tabs>
        <w:numPr>
          <w:ilvl w:val="0"/>
          <w:numId w:val="21"/>
        </w:numPr>
        <w:rPr>
          <w:rFonts w:ascii="Arial" w:cs="Arial" w:eastAsia="Arial" w:hAnsi="Arial"/>
          <w:sz w:val="13"/>
          <w:szCs w:val="13"/>
          <w:color w:val="auto"/>
        </w:rPr>
      </w:pPr>
      <w:r>
        <w:rPr>
          <w:rFonts w:ascii="Arial" w:cs="Arial" w:eastAsia="Arial" w:hAnsi="Arial"/>
          <w:sz w:val="13"/>
          <w:szCs w:val="13"/>
          <w:color w:val="auto"/>
        </w:rPr>
        <w:t>requiring us to dedicate a substantial portion of our cash flow from operations to pay principal and interest on our borrowings, which would reduce availability of our cash flow to fund working capital, capital expenditures, acquisitions, execution of our growth strategy and other general corporate purposes;</w:t>
      </w:r>
    </w:p>
    <w:p>
      <w:pPr>
        <w:ind w:left="520" w:right="240" w:hanging="260"/>
        <w:spacing w:after="0" w:line="238" w:lineRule="auto"/>
        <w:tabs>
          <w:tab w:leader="none" w:pos="511" w:val="left"/>
        </w:tabs>
        <w:numPr>
          <w:ilvl w:val="0"/>
          <w:numId w:val="21"/>
        </w:numPr>
        <w:rPr>
          <w:rFonts w:ascii="Arial" w:cs="Arial" w:eastAsia="Arial" w:hAnsi="Arial"/>
          <w:sz w:val="13"/>
          <w:szCs w:val="13"/>
          <w:color w:val="auto"/>
        </w:rPr>
      </w:pPr>
      <w:r>
        <w:rPr>
          <w:rFonts w:ascii="Arial" w:cs="Arial" w:eastAsia="Arial" w:hAnsi="Arial"/>
          <w:sz w:val="13"/>
          <w:szCs w:val="13"/>
          <w:color w:val="auto"/>
        </w:rPr>
        <w:t>making us more vulnerable to adverse changes in general economic, industry and competitive conditions, in government regulation and in our business by limiting our ability to plan for and react to changing conditions;</w:t>
      </w:r>
    </w:p>
    <w:p>
      <w:pPr>
        <w:ind w:left="500" w:hanging="240"/>
        <w:spacing w:after="0"/>
        <w:tabs>
          <w:tab w:leader="none" w:pos="5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placing us at a competitive disadvantage compared with our competitors that have less debt; and</w:t>
      </w:r>
    </w:p>
    <w:p>
      <w:pPr>
        <w:ind w:left="520" w:right="360" w:hanging="260"/>
        <w:spacing w:after="0" w:line="244" w:lineRule="auto"/>
        <w:tabs>
          <w:tab w:leader="none" w:pos="511" w:val="left"/>
        </w:tabs>
        <w:numPr>
          <w:ilvl w:val="0"/>
          <w:numId w:val="21"/>
        </w:numPr>
        <w:rPr>
          <w:rFonts w:ascii="Arial" w:cs="Arial" w:eastAsia="Arial" w:hAnsi="Arial"/>
          <w:sz w:val="13"/>
          <w:szCs w:val="13"/>
          <w:color w:val="auto"/>
        </w:rPr>
      </w:pPr>
      <w:r>
        <w:rPr>
          <w:rFonts w:ascii="Arial" w:cs="Arial" w:eastAsia="Arial" w:hAnsi="Arial"/>
          <w:sz w:val="13"/>
          <w:szCs w:val="13"/>
          <w:color w:val="auto"/>
        </w:rPr>
        <w:t>exposing us to risks inherent in interest rate fluctuations because our borrowings are at variable rates of interest, which could result in higher interest expense in the event of increases in interest rates.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31</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15" w:right="319" w:bottom="1440" w:gutter="0" w:footer="0" w:header="0"/>
        </w:sectPr>
      </w:pPr>
    </w:p>
    <w:bookmarkStart w:id="34" w:name="page35"/>
    <w:bookmarkEnd w:id="34"/>
    <w:p>
      <w:pPr>
        <w:spacing w:after="0"/>
        <w:rPr>
          <w:sz w:val="20"/>
          <w:szCs w:val="20"/>
          <w:color w:val="auto"/>
        </w:rPr>
      </w:pPr>
      <w:r>
        <w:rPr>
          <w:rFonts w:ascii="Arial" w:cs="Arial" w:eastAsia="Arial" w:hAnsi="Arial"/>
          <w:sz w:val="13"/>
          <w:szCs w:val="13"/>
          <w:color w:val="auto"/>
        </w:rPr>
        <w:t>In addition, we may not be able to generate sufficient cash flow from our operations to repay our indebtedness when it becomes due and to meet our other cash needs. If we are not able to pay our borrowings as they become due, we will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must sell our assets, it may negatively affect our business, financial condition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Restrictions imposed by our Credit Facilities may materially limit our ability to operate our business and finance our future operations or capital needs.</w:t>
      </w:r>
    </w:p>
    <w:p>
      <w:pPr>
        <w:spacing w:after="0" w:line="204" w:lineRule="exact"/>
        <w:rPr>
          <w:sz w:val="20"/>
          <w:szCs w:val="20"/>
          <w:color w:val="auto"/>
        </w:rPr>
      </w:pPr>
    </w:p>
    <w:p>
      <w:pPr>
        <w:ind w:right="160"/>
        <w:spacing w:after="0" w:line="244" w:lineRule="auto"/>
        <w:rPr>
          <w:sz w:val="20"/>
          <w:szCs w:val="20"/>
          <w:color w:val="auto"/>
        </w:rPr>
      </w:pPr>
      <w:r>
        <w:rPr>
          <w:rFonts w:ascii="Arial" w:cs="Arial" w:eastAsia="Arial" w:hAnsi="Arial"/>
          <w:sz w:val="13"/>
          <w:szCs w:val="13"/>
          <w:color w:val="auto"/>
        </w:rPr>
        <w:t>The terms of our Credit Facilities restrict us and our restricted subsidiaries from engaging in specified types of transactions. These covenants restrict our ability, and that of our restricted subsidiaries, to, among other things:</w:t>
      </w:r>
    </w:p>
    <w:p>
      <w:pPr>
        <w:spacing w:after="0" w:line="183" w:lineRule="exact"/>
        <w:rPr>
          <w:sz w:val="20"/>
          <w:szCs w:val="20"/>
          <w:color w:val="auto"/>
        </w:rPr>
      </w:pP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incur indebtedness;</w:t>
      </w: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incur certain liens;</w:t>
      </w: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consolidate, merge or sell or otherwise dispose of assets;</w:t>
      </w: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make investments, loans, advances, guarantees and acquisitions;</w:t>
      </w: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pay dividends or make other distributions on equity interests, or redeem, repurchase or retire equity interests;</w:t>
      </w: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enter into transactions with affiliates;</w:t>
      </w: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alter the business conducted by us and our subsidiaries;</w:t>
      </w: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change their fiscal year; and</w:t>
      </w: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amend or modify governing documents.</w:t>
      </w:r>
    </w:p>
    <w:p>
      <w:pPr>
        <w:spacing w:after="0" w:line="190"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A breach of any of these covenants, or any other covenant in the documents governing our Credit Facilities, could result in a default or event of default under our Credit Facilities. In the event of any event of default under our Credit Facilities, the applicable lenders or agents could elect to terminate borrowing commitments and declare all borrowings and loans outstanding thereunder, together with accrued and unpaid interest and any fees and other obligations, to be immediately due and payable. In addition, or in the alternative, the applicable lenders or agents could exercise their rights under the security documents entered into in connection with our Credit Facilities. We have pledged substantially all of our assets as collateral securing our Credit Facilities and any such exercise of remedies on any material portion of such collateral would likely materially adversely affect our business, financial condition or results of operations. Subject to certain limited exceptions, substantially all of the Company’s assets are restricted from distribution.</w:t>
      </w:r>
    </w:p>
    <w:p>
      <w:pPr>
        <w:spacing w:after="0" w:line="189" w:lineRule="exact"/>
        <w:rPr>
          <w:sz w:val="20"/>
          <w:szCs w:val="20"/>
          <w:color w:val="auto"/>
        </w:rPr>
      </w:pPr>
    </w:p>
    <w:p>
      <w:pPr>
        <w:ind w:right="160"/>
        <w:spacing w:after="0" w:line="241" w:lineRule="auto"/>
        <w:rPr>
          <w:sz w:val="20"/>
          <w:szCs w:val="20"/>
          <w:color w:val="auto"/>
        </w:rPr>
      </w:pPr>
      <w:r>
        <w:rPr>
          <w:rFonts w:ascii="Arial" w:cs="Arial" w:eastAsia="Arial" w:hAnsi="Arial"/>
          <w:sz w:val="13"/>
          <w:szCs w:val="13"/>
          <w:color w:val="auto"/>
        </w:rPr>
        <w:t>If we were unable to repay or otherwise refinance these borrowings and loans when due, and the applicable lenders proceeded against the collateral granted to them to secure that indebtedness, we may be forced into bankruptcy or liquidation. In the event the applicable lenders accelerate the repayment of our borrowings, we may not have sufficient assets to repay that indebtedness. Any acceleration of amounts due under our Credit Facilities or other outstanding indebtedness would also likely have a material adverse effect on us.</w:t>
      </w:r>
    </w:p>
    <w:p>
      <w:pPr>
        <w:spacing w:after="0" w:line="186" w:lineRule="exact"/>
        <w:rPr>
          <w:sz w:val="20"/>
          <w:szCs w:val="20"/>
          <w:color w:val="auto"/>
        </w:rPr>
      </w:pPr>
    </w:p>
    <w:p>
      <w:pPr>
        <w:ind w:right="20"/>
        <w:spacing w:after="0"/>
        <w:rPr>
          <w:sz w:val="20"/>
          <w:szCs w:val="20"/>
          <w:color w:val="auto"/>
        </w:rPr>
      </w:pPr>
      <w:r>
        <w:rPr>
          <w:rFonts w:ascii="Arial" w:cs="Arial" w:eastAsia="Arial" w:hAnsi="Arial"/>
          <w:sz w:val="13"/>
          <w:szCs w:val="13"/>
          <w:color w:val="auto"/>
        </w:rPr>
        <w:t>Pursuant to our Credit Agreement, we are required to maintain, on a consolidated basis, a maximum ratio of consolidated total net debt to consolidated EBITDA (with certain adjustments as set forth in the Credit Agreement), tested as of the last day of the most recently completed four consecutive fiscal quarters. Our ability to borrow under our Credit Agreement depends on our compliance with this financial covenant. Events beyond our control, including changes in general economic and business conditions, may affect our ability to satisfy the financial covenant. We cannot assure you that we will satisfy the financial covenant in the future, or that our lenders will waive any failure to satisfy the financial covenant.</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Developments with respect to LIBOR may affect our borrowings under our Credit Facilities.</w:t>
      </w:r>
    </w:p>
    <w:p>
      <w:pPr>
        <w:spacing w:after="0" w:line="204" w:lineRule="exact"/>
        <w:rPr>
          <w:sz w:val="20"/>
          <w:szCs w:val="20"/>
          <w:color w:val="auto"/>
        </w:rPr>
      </w:pPr>
    </w:p>
    <w:p>
      <w:pPr>
        <w:ind w:right="20"/>
        <w:spacing w:after="0" w:line="258" w:lineRule="auto"/>
        <w:rPr>
          <w:sz w:val="20"/>
          <w:szCs w:val="20"/>
          <w:color w:val="auto"/>
        </w:rPr>
      </w:pPr>
      <w:r>
        <w:rPr>
          <w:rFonts w:ascii="Arial" w:cs="Arial" w:eastAsia="Arial" w:hAnsi="Arial"/>
          <w:sz w:val="12"/>
          <w:szCs w:val="12"/>
          <w:color w:val="auto"/>
        </w:rPr>
        <w:t>In 2017, the U.K. Financial Conduct Authority (the “FCA”) announced that it intends to phase out LIBOR, and in 2021, it announced that all LIBOR settings will either cease to be provided by any administrator or no longer be representative immediately after December 31, 2021, in the case of 1 week and 2 month USD settings, and immediately after June 30, 2023, in the case of the remaining USD settings. The U.S. Federal Reserve (the “Federal Reserve”) has also advised banks to cease entering into new contracts that use USD LIBOR as a reference rate. The Alternative Reference Rate Committee, a committee convened by the Federal Reserve that includes major market participants, has identified the Secured Overnight Financing Rate (“SOFR”), a new index calculated by short-term repurchase agreements, backed by U.S. Treasury securities, as its preferred alternative rate for LIBOR in the United States. Working groups formed by financial regulators in other jurisdictions, including the United Kingdom, the European Union, Japan and Switzerland, have also recommended alternatives to LIBOR denominated in their local currencies. Although SOFR appears to be the preferred replacement rate for USD LIBOR, it is unclear if other benchmarks may emerge or if other rates will be adopted outside of the United States. At this time, it is not possible to predict how markets will respond to SOFR or other alternative reference rates as the transition away from the LIBOR benchmarks is anticipated in coming years. Accordingly, the outcome of these reforms is uncertain and any changes in the methods by which LIBOR is determined or regulatory activity related to LIBOR’s phase-out could cause LIBOR to perform differently than in the past or cease to exist.</w:t>
      </w:r>
    </w:p>
    <w:p>
      <w:pPr>
        <w:spacing w:after="0" w:line="2" w:lineRule="exact"/>
        <w:rPr>
          <w:sz w:val="20"/>
          <w:szCs w:val="20"/>
          <w:color w:val="auto"/>
        </w:rPr>
      </w:pPr>
    </w:p>
    <w:p>
      <w:pPr>
        <w:ind w:right="480" w:firstLine="5"/>
        <w:spacing w:after="0" w:line="244" w:lineRule="auto"/>
        <w:tabs>
          <w:tab w:leader="none" w:pos="71" w:val="left"/>
        </w:tabs>
        <w:numPr>
          <w:ilvl w:val="0"/>
          <w:numId w:val="23"/>
        </w:numPr>
        <w:rPr>
          <w:rFonts w:ascii="Arial" w:cs="Arial" w:eastAsia="Arial" w:hAnsi="Arial"/>
          <w:sz w:val="13"/>
          <w:szCs w:val="13"/>
          <w:color w:val="auto"/>
        </w:rPr>
      </w:pPr>
      <w:r>
        <w:rPr>
          <w:rFonts w:ascii="Arial" w:cs="Arial" w:eastAsia="Arial" w:hAnsi="Arial"/>
          <w:sz w:val="13"/>
          <w:szCs w:val="13"/>
          <w:color w:val="auto"/>
        </w:rPr>
        <w:t>We cannot predict whether or when LIBOR will actually cease to be available, whether SOFR will become the market benchmark in its place, or what, if any, such a transition may have on our business, financial condition and results of operations should we have any borrowings under the Credit Agreement at that time. Our Credit Agreement provides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32</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15" w:right="319" w:bottom="1440" w:gutter="0" w:footer="0" w:header="0"/>
        </w:sectPr>
      </w:pPr>
    </w:p>
    <w:bookmarkStart w:id="35" w:name="page36"/>
    <w:bookmarkEnd w:id="35"/>
    <w:p>
      <w:pPr>
        <w:ind w:right="140"/>
        <w:spacing w:after="0" w:line="241" w:lineRule="auto"/>
        <w:rPr>
          <w:sz w:val="20"/>
          <w:szCs w:val="20"/>
          <w:color w:val="auto"/>
        </w:rPr>
      </w:pPr>
      <w:r>
        <w:rPr>
          <w:rFonts w:ascii="Arial" w:cs="Arial" w:eastAsia="Arial" w:hAnsi="Arial"/>
          <w:sz w:val="13"/>
          <w:szCs w:val="13"/>
          <w:color w:val="auto"/>
        </w:rPr>
        <w:t>that interest may be based on LIBOR and for the use of an alternate rate to LIBOR in the event LIBOR is phased-out; however, uncertainty remains as to any such replacement rate and any such replacement rate may be higher or lower than LIBOR may have been. The establishment of alternative reference rates or implementation of any other potential changes may materially and adversely affect our business, operating results and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Our Organizational Structure</w:t>
      </w:r>
    </w:p>
    <w:p>
      <w:pPr>
        <w:spacing w:after="0" w:line="192" w:lineRule="exact"/>
        <w:rPr>
          <w:sz w:val="20"/>
          <w:szCs w:val="20"/>
          <w:color w:val="auto"/>
        </w:rPr>
      </w:pPr>
    </w:p>
    <w:p>
      <w:pPr>
        <w:ind w:right="520"/>
        <w:spacing w:after="0" w:line="266" w:lineRule="auto"/>
        <w:rPr>
          <w:sz w:val="20"/>
          <w:szCs w:val="20"/>
          <w:color w:val="auto"/>
        </w:rPr>
      </w:pPr>
      <w:r>
        <w:rPr>
          <w:rFonts w:ascii="Arial" w:cs="Arial" w:eastAsia="Arial" w:hAnsi="Arial"/>
          <w:sz w:val="13"/>
          <w:szCs w:val="13"/>
          <w:b w:val="1"/>
          <w:bCs w:val="1"/>
          <w:i w:val="1"/>
          <w:iCs w:val="1"/>
          <w:color w:val="auto"/>
        </w:rPr>
        <w:t>Our principal asset is our interest in GoHealth Holdings, LLC, and, as a result, we depend on distributions from GoHealth Holdings, LLC to pay our taxes and expenses, including payments under the Tax Receivable Agreement. GoHealth Holdings, LLC’s ability to make such distributions may be subject to various limitations and restrictions.</w:t>
      </w:r>
    </w:p>
    <w:p>
      <w:pPr>
        <w:spacing w:after="0" w:line="171" w:lineRule="exact"/>
        <w:rPr>
          <w:sz w:val="20"/>
          <w:szCs w:val="20"/>
          <w:color w:val="auto"/>
        </w:rPr>
      </w:pPr>
    </w:p>
    <w:p>
      <w:pPr>
        <w:ind w:right="100"/>
        <w:spacing w:after="0" w:line="239" w:lineRule="auto"/>
        <w:rPr>
          <w:sz w:val="20"/>
          <w:szCs w:val="20"/>
          <w:color w:val="auto"/>
        </w:rPr>
      </w:pPr>
      <w:r>
        <w:rPr>
          <w:rFonts w:ascii="Arial" w:cs="Arial" w:eastAsia="Arial" w:hAnsi="Arial"/>
          <w:sz w:val="13"/>
          <w:szCs w:val="13"/>
          <w:color w:val="auto"/>
        </w:rPr>
        <w:t>We are a holding company and have no material assets other than our ownership of LLC Interests. As such, we have no independent means of generating revenue or cash flow, and our ability to pay our taxes and operating expenses or declare and pay dividends in the future, if any, are dependent upon the financial results and cash flows of GoHealth Holdings, LLC and its subsidiaries and distributions we receive from GoHealth Holdings, LLC. There can be no assurance that GoHealth Holdings, LLC and its subsidiaries will generate sufficient cash flow to distribute funds to us or that applicable state law and contractual restrictions, including negative covenants in our debt instruments, will permit such distributions. Although GoHealth Holdings, LLC is not currently subject to any debt instruments or other agreements that would restrict its ability to make distributions to us, the terms of our Credit Facilities and other outstanding indebtedness restrict the ability of our subsidiaries to pay dividends to GoHealth Holdings, LLC.</w:t>
      </w:r>
    </w:p>
    <w:p>
      <w:pPr>
        <w:spacing w:after="0" w:line="189" w:lineRule="exact"/>
        <w:rPr>
          <w:sz w:val="20"/>
          <w:szCs w:val="20"/>
          <w:color w:val="auto"/>
        </w:rPr>
      </w:pPr>
    </w:p>
    <w:p>
      <w:pPr>
        <w:ind w:right="20"/>
        <w:spacing w:after="0" w:line="239" w:lineRule="auto"/>
        <w:rPr>
          <w:sz w:val="20"/>
          <w:szCs w:val="20"/>
          <w:color w:val="auto"/>
        </w:rPr>
      </w:pPr>
      <w:r>
        <w:rPr>
          <w:rFonts w:ascii="Arial" w:cs="Arial" w:eastAsia="Arial" w:hAnsi="Arial"/>
          <w:sz w:val="13"/>
          <w:szCs w:val="13"/>
          <w:color w:val="auto"/>
        </w:rPr>
        <w:t>GoHealth Holdings, LLC is treated as a partnership for U.S. federal income tax purposes and, as such, generally is not subject to any entity-level U.S. federal income tax. Instead, any taxable income of GoHealth Holdings, LLC will be allocated to holders of LLC Interests, including us. Accordingly, we incur income taxes on our allocable share of any net taxable income of GoHealth Holdings, LLC. Under the terms of the GoHealth Holdings, LLC Agreement, GoHealth Holdings, LLC is obligated, subject to various limitations and restrictions, including with respect to our debt agreements, to make tax distributions to holders of LLC Interests, including us. In addition to tax expenses, we also incur expenses related to our operations, including payments under the Tax Receivable Agreement, which could be significant. We intend, as its managing member, to cause GoHealth Holdings, LLC to make cash distributions to the holders of LLC Interests in an amount sufficient to (1) fund all or part of their tax obligations in respect of taxable income allocated to them and (2) cover our operating expenses, including payments under the Tax Receivable Agreement. However, GoHealth Holdings, LLC’s ability to make such distributions may be subject to various limitations and restrictions, such as restrictions on distributions that would either violate any contract or agreement to which GoHealth Holdings, LLC is then a party, including debt agreements, or any applicable law, or that would have the effect of rendering GoHealth Holdings, LLC insolvent. If we do not have sufficient funds to pay tax or other liabilities, or to fund our operations (including, if applicable, as a result of an acceleration of our obligations under the Tax Receivable Agreement), we may have to borrow funds, which could materially and adversely affect our liquidity and financial condition, and subject us to various restrictions imposed by any lenders of such funds. To the extent we are unable to make timely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resulting in the acceleration of payments due under the Tax Receivable Agreement. In addition, if GoHealth Holdings, LLC does not have sufficient funds to make distributions, our ability to declare and pay cash dividends will also be restricted or impaired. See “—Risks Related to the Ownership of our Class A Common Stock.”</w:t>
      </w:r>
    </w:p>
    <w:p>
      <w:pPr>
        <w:spacing w:after="0" w:line="186" w:lineRule="exact"/>
        <w:rPr>
          <w:sz w:val="20"/>
          <w:szCs w:val="20"/>
          <w:color w:val="auto"/>
        </w:rPr>
      </w:pPr>
    </w:p>
    <w:p>
      <w:pPr>
        <w:ind w:right="40"/>
        <w:spacing w:after="0" w:line="260" w:lineRule="auto"/>
        <w:rPr>
          <w:sz w:val="20"/>
          <w:szCs w:val="20"/>
          <w:color w:val="auto"/>
        </w:rPr>
      </w:pPr>
      <w:r>
        <w:rPr>
          <w:rFonts w:ascii="Arial" w:cs="Arial" w:eastAsia="Arial" w:hAnsi="Arial"/>
          <w:sz w:val="12"/>
          <w:szCs w:val="12"/>
          <w:color w:val="auto"/>
        </w:rPr>
        <w:t>Under the GoHealth Holdings, LLC Agreement, we intend to cause GoHealth Holdings, LLC, from time to time, to make distributions in cash to its equityholders (including us) in amounts sufficient to cover the taxes imposed on their allocable share of taxable income of GoHealth Holdings, LLC. As a result of (1) potential differences in the amount of net taxable income allocable to us and to GoHealth Holdings, LLC’s other equityholders, (2) the lower tax rate applicable to corporations as opposed to individuals, and (3) certain tax benefits that we anticipate from (a) future purchases or redemptions of LLC Interests from the Continuing Equity Owners, (b) payments under the Tax Receivable Agreement and (c) any acquisition of interests in GoHealth Holdings, LLC from other equityholders in connection with the consummation of the Transactions, these tax distributions may be in amounts that exceed our tax liabilities. Our board of directors will determine the appropriate uses for any excess cash so accumulated, which may include, among other uses, the payment of obligations under the Tax Receivable Agreement and the payment of other expenses. We will have no obligation to distribute such cash (or other available cash) to our stockholders. No adjustments to the exchange ratio for LLC Interests and corresponding shares of Class A common stock will be made as a result of any cash distribution by us or any retention of cash by us. To the extent we do not distribute such excess cash as dividends on our Class A common stock, we may take other actions with respect to such excess cash, for example, holding such excess cash, or lending it (or a portion thereof) to GoHealth Holdings, LLC, which may result in shares of our Class A common stock increasing in value relative to the value of LLC Interests. The holders of LLC Interests may benefit from any value attributable to such cash balances if they acquire shares of Class A common stock in exchange for their LLC Interests, notwithstanding that such holders may have participated previously as holders of LLC Interests in distributions that resulted in such excess cash balances.</w:t>
      </w:r>
    </w:p>
    <w:p>
      <w:pPr>
        <w:spacing w:after="0" w:line="167" w:lineRule="exact"/>
        <w:rPr>
          <w:sz w:val="20"/>
          <w:szCs w:val="20"/>
          <w:color w:val="auto"/>
        </w:rPr>
      </w:pPr>
    </w:p>
    <w:p>
      <w:pPr>
        <w:ind w:right="220"/>
        <w:spacing w:after="0" w:line="266" w:lineRule="auto"/>
        <w:rPr>
          <w:sz w:val="20"/>
          <w:szCs w:val="20"/>
          <w:color w:val="auto"/>
        </w:rPr>
      </w:pPr>
      <w:r>
        <w:rPr>
          <w:rFonts w:ascii="Arial" w:cs="Arial" w:eastAsia="Arial" w:hAnsi="Arial"/>
          <w:sz w:val="13"/>
          <w:szCs w:val="13"/>
          <w:b w:val="1"/>
          <w:bCs w:val="1"/>
          <w:i w:val="1"/>
          <w:iCs w:val="1"/>
          <w:color w:val="auto"/>
        </w:rPr>
        <w:t>The Tax Receivable Agreement with the Continuing Equity Owners requires us to make cash payments to them in respect of certain tax benefits to which we may become entitled, and such payments could be substantial.</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33</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15" w:right="319" w:bottom="1440" w:gutter="0" w:footer="0" w:header="0"/>
        </w:sectPr>
      </w:pPr>
    </w:p>
    <w:bookmarkStart w:id="36" w:name="page37"/>
    <w:bookmarkEnd w:id="36"/>
    <w:p>
      <w:pPr>
        <w:spacing w:after="0" w:line="238" w:lineRule="auto"/>
        <w:rPr>
          <w:sz w:val="20"/>
          <w:szCs w:val="20"/>
          <w:color w:val="auto"/>
        </w:rPr>
      </w:pPr>
      <w:r>
        <w:rPr>
          <w:rFonts w:ascii="Arial" w:cs="Arial" w:eastAsia="Arial" w:hAnsi="Arial"/>
          <w:sz w:val="13"/>
          <w:szCs w:val="13"/>
          <w:color w:val="auto"/>
        </w:rPr>
        <w:t>Under the Tax Receivable Agreement, we are required to make cash payments to the Continuing Equity Owners and the Blocker Shareholders equal to 85% of the tax benefits, if any, that we actually realize, or in certain circumstances are deemed to realize, as a result of (1) GoHealth, Inc.’s allocable share of existing tax basis acquired in connection with the Transactions (including the Blocker Company’s share of existing tax basis) and increases to such allocable share of existing tax basis; (2) the increases in our share of the tax basis of assets of GoHealth Holdings, LLC resulting from (a) the purchase of LLC Interests directly from GoHealth Holdings, LLC and the partial redemption of LLC Interests by GoHealth Holdings, LLC, (b) any future redemptions or exchanges of LLC Interests from the Continuing Equity Owners and (c) certain distributions (or deemed distributions) by GoHealth Holdings, LLC; and (3) certain other tax benefits arising from payments under the Tax Receivable Agreement. The amount of cash payments we are required to make under the Tax Receivable Agreement could be substantial. Any payments made by us to the Continuing Equity Owners and the Blocker Shareholders under the Tax Receivable Agreement will not be available for reinvestment in our business and will generally reduce the amount of overall cash flow that might have otherwise been available to us. To the extent that we are unable to make timely payments under the Tax Receivable Agreement for any reason, the unpaid amounts will be deferred and will accrue interest until paid by us. Payments under the Tax Receivable Agreement are not conditioned upon one or more of the Continuing Equity Owners maintaining a continued ownership interest in GoHealth Holdings, LLC. Furthermore, our future obligation to make payments under the Tax Receivable Agreement could make us a less attractive target for an acquisition, particularly in the case of an acquirer that cannot use some or all of the tax benefits that are the subject of the Tax Receivable Agreement. The existing tax basis acquired in connection with the Transactions, the actual increase in tax basis, and the actual utilization of any resulting tax benefits, as well as the amount and timing of any payments under the Tax Receivable Agreement, will vary depending upon a number of factors: including the timing of redemptions by the Continuing Equity Owners; the price of shares of our Class A common stock at the time of the exchange; the extent to which such exchanges are taxable; the amount of gain recognized by such Continuing Equity Owners; the amount and timing of the taxable income allocated to us or otherwise generated by us in the future; the portion of our payments under the Tax Receivable Agreement constituting imputed interest; and the federal and state tax rates then applicable.</w:t>
      </w:r>
    </w:p>
    <w:p>
      <w:pPr>
        <w:spacing w:after="0" w:line="181" w:lineRule="exact"/>
        <w:rPr>
          <w:sz w:val="20"/>
          <w:szCs w:val="20"/>
          <w:color w:val="auto"/>
        </w:rPr>
      </w:pPr>
    </w:p>
    <w:p>
      <w:pPr>
        <w:ind w:right="220"/>
        <w:spacing w:after="0" w:line="266" w:lineRule="auto"/>
        <w:rPr>
          <w:sz w:val="20"/>
          <w:szCs w:val="20"/>
          <w:color w:val="auto"/>
        </w:rPr>
      </w:pPr>
      <w:r>
        <w:rPr>
          <w:rFonts w:ascii="Arial" w:cs="Arial" w:eastAsia="Arial" w:hAnsi="Arial"/>
          <w:sz w:val="13"/>
          <w:szCs w:val="13"/>
          <w:b w:val="1"/>
          <w:bCs w:val="1"/>
          <w:i w:val="1"/>
          <w:iCs w:val="1"/>
          <w:color w:val="auto"/>
        </w:rPr>
        <w:t>Our organizational structure, including the Tax Receivable Agreement, confers certain benefits upon the Continuing Equity Owners that do not benefit holders of our Class A common stock to the same extent that it benefits the Continuing Equity Owners.</w:t>
      </w:r>
    </w:p>
    <w:p>
      <w:pPr>
        <w:spacing w:after="0" w:line="171" w:lineRule="exact"/>
        <w:rPr>
          <w:sz w:val="20"/>
          <w:szCs w:val="20"/>
          <w:color w:val="auto"/>
        </w:rPr>
      </w:pPr>
    </w:p>
    <w:p>
      <w:pPr>
        <w:ind w:right="20"/>
        <w:spacing w:after="0" w:line="239" w:lineRule="auto"/>
        <w:rPr>
          <w:sz w:val="20"/>
          <w:szCs w:val="20"/>
          <w:color w:val="auto"/>
        </w:rPr>
      </w:pPr>
      <w:r>
        <w:rPr>
          <w:rFonts w:ascii="Arial" w:cs="Arial" w:eastAsia="Arial" w:hAnsi="Arial"/>
          <w:sz w:val="13"/>
          <w:szCs w:val="13"/>
          <w:color w:val="auto"/>
        </w:rPr>
        <w:t>Our organizational structure, including the Tax Receivable Agreement, confers certain benefits upon the Continuing Equity Owners that do not benefit the holders of our Class A common stock to the same extent that it benefits the Continuing Equity Owners. The Tax Receivable Agreement provides for the payment by us to the Continuing Equity Owners and the Blocker Shareholders of 85% of the amount of tax benefits, if any, that we actually realize, or in some circumstances are deemed to realize, as a result of (1) GoHealth, Inc.’s allocable share of existing tax basis acquired in connection with the Transactions (including the Blocker Company’s share of existing tax basis) and increases to such allocable share of existing tax basis; (2) the increases in our share of the tax basis of assets of GoHealth Holdings, LLC resulting from (a) the purchase of LLC Interests directly from GoHealth Holdings, LLC and, the partial redemption of LLC Interests by GoHealth Holdings, LLC (b) any future redemptions or exchanges of LLC Interests from the Continuing Equity Owners and (c) certain distributions (or deemed distributions) by GoHealth Holdings, LLC; and (3) certain other tax benefits arising from payments under the Tax Receivable Agreement. Although we will retain 15% of the amount of such tax benefits, this and other aspects of our organizational structure may adversely impact the future trading market for the Class A common stock.</w:t>
      </w:r>
    </w:p>
    <w:p>
      <w:pPr>
        <w:spacing w:after="0" w:line="174" w:lineRule="exact"/>
        <w:rPr>
          <w:sz w:val="20"/>
          <w:szCs w:val="20"/>
          <w:color w:val="auto"/>
        </w:rPr>
      </w:pPr>
    </w:p>
    <w:p>
      <w:pPr>
        <w:ind w:right="260"/>
        <w:spacing w:after="0" w:line="266" w:lineRule="auto"/>
        <w:rPr>
          <w:sz w:val="20"/>
          <w:szCs w:val="20"/>
          <w:color w:val="auto"/>
        </w:rPr>
      </w:pPr>
      <w:r>
        <w:rPr>
          <w:rFonts w:ascii="Arial" w:cs="Arial" w:eastAsia="Arial" w:hAnsi="Arial"/>
          <w:sz w:val="13"/>
          <w:szCs w:val="13"/>
          <w:b w:val="1"/>
          <w:bCs w:val="1"/>
          <w:i w:val="1"/>
          <w:iCs w:val="1"/>
          <w:color w:val="auto"/>
        </w:rPr>
        <w:t>In certain cases, payments under the Tax Receivable Agreement to the Continuing Equity Owners and the Blocker Shareholders may be accelerated or significantly exceed any actual benefits we realize in respect of the tax attributes subject to the Tax Receivable Agreement.</w:t>
      </w:r>
    </w:p>
    <w:p>
      <w:pPr>
        <w:spacing w:after="0" w:line="171" w:lineRule="exact"/>
        <w:rPr>
          <w:sz w:val="20"/>
          <w:szCs w:val="20"/>
          <w:color w:val="auto"/>
        </w:rPr>
      </w:pPr>
    </w:p>
    <w:p>
      <w:pPr>
        <w:ind w:right="120"/>
        <w:spacing w:after="0" w:line="238" w:lineRule="auto"/>
        <w:rPr>
          <w:sz w:val="20"/>
          <w:szCs w:val="20"/>
          <w:color w:val="auto"/>
        </w:rPr>
      </w:pPr>
      <w:r>
        <w:rPr>
          <w:rFonts w:ascii="Arial" w:cs="Arial" w:eastAsia="Arial" w:hAnsi="Arial"/>
          <w:sz w:val="13"/>
          <w:szCs w:val="13"/>
          <w:color w:val="auto"/>
        </w:rPr>
        <w:t>The Tax Receivable Agreement provides that if (1) we materially breach any of our material obligations under the Tax Receivable Agreement, (2) certain mergers, asset sales, other forms of business combinations or other changes of control were to occur, or (3) we elect an early termination of the Tax Receivable Agreement, then our obligations, or our successor’s obligations, under the Tax Receivable Agreement to make payments would be based on certain assumptions, including an assumption that we would have sufficient taxable income to fully utilize all potential future tax benefits that are subject to the Tax Receivable Agreement.</w:t>
      </w:r>
    </w:p>
    <w:p>
      <w:pPr>
        <w:spacing w:after="0" w:line="1" w:lineRule="exact"/>
        <w:rPr>
          <w:sz w:val="20"/>
          <w:szCs w:val="20"/>
          <w:color w:val="auto"/>
        </w:rPr>
      </w:pPr>
    </w:p>
    <w:p>
      <w:pPr>
        <w:ind w:right="20"/>
        <w:spacing w:after="0" w:line="239" w:lineRule="auto"/>
        <w:rPr>
          <w:sz w:val="20"/>
          <w:szCs w:val="20"/>
          <w:color w:val="auto"/>
        </w:rPr>
      </w:pPr>
      <w:r>
        <w:rPr>
          <w:rFonts w:ascii="Arial" w:cs="Arial" w:eastAsia="Arial" w:hAnsi="Arial"/>
          <w:sz w:val="13"/>
          <w:szCs w:val="13"/>
          <w:color w:val="auto"/>
        </w:rPr>
        <w:t>As a result of the foregoing, we would be required to make an immediate cash payment equal to the present value of the anticipated future tax benefits that are the subject of the Tax Receivable Agreement, based on certain assumptions, which payment may be made significantly in advance of the actual realization, if any, of such future tax benefits. We could also be required to make cash payments to the Continuing Equity Owners and the Blocker Shareholders that are greater than the specified percentage of any actual benefits we ultimately realize in respect of the tax benefits that are subject to the Tax Receivable Agreement.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There can be no assurance that we will be able to fund or finance our obligations under the Tax Receivable Agreement. We may need to incur debt to finance payments under the Tax Receivable Agreement to the extent our cash resources are insufficient to meet our obligations under the Tax Receivable Agreement as a result of timing discrepancies or otherwise.</w:t>
      </w:r>
    </w:p>
    <w:p>
      <w:pPr>
        <w:spacing w:after="0" w:line="175" w:lineRule="exact"/>
        <w:rPr>
          <w:sz w:val="20"/>
          <w:szCs w:val="20"/>
          <w:color w:val="auto"/>
        </w:rPr>
      </w:pPr>
    </w:p>
    <w:p>
      <w:pPr>
        <w:ind w:right="120"/>
        <w:spacing w:after="0" w:line="266" w:lineRule="auto"/>
        <w:rPr>
          <w:sz w:val="20"/>
          <w:szCs w:val="20"/>
          <w:color w:val="auto"/>
        </w:rPr>
      </w:pPr>
      <w:r>
        <w:rPr>
          <w:rFonts w:ascii="Arial" w:cs="Arial" w:eastAsia="Arial" w:hAnsi="Arial"/>
          <w:sz w:val="13"/>
          <w:szCs w:val="13"/>
          <w:b w:val="1"/>
          <w:bCs w:val="1"/>
          <w:i w:val="1"/>
          <w:iCs w:val="1"/>
          <w:color w:val="auto"/>
        </w:rPr>
        <w:t>We will not be reimbursed for any payments made to the Continuing Equity Owners and the Blocker Shareholders under the Tax Receivable Agreement in the event that any tax benefits are disallowed.</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34</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15" w:right="319" w:bottom="1440" w:gutter="0" w:footer="0" w:header="0"/>
        </w:sectPr>
      </w:pPr>
    </w:p>
    <w:bookmarkStart w:id="37" w:name="page38"/>
    <w:bookmarkEnd w:id="37"/>
    <w:p>
      <w:pPr>
        <w:ind w:right="40"/>
        <w:spacing w:after="0" w:line="260" w:lineRule="auto"/>
        <w:rPr>
          <w:sz w:val="20"/>
          <w:szCs w:val="20"/>
          <w:color w:val="auto"/>
        </w:rPr>
      </w:pPr>
      <w:r>
        <w:rPr>
          <w:rFonts w:ascii="Arial" w:cs="Arial" w:eastAsia="Arial" w:hAnsi="Arial"/>
          <w:sz w:val="12"/>
          <w:szCs w:val="12"/>
          <w:color w:val="auto"/>
        </w:rPr>
        <w:t>Payments under the Tax Receivable Agreement will be based on the tax reporting positions that we determine, and the U.S. Internal Revenue Service, or the IRS, or another tax authority, may challenge all or part of the tax basis increases or other tax benefits we claim, as well as other related tax positions we take, and a court could sustain such challenge. If the outcome of any such challenge would reasonably be expected to materially and adversely affect a recipient’s payments under the Tax Receivable Agreement, then we will not be permitted to settle or fail to contest such challenge without the consent (not to be unreasonably withheld or delayed) of Centerbridge and NVX Holdings. The interests of Centerbridge or NVX Holdings in any such challenge may differ from or conflict with our interests and your interests, and Centerbridge or NVX Holdings may exercise their consent rights relating to any such challenge in a manner adverse to our interests and your interests. We will not be reimbursed for any cash payments previously made to the Continuing Equity Owners and the Blocker Shareholders under the Tax Receivable Agreement in the event that any tax benefits initially claimed by us and for which payment has been made to a Continuing Equity Owner or a Blocker Shareholder are subsequently challenged by a taxing authority and are ultimately disallowed. Instead, any excess cash payments made by us to a Continuing Equity Owner and/or a Blocker Shareholder, as applicable, will be netted against any future cash payments we might otherwise be required to make to such Continuing Equity Owner and/or such Blocker Shareholder, under the terms of the Tax Receivable Agreement. However, we might not determine that we have effectively made an excess cash payment to a Continuing Equity Owner and/or a Blocker Shareholder, as applicable,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Moreover, the excess cash payments we made previously under the Tax Receivable Agreement could be greater than the amount of future cash payments against which we would otherwise be permitted to net such excess. The applicable U.S. federal income tax rules for determining applicable tax benefits we may claim are complex and factual in nature, and there can be no assurance that the IRS or a court will not disagree with our tax reporting positions. As a result, payments could be made under the Tax Receivable Agreement significantly in excess of any actual cash tax savings that we realize in respect of the tax attributes with respect to a Continuing Equity Owner and/or a Blocker Shareholder that are the subject of the Tax Receivable Agreement.</w:t>
      </w:r>
    </w:p>
    <w:p>
      <w:pPr>
        <w:spacing w:after="0" w:line="3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the Ownership of our Class A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Founders and Centerbridge have significant influence over us, including control over decisions that require the approval of stockholders.</w:t>
      </w:r>
    </w:p>
    <w:p>
      <w:pPr>
        <w:spacing w:after="0" w:line="204" w:lineRule="exact"/>
        <w:rPr>
          <w:sz w:val="20"/>
          <w:szCs w:val="20"/>
          <w:color w:val="auto"/>
        </w:rPr>
      </w:pPr>
    </w:p>
    <w:p>
      <w:pPr>
        <w:ind w:right="80"/>
        <w:spacing w:after="0" w:line="239" w:lineRule="auto"/>
        <w:rPr>
          <w:sz w:val="20"/>
          <w:szCs w:val="20"/>
          <w:color w:val="auto"/>
        </w:rPr>
      </w:pPr>
      <w:r>
        <w:rPr>
          <w:rFonts w:ascii="Arial" w:cs="Arial" w:eastAsia="Arial" w:hAnsi="Arial"/>
          <w:sz w:val="13"/>
          <w:szCs w:val="13"/>
          <w:color w:val="auto"/>
        </w:rPr>
        <w:t>As of December 31, 2021, the Founders and Centerbridge control, in the aggregate, approximately 56.4% of the voting power represented by all our outstanding classes of stock. As a result, the Founders and Centerbridge exercise significant influence over all matters requiring stockholder approval, including the election and removal of directors and the size of our board, any amendment of our amended and restated certificate of incorporation or bylaws and any approval of significant corporate transactions (including a sale of all or substantially all of our assets), and will continue to have significant control over our business, affairs and policies, including the appointment of our management. The directors that the Founders and Centerbridge elect have the authority to vote to authorize the Company to incur additional debt, issue or repurchase stock, declare dividends and make other decisions that could be detrimental to stockholders.</w:t>
      </w:r>
    </w:p>
    <w:p>
      <w:pPr>
        <w:spacing w:after="0" w:line="189" w:lineRule="exact"/>
        <w:rPr>
          <w:sz w:val="20"/>
          <w:szCs w:val="20"/>
          <w:color w:val="auto"/>
        </w:rPr>
      </w:pPr>
    </w:p>
    <w:p>
      <w:pPr>
        <w:ind w:right="40"/>
        <w:spacing w:after="0" w:line="239" w:lineRule="auto"/>
        <w:rPr>
          <w:sz w:val="20"/>
          <w:szCs w:val="20"/>
          <w:color w:val="auto"/>
        </w:rPr>
      </w:pPr>
      <w:r>
        <w:rPr>
          <w:rFonts w:ascii="Arial" w:cs="Arial" w:eastAsia="Arial" w:hAnsi="Arial"/>
          <w:sz w:val="13"/>
          <w:szCs w:val="13"/>
          <w:color w:val="auto"/>
        </w:rPr>
        <w:t>We expect that members of our board will continue to be appointed by and/or affiliated with the Founders and Centerbridge who will have the ability to appoint the majority of directors. The Founders and Centerbridge can take actions that have the effect of delaying or preventing a change of control of us or discouraging others from making tender offers for our shares, which could prevent stockholders from receiving a premium for their shares. These actions may be taken even if other stockholders oppose them. The concentration of voting power with the Founders and Centerbridge may have an adverse effect on the price of our Class A common stock. The Founders and Centerbridge may have interests that are different from yours and may vote in a way with which you disagree and that may be adverse to your interests.</w:t>
      </w:r>
    </w:p>
    <w:p>
      <w:pPr>
        <w:spacing w:after="0" w:line="189" w:lineRule="exact"/>
        <w:rPr>
          <w:sz w:val="20"/>
          <w:szCs w:val="20"/>
          <w:color w:val="auto"/>
        </w:rPr>
      </w:pPr>
    </w:p>
    <w:p>
      <w:pPr>
        <w:jc w:val="both"/>
        <w:ind w:right="100"/>
        <w:spacing w:after="0" w:line="241" w:lineRule="auto"/>
        <w:rPr>
          <w:sz w:val="20"/>
          <w:szCs w:val="20"/>
          <w:color w:val="auto"/>
        </w:rPr>
      </w:pPr>
      <w:r>
        <w:rPr>
          <w:rFonts w:ascii="Arial" w:cs="Arial" w:eastAsia="Arial" w:hAnsi="Arial"/>
          <w:sz w:val="13"/>
          <w:szCs w:val="13"/>
          <w:color w:val="auto"/>
        </w:rPr>
        <w:t>Further, our amended and restated certificate of incorporation provides that the doctrine of “corporate opportunity” does not apply with respect to any director or stockholder who is not employed by us or our subsidiaries. See “—Our amended and restated certificate of incorporation provides that the doctrine of “corporate opportunity” does not apply with respect to any director or stockholder who is not employed by us or our subsidiaries.”</w:t>
      </w:r>
    </w:p>
    <w:p>
      <w:pPr>
        <w:spacing w:after="0" w:line="186" w:lineRule="exact"/>
        <w:rPr>
          <w:sz w:val="20"/>
          <w:szCs w:val="20"/>
          <w:color w:val="auto"/>
        </w:rPr>
      </w:pPr>
    </w:p>
    <w:p>
      <w:pPr>
        <w:ind w:right="80"/>
        <w:spacing w:after="0"/>
        <w:rPr>
          <w:sz w:val="20"/>
          <w:szCs w:val="20"/>
          <w:color w:val="auto"/>
        </w:rPr>
      </w:pPr>
      <w:r>
        <w:rPr>
          <w:rFonts w:ascii="Arial" w:cs="Arial" w:eastAsia="Arial" w:hAnsi="Arial"/>
          <w:sz w:val="13"/>
          <w:szCs w:val="13"/>
          <w:color w:val="auto"/>
        </w:rPr>
        <w:t>Centerbridge and its affiliates engage in a broad spectrum of activities. In the ordinary course of its business activities, Centerbridge and its affiliates may engage in activities where their interests conflict with our interests or those of our other stockholders. Centerbridge or one of its affiliates may also pursue acquisition opportunities that may be complementary to our business, and, as a result, those acquisition opportunities may not be available to us. In addition, Centerbridge may have an interest in us pursuing acquisitions, divestitures and other transactions that, in its judgment, could enhance its investment, even though such transactions might involve risks to you.</w:t>
      </w:r>
    </w:p>
    <w:p>
      <w:pPr>
        <w:spacing w:after="0" w:line="173" w:lineRule="exact"/>
        <w:rPr>
          <w:sz w:val="20"/>
          <w:szCs w:val="20"/>
          <w:color w:val="auto"/>
        </w:rPr>
      </w:pPr>
    </w:p>
    <w:p>
      <w:pPr>
        <w:ind w:right="220"/>
        <w:spacing w:after="0" w:line="266" w:lineRule="auto"/>
        <w:rPr>
          <w:sz w:val="20"/>
          <w:szCs w:val="20"/>
          <w:color w:val="auto"/>
        </w:rPr>
      </w:pPr>
      <w:r>
        <w:rPr>
          <w:rFonts w:ascii="Arial" w:cs="Arial" w:eastAsia="Arial" w:hAnsi="Arial"/>
          <w:sz w:val="13"/>
          <w:szCs w:val="13"/>
          <w:b w:val="1"/>
          <w:bCs w:val="1"/>
          <w:i w:val="1"/>
          <w:iCs w:val="1"/>
          <w:color w:val="auto"/>
        </w:rPr>
        <w:t>We are a “controlled company” within the meaning of the Nasdaq rules and, as a result, qualify for, and rely on, exemptions from certain corporate governance requirements. You may not have the same protections afforded to stockholders of companies that are subject to such corporate governance requirements.</w:t>
      </w:r>
    </w:p>
    <w:p>
      <w:pPr>
        <w:spacing w:after="0" w:line="171" w:lineRule="exact"/>
        <w:rPr>
          <w:sz w:val="20"/>
          <w:szCs w:val="20"/>
          <w:color w:val="auto"/>
        </w:rPr>
      </w:pPr>
    </w:p>
    <w:p>
      <w:pPr>
        <w:ind w:right="300"/>
        <w:spacing w:after="0" w:line="244" w:lineRule="auto"/>
        <w:rPr>
          <w:sz w:val="20"/>
          <w:szCs w:val="20"/>
          <w:color w:val="auto"/>
        </w:rPr>
      </w:pPr>
      <w:r>
        <w:rPr>
          <w:rFonts w:ascii="Arial" w:cs="Arial" w:eastAsia="Arial" w:hAnsi="Arial"/>
          <w:sz w:val="13"/>
          <w:szCs w:val="13"/>
          <w:color w:val="auto"/>
        </w:rPr>
        <w:t>NVX Holdings and Centerbridge have more than 50% of the voting power for the election of directors, and, as a result, we are considered a “controlled company” within the meaning of the Nasdaq rules. As such, we qualify for, and rely on, exemptions from</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35</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15" w:right="319" w:bottom="1440" w:gutter="0" w:footer="0" w:header="0"/>
        </w:sectPr>
      </w:pPr>
    </w:p>
    <w:bookmarkStart w:id="38" w:name="page39"/>
    <w:bookmarkEnd w:id="38"/>
    <w:p>
      <w:pPr>
        <w:ind w:right="200"/>
        <w:spacing w:after="0" w:line="284" w:lineRule="auto"/>
        <w:rPr>
          <w:sz w:val="20"/>
          <w:szCs w:val="20"/>
          <w:color w:val="auto"/>
        </w:rPr>
      </w:pPr>
      <w:r>
        <w:rPr>
          <w:rFonts w:ascii="Arial" w:cs="Arial" w:eastAsia="Arial" w:hAnsi="Arial"/>
          <w:sz w:val="12"/>
          <w:szCs w:val="12"/>
          <w:color w:val="auto"/>
        </w:rPr>
        <w:t>certain corporate governance requirements, including the requirements to have a majority of independent directors on our board of directors, an entirely independent nominating and corporate governance committee, an entirely independent compensation committee or to perform annual performance evaluations of the nominating and corporate governance and compensation committees.</w:t>
      </w:r>
    </w:p>
    <w:p>
      <w:pPr>
        <w:spacing w:after="0" w:line="161" w:lineRule="exact"/>
        <w:rPr>
          <w:sz w:val="20"/>
          <w:szCs w:val="20"/>
          <w:color w:val="auto"/>
        </w:rPr>
      </w:pPr>
    </w:p>
    <w:p>
      <w:pPr>
        <w:ind w:right="100"/>
        <w:spacing w:after="0" w:line="238" w:lineRule="auto"/>
        <w:rPr>
          <w:sz w:val="20"/>
          <w:szCs w:val="20"/>
          <w:color w:val="auto"/>
        </w:rPr>
      </w:pPr>
      <w:r>
        <w:rPr>
          <w:rFonts w:ascii="Arial" w:cs="Arial" w:eastAsia="Arial" w:hAnsi="Arial"/>
          <w:sz w:val="13"/>
          <w:szCs w:val="13"/>
          <w:color w:val="auto"/>
        </w:rPr>
        <w:t>The corporate governance requirements and, specifically, the independence standards are intended to ensure directors who are considered independent are free of any conflicting interest that could influence their actions as directors. We utilize certain exemptions afforded to a “controlled company.” As a result, we are not subject to certain corporate governance requirements, including that a majority of our board of directors consists of “independent directors,” as defined under the Nasdaq rules. In addition, we are not required to have a nominating and corporate governance committee or compensation committee that is composed entirely of independent directors with a written charter addressing the committee’s purpose and responsibilities, or to conduct annual performance evaluations of the nominating and corporate governance and compensation committees.</w:t>
      </w:r>
    </w:p>
    <w:p>
      <w:pPr>
        <w:spacing w:after="0" w:line="1" w:lineRule="exact"/>
        <w:rPr>
          <w:sz w:val="20"/>
          <w:szCs w:val="20"/>
          <w:color w:val="auto"/>
        </w:rPr>
      </w:pPr>
    </w:p>
    <w:p>
      <w:pPr>
        <w:ind w:right="460"/>
        <w:spacing w:after="0" w:line="244" w:lineRule="auto"/>
        <w:rPr>
          <w:sz w:val="20"/>
          <w:szCs w:val="20"/>
          <w:color w:val="auto"/>
        </w:rPr>
      </w:pPr>
      <w:r>
        <w:rPr>
          <w:rFonts w:ascii="Arial" w:cs="Arial" w:eastAsia="Arial" w:hAnsi="Arial"/>
          <w:sz w:val="13"/>
          <w:szCs w:val="13"/>
          <w:color w:val="auto"/>
        </w:rPr>
        <w:t>Accordingly, you may not have the same protections afforded to stockholders of companies that are subject to all of the corporate governance requirements of the Nasdaq rules. Our status as a controlled company could make our Class A common stock less attractive to some investors or otherwise harm our stock price.</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Certain provisions of Delaware law and antitakeover provisions in our organizational documents could delay or prevent a change of control.</w:t>
      </w:r>
    </w:p>
    <w:p>
      <w:pPr>
        <w:spacing w:after="0" w:line="204" w:lineRule="exact"/>
        <w:rPr>
          <w:sz w:val="20"/>
          <w:szCs w:val="20"/>
          <w:color w:val="auto"/>
        </w:rPr>
      </w:pPr>
    </w:p>
    <w:p>
      <w:pPr>
        <w:jc w:val="both"/>
        <w:ind w:right="240"/>
        <w:spacing w:after="0" w:line="241" w:lineRule="auto"/>
        <w:rPr>
          <w:sz w:val="20"/>
          <w:szCs w:val="20"/>
          <w:color w:val="auto"/>
        </w:rPr>
      </w:pPr>
      <w:r>
        <w:rPr>
          <w:rFonts w:ascii="Arial" w:cs="Arial" w:eastAsia="Arial" w:hAnsi="Arial"/>
          <w:sz w:val="13"/>
          <w:szCs w:val="13"/>
          <w:color w:val="auto"/>
        </w:rPr>
        <w:t>Certain provisions of Delaware law and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 These provisions provide for, among other things:</w:t>
      </w:r>
    </w:p>
    <w:p>
      <w:pPr>
        <w:spacing w:after="0" w:line="185" w:lineRule="exact"/>
        <w:rPr>
          <w:sz w:val="20"/>
          <w:szCs w:val="20"/>
          <w:color w:val="auto"/>
        </w:rPr>
      </w:pP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 classified board of directors with staggered three-year terms;</w:t>
      </w: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ability of our board of directors to issue one or more series of preferred stock;</w:t>
      </w: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advance notice for nominations of directors by stockholders and for stockholders to include matters to be considered at our annual meetings;</w:t>
      </w: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certain limitations on convening special stockholder meetings;</w:t>
      </w: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no cumulative voting in the election of directors;</w:t>
      </w:r>
    </w:p>
    <w:p>
      <w:pPr>
        <w:ind w:left="520" w:right="340" w:hanging="260"/>
        <w:spacing w:after="0" w:line="238" w:lineRule="auto"/>
        <w:tabs>
          <w:tab w:leader="none" w:pos="511" w:val="left"/>
        </w:tabs>
        <w:numPr>
          <w:ilvl w:val="0"/>
          <w:numId w:val="24"/>
        </w:numPr>
        <w:rPr>
          <w:rFonts w:ascii="Arial" w:cs="Arial" w:eastAsia="Arial" w:hAnsi="Arial"/>
          <w:sz w:val="13"/>
          <w:szCs w:val="13"/>
          <w:color w:val="auto"/>
        </w:rPr>
      </w:pPr>
      <w:r>
        <w:rPr>
          <w:rFonts w:ascii="Arial" w:cs="Arial" w:eastAsia="Arial" w:hAnsi="Arial"/>
          <w:sz w:val="13"/>
          <w:szCs w:val="13"/>
          <w:color w:val="auto"/>
        </w:rPr>
        <w:t>subject to the rights of the holders of any preferred stock and the terms of the Stockholders Agreement, the number of directors shall be determined exclusively by a majority of the whole board or directors;</w:t>
      </w:r>
    </w:p>
    <w:p>
      <w:pPr>
        <w:ind w:left="520" w:right="60" w:hanging="260"/>
        <w:spacing w:after="0" w:line="238" w:lineRule="auto"/>
        <w:tabs>
          <w:tab w:leader="none" w:pos="511"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removal of directors only for cause and only upon the affirmative vote of the holders of at least 66 2/3% of the voting power represented by our then-outstanding common stock (other than directors appointed pursuant to the Stockholders Agreement, who may be removed with or without cause in accordance with the terms of the Stockholders Agreement);</w:t>
      </w:r>
    </w:p>
    <w:p>
      <w:pPr>
        <w:ind w:left="520" w:right="60" w:hanging="260"/>
        <w:spacing w:after="0" w:line="238" w:lineRule="auto"/>
        <w:tabs>
          <w:tab w:leader="none" w:pos="511" w:val="left"/>
        </w:tabs>
        <w:numPr>
          <w:ilvl w:val="0"/>
          <w:numId w:val="24"/>
        </w:numPr>
        <w:rPr>
          <w:rFonts w:ascii="Arial" w:cs="Arial" w:eastAsia="Arial" w:hAnsi="Arial"/>
          <w:sz w:val="13"/>
          <w:szCs w:val="13"/>
          <w:color w:val="auto"/>
        </w:rPr>
      </w:pPr>
      <w:r>
        <w:rPr>
          <w:rFonts w:ascii="Arial" w:cs="Arial" w:eastAsia="Arial" w:hAnsi="Arial"/>
          <w:sz w:val="13"/>
          <w:szCs w:val="13"/>
          <w:color w:val="auto"/>
        </w:rPr>
        <w:t>at any time when Centerbridge beneficially owns, in the aggregate, less than 40% of the voting power entitled to vote generally in the election of our directors, that stockholders may not act by written consent; and</w:t>
      </w:r>
    </w:p>
    <w:p>
      <w:pPr>
        <w:jc w:val="both"/>
        <w:ind w:left="520" w:right="260" w:hanging="260"/>
        <w:spacing w:after="0" w:line="284" w:lineRule="auto"/>
        <w:tabs>
          <w:tab w:leader="none" w:pos="511" w:val="left"/>
        </w:tabs>
        <w:numPr>
          <w:ilvl w:val="0"/>
          <w:numId w:val="24"/>
        </w:numPr>
        <w:rPr>
          <w:rFonts w:ascii="Arial" w:cs="Arial" w:eastAsia="Arial" w:hAnsi="Arial"/>
          <w:sz w:val="12"/>
          <w:szCs w:val="12"/>
          <w:color w:val="auto"/>
        </w:rPr>
      </w:pPr>
      <w:r>
        <w:rPr>
          <w:rFonts w:ascii="Arial" w:cs="Arial" w:eastAsia="Arial" w:hAnsi="Arial"/>
          <w:sz w:val="12"/>
          <w:szCs w:val="12"/>
          <w:color w:val="auto"/>
        </w:rPr>
        <w:t>at any time when Centerbridge beneficially owns, in the aggregate, less than 40% of the voting power entitled to vote generally in the election of our directors, that certain provisions of our amended and restated certificate of incorporation may be amended only by the affirmative vote of at least 66 2/3% of the voting power represented by our then-outstanding common stock.</w:t>
      </w:r>
    </w:p>
    <w:p>
      <w:pPr>
        <w:spacing w:after="0" w:line="161" w:lineRule="exact"/>
        <w:rPr>
          <w:sz w:val="20"/>
          <w:szCs w:val="20"/>
          <w:color w:val="auto"/>
        </w:rPr>
      </w:pPr>
    </w:p>
    <w:p>
      <w:pPr>
        <w:ind w:right="520"/>
        <w:spacing w:after="0" w:line="244" w:lineRule="auto"/>
        <w:rPr>
          <w:sz w:val="20"/>
          <w:szCs w:val="20"/>
          <w:color w:val="auto"/>
        </w:rPr>
      </w:pPr>
      <w:r>
        <w:rPr>
          <w:rFonts w:ascii="Arial" w:cs="Arial" w:eastAsia="Arial" w:hAnsi="Arial"/>
          <w:sz w:val="13"/>
          <w:szCs w:val="13"/>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w:t>
      </w:r>
    </w:p>
    <w:p>
      <w:pPr>
        <w:spacing w:after="0" w:line="184" w:lineRule="exact"/>
        <w:rPr>
          <w:sz w:val="20"/>
          <w:szCs w:val="20"/>
          <w:color w:val="auto"/>
        </w:rPr>
      </w:pPr>
    </w:p>
    <w:p>
      <w:pPr>
        <w:ind w:right="180"/>
        <w:spacing w:after="0" w:line="239" w:lineRule="auto"/>
        <w:rPr>
          <w:sz w:val="20"/>
          <w:szCs w:val="20"/>
          <w:color w:val="auto"/>
        </w:rPr>
      </w:pPr>
      <w:r>
        <w:rPr>
          <w:rFonts w:ascii="Arial" w:cs="Arial" w:eastAsia="Arial" w:hAnsi="Arial"/>
          <w:sz w:val="13"/>
          <w:szCs w:val="13"/>
          <w:color w:val="auto"/>
        </w:rPr>
        <w:t>In addition, we have opted out of Section 203 of the General Corporation Law of the State of Delaware, which we refer to as the DGCL, but our amended and restated certificate of incorporation provides that engaging in any of a broad range of business combinations with any “interested” stockholder (any stockholder with 15% or more of our voting stock) for a period of three years following the date on which the stockholder became an “interested” stockholder is prohibited; provided, however, that, under our amended and restated certificate of incorporation, Centerbridge and NVX Holdings and any of their respective affiliates are not deemed to be interested stockholders regardless of the percentage of our outstanding voting stock owned by them, and accordingly will not be subject to such restrictions.</w:t>
      </w:r>
    </w:p>
    <w:p>
      <w:pPr>
        <w:spacing w:after="0" w:line="175" w:lineRule="exact"/>
        <w:rPr>
          <w:sz w:val="20"/>
          <w:szCs w:val="20"/>
          <w:color w:val="auto"/>
        </w:rPr>
      </w:pPr>
    </w:p>
    <w:p>
      <w:pPr>
        <w:ind w:right="300"/>
        <w:spacing w:after="0" w:line="266" w:lineRule="auto"/>
        <w:rPr>
          <w:sz w:val="20"/>
          <w:szCs w:val="20"/>
          <w:color w:val="auto"/>
        </w:rPr>
      </w:pPr>
      <w:r>
        <w:rPr>
          <w:rFonts w:ascii="Arial" w:cs="Arial" w:eastAsia="Arial" w:hAnsi="Arial"/>
          <w:sz w:val="13"/>
          <w:szCs w:val="13"/>
          <w:b w:val="1"/>
          <w:bCs w:val="1"/>
          <w:i w:val="1"/>
          <w:iCs w:val="1"/>
          <w:color w:val="auto"/>
        </w:rPr>
        <w:t>Because we have no current plans to pay regular cash dividends on our Class A common stock, you may not receive any return on investment unless you sell your Class A common stock for a price greater than that which you paid for it.</w:t>
      </w:r>
    </w:p>
    <w:p>
      <w:pPr>
        <w:spacing w:after="0" w:line="171" w:lineRule="exact"/>
        <w:rPr>
          <w:sz w:val="20"/>
          <w:szCs w:val="20"/>
          <w:color w:val="auto"/>
        </w:rPr>
      </w:pPr>
    </w:p>
    <w:p>
      <w:pPr>
        <w:ind w:right="120"/>
        <w:spacing w:after="0" w:line="239" w:lineRule="auto"/>
        <w:rPr>
          <w:sz w:val="20"/>
          <w:szCs w:val="20"/>
          <w:color w:val="auto"/>
        </w:rPr>
      </w:pPr>
      <w:r>
        <w:rPr>
          <w:rFonts w:ascii="Arial" w:cs="Arial" w:eastAsia="Arial" w:hAnsi="Arial"/>
          <w:sz w:val="13"/>
          <w:szCs w:val="13"/>
          <w:color w:val="auto"/>
        </w:rPr>
        <w:t>We do not anticipate paying any regular cash dividends on our Class A common stock. Any decision to declare and pay dividends in the future will be made at the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such other factors that our board of directors may deem relevant. In addition, our ability to pay dividends is, and may be, limited by covenants of existing and any future outstanding indebtedness we or our subsidiaries incur, including under our Credit Facilities. Therefore, any return on investment in our Class A common stock is solely dependent upon the appreciation of the price of our Class A common stock on the open market, which may not occur.</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36</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15" w:right="319" w:bottom="1440" w:gutter="0" w:footer="0" w:header="0"/>
        </w:sectPr>
      </w:pPr>
    </w:p>
    <w:bookmarkStart w:id="39" w:name="page40"/>
    <w:bookmarkEnd w:id="39"/>
    <w:p>
      <w:pPr>
        <w:ind w:right="120"/>
        <w:spacing w:after="0" w:line="252" w:lineRule="auto"/>
        <w:rPr>
          <w:sz w:val="20"/>
          <w:szCs w:val="20"/>
          <w:color w:val="auto"/>
        </w:rPr>
      </w:pPr>
      <w:r>
        <w:rPr>
          <w:rFonts w:ascii="Arial" w:cs="Arial" w:eastAsia="Arial" w:hAnsi="Arial"/>
          <w:sz w:val="13"/>
          <w:szCs w:val="13"/>
          <w:b w:val="1"/>
          <w:bCs w:val="1"/>
          <w:i w:val="1"/>
          <w:iCs w:val="1"/>
          <w:color w:val="auto"/>
        </w:rPr>
        <w:t>Our amended and restated certificate of incorporation provides that the Court of Chancery of the State of Delaware is the sole and exclusive forum for certain stockholder litigation matters and the federal district courts of the United States are the exclusive forum for the resolution of any complaint asserting a cause of action arising under the Securities Act, which could limit our stockholders’ ability to obtain a favorable judicial forum for disputes with us or our directors, officers, employees or stockholders.</w:t>
      </w:r>
    </w:p>
    <w:p>
      <w:pPr>
        <w:spacing w:after="0" w:line="180"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Our amended and restated certificate of incorporation provides (A) (i) any derivative action or proceeding brought on behalf of the Company, (ii) any action asserting a claim of breach of a fiduciary duty owed by any current or former director, officer, other employee or stockholder of the Company to the Company or the Company’s stockholders, (iii) any action asserting a claim arising pursuant to any provision of the DGCL, our amended and restated certificate of incorporation or our amended and restated bylaws (as either may be amended or restated) or as to which the DGCL confers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be the exclusive forum for the resolution of any complaint asserting a cause of action arising under the Securities Act. Notwithstanding the foregoing, the exclusive forum provision shall not apply to claims seeking to enforce any liability or duty created by the Exchange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w:t>
      </w:r>
    </w:p>
    <w:p>
      <w:pPr>
        <w:spacing w:after="0" w:line="188" w:lineRule="exact"/>
        <w:rPr>
          <w:sz w:val="20"/>
          <w:szCs w:val="20"/>
          <w:color w:val="auto"/>
        </w:rPr>
      </w:pPr>
    </w:p>
    <w:p>
      <w:pPr>
        <w:ind w:right="160"/>
        <w:spacing w:after="0" w:line="241" w:lineRule="auto"/>
        <w:rPr>
          <w:sz w:val="20"/>
          <w:szCs w:val="20"/>
          <w:color w:val="auto"/>
        </w:rPr>
      </w:pPr>
      <w:r>
        <w:rPr>
          <w:rFonts w:ascii="Arial" w:cs="Arial" w:eastAsia="Arial" w:hAnsi="Arial"/>
          <w:sz w:val="13"/>
          <w:szCs w:val="13"/>
          <w:color w:val="auto"/>
        </w:rPr>
        <w:t>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results of operations, and financial condition. Any person or entity purchasing or otherwise acquiring any interest in shares of our capital stock shall be deemed to have notice of and consented to the forum provisions in our amended and restated certificate of incorporation.</w:t>
      </w:r>
    </w:p>
    <w:p>
      <w:pPr>
        <w:spacing w:after="0" w:line="172" w:lineRule="exact"/>
        <w:rPr>
          <w:sz w:val="20"/>
          <w:szCs w:val="20"/>
          <w:color w:val="auto"/>
        </w:rPr>
      </w:pPr>
    </w:p>
    <w:p>
      <w:pPr>
        <w:ind w:right="540"/>
        <w:spacing w:after="0" w:line="266" w:lineRule="auto"/>
        <w:rPr>
          <w:sz w:val="20"/>
          <w:szCs w:val="20"/>
          <w:color w:val="auto"/>
        </w:rPr>
      </w:pPr>
      <w:r>
        <w:rPr>
          <w:rFonts w:ascii="Arial" w:cs="Arial" w:eastAsia="Arial" w:hAnsi="Arial"/>
          <w:sz w:val="13"/>
          <w:szCs w:val="13"/>
          <w:b w:val="1"/>
          <w:bCs w:val="1"/>
          <w:i w:val="1"/>
          <w:iCs w:val="1"/>
          <w:color w:val="auto"/>
        </w:rPr>
        <w:t>Our amended and restated certificate of incorporation provides that the doctrine of “corporate opportunity” does not apply with respect to any director or stockholder who is not employed by us or our subsidiaries.</w:t>
      </w:r>
    </w:p>
    <w:p>
      <w:pPr>
        <w:spacing w:after="0" w:line="171" w:lineRule="exact"/>
        <w:rPr>
          <w:sz w:val="20"/>
          <w:szCs w:val="20"/>
          <w:color w:val="auto"/>
        </w:rPr>
      </w:pPr>
    </w:p>
    <w:p>
      <w:pPr>
        <w:ind w:right="120"/>
        <w:spacing w:after="0" w:line="239" w:lineRule="auto"/>
        <w:rPr>
          <w:sz w:val="20"/>
          <w:szCs w:val="20"/>
          <w:color w:val="auto"/>
        </w:rPr>
      </w:pPr>
      <w:r>
        <w:rPr>
          <w:rFonts w:ascii="Arial" w:cs="Arial" w:eastAsia="Arial" w:hAnsi="Arial"/>
          <w:sz w:val="13"/>
          <w:szCs w:val="13"/>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Our amended and restated certificate of incorporation provides that the doctrine of “corporate opportunity” does not apply with respect to any director or stockholder who is not employed by us or our subsidiaries. Any director or stockholder who is not employed by us or our subsidiaries, therefore, has no duty to communicate or present corporate opportunities to us, and has the right to either hold any corporate opportunity for their (and their affiliates’) own account and benefit or to recommend, assign or otherwise transfer such corporate opportunity to persons other than us, including to any director or stockholder who is not employed by us or our subsidiaries.</w:t>
      </w:r>
    </w:p>
    <w:p>
      <w:pPr>
        <w:spacing w:after="0" w:line="189" w:lineRule="exact"/>
        <w:rPr>
          <w:sz w:val="20"/>
          <w:szCs w:val="20"/>
          <w:color w:val="auto"/>
        </w:rPr>
      </w:pPr>
    </w:p>
    <w:p>
      <w:pPr>
        <w:jc w:val="both"/>
        <w:ind w:right="120"/>
        <w:spacing w:after="0" w:line="241" w:lineRule="auto"/>
        <w:rPr>
          <w:sz w:val="20"/>
          <w:szCs w:val="20"/>
          <w:color w:val="auto"/>
        </w:rPr>
      </w:pPr>
      <w:r>
        <w:rPr>
          <w:rFonts w:ascii="Arial" w:cs="Arial" w:eastAsia="Arial" w:hAnsi="Arial"/>
          <w:sz w:val="13"/>
          <w:szCs w:val="13"/>
          <w:color w:val="auto"/>
        </w:rPr>
        <w:t>As a result, certain of our stockholders, directors and their respective affiliates are not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impact our business, operating results and financial condition.</w:t>
      </w:r>
    </w:p>
    <w:p>
      <w:pPr>
        <w:spacing w:after="0" w:line="172" w:lineRule="exact"/>
        <w:rPr>
          <w:sz w:val="20"/>
          <w:szCs w:val="20"/>
          <w:color w:val="auto"/>
        </w:rPr>
      </w:pPr>
    </w:p>
    <w:p>
      <w:pPr>
        <w:ind w:right="160"/>
        <w:spacing w:after="0" w:line="252" w:lineRule="auto"/>
        <w:rPr>
          <w:sz w:val="20"/>
          <w:szCs w:val="20"/>
          <w:color w:val="auto"/>
        </w:rPr>
      </w:pPr>
      <w:r>
        <w:rPr>
          <w:rFonts w:ascii="Arial" w:cs="Arial" w:eastAsia="Arial" w:hAnsi="Arial"/>
          <w:sz w:val="13"/>
          <w:szCs w:val="13"/>
          <w:b w:val="1"/>
          <w:bCs w:val="1"/>
          <w:i w:val="1"/>
          <w:iCs w:val="1"/>
          <w:color w:val="auto"/>
        </w:rPr>
        <w:t>We are subject to the Nasdaq rules and the rules and regulations established from time to time by the SEC regarding our internal control over financial reporting. If we fail to establish and maintain effective internal control over financial reporting and disclosure controls and procedures, we may not be able to accurately report our financial results, or report them in a timely manner.</w:t>
      </w:r>
    </w:p>
    <w:p>
      <w:pPr>
        <w:spacing w:after="0" w:line="180" w:lineRule="exact"/>
        <w:rPr>
          <w:sz w:val="20"/>
          <w:szCs w:val="20"/>
          <w:color w:val="auto"/>
        </w:rPr>
      </w:pPr>
    </w:p>
    <w:p>
      <w:pPr>
        <w:ind w:right="100"/>
        <w:spacing w:after="0" w:line="241" w:lineRule="auto"/>
        <w:rPr>
          <w:sz w:val="20"/>
          <w:szCs w:val="20"/>
          <w:color w:val="auto"/>
        </w:rPr>
      </w:pPr>
      <w:r>
        <w:rPr>
          <w:rFonts w:ascii="Arial" w:cs="Arial" w:eastAsia="Arial" w:hAnsi="Arial"/>
          <w:sz w:val="13"/>
          <w:szCs w:val="13"/>
          <w:color w:val="auto"/>
        </w:rPr>
        <w:t>We are subject to the Nasdaq rules and the rules and regulations established from time to time by the SEC. These rules and regulations require, among other things, that we establish and periodically evaluate procedures with respect to our internal control over financial reporting. Reporting obligations as a public company are likely to place a considerable strain on our financial and management systems, processes and controls, as well as on our personnel.</w:t>
      </w:r>
    </w:p>
    <w:p>
      <w:pPr>
        <w:spacing w:after="0" w:line="186" w:lineRule="exact"/>
        <w:rPr>
          <w:sz w:val="20"/>
          <w:szCs w:val="20"/>
          <w:color w:val="auto"/>
        </w:rPr>
      </w:pPr>
    </w:p>
    <w:p>
      <w:pPr>
        <w:ind w:right="200"/>
        <w:spacing w:after="0" w:line="241" w:lineRule="auto"/>
        <w:rPr>
          <w:sz w:val="20"/>
          <w:szCs w:val="20"/>
          <w:color w:val="auto"/>
        </w:rPr>
      </w:pPr>
      <w:r>
        <w:rPr>
          <w:rFonts w:ascii="Arial" w:cs="Arial" w:eastAsia="Arial" w:hAnsi="Arial"/>
          <w:sz w:val="13"/>
          <w:szCs w:val="13"/>
          <w:color w:val="auto"/>
        </w:rPr>
        <w:t>In addition, as a public company we are required to document and test our internal control over financial reporting pursuant to Section 404 of the Sarbanes-Oxley Act so that our management can certify as to the effectiveness of our internal control over financial reporting, which requires us to document and make significant changes to our internal control over financial reporting. Likewise, our independent registered public accounting firm is required to provide an attestation report on the effectiveness of our internal control over financial reporting.</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37</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92" w:right="319" w:bottom="1440" w:gutter="0" w:footer="0" w:header="0"/>
        </w:sectPr>
      </w:pPr>
    </w:p>
    <w:bookmarkStart w:id="40" w:name="page41"/>
    <w:bookmarkEnd w:id="40"/>
    <w:p>
      <w:pPr>
        <w:ind w:right="60"/>
        <w:spacing w:after="0" w:line="239" w:lineRule="auto"/>
        <w:rPr>
          <w:sz w:val="20"/>
          <w:szCs w:val="20"/>
          <w:color w:val="auto"/>
        </w:rPr>
      </w:pPr>
      <w:r>
        <w:rPr>
          <w:rFonts w:ascii="Arial" w:cs="Arial" w:eastAsia="Arial" w:hAnsi="Arial"/>
          <w:sz w:val="13"/>
          <w:szCs w:val="13"/>
          <w:color w:val="auto"/>
        </w:rPr>
        <w:t>We expect to incur costs related to implementing an internal audit and compliance function in the upcoming years to further improve our internal control environment. If we identify future deficiencies in our internal control over financial reporting or if we are unable to comply with the demands that are placed upon us as a public company, including the requirements of Section 404 of the Sarbanes-Oxley Act, in a timely manner, we may be unable to accurately report our financial results, or report them within the timeframes required by the SEC. We also could become subject to sanctions or investigations by the SEC or other regulatory authorities. In addition, if we are unable to assert that our internal control over financial reporting is effective, or if our independent registered public accounting firm is unable to express an opinion as to the effectiveness of our internal control over financial reporting, investors may lose confidence in the accuracy and completeness of our financial reports, we may face restricted access to the capital markets and our stock price may be adversely affected.</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incur significant costs as a result of operating as a public company.</w:t>
      </w:r>
    </w:p>
    <w:p>
      <w:pPr>
        <w:spacing w:after="0" w:line="204" w:lineRule="exact"/>
        <w:rPr>
          <w:sz w:val="20"/>
          <w:szCs w:val="20"/>
          <w:color w:val="auto"/>
        </w:rPr>
      </w:pPr>
    </w:p>
    <w:p>
      <w:pPr>
        <w:ind w:right="20"/>
        <w:spacing w:after="0" w:line="239" w:lineRule="auto"/>
        <w:rPr>
          <w:sz w:val="20"/>
          <w:szCs w:val="20"/>
          <w:color w:val="auto"/>
        </w:rPr>
      </w:pPr>
      <w:r>
        <w:rPr>
          <w:rFonts w:ascii="Arial" w:cs="Arial" w:eastAsia="Arial" w:hAnsi="Arial"/>
          <w:sz w:val="13"/>
          <w:szCs w:val="13"/>
          <w:color w:val="auto"/>
        </w:rPr>
        <w:t>We are subject to the reporting requirements of the Exchange Act, the Sarbanes-Oxley Act, the Dodd–Frank Wall Street Reform and Consumer Protection Act of 2010 (“Dodd-Frank Act”), the listing requirements of the Nasdaq and other applicable securities laws and regulations. The expenses incurred by public companies generally for reporting and corporate governance purposes have been increasing. We expect these rules and regulations to continue to increase our legal and financial compliance costs and to make some activities more difficult, time-consuming and costly, although we are currently unable to estimate these costs with any degree of certainty. Being a public company and being subject to new rules and regulations also makes it more expensive for us to obtain director and officer liability insurance, and we may be required to accept reduced coverage or incur substantially higher costs to obtain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Class A common stock, fines, sanctions and other regulatory action and potentially civil litigation. These factors may, therefore, strain our resources, divert management’s attention and affect our ability to attract and retain qualified board members.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General Risks</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From time to time we are subject to various legal proceedings which could adversely affect our business, financial condition or results of operations.</w:t>
      </w:r>
    </w:p>
    <w:p>
      <w:pPr>
        <w:spacing w:after="0" w:line="204" w:lineRule="exact"/>
        <w:rPr>
          <w:sz w:val="20"/>
          <w:szCs w:val="20"/>
          <w:color w:val="auto"/>
        </w:rPr>
      </w:pPr>
    </w:p>
    <w:p>
      <w:pPr>
        <w:ind w:right="40"/>
        <w:spacing w:after="0" w:line="239" w:lineRule="auto"/>
        <w:rPr>
          <w:sz w:val="20"/>
          <w:szCs w:val="20"/>
          <w:color w:val="auto"/>
        </w:rPr>
      </w:pPr>
      <w:r>
        <w:rPr>
          <w:rFonts w:ascii="Arial" w:cs="Arial" w:eastAsia="Arial" w:hAnsi="Arial"/>
          <w:sz w:val="13"/>
          <w:szCs w:val="13"/>
          <w:color w:val="auto"/>
        </w:rPr>
        <w:t>In the ordinary course of our business, we have received and may continue to receive inquiries from state regulators relating to various matters. We also have become, and may in the future become, involved in litigation or claims in the ordinary course of our business, including with respect to employment-related claims such as workplace discrimination or harassment. We have, and may in the future, face claims of violations of other local, state, and federal labor or employment laws, laws and regulations relating to marketing and laws and regulations relating to the sale of insurance. Such matters can be time-consuming, divert management’s attention and resources and cause us to incur significant expenses. Our insurance and indemnities may not cover all claims that may be asserted against us, and any claims asserted against us, regardless of merit or eventual outcome, may harm our reputation. If we are unsuccessful in our defense in these litigation matters, or any other legal proceeding, we may be forced to pay damages or fines, enter into consent decrees or change our business practices lose our relationships with carriers and be subject to various fines and penalties, including revocation of our licenses to sell insurance, any of which could adversely affect our business, financial condition or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fail to manage future growth effectively, our business, operating results and financial condition would be harmed.</w:t>
      </w:r>
    </w:p>
    <w:p>
      <w:pPr>
        <w:spacing w:after="0" w:line="204" w:lineRule="exact"/>
        <w:rPr>
          <w:sz w:val="20"/>
          <w:szCs w:val="20"/>
          <w:color w:val="auto"/>
        </w:rPr>
      </w:pPr>
    </w:p>
    <w:p>
      <w:pPr>
        <w:ind w:right="120"/>
        <w:spacing w:after="0" w:line="239" w:lineRule="auto"/>
        <w:rPr>
          <w:sz w:val="20"/>
          <w:szCs w:val="20"/>
          <w:color w:val="auto"/>
        </w:rPr>
      </w:pPr>
      <w:r>
        <w:rPr>
          <w:rFonts w:ascii="Arial" w:cs="Arial" w:eastAsia="Arial" w:hAnsi="Arial"/>
          <w:sz w:val="13"/>
          <w:szCs w:val="13"/>
          <w:color w:val="auto"/>
        </w:rPr>
        <w:t>We have expanded our operations significantly and anticipate that further expansion will be required in order for us to grow our business. Our growth has placed and will continue to place increasing and significant demands on our management, our operational and financial systems and infrastructure and our other resources. If we do not effectively manage our growth, the quality of our services could suffer, which could harm our business, operating results and financial condition. In order to manage future growth, we will need to hire, integrate and retain highly skilled and motivated employees. We may not be able to hire new employees quickly enough to meet our needs. If we fail to effectively manage our hiring needs and successfully integrate our new hires, our efficiency and ability to meet our forecasts and our employee morale, productivity and retention could suffer, and our business, operating results and financial condition could be harmed. We will also be required to continue to improve our existing systems for operational and financial management, including our reporting systems, procedures and controls. These improvements may require significant capital expenditures and will place increasing demands on our management. We may not be successful in managing or expanding our operations or in maintaining adequate financial and operating systems and controls. If we do not successfully implement improvements in these areas, our business, operating results and financial condition will be harmed.</w:t>
      </w:r>
    </w:p>
    <w:p>
      <w:pPr>
        <w:spacing w:after="0" w:line="174" w:lineRule="exact"/>
        <w:rPr>
          <w:sz w:val="20"/>
          <w:szCs w:val="20"/>
          <w:color w:val="auto"/>
        </w:rPr>
      </w:pPr>
    </w:p>
    <w:p>
      <w:pPr>
        <w:ind w:right="380"/>
        <w:spacing w:after="0" w:line="266" w:lineRule="auto"/>
        <w:rPr>
          <w:sz w:val="20"/>
          <w:szCs w:val="20"/>
          <w:color w:val="auto"/>
        </w:rPr>
      </w:pPr>
      <w:r>
        <w:rPr>
          <w:rFonts w:ascii="Arial" w:cs="Arial" w:eastAsia="Arial" w:hAnsi="Arial"/>
          <w:sz w:val="13"/>
          <w:szCs w:val="13"/>
          <w:b w:val="1"/>
          <w:bCs w:val="1"/>
          <w:i w:val="1"/>
          <w:iCs w:val="1"/>
          <w:color w:val="auto"/>
        </w:rPr>
        <w:t>Unanticipated changes in effective tax rates or adverse outcomes resulting from examination of our income or other tax returns could adversely affect our results of operations and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auto"/>
        </w:rPr>
        <w:t>We are subject to taxes by the U.S. federal, state, local and foreign tax authorities. Our future effective tax rates could be subject to volatility or adversely affected by a number of factors, including:</w:t>
      </w:r>
    </w:p>
    <w:p>
      <w:pPr>
        <w:spacing w:after="0" w:line="190" w:lineRule="exact"/>
        <w:rPr>
          <w:sz w:val="20"/>
          <w:szCs w:val="20"/>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allocation of expenses to and among different jurisdictions;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38</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16" w:right="319" w:bottom="1440" w:gutter="0" w:footer="0" w:header="0"/>
        </w:sectPr>
      </w:pPr>
    </w:p>
    <w:bookmarkStart w:id="41" w:name="page42"/>
    <w:bookmarkEnd w:id="41"/>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changes in the valuation of our deferred tax assets and liabilities;</w:t>
      </w: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expected timing and amount of the release of any tax valuation allowances;</w:t>
      </w: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tax effects of stock-based compensation;</w:t>
      </w: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costs related to intercompany restructurings;</w:t>
      </w: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changes in tax laws, tax treaties, regulations or interpretations thereof; or</w:t>
      </w:r>
    </w:p>
    <w:p>
      <w:pPr>
        <w:ind w:left="520" w:right="240" w:hanging="260"/>
        <w:spacing w:after="0" w:line="244" w:lineRule="auto"/>
        <w:tabs>
          <w:tab w:leader="none" w:pos="511" w:val="left"/>
        </w:tabs>
        <w:numPr>
          <w:ilvl w:val="0"/>
          <w:numId w:val="26"/>
        </w:numPr>
        <w:rPr>
          <w:rFonts w:ascii="Arial" w:cs="Arial" w:eastAsia="Arial" w:hAnsi="Arial"/>
          <w:sz w:val="13"/>
          <w:szCs w:val="13"/>
          <w:color w:val="auto"/>
        </w:rPr>
      </w:pPr>
      <w:r>
        <w:rPr>
          <w:rFonts w:ascii="Arial" w:cs="Arial" w:eastAsia="Arial" w:hAnsi="Arial"/>
          <w:sz w:val="13"/>
          <w:szCs w:val="13"/>
          <w:color w:val="auto"/>
        </w:rPr>
        <w:t>lower than anticipated future earnings in jurisdictions where we have lower statutory tax rates and higher than anticipated future earnings in jurisdictions where we have higher statutory tax rates.</w:t>
      </w:r>
    </w:p>
    <w:p>
      <w:pPr>
        <w:spacing w:after="0" w:line="184" w:lineRule="exact"/>
        <w:rPr>
          <w:sz w:val="20"/>
          <w:szCs w:val="20"/>
          <w:color w:val="auto"/>
        </w:rPr>
      </w:pPr>
    </w:p>
    <w:p>
      <w:pPr>
        <w:ind w:right="160"/>
        <w:spacing w:after="0" w:line="244" w:lineRule="auto"/>
        <w:rPr>
          <w:sz w:val="20"/>
          <w:szCs w:val="20"/>
          <w:color w:val="auto"/>
        </w:rPr>
      </w:pPr>
      <w:r>
        <w:rPr>
          <w:rFonts w:ascii="Arial" w:cs="Arial" w:eastAsia="Arial" w:hAnsi="Arial"/>
          <w:sz w:val="13"/>
          <w:szCs w:val="13"/>
          <w:color w:val="auto"/>
        </w:rPr>
        <w:t>In addition, we may be subject to audits of our income, sales and other taxes by U.S. federal, state, and local and foreign taxing authorities. Outcomes from these audits could have an adverse effect on our operating results and financial condition.</w:t>
      </w:r>
    </w:p>
    <w:p>
      <w:pPr>
        <w:spacing w:after="0" w:line="170" w:lineRule="exact"/>
        <w:rPr>
          <w:sz w:val="20"/>
          <w:szCs w:val="20"/>
          <w:color w:val="auto"/>
        </w:rPr>
      </w:pPr>
    </w:p>
    <w:p>
      <w:pPr>
        <w:ind w:right="120"/>
        <w:spacing w:after="0" w:line="266" w:lineRule="auto"/>
        <w:rPr>
          <w:sz w:val="20"/>
          <w:szCs w:val="20"/>
          <w:color w:val="auto"/>
        </w:rPr>
      </w:pPr>
      <w:r>
        <w:rPr>
          <w:rFonts w:ascii="Arial" w:cs="Arial" w:eastAsia="Arial" w:hAnsi="Arial"/>
          <w:sz w:val="13"/>
          <w:szCs w:val="13"/>
          <w:b w:val="1"/>
          <w:bCs w:val="1"/>
          <w:i w:val="1"/>
          <w:iCs w:val="1"/>
          <w:color w:val="auto"/>
        </w:rPr>
        <w:t>Our stock price may change significantly, and you may not be able to resell shares of our Class A common stock at or above the price you paid or at all, and you could lose all or part of your investment as a result.</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auto"/>
        </w:rPr>
        <w:t>You may not be able to resell your shares at or above the price which you paid for them due to a number of factors included herein, including the following:</w:t>
      </w:r>
    </w:p>
    <w:p>
      <w:pPr>
        <w:spacing w:after="0" w:line="189" w:lineRule="exact"/>
        <w:rPr>
          <w:sz w:val="20"/>
          <w:szCs w:val="20"/>
          <w:color w:val="auto"/>
        </w:rPr>
      </w:pP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results of operations that vary from the expectations of securities analysts and investors;</w:t>
      </w: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results of operations that vary from those of our competitors;</w:t>
      </w: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changes in expectations as to our future financial performance, including financial estimates and investment recommendations by securities analysts and investors;</w:t>
      </w: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technology changes, changes in consumer behavior or changes in merchant relationships in our industry;</w:t>
      </w: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security breaches related to our systems or those of our merchants, affiliates or strategic partners;</w:t>
      </w: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changes in economic conditions for companies in our industry;</w:t>
      </w: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changes in market valuations of, or earnings and other announcements by, companies in our industry;</w:t>
      </w: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declines in the market prices of stocks generally, particularly those of global payment companies;</w:t>
      </w: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strategic actions by us or our competitors;</w:t>
      </w:r>
    </w:p>
    <w:p>
      <w:pPr>
        <w:ind w:left="520" w:right="40" w:hanging="260"/>
        <w:spacing w:after="0" w:line="238" w:lineRule="auto"/>
        <w:tabs>
          <w:tab w:leader="none" w:pos="511" w:val="left"/>
        </w:tabs>
        <w:numPr>
          <w:ilvl w:val="0"/>
          <w:numId w:val="27"/>
        </w:numPr>
        <w:rPr>
          <w:rFonts w:ascii="Arial" w:cs="Arial" w:eastAsia="Arial" w:hAnsi="Arial"/>
          <w:sz w:val="13"/>
          <w:szCs w:val="13"/>
          <w:color w:val="auto"/>
        </w:rPr>
      </w:pPr>
      <w:r>
        <w:rPr>
          <w:rFonts w:ascii="Arial" w:cs="Arial" w:eastAsia="Arial" w:hAnsi="Arial"/>
          <w:sz w:val="13"/>
          <w:szCs w:val="13"/>
          <w:color w:val="auto"/>
        </w:rPr>
        <w:t>announcements by us, our competitors or our strategic partners of significant contracts, new products, acquisitions, joint marketing relationships, joint ventures, other strategic relationships, or capital commitments;</w:t>
      </w: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changes in general economic or market conditions or trends in our industry or the economy as a whole and, in particular, in the consumer spending environment;</w:t>
      </w: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changes in business or regulatory conditions;</w:t>
      </w: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future sales of our Class A common stock or other securities;</w:t>
      </w: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investor perceptions of the investment opportunity associated with our Class A common stock relative to other investment alternatives;</w:t>
      </w: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public’s response to press releases or other public announcements by us or third parties, including our filings with the SEC;</w:t>
      </w: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announcements relating to litigation or governmental investigations;</w:t>
      </w: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guidance, if any, that we provide to the public, any changes in this guidance, or our failure to meet this guidance;</w:t>
      </w: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development and sustainability of an active trading market for our stock;</w:t>
      </w: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changes in accounting principles;</w:t>
      </w: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global macroeconomic conditions, including inflation, labor shortages, supply chain shortages, or other economic, political or legal uncertainties or adverse developments;</w:t>
      </w:r>
    </w:p>
    <w:p>
      <w:pPr>
        <w:ind w:left="520" w:right="120" w:hanging="260"/>
        <w:spacing w:after="0" w:line="238" w:lineRule="auto"/>
        <w:tabs>
          <w:tab w:leader="none" w:pos="511" w:val="left"/>
        </w:tabs>
        <w:numPr>
          <w:ilvl w:val="0"/>
          <w:numId w:val="27"/>
        </w:numPr>
        <w:rPr>
          <w:rFonts w:ascii="Arial" w:cs="Arial" w:eastAsia="Arial" w:hAnsi="Arial"/>
          <w:sz w:val="13"/>
          <w:szCs w:val="13"/>
          <w:color w:val="auto"/>
        </w:rPr>
      </w:pPr>
      <w:r>
        <w:rPr>
          <w:rFonts w:ascii="Arial" w:cs="Arial" w:eastAsia="Arial" w:hAnsi="Arial"/>
          <w:sz w:val="13"/>
          <w:szCs w:val="13"/>
          <w:color w:val="auto"/>
        </w:rPr>
        <w:t>political tensions resulting in economic instability, such as due to military activity or civil hostilities among Russia and Ukraine and the related response, including sanctions or other restrictive actions, by the United States and/or other countries; and</w:t>
      </w:r>
    </w:p>
    <w:p>
      <w:pPr>
        <w:ind w:left="520" w:right="60" w:hanging="260"/>
        <w:spacing w:after="0" w:line="244" w:lineRule="auto"/>
        <w:tabs>
          <w:tab w:leader="none" w:pos="511" w:val="left"/>
        </w:tabs>
        <w:numPr>
          <w:ilvl w:val="0"/>
          <w:numId w:val="27"/>
        </w:numPr>
        <w:rPr>
          <w:rFonts w:ascii="Arial" w:cs="Arial" w:eastAsia="Arial" w:hAnsi="Arial"/>
          <w:sz w:val="13"/>
          <w:szCs w:val="13"/>
          <w:color w:val="auto"/>
        </w:rPr>
      </w:pPr>
      <w:r>
        <w:rPr>
          <w:rFonts w:ascii="Arial" w:cs="Arial" w:eastAsia="Arial" w:hAnsi="Arial"/>
          <w:sz w:val="13"/>
          <w:szCs w:val="13"/>
          <w:color w:val="auto"/>
        </w:rPr>
        <w:t>other events or factors, including those resulting from system failures and disruptions, natural disasters, war, acts of terrorism, an outbreak of highly infectious or contagious diseases, such as COVID-19, or responses to these events.</w:t>
      </w:r>
    </w:p>
    <w:p>
      <w:pPr>
        <w:spacing w:after="0" w:line="184"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Class A common stock, regardless of our actual operating performance. In addition, price volatility may be greater if the public float and trading volume of our Class A common stock is low.</w:t>
      </w:r>
    </w:p>
    <w:p>
      <w:pPr>
        <w:spacing w:after="0" w:line="186" w:lineRule="exact"/>
        <w:rPr>
          <w:sz w:val="20"/>
          <w:szCs w:val="20"/>
          <w:color w:val="auto"/>
        </w:rPr>
      </w:pPr>
    </w:p>
    <w:p>
      <w:pPr>
        <w:ind w:right="440"/>
        <w:spacing w:after="0" w:line="244" w:lineRule="auto"/>
        <w:rPr>
          <w:sz w:val="20"/>
          <w:szCs w:val="20"/>
          <w:color w:val="auto"/>
        </w:rPr>
      </w:pPr>
      <w:r>
        <w:rPr>
          <w:rFonts w:ascii="Arial" w:cs="Arial" w:eastAsia="Arial" w:hAnsi="Arial"/>
          <w:sz w:val="13"/>
          <w:szCs w:val="13"/>
          <w:color w:val="auto"/>
        </w:rPr>
        <w:t>In the past, following periods of market volatility, stockholders have instituted securities class action litigation. If we were involved in securities litigation, it could have a substantial cost and divert resources and the attention of management from our business regardless of the outcome of such litigation.</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39</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15" w:right="319" w:bottom="1440" w:gutter="0" w:footer="0" w:header="0"/>
        </w:sectPr>
      </w:pPr>
    </w:p>
    <w:bookmarkStart w:id="42" w:name="page43"/>
    <w:bookmarkEnd w:id="42"/>
    <w:p>
      <w:pPr>
        <w:spacing w:after="0"/>
        <w:rPr>
          <w:sz w:val="20"/>
          <w:szCs w:val="20"/>
          <w:color w:val="auto"/>
        </w:rPr>
      </w:pPr>
      <w:r>
        <w:rPr>
          <w:rFonts w:ascii="Arial" w:cs="Arial" w:eastAsia="Arial" w:hAnsi="Arial"/>
          <w:sz w:val="13"/>
          <w:szCs w:val="13"/>
          <w:b w:val="1"/>
          <w:bCs w:val="1"/>
          <w:color w:val="0A2299"/>
        </w:rPr>
        <w:t>ITEM 1B. UNRESOLVED STAFF COMMENTS</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0A2299"/>
        </w:rPr>
        <w:t>ITEM 2. PROPERTIES</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the location, approximate square footage and primary use of each of the principal physical properties we occupied as of December 31, 2021.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Location</w:t>
            </w:r>
          </w:p>
        </w:tc>
        <w:tc>
          <w:tcPr>
            <w:tcW w:w="80" w:type="dxa"/>
            <w:vAlign w:val="bottom"/>
            <w:tcBorders>
              <w:bottom w:val="single" w:sz="8" w:color="CCEEFF"/>
            </w:tcBorders>
          </w:tcPr>
          <w:p>
            <w:pPr>
              <w:spacing w:after="0"/>
              <w:rPr>
                <w:sz w:val="12"/>
                <w:szCs w:val="1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Approximate Square Footage</w:t>
            </w:r>
          </w:p>
        </w:tc>
        <w:tc>
          <w:tcPr>
            <w:tcW w:w="100" w:type="dxa"/>
            <w:vAlign w:val="bottom"/>
            <w:tcBorders>
              <w:bottom w:val="single" w:sz="8" w:color="CCEEFF"/>
            </w:tcBorders>
          </w:tcPr>
          <w:p>
            <w:pPr>
              <w:spacing w:after="0"/>
              <w:rPr>
                <w:sz w:val="12"/>
                <w:szCs w:val="12"/>
                <w:color w:val="auto"/>
              </w:rPr>
            </w:pPr>
          </w:p>
        </w:tc>
        <w:tc>
          <w:tcPr>
            <w:tcW w:w="55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Primary Use</w:t>
            </w:r>
          </w:p>
        </w:tc>
        <w:tc>
          <w:tcPr>
            <w:tcW w:w="0" w:type="dxa"/>
            <w:vAlign w:val="bottom"/>
          </w:tcPr>
          <w:p>
            <w:pPr>
              <w:spacing w:after="0"/>
              <w:rPr>
                <w:sz w:val="1"/>
                <w:szCs w:val="1"/>
                <w:color w:val="auto"/>
              </w:rPr>
            </w:pPr>
          </w:p>
        </w:tc>
      </w:tr>
      <w:tr>
        <w:trPr>
          <w:trHeight w:val="111"/>
        </w:trPr>
        <w:tc>
          <w:tcPr>
            <w:tcW w:w="378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Chicago, Illinois</w:t>
            </w:r>
          </w:p>
        </w:tc>
        <w:tc>
          <w:tcPr>
            <w:tcW w:w="182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rPr>
              <w:t>30,052</w:t>
            </w:r>
          </w:p>
        </w:tc>
        <w:tc>
          <w:tcPr>
            <w:tcW w:w="100" w:type="dxa"/>
            <w:vAlign w:val="bottom"/>
            <w:shd w:val="clear" w:color="auto" w:fill="CCEEFF"/>
          </w:tcPr>
          <w:p>
            <w:pPr>
              <w:spacing w:after="0"/>
              <w:rPr>
                <w:sz w:val="9"/>
                <w:szCs w:val="9"/>
                <w:color w:val="auto"/>
              </w:rPr>
            </w:pPr>
          </w:p>
        </w:tc>
        <w:tc>
          <w:tcPr>
            <w:tcW w:w="558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Corporate headquarters, marketing and advertising, technology and software development, and general and</w:t>
            </w:r>
          </w:p>
        </w:tc>
        <w:tc>
          <w:tcPr>
            <w:tcW w:w="0" w:type="dxa"/>
            <w:vAlign w:val="bottom"/>
          </w:tcPr>
          <w:p>
            <w:pPr>
              <w:spacing w:after="0"/>
              <w:rPr>
                <w:sz w:val="1"/>
                <w:szCs w:val="1"/>
                <w:color w:val="auto"/>
              </w:rPr>
            </w:pPr>
          </w:p>
        </w:tc>
      </w:tr>
      <w:tr>
        <w:trPr>
          <w:trHeight w:val="134"/>
        </w:trPr>
        <w:tc>
          <w:tcPr>
            <w:tcW w:w="3780" w:type="dxa"/>
            <w:vAlign w:val="bottom"/>
            <w:gridSpan w:val="2"/>
            <w:vMerge w:val="continue"/>
            <w:shd w:val="clear" w:color="auto" w:fill="CCEEFF"/>
          </w:tcPr>
          <w:p>
            <w:pPr>
              <w:spacing w:after="0"/>
              <w:rPr>
                <w:sz w:val="11"/>
                <w:szCs w:val="11"/>
                <w:color w:val="auto"/>
              </w:rPr>
            </w:pPr>
          </w:p>
        </w:tc>
        <w:tc>
          <w:tcPr>
            <w:tcW w:w="18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1"/>
                <w:szCs w:val="11"/>
                <w:color w:val="auto"/>
              </w:rPr>
              <w:t>administrative</w:t>
            </w:r>
          </w:p>
        </w:tc>
        <w:tc>
          <w:tcPr>
            <w:tcW w:w="0" w:type="dxa"/>
            <w:vAlign w:val="bottom"/>
          </w:tcPr>
          <w:p>
            <w:pPr>
              <w:spacing w:after="0"/>
              <w:rPr>
                <w:sz w:val="1"/>
                <w:szCs w:val="1"/>
                <w:color w:val="auto"/>
              </w:rPr>
            </w:pPr>
          </w:p>
        </w:tc>
      </w:tr>
      <w:tr>
        <w:trPr>
          <w:trHeight w:val="149"/>
        </w:trPr>
        <w:tc>
          <w:tcPr>
            <w:tcW w:w="3780" w:type="dxa"/>
            <w:vAlign w:val="bottom"/>
            <w:gridSpan w:val="2"/>
          </w:tcPr>
          <w:p>
            <w:pPr>
              <w:ind w:left="20"/>
              <w:spacing w:after="0"/>
              <w:rPr>
                <w:sz w:val="20"/>
                <w:szCs w:val="20"/>
                <w:color w:val="auto"/>
              </w:rPr>
            </w:pPr>
            <w:r>
              <w:rPr>
                <w:rFonts w:ascii="Arial" w:cs="Arial" w:eastAsia="Arial" w:hAnsi="Arial"/>
                <w:sz w:val="11"/>
                <w:szCs w:val="11"/>
                <w:color w:val="auto"/>
              </w:rPr>
              <w:t>Chicago, Illinois</w:t>
            </w:r>
          </w:p>
        </w:tc>
        <w:tc>
          <w:tcPr>
            <w:tcW w:w="1820" w:type="dxa"/>
            <w:vAlign w:val="bottom"/>
          </w:tcPr>
          <w:p>
            <w:pPr>
              <w:jc w:val="center"/>
              <w:spacing w:after="0"/>
              <w:rPr>
                <w:sz w:val="20"/>
                <w:szCs w:val="20"/>
                <w:color w:val="auto"/>
              </w:rPr>
            </w:pPr>
            <w:r>
              <w:rPr>
                <w:rFonts w:ascii="Arial" w:cs="Arial" w:eastAsia="Arial" w:hAnsi="Arial"/>
                <w:sz w:val="11"/>
                <w:szCs w:val="11"/>
                <w:color w:val="auto"/>
              </w:rPr>
              <w:t>42,000</w:t>
            </w:r>
          </w:p>
        </w:tc>
        <w:tc>
          <w:tcPr>
            <w:tcW w:w="100" w:type="dxa"/>
            <w:vAlign w:val="bottom"/>
          </w:tcPr>
          <w:p>
            <w:pPr>
              <w:spacing w:after="0"/>
              <w:rPr>
                <w:sz w:val="12"/>
                <w:szCs w:val="12"/>
                <w:color w:val="auto"/>
              </w:rPr>
            </w:pPr>
          </w:p>
        </w:tc>
        <w:tc>
          <w:tcPr>
            <w:tcW w:w="5580" w:type="dxa"/>
            <w:vAlign w:val="bottom"/>
          </w:tcPr>
          <w:p>
            <w:pPr>
              <w:spacing w:after="0"/>
              <w:rPr>
                <w:sz w:val="20"/>
                <w:szCs w:val="20"/>
                <w:color w:val="auto"/>
              </w:rPr>
            </w:pPr>
            <w:r>
              <w:rPr>
                <w:rFonts w:ascii="Arial" w:cs="Arial" w:eastAsia="Arial" w:hAnsi="Arial"/>
                <w:sz w:val="11"/>
                <w:szCs w:val="11"/>
                <w:color w:val="auto"/>
              </w:rPr>
              <w:t>Customer care and enrollment</w:t>
            </w: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Charlotte, North Carolina</w:t>
            </w:r>
          </w:p>
        </w:tc>
        <w:tc>
          <w:tcPr>
            <w:tcW w:w="182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97,599</w:t>
            </w:r>
          </w:p>
        </w:tc>
        <w:tc>
          <w:tcPr>
            <w:tcW w:w="100" w:type="dxa"/>
            <w:vAlign w:val="bottom"/>
            <w:shd w:val="clear" w:color="auto" w:fill="CCEEFF"/>
          </w:tcPr>
          <w:p>
            <w:pPr>
              <w:spacing w:after="0"/>
              <w:rPr>
                <w:sz w:val="12"/>
                <w:szCs w:val="12"/>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1"/>
                <w:szCs w:val="11"/>
                <w:color w:val="auto"/>
              </w:rPr>
              <w:t>Customer care and enrollment</w:t>
            </w:r>
          </w:p>
        </w:tc>
        <w:tc>
          <w:tcPr>
            <w:tcW w:w="0" w:type="dxa"/>
            <w:vAlign w:val="bottom"/>
          </w:tcPr>
          <w:p>
            <w:pPr>
              <w:spacing w:after="0"/>
              <w:rPr>
                <w:sz w:val="1"/>
                <w:szCs w:val="1"/>
                <w:color w:val="auto"/>
              </w:rPr>
            </w:pPr>
          </w:p>
        </w:tc>
      </w:tr>
      <w:tr>
        <w:trPr>
          <w:trHeight w:val="151"/>
        </w:trPr>
        <w:tc>
          <w:tcPr>
            <w:tcW w:w="3780" w:type="dxa"/>
            <w:vAlign w:val="bottom"/>
            <w:gridSpan w:val="2"/>
          </w:tcPr>
          <w:p>
            <w:pPr>
              <w:ind w:left="20"/>
              <w:spacing w:after="0"/>
              <w:rPr>
                <w:sz w:val="20"/>
                <w:szCs w:val="20"/>
                <w:color w:val="auto"/>
              </w:rPr>
            </w:pPr>
            <w:r>
              <w:rPr>
                <w:rFonts w:ascii="Arial" w:cs="Arial" w:eastAsia="Arial" w:hAnsi="Arial"/>
                <w:sz w:val="11"/>
                <w:szCs w:val="11"/>
                <w:color w:val="auto"/>
              </w:rPr>
              <w:t>Lindon, Utah</w:t>
            </w:r>
          </w:p>
        </w:tc>
        <w:tc>
          <w:tcPr>
            <w:tcW w:w="1820" w:type="dxa"/>
            <w:vAlign w:val="bottom"/>
          </w:tcPr>
          <w:p>
            <w:pPr>
              <w:jc w:val="center"/>
              <w:spacing w:after="0"/>
              <w:rPr>
                <w:sz w:val="20"/>
                <w:szCs w:val="20"/>
                <w:color w:val="auto"/>
              </w:rPr>
            </w:pPr>
            <w:r>
              <w:rPr>
                <w:rFonts w:ascii="Arial" w:cs="Arial" w:eastAsia="Arial" w:hAnsi="Arial"/>
                <w:sz w:val="11"/>
                <w:szCs w:val="11"/>
                <w:color w:val="auto"/>
              </w:rPr>
              <w:t>18,105</w:t>
            </w:r>
          </w:p>
        </w:tc>
        <w:tc>
          <w:tcPr>
            <w:tcW w:w="100" w:type="dxa"/>
            <w:vAlign w:val="bottom"/>
          </w:tcPr>
          <w:p>
            <w:pPr>
              <w:spacing w:after="0"/>
              <w:rPr>
                <w:sz w:val="13"/>
                <w:szCs w:val="13"/>
                <w:color w:val="auto"/>
              </w:rPr>
            </w:pPr>
          </w:p>
        </w:tc>
        <w:tc>
          <w:tcPr>
            <w:tcW w:w="5580" w:type="dxa"/>
            <w:vAlign w:val="bottom"/>
          </w:tcPr>
          <w:p>
            <w:pPr>
              <w:spacing w:after="0"/>
              <w:rPr>
                <w:sz w:val="20"/>
                <w:szCs w:val="20"/>
                <w:color w:val="auto"/>
              </w:rPr>
            </w:pPr>
            <w:r>
              <w:rPr>
                <w:rFonts w:ascii="Arial" w:cs="Arial" w:eastAsia="Arial" w:hAnsi="Arial"/>
                <w:sz w:val="11"/>
                <w:szCs w:val="11"/>
                <w:color w:val="auto"/>
              </w:rPr>
              <w:t>Customer care and enrollment</w:t>
            </w: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13"/>
          <w:szCs w:val="13"/>
          <w:color w:val="auto"/>
        </w:rPr>
        <w:t>We believe our existing properties, which are used by all reportable segments, are in good operating condition and are suitable for the conduct of our business.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0A2299"/>
        </w:rPr>
        <w:t>ITEM 3. LEGAL PROCEEDINGS</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Refer to Note 12, “Commitments and Contingencies,” of the Notes to Consolidated Financial Statements for information about legal proceedings.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0A2299"/>
        </w:rPr>
        <w:t>ITEM 4. MINE SAFETY DISCLOSURES</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0A2299"/>
        </w:rPr>
        <w:t>INFORMATION ABOUT OUR EXECUTIVE OFFICERS AND DIRECTORS</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provides information regarding our executive officers as of the date of this Annual Report on Form 10-K:</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Name</w:t>
            </w:r>
          </w:p>
        </w:tc>
        <w:tc>
          <w:tcPr>
            <w:tcW w:w="8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Age</w:t>
            </w:r>
          </w:p>
        </w:tc>
        <w:tc>
          <w:tcPr>
            <w:tcW w:w="80" w:type="dxa"/>
            <w:vAlign w:val="bottom"/>
            <w:tcBorders>
              <w:bottom w:val="single" w:sz="8" w:color="CCEEFF"/>
            </w:tcBorders>
          </w:tcPr>
          <w:p>
            <w:pPr>
              <w:spacing w:after="0"/>
              <w:rPr>
                <w:sz w:val="12"/>
                <w:szCs w:val="12"/>
                <w:color w:val="auto"/>
              </w:rPr>
            </w:pPr>
          </w:p>
        </w:tc>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Position(s)</w:t>
            </w:r>
          </w:p>
        </w:tc>
      </w:tr>
      <w:tr>
        <w:trPr>
          <w:trHeight w:val="139"/>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Clinton P. Jones</w:t>
            </w:r>
          </w:p>
        </w:tc>
        <w:tc>
          <w:tcPr>
            <w:tcW w:w="114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44</w:t>
            </w:r>
          </w:p>
        </w:tc>
        <w:tc>
          <w:tcPr>
            <w:tcW w:w="80" w:type="dxa"/>
            <w:vAlign w:val="bottom"/>
            <w:shd w:val="clear" w:color="auto" w:fill="CCEEFF"/>
          </w:tcPr>
          <w:p>
            <w:pPr>
              <w:spacing w:after="0"/>
              <w:rPr>
                <w:sz w:val="12"/>
                <w:szCs w:val="12"/>
                <w:color w:val="auto"/>
              </w:rPr>
            </w:pPr>
          </w:p>
        </w:tc>
        <w:tc>
          <w:tcPr>
            <w:tcW w:w="7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Co-Founder, Chief Executive Officer and Co-Chair of the Board of Directors</w:t>
            </w:r>
          </w:p>
        </w:tc>
      </w:tr>
      <w:tr>
        <w:trPr>
          <w:trHeight w:val="149"/>
        </w:trPr>
        <w:tc>
          <w:tcPr>
            <w:tcW w:w="2780" w:type="dxa"/>
            <w:vAlign w:val="bottom"/>
            <w:gridSpan w:val="2"/>
          </w:tcPr>
          <w:p>
            <w:pPr>
              <w:ind w:left="20"/>
              <w:spacing w:after="0"/>
              <w:rPr>
                <w:sz w:val="20"/>
                <w:szCs w:val="20"/>
                <w:color w:val="auto"/>
              </w:rPr>
            </w:pPr>
            <w:r>
              <w:rPr>
                <w:rFonts w:ascii="Arial" w:cs="Arial" w:eastAsia="Arial" w:hAnsi="Arial"/>
                <w:sz w:val="11"/>
                <w:szCs w:val="11"/>
                <w:color w:val="auto"/>
              </w:rPr>
              <w:t>Brandon M. Cruz</w:t>
            </w:r>
          </w:p>
        </w:tc>
        <w:tc>
          <w:tcPr>
            <w:tcW w:w="1140" w:type="dxa"/>
            <w:vAlign w:val="bottom"/>
          </w:tcPr>
          <w:p>
            <w:pPr>
              <w:jc w:val="center"/>
              <w:spacing w:after="0"/>
              <w:rPr>
                <w:sz w:val="20"/>
                <w:szCs w:val="20"/>
                <w:color w:val="auto"/>
              </w:rPr>
            </w:pPr>
            <w:r>
              <w:rPr>
                <w:rFonts w:ascii="Arial" w:cs="Arial" w:eastAsia="Arial" w:hAnsi="Arial"/>
                <w:sz w:val="11"/>
                <w:szCs w:val="11"/>
                <w:color w:val="auto"/>
              </w:rPr>
              <w:t>44</w:t>
            </w:r>
          </w:p>
        </w:tc>
        <w:tc>
          <w:tcPr>
            <w:tcW w:w="80" w:type="dxa"/>
            <w:vAlign w:val="bottom"/>
          </w:tcPr>
          <w:p>
            <w:pPr>
              <w:spacing w:after="0"/>
              <w:rPr>
                <w:sz w:val="12"/>
                <w:szCs w:val="12"/>
                <w:color w:val="auto"/>
              </w:rPr>
            </w:pPr>
          </w:p>
        </w:tc>
        <w:tc>
          <w:tcPr>
            <w:tcW w:w="7280" w:type="dxa"/>
            <w:vAlign w:val="bottom"/>
          </w:tcPr>
          <w:p>
            <w:pPr>
              <w:ind w:left="20"/>
              <w:spacing w:after="0"/>
              <w:rPr>
                <w:sz w:val="20"/>
                <w:szCs w:val="20"/>
                <w:color w:val="auto"/>
              </w:rPr>
            </w:pPr>
            <w:r>
              <w:rPr>
                <w:rFonts w:ascii="Arial" w:cs="Arial" w:eastAsia="Arial" w:hAnsi="Arial"/>
                <w:sz w:val="11"/>
                <w:szCs w:val="11"/>
                <w:color w:val="auto"/>
              </w:rPr>
              <w:t>Co-Founder, Chief Strategy Officer, Special Advisor to the Executive Team and Co-Chair of the Board of Directors</w:t>
            </w:r>
          </w:p>
        </w:tc>
      </w:tr>
      <w:tr>
        <w:trPr>
          <w:trHeight w:val="149"/>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Shane E. Cruz</w:t>
            </w:r>
          </w:p>
        </w:tc>
        <w:tc>
          <w:tcPr>
            <w:tcW w:w="114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42</w:t>
            </w:r>
          </w:p>
        </w:tc>
        <w:tc>
          <w:tcPr>
            <w:tcW w:w="80" w:type="dxa"/>
            <w:vAlign w:val="bottom"/>
            <w:shd w:val="clear" w:color="auto" w:fill="CCEEFF"/>
          </w:tcPr>
          <w:p>
            <w:pPr>
              <w:spacing w:after="0"/>
              <w:rPr>
                <w:sz w:val="12"/>
                <w:szCs w:val="12"/>
                <w:color w:val="auto"/>
              </w:rPr>
            </w:pPr>
          </w:p>
        </w:tc>
        <w:tc>
          <w:tcPr>
            <w:tcW w:w="7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Chief Operating Officer</w:t>
            </w:r>
          </w:p>
        </w:tc>
      </w:tr>
      <w:tr>
        <w:trPr>
          <w:trHeight w:val="149"/>
        </w:trPr>
        <w:tc>
          <w:tcPr>
            <w:tcW w:w="2780" w:type="dxa"/>
            <w:vAlign w:val="bottom"/>
            <w:gridSpan w:val="2"/>
          </w:tcPr>
          <w:p>
            <w:pPr>
              <w:ind w:left="20"/>
              <w:spacing w:after="0"/>
              <w:rPr>
                <w:sz w:val="20"/>
                <w:szCs w:val="20"/>
                <w:color w:val="auto"/>
              </w:rPr>
            </w:pPr>
            <w:r>
              <w:rPr>
                <w:rFonts w:ascii="Arial" w:cs="Arial" w:eastAsia="Arial" w:hAnsi="Arial"/>
                <w:sz w:val="11"/>
                <w:szCs w:val="11"/>
                <w:color w:val="auto"/>
              </w:rPr>
              <w:t>Brian Farley</w:t>
            </w:r>
          </w:p>
        </w:tc>
        <w:tc>
          <w:tcPr>
            <w:tcW w:w="1140" w:type="dxa"/>
            <w:vAlign w:val="bottom"/>
          </w:tcPr>
          <w:p>
            <w:pPr>
              <w:jc w:val="center"/>
              <w:spacing w:after="0"/>
              <w:rPr>
                <w:sz w:val="20"/>
                <w:szCs w:val="20"/>
                <w:color w:val="auto"/>
              </w:rPr>
            </w:pPr>
            <w:r>
              <w:rPr>
                <w:rFonts w:ascii="Arial" w:cs="Arial" w:eastAsia="Arial" w:hAnsi="Arial"/>
                <w:sz w:val="11"/>
                <w:szCs w:val="11"/>
                <w:color w:val="auto"/>
              </w:rPr>
              <w:t>52</w:t>
            </w:r>
          </w:p>
        </w:tc>
        <w:tc>
          <w:tcPr>
            <w:tcW w:w="80" w:type="dxa"/>
            <w:vAlign w:val="bottom"/>
          </w:tcPr>
          <w:p>
            <w:pPr>
              <w:spacing w:after="0"/>
              <w:rPr>
                <w:sz w:val="12"/>
                <w:szCs w:val="12"/>
                <w:color w:val="auto"/>
              </w:rPr>
            </w:pPr>
          </w:p>
        </w:tc>
        <w:tc>
          <w:tcPr>
            <w:tcW w:w="7280" w:type="dxa"/>
            <w:vAlign w:val="bottom"/>
          </w:tcPr>
          <w:p>
            <w:pPr>
              <w:ind w:left="20"/>
              <w:spacing w:after="0"/>
              <w:rPr>
                <w:sz w:val="20"/>
                <w:szCs w:val="20"/>
                <w:color w:val="auto"/>
              </w:rPr>
            </w:pPr>
            <w:r>
              <w:rPr>
                <w:rFonts w:ascii="Arial" w:cs="Arial" w:eastAsia="Arial" w:hAnsi="Arial"/>
                <w:sz w:val="11"/>
                <w:szCs w:val="11"/>
                <w:color w:val="auto"/>
              </w:rPr>
              <w:t>Chief Legal Officer and Corporate Secretary</w:t>
            </w:r>
          </w:p>
        </w:tc>
      </w:tr>
      <w:tr>
        <w:trPr>
          <w:trHeight w:val="149"/>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Travis J. Matthiesen</w:t>
            </w:r>
          </w:p>
        </w:tc>
        <w:tc>
          <w:tcPr>
            <w:tcW w:w="114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38</w:t>
            </w:r>
          </w:p>
        </w:tc>
        <w:tc>
          <w:tcPr>
            <w:tcW w:w="80" w:type="dxa"/>
            <w:vAlign w:val="bottom"/>
            <w:shd w:val="clear" w:color="auto" w:fill="CCEEFF"/>
          </w:tcPr>
          <w:p>
            <w:pPr>
              <w:spacing w:after="0"/>
              <w:rPr>
                <w:sz w:val="12"/>
                <w:szCs w:val="12"/>
                <w:color w:val="auto"/>
              </w:rPr>
            </w:pPr>
          </w:p>
        </w:tc>
        <w:tc>
          <w:tcPr>
            <w:tcW w:w="7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Interim Chief Financial Officer</w:t>
            </w:r>
          </w:p>
        </w:tc>
      </w:tr>
      <w:tr>
        <w:trPr>
          <w:trHeight w:val="151"/>
        </w:trPr>
        <w:tc>
          <w:tcPr>
            <w:tcW w:w="2780" w:type="dxa"/>
            <w:vAlign w:val="bottom"/>
            <w:gridSpan w:val="2"/>
          </w:tcPr>
          <w:p>
            <w:pPr>
              <w:ind w:left="20"/>
              <w:spacing w:after="0"/>
              <w:rPr>
                <w:sz w:val="20"/>
                <w:szCs w:val="20"/>
                <w:color w:val="auto"/>
              </w:rPr>
            </w:pPr>
            <w:r>
              <w:rPr>
                <w:rFonts w:ascii="Arial" w:cs="Arial" w:eastAsia="Arial" w:hAnsi="Arial"/>
                <w:sz w:val="11"/>
                <w:szCs w:val="11"/>
                <w:color w:val="auto"/>
              </w:rPr>
              <w:t>James A. Sharman</w:t>
            </w:r>
          </w:p>
        </w:tc>
        <w:tc>
          <w:tcPr>
            <w:tcW w:w="1140" w:type="dxa"/>
            <w:vAlign w:val="bottom"/>
          </w:tcPr>
          <w:p>
            <w:pPr>
              <w:jc w:val="center"/>
              <w:spacing w:after="0"/>
              <w:rPr>
                <w:sz w:val="20"/>
                <w:szCs w:val="20"/>
                <w:color w:val="auto"/>
              </w:rPr>
            </w:pPr>
            <w:r>
              <w:rPr>
                <w:rFonts w:ascii="Arial" w:cs="Arial" w:eastAsia="Arial" w:hAnsi="Arial"/>
                <w:sz w:val="11"/>
                <w:szCs w:val="11"/>
                <w:color w:val="auto"/>
              </w:rPr>
              <w:t>62</w:t>
            </w:r>
          </w:p>
        </w:tc>
        <w:tc>
          <w:tcPr>
            <w:tcW w:w="80" w:type="dxa"/>
            <w:vAlign w:val="bottom"/>
          </w:tcPr>
          <w:p>
            <w:pPr>
              <w:spacing w:after="0"/>
              <w:rPr>
                <w:sz w:val="13"/>
                <w:szCs w:val="13"/>
                <w:color w:val="auto"/>
              </w:rPr>
            </w:pPr>
          </w:p>
        </w:tc>
        <w:tc>
          <w:tcPr>
            <w:tcW w:w="7280" w:type="dxa"/>
            <w:vAlign w:val="bottom"/>
          </w:tcPr>
          <w:p>
            <w:pPr>
              <w:ind w:left="20"/>
              <w:spacing w:after="0"/>
              <w:rPr>
                <w:sz w:val="20"/>
                <w:szCs w:val="20"/>
                <w:color w:val="auto"/>
              </w:rPr>
            </w:pPr>
            <w:r>
              <w:rPr>
                <w:rFonts w:ascii="Arial" w:cs="Arial" w:eastAsia="Arial" w:hAnsi="Arial"/>
                <w:sz w:val="11"/>
                <w:szCs w:val="11"/>
                <w:color w:val="auto"/>
              </w:rPr>
              <w:t>President</w:t>
            </w:r>
          </w:p>
        </w:tc>
      </w:tr>
    </w:tbl>
    <w:p>
      <w:pPr>
        <w:spacing w:after="0" w:line="2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Executive Officers</w:t>
      </w:r>
    </w:p>
    <w:p>
      <w:pPr>
        <w:spacing w:after="0" w:line="171" w:lineRule="exact"/>
        <w:rPr>
          <w:sz w:val="20"/>
          <w:szCs w:val="20"/>
          <w:color w:val="auto"/>
        </w:rPr>
      </w:pPr>
    </w:p>
    <w:p>
      <w:pPr>
        <w:ind w:right="60"/>
        <w:spacing w:after="0" w:line="252" w:lineRule="auto"/>
        <w:rPr>
          <w:sz w:val="20"/>
          <w:szCs w:val="20"/>
          <w:color w:val="auto"/>
        </w:rPr>
      </w:pPr>
      <w:r>
        <w:rPr>
          <w:rFonts w:ascii="Arial" w:cs="Arial" w:eastAsia="Arial" w:hAnsi="Arial"/>
          <w:sz w:val="13"/>
          <w:szCs w:val="13"/>
          <w:b w:val="1"/>
          <w:bCs w:val="1"/>
          <w:i w:val="1"/>
          <w:iCs w:val="1"/>
          <w:color w:val="auto"/>
        </w:rPr>
        <w:t xml:space="preserve">Clinton P. Jones </w:t>
      </w:r>
      <w:r>
        <w:rPr>
          <w:rFonts w:ascii="Arial" w:cs="Arial" w:eastAsia="Arial" w:hAnsi="Arial"/>
          <w:sz w:val="13"/>
          <w:szCs w:val="13"/>
          <w:color w:val="auto"/>
        </w:rPr>
        <w:t>is the co-founder of GoHealth and has served as GoHealth’s Chief Executive Officer since GoHealth’s founding in 2001. He has also been a member of GoHealth, Inc.’s board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directors since 2020 and a member of GoHealth Holdings, LLC’s board of managers since 2019, as well as serving on the board of managers of GoHealth’s predecessor since its founding in 2001. Mr. Jones holds Bachelor of Science degrees in both Marketing and Management Information Systems from Miami University.</w:t>
      </w:r>
    </w:p>
    <w:p>
      <w:pPr>
        <w:spacing w:after="0" w:line="144" w:lineRule="exact"/>
        <w:rPr>
          <w:sz w:val="20"/>
          <w:szCs w:val="20"/>
          <w:color w:val="auto"/>
        </w:rPr>
      </w:pPr>
    </w:p>
    <w:p>
      <w:pPr>
        <w:ind w:right="140"/>
        <w:spacing w:after="0" w:line="247" w:lineRule="auto"/>
        <w:rPr>
          <w:sz w:val="20"/>
          <w:szCs w:val="20"/>
          <w:color w:val="auto"/>
        </w:rPr>
      </w:pPr>
      <w:r>
        <w:rPr>
          <w:rFonts w:ascii="Arial" w:cs="Arial" w:eastAsia="Arial" w:hAnsi="Arial"/>
          <w:sz w:val="13"/>
          <w:szCs w:val="13"/>
          <w:b w:val="1"/>
          <w:bCs w:val="1"/>
          <w:i w:val="1"/>
          <w:iCs w:val="1"/>
          <w:color w:val="auto"/>
        </w:rPr>
        <w:t xml:space="preserve">Brandon M. Cruz </w:t>
      </w:r>
      <w:r>
        <w:rPr>
          <w:rFonts w:ascii="Arial" w:cs="Arial" w:eastAsia="Arial" w:hAnsi="Arial"/>
          <w:sz w:val="13"/>
          <w:szCs w:val="13"/>
          <w:color w:val="auto"/>
        </w:rPr>
        <w:t>is the co-founder of GoHealth and has served as GoHealth’s Chief Strategy Officer and Special Advisor to the Executive Team since 2020. Prior to this role, he served as President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 GoHealth since its founding in 2001. He has also been a member of GoHealth, Inc.’s board of directors since 2020 and a member of GoHealth Holdings, LLC’s board of managers since 2019, as well as serving on the board of managers of GoHealth’s predecessor since its founding. He serves on the board of Homecare Holdings. Mr. Cruz holds a Bachelor of Science degree in Management Information Systems from Miami University, and is a member of the Miami University Business Advisory Council.</w:t>
      </w:r>
    </w:p>
    <w:p>
      <w:pPr>
        <w:spacing w:after="0" w:line="148" w:lineRule="exact"/>
        <w:rPr>
          <w:sz w:val="20"/>
          <w:szCs w:val="20"/>
          <w:color w:val="auto"/>
        </w:rPr>
      </w:pPr>
    </w:p>
    <w:p>
      <w:pPr>
        <w:ind w:right="40"/>
        <w:spacing w:after="0" w:line="266" w:lineRule="auto"/>
        <w:rPr>
          <w:sz w:val="20"/>
          <w:szCs w:val="20"/>
          <w:color w:val="auto"/>
        </w:rPr>
      </w:pPr>
      <w:r>
        <w:rPr>
          <w:rFonts w:ascii="Arial" w:cs="Arial" w:eastAsia="Arial" w:hAnsi="Arial"/>
          <w:sz w:val="13"/>
          <w:szCs w:val="13"/>
          <w:b w:val="1"/>
          <w:bCs w:val="1"/>
          <w:i w:val="1"/>
          <w:iCs w:val="1"/>
          <w:color w:val="auto"/>
        </w:rPr>
        <w:t xml:space="preserve">Shane E. Cruz </w:t>
      </w:r>
      <w:r>
        <w:rPr>
          <w:rFonts w:ascii="Arial" w:cs="Arial" w:eastAsia="Arial" w:hAnsi="Arial"/>
          <w:sz w:val="13"/>
          <w:szCs w:val="13"/>
          <w:color w:val="auto"/>
        </w:rPr>
        <w:t>has served as GoHealth’s Chief Operating Officer since 2020 and prior to that, was the Chief Technology Officer of GoHealth since 2014. Mr. Cruz holds Bachelor of Science degrees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Computer Science and Engineering and a Master of Engineering in Electrical Engineering and Computer Science from the Massachusetts Institute of Technology.</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40</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69" w:right="319" w:bottom="1440" w:gutter="0" w:footer="0" w:header="0"/>
        </w:sectPr>
      </w:pPr>
    </w:p>
    <w:bookmarkStart w:id="43" w:name="page44"/>
    <w:bookmarkEnd w:id="43"/>
    <w:p>
      <w:pPr>
        <w:jc w:val="both"/>
        <w:ind w:right="220"/>
        <w:spacing w:after="0" w:line="252" w:lineRule="auto"/>
        <w:rPr>
          <w:sz w:val="20"/>
          <w:szCs w:val="20"/>
          <w:color w:val="auto"/>
        </w:rPr>
      </w:pPr>
      <w:r>
        <w:rPr>
          <w:rFonts w:ascii="Arial" w:cs="Arial" w:eastAsia="Arial" w:hAnsi="Arial"/>
          <w:sz w:val="13"/>
          <w:szCs w:val="13"/>
          <w:b w:val="1"/>
          <w:bCs w:val="1"/>
          <w:i w:val="1"/>
          <w:iCs w:val="1"/>
          <w:color w:val="auto"/>
        </w:rPr>
        <w:t xml:space="preserve">Brian Farley </w:t>
      </w:r>
      <w:r>
        <w:rPr>
          <w:rFonts w:ascii="Arial" w:cs="Arial" w:eastAsia="Arial" w:hAnsi="Arial"/>
          <w:sz w:val="13"/>
          <w:szCs w:val="13"/>
          <w:color w:val="auto"/>
        </w:rPr>
        <w:t>has served as GoHealth’s Chief Legal Officer and Corporate Secretary since 2020. Previously, Mr. Farley served in various roles at Allscripts Healthcare Solutions, Inc., including most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recently as Executive Vice President, General Counsel and Chief Administrative Officer from 2013 to 2020. Mr. Farley holds a Bachelor of Arts in Political Economics from Colorado College, a Juris Doctor from The George Washington University National Law Center and an Executive Master’s in Business Administration from the University of Colorado.</w:t>
      </w:r>
    </w:p>
    <w:p>
      <w:pPr>
        <w:spacing w:after="0" w:line="144" w:lineRule="exact"/>
        <w:rPr>
          <w:sz w:val="20"/>
          <w:szCs w:val="20"/>
          <w:color w:val="auto"/>
        </w:rPr>
      </w:pPr>
    </w:p>
    <w:p>
      <w:pPr>
        <w:spacing w:after="0" w:line="252" w:lineRule="auto"/>
        <w:rPr>
          <w:sz w:val="20"/>
          <w:szCs w:val="20"/>
          <w:color w:val="auto"/>
        </w:rPr>
      </w:pPr>
      <w:r>
        <w:rPr>
          <w:rFonts w:ascii="Arial" w:cs="Arial" w:eastAsia="Arial" w:hAnsi="Arial"/>
          <w:sz w:val="13"/>
          <w:szCs w:val="13"/>
          <w:b w:val="1"/>
          <w:bCs w:val="1"/>
          <w:i w:val="1"/>
          <w:iCs w:val="1"/>
          <w:color w:val="auto"/>
        </w:rPr>
        <w:t xml:space="preserve">Travis J. Matthiesen </w:t>
      </w:r>
      <w:r>
        <w:rPr>
          <w:rFonts w:ascii="Arial" w:cs="Arial" w:eastAsia="Arial" w:hAnsi="Arial"/>
          <w:sz w:val="13"/>
          <w:szCs w:val="13"/>
          <w:color w:val="auto"/>
        </w:rPr>
        <w:t>has been serving as Interim Chief Financial Officer since January 25, 2022. Prior to such role, Mr. Matthiesen served as Chief Transformation Officer since December 2021,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as Chief Financial Officer since 2018. Prior to that, he was the Company’s Vice President of Finance and Marketplace Operations from 2017 to 2018 and the Company’s Corporate Controller from 2010 to 2017. Mr. Matthiesen holds a Master of Business Administration from the University of Notre Dame and a Bachelor of Science degree in Accounting from Cedarville University.</w:t>
      </w:r>
    </w:p>
    <w:p>
      <w:pPr>
        <w:spacing w:after="0" w:line="144" w:lineRule="exact"/>
        <w:rPr>
          <w:sz w:val="20"/>
          <w:szCs w:val="20"/>
          <w:color w:val="auto"/>
        </w:rPr>
      </w:pPr>
    </w:p>
    <w:p>
      <w:pPr>
        <w:ind w:right="60"/>
        <w:spacing w:after="0" w:line="245" w:lineRule="auto"/>
        <w:rPr>
          <w:sz w:val="20"/>
          <w:szCs w:val="20"/>
          <w:color w:val="auto"/>
        </w:rPr>
      </w:pPr>
      <w:r>
        <w:rPr>
          <w:rFonts w:ascii="Arial" w:cs="Arial" w:eastAsia="Arial" w:hAnsi="Arial"/>
          <w:sz w:val="13"/>
          <w:szCs w:val="13"/>
          <w:b w:val="1"/>
          <w:bCs w:val="1"/>
          <w:i w:val="1"/>
          <w:iCs w:val="1"/>
          <w:color w:val="auto"/>
        </w:rPr>
        <w:t xml:space="preserve">James A. Sharman </w:t>
      </w:r>
      <w:r>
        <w:rPr>
          <w:rFonts w:ascii="Arial" w:cs="Arial" w:eastAsia="Arial" w:hAnsi="Arial"/>
          <w:sz w:val="13"/>
          <w:szCs w:val="13"/>
          <w:color w:val="auto"/>
        </w:rPr>
        <w:t>has served as GoHealth’s President since 2020 and prior to that, was the Chief Operating Officer of GoHealth since 2018. Mr. Sharman was also appointed as a director of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Shyft Group (formerly known as Spartan Motors, Inc.), which specializes in vehicle manufacturing and assembly for the commercial and retail vehicle industries, in February 2016 and has served as its Chairman since 2018. From 2015 through 2018, Mr. Sharman served as Chief Operating Officer of Coyote Logistics, a freight broker and logistics services provider and a wholly-owned subsidiary of United Parcel Service, Inc. Mr. Sharman holds a Master of Business Administration from Duke University and Bachelor of Science degree in Engineering from the United States Military Academy at West Point.</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provides information regarding our members of our board of directors as of the date of this Annual Report on Form 10-K:</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Name</w:t>
            </w:r>
          </w:p>
        </w:tc>
        <w:tc>
          <w:tcPr>
            <w:tcW w:w="8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Age</w:t>
            </w:r>
          </w:p>
        </w:tc>
        <w:tc>
          <w:tcPr>
            <w:tcW w:w="80" w:type="dxa"/>
            <w:vAlign w:val="bottom"/>
            <w:tcBorders>
              <w:bottom w:val="single" w:sz="8" w:color="CCEEFF"/>
            </w:tcBorders>
          </w:tcPr>
          <w:p>
            <w:pPr>
              <w:spacing w:after="0"/>
              <w:rPr>
                <w:sz w:val="12"/>
                <w:szCs w:val="12"/>
                <w:color w:val="auto"/>
              </w:rPr>
            </w:pPr>
          </w:p>
        </w:tc>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Position(s)</w:t>
            </w:r>
          </w:p>
        </w:tc>
        <w:tc>
          <w:tcPr>
            <w:tcW w:w="80" w:type="dxa"/>
            <w:vAlign w:val="bottom"/>
            <w:tcBorders>
              <w:bottom w:val="single" w:sz="8" w:color="CCEEFF"/>
            </w:tcBorders>
          </w:tcPr>
          <w:p>
            <w:pPr>
              <w:spacing w:after="0"/>
              <w:rPr>
                <w:sz w:val="12"/>
                <w:szCs w:val="12"/>
                <w:color w:val="auto"/>
              </w:rPr>
            </w:pP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Company</w:t>
            </w:r>
          </w:p>
        </w:tc>
        <w:tc>
          <w:tcPr>
            <w:tcW w:w="0" w:type="dxa"/>
            <w:vAlign w:val="bottom"/>
          </w:tcPr>
          <w:p>
            <w:pPr>
              <w:spacing w:after="0"/>
              <w:rPr>
                <w:sz w:val="1"/>
                <w:szCs w:val="1"/>
                <w:color w:val="auto"/>
              </w:rPr>
            </w:pPr>
          </w:p>
        </w:tc>
      </w:tr>
      <w:tr>
        <w:trPr>
          <w:trHeight w:val="111"/>
        </w:trPr>
        <w:tc>
          <w:tcPr>
            <w:tcW w:w="276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Clinton P. Jones</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rPr>
              <w:t>44</w:t>
            </w:r>
          </w:p>
        </w:tc>
        <w:tc>
          <w:tcPr>
            <w:tcW w:w="80" w:type="dxa"/>
            <w:vAlign w:val="bottom"/>
            <w:shd w:val="clear" w:color="auto" w:fill="CCEEFF"/>
          </w:tcPr>
          <w:p>
            <w:pPr>
              <w:spacing w:after="0"/>
              <w:rPr>
                <w:sz w:val="9"/>
                <w:szCs w:val="9"/>
                <w:color w:val="auto"/>
              </w:rPr>
            </w:pPr>
          </w:p>
        </w:tc>
        <w:tc>
          <w:tcPr>
            <w:tcW w:w="3560" w:type="dxa"/>
            <w:vAlign w:val="bottom"/>
            <w:gridSpan w:val="2"/>
            <w:shd w:val="clear" w:color="auto" w:fill="CCEEFF"/>
          </w:tcPr>
          <w:p>
            <w:pPr>
              <w:ind w:left="20"/>
              <w:spacing w:after="0" w:line="111" w:lineRule="exact"/>
              <w:rPr>
                <w:sz w:val="20"/>
                <w:szCs w:val="20"/>
                <w:color w:val="auto"/>
              </w:rPr>
            </w:pPr>
            <w:r>
              <w:rPr>
                <w:rFonts w:ascii="Arial" w:cs="Arial" w:eastAsia="Arial" w:hAnsi="Arial"/>
                <w:sz w:val="11"/>
                <w:szCs w:val="11"/>
                <w:color w:val="auto"/>
              </w:rPr>
              <w:t>Co-Founder, Chief Executive Officer and Co-Chair of the Board of</w:t>
            </w:r>
          </w:p>
        </w:tc>
        <w:tc>
          <w:tcPr>
            <w:tcW w:w="374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GoHealth, Inc</w:t>
            </w:r>
          </w:p>
        </w:tc>
        <w:tc>
          <w:tcPr>
            <w:tcW w:w="0" w:type="dxa"/>
            <w:vAlign w:val="bottom"/>
          </w:tcPr>
          <w:p>
            <w:pPr>
              <w:spacing w:after="0"/>
              <w:rPr>
                <w:sz w:val="1"/>
                <w:szCs w:val="1"/>
                <w:color w:val="auto"/>
              </w:rPr>
            </w:pPr>
          </w:p>
        </w:tc>
      </w:tr>
      <w:tr>
        <w:trPr>
          <w:trHeight w:val="134"/>
        </w:trPr>
        <w:tc>
          <w:tcPr>
            <w:tcW w:w="2760" w:type="dxa"/>
            <w:vAlign w:val="bottom"/>
            <w:gridSpan w:val="2"/>
            <w:vMerge w:val="continue"/>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5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Directors</w:t>
            </w:r>
          </w:p>
        </w:tc>
        <w:tc>
          <w:tcPr>
            <w:tcW w:w="37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760" w:type="dxa"/>
            <w:vAlign w:val="bottom"/>
            <w:gridSpan w:val="2"/>
            <w:vMerge w:val="restart"/>
          </w:tcPr>
          <w:p>
            <w:pPr>
              <w:ind w:left="20"/>
              <w:spacing w:after="0"/>
              <w:rPr>
                <w:sz w:val="20"/>
                <w:szCs w:val="20"/>
                <w:color w:val="auto"/>
              </w:rPr>
            </w:pPr>
            <w:r>
              <w:rPr>
                <w:rFonts w:ascii="Arial" w:cs="Arial" w:eastAsia="Arial" w:hAnsi="Arial"/>
                <w:sz w:val="11"/>
                <w:szCs w:val="11"/>
                <w:color w:val="auto"/>
              </w:rPr>
              <w:t>Brandon M. Cruz</w:t>
            </w:r>
          </w:p>
        </w:tc>
        <w:tc>
          <w:tcPr>
            <w:tcW w:w="1140" w:type="dxa"/>
            <w:vAlign w:val="bottom"/>
            <w:vMerge w:val="restart"/>
          </w:tcPr>
          <w:p>
            <w:pPr>
              <w:jc w:val="center"/>
              <w:spacing w:after="0"/>
              <w:rPr>
                <w:sz w:val="20"/>
                <w:szCs w:val="20"/>
                <w:color w:val="auto"/>
              </w:rPr>
            </w:pPr>
            <w:r>
              <w:rPr>
                <w:rFonts w:ascii="Arial" w:cs="Arial" w:eastAsia="Arial" w:hAnsi="Arial"/>
                <w:sz w:val="11"/>
                <w:szCs w:val="11"/>
                <w:color w:val="auto"/>
              </w:rPr>
              <w:t>44</w:t>
            </w:r>
          </w:p>
        </w:tc>
        <w:tc>
          <w:tcPr>
            <w:tcW w:w="80" w:type="dxa"/>
            <w:vAlign w:val="bottom"/>
          </w:tcPr>
          <w:p>
            <w:pPr>
              <w:spacing w:after="0"/>
              <w:rPr>
                <w:sz w:val="10"/>
                <w:szCs w:val="10"/>
                <w:color w:val="auto"/>
              </w:rPr>
            </w:pPr>
          </w:p>
        </w:tc>
        <w:tc>
          <w:tcPr>
            <w:tcW w:w="3560" w:type="dxa"/>
            <w:vAlign w:val="bottom"/>
            <w:gridSpan w:val="2"/>
          </w:tcPr>
          <w:p>
            <w:pPr>
              <w:ind w:left="20"/>
              <w:spacing w:after="0" w:line="121" w:lineRule="exact"/>
              <w:rPr>
                <w:sz w:val="20"/>
                <w:szCs w:val="20"/>
                <w:color w:val="auto"/>
              </w:rPr>
            </w:pPr>
            <w:r>
              <w:rPr>
                <w:rFonts w:ascii="Arial" w:cs="Arial" w:eastAsia="Arial" w:hAnsi="Arial"/>
                <w:sz w:val="11"/>
                <w:szCs w:val="11"/>
                <w:color w:val="auto"/>
              </w:rPr>
              <w:t>Co-Founder, Chief Strategy Officer, Special Advisor to the Executive</w:t>
            </w:r>
          </w:p>
        </w:tc>
        <w:tc>
          <w:tcPr>
            <w:tcW w:w="3740" w:type="dxa"/>
            <w:vAlign w:val="bottom"/>
            <w:vMerge w:val="restart"/>
          </w:tcPr>
          <w:p>
            <w:pPr>
              <w:ind w:left="20"/>
              <w:spacing w:after="0"/>
              <w:rPr>
                <w:sz w:val="20"/>
                <w:szCs w:val="20"/>
                <w:color w:val="auto"/>
              </w:rPr>
            </w:pPr>
            <w:r>
              <w:rPr>
                <w:rFonts w:ascii="Arial" w:cs="Arial" w:eastAsia="Arial" w:hAnsi="Arial"/>
                <w:sz w:val="11"/>
                <w:szCs w:val="11"/>
                <w:color w:val="auto"/>
              </w:rPr>
              <w:t>GoHealth, Inc</w:t>
            </w:r>
          </w:p>
        </w:tc>
        <w:tc>
          <w:tcPr>
            <w:tcW w:w="0" w:type="dxa"/>
            <w:vAlign w:val="bottom"/>
          </w:tcPr>
          <w:p>
            <w:pPr>
              <w:spacing w:after="0"/>
              <w:rPr>
                <w:sz w:val="1"/>
                <w:szCs w:val="1"/>
                <w:color w:val="auto"/>
              </w:rPr>
            </w:pPr>
          </w:p>
        </w:tc>
      </w:tr>
      <w:tr>
        <w:trPr>
          <w:trHeight w:val="134"/>
        </w:trPr>
        <w:tc>
          <w:tcPr>
            <w:tcW w:w="276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2"/>
          </w:tcPr>
          <w:p>
            <w:pPr>
              <w:ind w:left="20"/>
              <w:spacing w:after="0"/>
              <w:rPr>
                <w:sz w:val="20"/>
                <w:szCs w:val="20"/>
                <w:color w:val="auto"/>
              </w:rPr>
            </w:pPr>
            <w:r>
              <w:rPr>
                <w:rFonts w:ascii="Arial" w:cs="Arial" w:eastAsia="Arial" w:hAnsi="Arial"/>
                <w:sz w:val="11"/>
                <w:szCs w:val="11"/>
                <w:color w:val="auto"/>
              </w:rPr>
              <w:t>Team and Co-Chair of the Board of Directors</w:t>
            </w:r>
          </w:p>
        </w:tc>
        <w:tc>
          <w:tcPr>
            <w:tcW w:w="3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Joseph G. Flanagan</w:t>
            </w:r>
          </w:p>
        </w:tc>
        <w:tc>
          <w:tcPr>
            <w:tcW w:w="114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50</w:t>
            </w:r>
          </w:p>
        </w:tc>
        <w:tc>
          <w:tcPr>
            <w:tcW w:w="80" w:type="dxa"/>
            <w:vAlign w:val="bottom"/>
            <w:shd w:val="clear" w:color="auto" w:fill="CCEEFF"/>
          </w:tcPr>
          <w:p>
            <w:pPr>
              <w:spacing w:after="0"/>
              <w:rPr>
                <w:sz w:val="12"/>
                <w:szCs w:val="12"/>
                <w:color w:val="auto"/>
              </w:rPr>
            </w:pPr>
          </w:p>
        </w:tc>
        <w:tc>
          <w:tcPr>
            <w:tcW w:w="35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Director</w:t>
            </w:r>
          </w:p>
        </w:tc>
        <w:tc>
          <w:tcPr>
            <w:tcW w:w="3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R1 RCM Inc.</w:t>
            </w:r>
          </w:p>
        </w:tc>
        <w:tc>
          <w:tcPr>
            <w:tcW w:w="0" w:type="dxa"/>
            <w:vAlign w:val="bottom"/>
          </w:tcPr>
          <w:p>
            <w:pPr>
              <w:spacing w:after="0"/>
              <w:rPr>
                <w:sz w:val="1"/>
                <w:szCs w:val="1"/>
                <w:color w:val="auto"/>
              </w:rPr>
            </w:pPr>
          </w:p>
        </w:tc>
      </w:tr>
      <w:tr>
        <w:trPr>
          <w:trHeight w:val="149"/>
        </w:trPr>
        <w:tc>
          <w:tcPr>
            <w:tcW w:w="2760" w:type="dxa"/>
            <w:vAlign w:val="bottom"/>
            <w:gridSpan w:val="2"/>
          </w:tcPr>
          <w:p>
            <w:pPr>
              <w:ind w:left="20"/>
              <w:spacing w:after="0"/>
              <w:rPr>
                <w:sz w:val="20"/>
                <w:szCs w:val="20"/>
                <w:color w:val="auto"/>
              </w:rPr>
            </w:pPr>
            <w:r>
              <w:rPr>
                <w:rFonts w:ascii="Arial" w:cs="Arial" w:eastAsia="Arial" w:hAnsi="Arial"/>
                <w:sz w:val="11"/>
                <w:szCs w:val="11"/>
                <w:color w:val="auto"/>
              </w:rPr>
              <w:t>Helene D. Gayle</w:t>
            </w:r>
          </w:p>
        </w:tc>
        <w:tc>
          <w:tcPr>
            <w:tcW w:w="1140" w:type="dxa"/>
            <w:vAlign w:val="bottom"/>
          </w:tcPr>
          <w:p>
            <w:pPr>
              <w:jc w:val="center"/>
              <w:spacing w:after="0"/>
              <w:rPr>
                <w:sz w:val="20"/>
                <w:szCs w:val="20"/>
                <w:color w:val="auto"/>
              </w:rPr>
            </w:pPr>
            <w:r>
              <w:rPr>
                <w:rFonts w:ascii="Arial" w:cs="Arial" w:eastAsia="Arial" w:hAnsi="Arial"/>
                <w:sz w:val="11"/>
                <w:szCs w:val="11"/>
                <w:color w:val="auto"/>
              </w:rPr>
              <w:t>66</w:t>
            </w:r>
          </w:p>
        </w:tc>
        <w:tc>
          <w:tcPr>
            <w:tcW w:w="80" w:type="dxa"/>
            <w:vAlign w:val="bottom"/>
          </w:tcPr>
          <w:p>
            <w:pPr>
              <w:spacing w:after="0"/>
              <w:rPr>
                <w:sz w:val="12"/>
                <w:szCs w:val="12"/>
                <w:color w:val="auto"/>
              </w:rPr>
            </w:pPr>
          </w:p>
        </w:tc>
        <w:tc>
          <w:tcPr>
            <w:tcW w:w="3560" w:type="dxa"/>
            <w:vAlign w:val="bottom"/>
            <w:gridSpan w:val="2"/>
          </w:tcPr>
          <w:p>
            <w:pPr>
              <w:ind w:left="20"/>
              <w:spacing w:after="0"/>
              <w:rPr>
                <w:sz w:val="20"/>
                <w:szCs w:val="20"/>
                <w:color w:val="auto"/>
              </w:rPr>
            </w:pPr>
            <w:r>
              <w:rPr>
                <w:rFonts w:ascii="Arial" w:cs="Arial" w:eastAsia="Arial" w:hAnsi="Arial"/>
                <w:sz w:val="11"/>
                <w:szCs w:val="11"/>
                <w:color w:val="auto"/>
              </w:rPr>
              <w:t>Director</w:t>
            </w:r>
          </w:p>
        </w:tc>
        <w:tc>
          <w:tcPr>
            <w:tcW w:w="3740" w:type="dxa"/>
            <w:vAlign w:val="bottom"/>
          </w:tcPr>
          <w:p>
            <w:pPr>
              <w:ind w:left="20"/>
              <w:spacing w:after="0"/>
              <w:rPr>
                <w:sz w:val="20"/>
                <w:szCs w:val="20"/>
                <w:color w:val="auto"/>
              </w:rPr>
            </w:pPr>
            <w:r>
              <w:rPr>
                <w:rFonts w:ascii="Arial" w:cs="Arial" w:eastAsia="Arial" w:hAnsi="Arial"/>
                <w:sz w:val="11"/>
                <w:szCs w:val="11"/>
                <w:color w:val="auto"/>
              </w:rPr>
              <w:t>The Chicago Community Trust</w:t>
            </w:r>
          </w:p>
        </w:tc>
        <w:tc>
          <w:tcPr>
            <w:tcW w:w="0" w:type="dxa"/>
            <w:vAlign w:val="bottom"/>
          </w:tcPr>
          <w:p>
            <w:pPr>
              <w:spacing w:after="0"/>
              <w:rPr>
                <w:sz w:val="1"/>
                <w:szCs w:val="1"/>
                <w:color w:val="auto"/>
              </w:rPr>
            </w:pPr>
          </w:p>
        </w:tc>
      </w:tr>
      <w:tr>
        <w:trPr>
          <w:trHeight w:val="149"/>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Jeremy W. Gelber</w:t>
            </w:r>
          </w:p>
        </w:tc>
        <w:tc>
          <w:tcPr>
            <w:tcW w:w="114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46</w:t>
            </w:r>
          </w:p>
        </w:tc>
        <w:tc>
          <w:tcPr>
            <w:tcW w:w="80" w:type="dxa"/>
            <w:vAlign w:val="bottom"/>
            <w:shd w:val="clear" w:color="auto" w:fill="CCEEFF"/>
          </w:tcPr>
          <w:p>
            <w:pPr>
              <w:spacing w:after="0"/>
              <w:rPr>
                <w:sz w:val="12"/>
                <w:szCs w:val="12"/>
                <w:color w:val="auto"/>
              </w:rPr>
            </w:pPr>
          </w:p>
        </w:tc>
        <w:tc>
          <w:tcPr>
            <w:tcW w:w="35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Director</w:t>
            </w:r>
          </w:p>
        </w:tc>
        <w:tc>
          <w:tcPr>
            <w:tcW w:w="3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Centerbridge</w:t>
            </w:r>
          </w:p>
        </w:tc>
        <w:tc>
          <w:tcPr>
            <w:tcW w:w="0" w:type="dxa"/>
            <w:vAlign w:val="bottom"/>
          </w:tcPr>
          <w:p>
            <w:pPr>
              <w:spacing w:after="0"/>
              <w:rPr>
                <w:sz w:val="1"/>
                <w:szCs w:val="1"/>
                <w:color w:val="auto"/>
              </w:rPr>
            </w:pPr>
          </w:p>
        </w:tc>
      </w:tr>
      <w:tr>
        <w:trPr>
          <w:trHeight w:val="149"/>
        </w:trPr>
        <w:tc>
          <w:tcPr>
            <w:tcW w:w="2760" w:type="dxa"/>
            <w:vAlign w:val="bottom"/>
            <w:gridSpan w:val="2"/>
          </w:tcPr>
          <w:p>
            <w:pPr>
              <w:ind w:left="20"/>
              <w:spacing w:after="0"/>
              <w:rPr>
                <w:sz w:val="20"/>
                <w:szCs w:val="20"/>
                <w:color w:val="auto"/>
              </w:rPr>
            </w:pPr>
            <w:r>
              <w:rPr>
                <w:rFonts w:ascii="Arial" w:cs="Arial" w:eastAsia="Arial" w:hAnsi="Arial"/>
                <w:sz w:val="11"/>
                <w:szCs w:val="11"/>
                <w:color w:val="auto"/>
              </w:rPr>
              <w:t>Anita V. Pramoda</w:t>
            </w:r>
          </w:p>
        </w:tc>
        <w:tc>
          <w:tcPr>
            <w:tcW w:w="1140" w:type="dxa"/>
            <w:vAlign w:val="bottom"/>
          </w:tcPr>
          <w:p>
            <w:pPr>
              <w:jc w:val="center"/>
              <w:spacing w:after="0"/>
              <w:rPr>
                <w:sz w:val="20"/>
                <w:szCs w:val="20"/>
                <w:color w:val="auto"/>
              </w:rPr>
            </w:pPr>
            <w:r>
              <w:rPr>
                <w:rFonts w:ascii="Arial" w:cs="Arial" w:eastAsia="Arial" w:hAnsi="Arial"/>
                <w:sz w:val="11"/>
                <w:szCs w:val="11"/>
                <w:color w:val="auto"/>
              </w:rPr>
              <w:t>47</w:t>
            </w:r>
          </w:p>
        </w:tc>
        <w:tc>
          <w:tcPr>
            <w:tcW w:w="80" w:type="dxa"/>
            <w:vAlign w:val="bottom"/>
          </w:tcPr>
          <w:p>
            <w:pPr>
              <w:spacing w:after="0"/>
              <w:rPr>
                <w:sz w:val="12"/>
                <w:szCs w:val="12"/>
                <w:color w:val="auto"/>
              </w:rPr>
            </w:pPr>
          </w:p>
        </w:tc>
        <w:tc>
          <w:tcPr>
            <w:tcW w:w="3560" w:type="dxa"/>
            <w:vAlign w:val="bottom"/>
            <w:gridSpan w:val="2"/>
          </w:tcPr>
          <w:p>
            <w:pPr>
              <w:ind w:left="20"/>
              <w:spacing w:after="0"/>
              <w:rPr>
                <w:sz w:val="20"/>
                <w:szCs w:val="20"/>
                <w:color w:val="auto"/>
              </w:rPr>
            </w:pPr>
            <w:r>
              <w:rPr>
                <w:rFonts w:ascii="Arial" w:cs="Arial" w:eastAsia="Arial" w:hAnsi="Arial"/>
                <w:sz w:val="11"/>
                <w:szCs w:val="11"/>
                <w:color w:val="auto"/>
              </w:rPr>
              <w:t>Director</w:t>
            </w:r>
          </w:p>
        </w:tc>
        <w:tc>
          <w:tcPr>
            <w:tcW w:w="3740" w:type="dxa"/>
            <w:vAlign w:val="bottom"/>
          </w:tcPr>
          <w:p>
            <w:pPr>
              <w:ind w:left="20"/>
              <w:spacing w:after="0"/>
              <w:rPr>
                <w:sz w:val="20"/>
                <w:szCs w:val="20"/>
                <w:color w:val="auto"/>
              </w:rPr>
            </w:pPr>
            <w:r>
              <w:rPr>
                <w:rFonts w:ascii="Arial" w:cs="Arial" w:eastAsia="Arial" w:hAnsi="Arial"/>
                <w:sz w:val="11"/>
                <w:szCs w:val="11"/>
                <w:color w:val="auto"/>
              </w:rPr>
              <w:t>Owned Outcomes</w:t>
            </w:r>
          </w:p>
        </w:tc>
        <w:tc>
          <w:tcPr>
            <w:tcW w:w="0" w:type="dxa"/>
            <w:vAlign w:val="bottom"/>
          </w:tcPr>
          <w:p>
            <w:pPr>
              <w:spacing w:after="0"/>
              <w:rPr>
                <w:sz w:val="1"/>
                <w:szCs w:val="1"/>
                <w:color w:val="auto"/>
              </w:rPr>
            </w:pPr>
          </w:p>
        </w:tc>
      </w:tr>
      <w:tr>
        <w:trPr>
          <w:trHeight w:val="149"/>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Miriam A. Tawil</w:t>
            </w:r>
          </w:p>
        </w:tc>
        <w:tc>
          <w:tcPr>
            <w:tcW w:w="114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37</w:t>
            </w:r>
          </w:p>
        </w:tc>
        <w:tc>
          <w:tcPr>
            <w:tcW w:w="80" w:type="dxa"/>
            <w:vAlign w:val="bottom"/>
            <w:shd w:val="clear" w:color="auto" w:fill="CCEEFF"/>
          </w:tcPr>
          <w:p>
            <w:pPr>
              <w:spacing w:after="0"/>
              <w:rPr>
                <w:sz w:val="12"/>
                <w:szCs w:val="12"/>
                <w:color w:val="auto"/>
              </w:rPr>
            </w:pPr>
          </w:p>
        </w:tc>
        <w:tc>
          <w:tcPr>
            <w:tcW w:w="35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Director</w:t>
            </w:r>
          </w:p>
        </w:tc>
        <w:tc>
          <w:tcPr>
            <w:tcW w:w="37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Centerbridge</w:t>
            </w:r>
          </w:p>
        </w:tc>
        <w:tc>
          <w:tcPr>
            <w:tcW w:w="0" w:type="dxa"/>
            <w:vAlign w:val="bottom"/>
          </w:tcPr>
          <w:p>
            <w:pPr>
              <w:spacing w:after="0"/>
              <w:rPr>
                <w:sz w:val="1"/>
                <w:szCs w:val="1"/>
                <w:color w:val="auto"/>
              </w:rPr>
            </w:pPr>
          </w:p>
        </w:tc>
      </w:tr>
      <w:tr>
        <w:trPr>
          <w:trHeight w:val="151"/>
        </w:trPr>
        <w:tc>
          <w:tcPr>
            <w:tcW w:w="2760" w:type="dxa"/>
            <w:vAlign w:val="bottom"/>
            <w:gridSpan w:val="2"/>
          </w:tcPr>
          <w:p>
            <w:pPr>
              <w:ind w:left="20"/>
              <w:spacing w:after="0"/>
              <w:rPr>
                <w:sz w:val="20"/>
                <w:szCs w:val="20"/>
                <w:color w:val="auto"/>
              </w:rPr>
            </w:pPr>
            <w:r>
              <w:rPr>
                <w:rFonts w:ascii="Arial" w:cs="Arial" w:eastAsia="Arial" w:hAnsi="Arial"/>
                <w:sz w:val="11"/>
                <w:szCs w:val="11"/>
                <w:color w:val="auto"/>
              </w:rPr>
              <w:t>Alexander E. Timm</w:t>
            </w:r>
          </w:p>
        </w:tc>
        <w:tc>
          <w:tcPr>
            <w:tcW w:w="1140" w:type="dxa"/>
            <w:vAlign w:val="bottom"/>
          </w:tcPr>
          <w:p>
            <w:pPr>
              <w:jc w:val="center"/>
              <w:spacing w:after="0"/>
              <w:rPr>
                <w:sz w:val="20"/>
                <w:szCs w:val="20"/>
                <w:color w:val="auto"/>
              </w:rPr>
            </w:pPr>
            <w:r>
              <w:rPr>
                <w:rFonts w:ascii="Arial" w:cs="Arial" w:eastAsia="Arial" w:hAnsi="Arial"/>
                <w:sz w:val="11"/>
                <w:szCs w:val="11"/>
                <w:color w:val="auto"/>
              </w:rPr>
              <w:t>33</w:t>
            </w:r>
          </w:p>
        </w:tc>
        <w:tc>
          <w:tcPr>
            <w:tcW w:w="80" w:type="dxa"/>
            <w:vAlign w:val="bottom"/>
          </w:tcPr>
          <w:p>
            <w:pPr>
              <w:spacing w:after="0"/>
              <w:rPr>
                <w:sz w:val="13"/>
                <w:szCs w:val="13"/>
                <w:color w:val="auto"/>
              </w:rPr>
            </w:pPr>
          </w:p>
        </w:tc>
        <w:tc>
          <w:tcPr>
            <w:tcW w:w="3560" w:type="dxa"/>
            <w:vAlign w:val="bottom"/>
            <w:gridSpan w:val="2"/>
          </w:tcPr>
          <w:p>
            <w:pPr>
              <w:ind w:left="20"/>
              <w:spacing w:after="0"/>
              <w:rPr>
                <w:sz w:val="20"/>
                <w:szCs w:val="20"/>
                <w:color w:val="auto"/>
              </w:rPr>
            </w:pPr>
            <w:r>
              <w:rPr>
                <w:rFonts w:ascii="Arial" w:cs="Arial" w:eastAsia="Arial" w:hAnsi="Arial"/>
                <w:sz w:val="11"/>
                <w:szCs w:val="11"/>
                <w:color w:val="auto"/>
              </w:rPr>
              <w:t>Director</w:t>
            </w:r>
          </w:p>
        </w:tc>
        <w:tc>
          <w:tcPr>
            <w:tcW w:w="3740" w:type="dxa"/>
            <w:vAlign w:val="bottom"/>
          </w:tcPr>
          <w:p>
            <w:pPr>
              <w:ind w:left="20"/>
              <w:spacing w:after="0"/>
              <w:rPr>
                <w:sz w:val="20"/>
                <w:szCs w:val="20"/>
                <w:color w:val="auto"/>
              </w:rPr>
            </w:pPr>
            <w:r>
              <w:rPr>
                <w:rFonts w:ascii="Arial" w:cs="Arial" w:eastAsia="Arial" w:hAnsi="Arial"/>
                <w:sz w:val="11"/>
                <w:szCs w:val="11"/>
                <w:color w:val="auto"/>
              </w:rPr>
              <w:t>Root Insurance Company</w:t>
            </w: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Family Relationships</w:t>
      </w:r>
    </w:p>
    <w:p>
      <w:pPr>
        <w:spacing w:after="0" w:line="185" w:lineRule="exact"/>
        <w:rPr>
          <w:sz w:val="20"/>
          <w:szCs w:val="20"/>
          <w:color w:val="auto"/>
        </w:rPr>
      </w:pPr>
    </w:p>
    <w:p>
      <w:pPr>
        <w:ind w:right="120"/>
        <w:spacing w:after="0" w:line="244" w:lineRule="auto"/>
        <w:rPr>
          <w:sz w:val="20"/>
          <w:szCs w:val="20"/>
          <w:color w:val="auto"/>
        </w:rPr>
      </w:pPr>
      <w:r>
        <w:rPr>
          <w:rFonts w:ascii="Arial" w:cs="Arial" w:eastAsia="Arial" w:hAnsi="Arial"/>
          <w:sz w:val="13"/>
          <w:szCs w:val="13"/>
          <w:color w:val="auto"/>
        </w:rPr>
        <w:t>Brandon M. Cruz, our Co-Founder, Chief Strategy Officer and Special Advisor to the Executive Team and Director is the brother of Shane E. Cruz, our Chief Operating Officer. Otherwise, there are no family relationships among any of our executive officers or directors.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41</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1" w:right="319" w:bottom="1440" w:gutter="0" w:footer="0" w:header="0"/>
        </w:sectPr>
      </w:pPr>
    </w:p>
    <w:bookmarkStart w:id="44" w:name="page45"/>
    <w:bookmarkEnd w:id="44"/>
    <w:p>
      <w:pPr>
        <w:jc w:val="center"/>
        <w:spacing w:after="0"/>
        <w:rPr>
          <w:sz w:val="20"/>
          <w:szCs w:val="20"/>
          <w:color w:val="auto"/>
        </w:rPr>
      </w:pPr>
      <w:r>
        <w:rPr>
          <w:rFonts w:ascii="Arial" w:cs="Arial" w:eastAsia="Arial" w:hAnsi="Arial"/>
          <w:sz w:val="11"/>
          <w:szCs w:val="11"/>
          <w:b w:val="1"/>
          <w:bCs w:val="1"/>
          <w:color w:val="FFFFFF"/>
        </w:rPr>
        <w:drawing>
          <wp:anchor simplePos="0" relativeHeight="251657728" behindDoc="1" locked="0" layoutInCell="0" allowOverlap="1">
            <wp:simplePos x="0" y="0"/>
            <wp:positionH relativeFrom="page">
              <wp:posOffset>193675</wp:posOffset>
            </wp:positionH>
            <wp:positionV relativeFrom="page">
              <wp:posOffset>701675</wp:posOffset>
            </wp:positionV>
            <wp:extent cx="7161530" cy="946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94615"/>
                    </a:xfrm>
                    <a:prstGeom prst="rect">
                      <a:avLst/>
                    </a:prstGeom>
                    <a:noFill/>
                  </pic:spPr>
                </pic:pic>
              </a:graphicData>
            </a:graphic>
          </wp:anchor>
        </w:drawing>
        <w:t>Part II</w:t>
      </w:r>
    </w:p>
    <w:p>
      <w:pPr>
        <w:spacing w:after="0" w:line="251" w:lineRule="exact"/>
        <w:rPr>
          <w:sz w:val="20"/>
          <w:szCs w:val="20"/>
          <w:color w:val="auto"/>
        </w:rPr>
      </w:pPr>
    </w:p>
    <w:p>
      <w:pPr>
        <w:spacing w:after="0"/>
        <w:rPr>
          <w:sz w:val="20"/>
          <w:szCs w:val="20"/>
          <w:color w:val="auto"/>
        </w:rPr>
      </w:pPr>
      <w:r>
        <w:rPr>
          <w:rFonts w:ascii="Arial" w:cs="Arial" w:eastAsia="Arial" w:hAnsi="Arial"/>
          <w:sz w:val="13"/>
          <w:szCs w:val="13"/>
          <w:b w:val="1"/>
          <w:bCs w:val="1"/>
          <w:color w:val="0A2299"/>
        </w:rPr>
        <w:t>ITEM 5. MARKET FOR REGISTRANT’S COMMON EQUITY, RELATED STOCKHOLDER MATTERS AND ISSUER PURCHASES OF EQUITY SECURITIES</w:t>
      </w:r>
    </w:p>
    <w:p>
      <w:pPr>
        <w:spacing w:after="0" w:line="185" w:lineRule="exact"/>
        <w:rPr>
          <w:sz w:val="20"/>
          <w:szCs w:val="20"/>
          <w:color w:val="auto"/>
        </w:rPr>
      </w:pPr>
    </w:p>
    <w:p>
      <w:pPr>
        <w:ind w:right="320"/>
        <w:spacing w:after="0" w:line="244" w:lineRule="auto"/>
        <w:rPr>
          <w:sz w:val="20"/>
          <w:szCs w:val="20"/>
          <w:color w:val="auto"/>
        </w:rPr>
      </w:pPr>
      <w:r>
        <w:rPr>
          <w:rFonts w:ascii="Arial" w:cs="Arial" w:eastAsia="Arial" w:hAnsi="Arial"/>
          <w:sz w:val="13"/>
          <w:szCs w:val="13"/>
          <w:color w:val="auto"/>
        </w:rPr>
        <w:t>Our Class A common stock trades under the symbol “GOCO” on The Nasdaq Global Market and has been publicly traded since July 15, 2020. Prior to this time, there was no public market for our Class A common stock.</w:t>
      </w:r>
    </w:p>
    <w:p>
      <w:pPr>
        <w:spacing w:after="0" w:line="163" w:lineRule="exact"/>
        <w:rPr>
          <w:sz w:val="20"/>
          <w:szCs w:val="20"/>
          <w:color w:val="auto"/>
        </w:rPr>
      </w:pPr>
    </w:p>
    <w:p>
      <w:pPr>
        <w:ind w:right="40"/>
        <w:spacing w:after="0" w:line="241" w:lineRule="auto"/>
        <w:rPr>
          <w:sz w:val="20"/>
          <w:szCs w:val="20"/>
          <w:color w:val="auto"/>
        </w:rPr>
      </w:pPr>
      <w:r>
        <w:rPr>
          <w:rFonts w:ascii="Arial" w:cs="Arial" w:eastAsia="Arial" w:hAnsi="Arial"/>
          <w:sz w:val="13"/>
          <w:szCs w:val="13"/>
          <w:color w:val="auto"/>
        </w:rPr>
        <w:t>As of March 3, 2022, there were 2 and 12 Class A and Class B common stockholders of record, respectively. The number of record holders is based upon the actual number of holders registered on our books at such date and does not include holders of shares in “street names” or persons, partnerships, associations, corporations or other entities identified in security position listings maintained by depository trust companies.</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 Sales of Unregistered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Divided Policy</w:t>
      </w:r>
    </w:p>
    <w:p>
      <w:pPr>
        <w:spacing w:after="0" w:line="185" w:lineRule="exact"/>
        <w:rPr>
          <w:sz w:val="20"/>
          <w:szCs w:val="20"/>
          <w:color w:val="auto"/>
        </w:rPr>
      </w:pPr>
    </w:p>
    <w:p>
      <w:pPr>
        <w:ind w:right="60"/>
        <w:spacing w:after="0" w:line="241" w:lineRule="auto"/>
        <w:rPr>
          <w:sz w:val="20"/>
          <w:szCs w:val="20"/>
          <w:color w:val="auto"/>
        </w:rPr>
      </w:pPr>
      <w:r>
        <w:rPr>
          <w:rFonts w:ascii="Arial" w:cs="Arial" w:eastAsia="Arial" w:hAnsi="Arial"/>
          <w:sz w:val="13"/>
          <w:szCs w:val="13"/>
          <w:color w:val="auto"/>
        </w:rPr>
        <w:t>We currently intend to retain all available funds and any future earnings to fund the development and growth of our business and to repay indebtedness, and therefore we do not anticipate declaring or paying any cash dividends on our Class A common stock in the foreseeable future. Holders of our Class B common stock are not entitled to participate in any dividends declared by our board of directors.</w:t>
      </w:r>
    </w:p>
    <w:p>
      <w:pPr>
        <w:spacing w:after="0" w:line="165" w:lineRule="exact"/>
        <w:rPr>
          <w:sz w:val="20"/>
          <w:szCs w:val="20"/>
          <w:color w:val="auto"/>
        </w:rPr>
      </w:pPr>
    </w:p>
    <w:p>
      <w:pPr>
        <w:ind w:right="300"/>
        <w:spacing w:after="0" w:line="241" w:lineRule="auto"/>
        <w:rPr>
          <w:sz w:val="20"/>
          <w:szCs w:val="20"/>
          <w:color w:val="auto"/>
        </w:rPr>
      </w:pPr>
      <w:r>
        <w:rPr>
          <w:rFonts w:ascii="Arial" w:cs="Arial" w:eastAsia="Arial" w:hAnsi="Arial"/>
          <w:sz w:val="13"/>
          <w:szCs w:val="13"/>
          <w:color w:val="auto"/>
        </w:rPr>
        <w:t>Any future determination to declare and pay cash dividends on our Class A common stock, if any, will be made at the discretion of our Board of Directors and will depend on a variety of factors, including applicable laws, our financial condition, results of operations, contractual restrictions, capital requirements, business prospects, general business or financial market conditions, and other factors our Board of Directors may deem relevant.</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 of Equity Securities by the Issuer and Affiliated Purchaser</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42</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05" w:right="319" w:bottom="1440" w:gutter="0" w:footer="0" w:header="0"/>
        </w:sectPr>
      </w:pPr>
    </w:p>
    <w:bookmarkStart w:id="45" w:name="page46"/>
    <w:bookmarkEnd w:id="45"/>
    <w:p>
      <w:pPr>
        <w:spacing w:after="0"/>
        <w:rPr>
          <w:sz w:val="20"/>
          <w:szCs w:val="20"/>
          <w:color w:val="auto"/>
        </w:rPr>
      </w:pPr>
      <w:r>
        <w:rPr>
          <w:rFonts w:ascii="Arial" w:cs="Arial" w:eastAsia="Arial" w:hAnsi="Arial"/>
          <w:sz w:val="13"/>
          <w:szCs w:val="13"/>
          <w:b w:val="1"/>
          <w:bCs w:val="1"/>
          <w:color w:val="auto"/>
        </w:rPr>
        <w:t>Stock Performance Graph</w:t>
      </w:r>
    </w:p>
    <w:p>
      <w:pPr>
        <w:spacing w:after="0" w:line="185" w:lineRule="exact"/>
        <w:rPr>
          <w:sz w:val="20"/>
          <w:szCs w:val="20"/>
          <w:color w:val="auto"/>
        </w:rPr>
      </w:pPr>
    </w:p>
    <w:p>
      <w:pPr>
        <w:ind w:right="20"/>
        <w:spacing w:after="0" w:line="241" w:lineRule="auto"/>
        <w:rPr>
          <w:sz w:val="20"/>
          <w:szCs w:val="20"/>
          <w:color w:val="auto"/>
        </w:rPr>
      </w:pPr>
      <w:r>
        <w:rPr>
          <w:rFonts w:ascii="Arial" w:cs="Arial" w:eastAsia="Arial" w:hAnsi="Arial"/>
          <w:sz w:val="13"/>
          <w:szCs w:val="13"/>
          <w:color w:val="auto"/>
        </w:rPr>
        <w:t>The following information relating to the price performance of our common stock shall not be deemed “filed” with the Securities and Exchange Commission or “soliciting material” under the Securities Exchange Act of 1934, as amended, or subject to Regulation 14A or 14C, or to liabilities under Section 18 of the Exchange Act, except to the extent that we specifically request that such information be treated as soliciting material or to the extent that we specifically incorporate this information by reference.</w:t>
      </w:r>
    </w:p>
    <w:p>
      <w:pPr>
        <w:spacing w:after="0" w:line="165" w:lineRule="exact"/>
        <w:rPr>
          <w:sz w:val="20"/>
          <w:szCs w:val="20"/>
          <w:color w:val="auto"/>
        </w:rPr>
      </w:pPr>
    </w:p>
    <w:p>
      <w:pPr>
        <w:ind w:right="60"/>
        <w:spacing w:after="0"/>
        <w:rPr>
          <w:sz w:val="20"/>
          <w:szCs w:val="20"/>
          <w:color w:val="auto"/>
        </w:rPr>
      </w:pPr>
      <w:r>
        <w:rPr>
          <w:rFonts w:ascii="Arial" w:cs="Arial" w:eastAsia="Arial" w:hAnsi="Arial"/>
          <w:sz w:val="13"/>
          <w:szCs w:val="13"/>
          <w:color w:val="auto"/>
        </w:rPr>
        <w:t>The graph below compares the cumulative total return of our Class A common stock to the cumulative total return on the Nasdaq Composite Index and the S&amp;P 1500 Insurance Brokers Index for the period beginning on July 15, 2020 (the date our Class A common stock commenced trading on The Nasdaq Global Market) through December 31, 2021. The graph assumes that $100 was invested in our Class A common stock at the closing sales price on July 15, 2020, and in the Nasdaq Composite Index and the S&amp;P 1500 Insurance Brokers Index on July 15, 2020, and assumes reinvestment of any dividends. The stock price performance shown in the following graph is not intended to forecast or be indicative of possible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1518920</wp:posOffset>
            </wp:positionH>
            <wp:positionV relativeFrom="paragraph">
              <wp:posOffset>104140</wp:posOffset>
            </wp:positionV>
            <wp:extent cx="4130040" cy="31800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130040" cy="318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0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July 15, 2020</w:t>
            </w:r>
          </w:p>
        </w:tc>
        <w:tc>
          <w:tcPr>
            <w:tcW w:w="10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September 30, 2020</w:t>
            </w:r>
          </w:p>
        </w:tc>
        <w:tc>
          <w:tcPr>
            <w:tcW w:w="10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1"/>
                <w:szCs w:val="11"/>
                <w:b w:val="1"/>
                <w:bCs w:val="1"/>
                <w:color w:val="auto"/>
              </w:rPr>
              <w:t>December 31, 2020</w:t>
            </w: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March 31, 2021</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June 30, 2021</w:t>
            </w:r>
          </w:p>
        </w:tc>
        <w:tc>
          <w:tcPr>
            <w:tcW w:w="8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September 30, 2021</w:t>
            </w:r>
          </w:p>
        </w:tc>
        <w:tc>
          <w:tcPr>
            <w:tcW w:w="10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December 31, 2021</w:t>
            </w:r>
          </w:p>
        </w:tc>
        <w:tc>
          <w:tcPr>
            <w:tcW w:w="100" w:type="dxa"/>
            <w:vAlign w:val="bottom"/>
          </w:tcPr>
          <w:p>
            <w:pPr>
              <w:spacing w:after="0"/>
              <w:rPr>
                <w:sz w:val="12"/>
                <w:szCs w:val="12"/>
                <w:color w:val="auto"/>
              </w:rPr>
            </w:pPr>
          </w:p>
        </w:tc>
      </w:tr>
      <w:tr>
        <w:trPr>
          <w:trHeight w:val="139"/>
        </w:trPr>
        <w:tc>
          <w:tcPr>
            <w:tcW w:w="3000" w:type="dxa"/>
            <w:vAlign w:val="bottom"/>
            <w:shd w:val="clear" w:color="auto" w:fill="CCEEFF"/>
          </w:tcPr>
          <w:p>
            <w:pPr>
              <w:ind w:left="20"/>
              <w:spacing w:after="0"/>
              <w:rPr>
                <w:sz w:val="20"/>
                <w:szCs w:val="20"/>
                <w:color w:val="auto"/>
              </w:rPr>
            </w:pPr>
            <w:r>
              <w:rPr>
                <w:rFonts w:ascii="Arial" w:cs="Arial" w:eastAsia="Arial" w:hAnsi="Arial"/>
                <w:sz w:val="11"/>
                <w:szCs w:val="11"/>
                <w:color w:val="auto"/>
              </w:rPr>
              <w:t>GoHealth, Inc.</w:t>
            </w: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100.00</w:t>
            </w:r>
          </w:p>
        </w:tc>
        <w:tc>
          <w:tcPr>
            <w:tcW w:w="10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66.93</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68"/>
              <w:spacing w:after="0"/>
              <w:rPr>
                <w:sz w:val="20"/>
                <w:szCs w:val="20"/>
                <w:color w:val="auto"/>
              </w:rPr>
            </w:pPr>
            <w:r>
              <w:rPr>
                <w:rFonts w:ascii="Arial" w:cs="Arial" w:eastAsia="Arial" w:hAnsi="Arial"/>
                <w:sz w:val="10"/>
                <w:szCs w:val="10"/>
                <w:color w:val="auto"/>
                <w:w w:val="71"/>
              </w:rPr>
              <w:t>$</w:t>
            </w:r>
          </w:p>
        </w:tc>
        <w:tc>
          <w:tcPr>
            <w:tcW w:w="72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70.20</w:t>
            </w:r>
          </w:p>
        </w:tc>
        <w:tc>
          <w:tcPr>
            <w:tcW w:w="20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70.20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57.61</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25.85</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19.48</w:t>
            </w:r>
          </w:p>
        </w:tc>
        <w:tc>
          <w:tcPr>
            <w:tcW w:w="100" w:type="dxa"/>
            <w:vAlign w:val="bottom"/>
          </w:tcPr>
          <w:p>
            <w:pPr>
              <w:spacing w:after="0"/>
              <w:rPr>
                <w:sz w:val="12"/>
                <w:szCs w:val="12"/>
                <w:color w:val="auto"/>
              </w:rPr>
            </w:pPr>
          </w:p>
        </w:tc>
      </w:tr>
      <w:tr>
        <w:trPr>
          <w:trHeight w:val="149"/>
        </w:trPr>
        <w:tc>
          <w:tcPr>
            <w:tcW w:w="3000" w:type="dxa"/>
            <w:vAlign w:val="bottom"/>
          </w:tcPr>
          <w:p>
            <w:pPr>
              <w:ind w:left="20"/>
              <w:spacing w:after="0"/>
              <w:rPr>
                <w:sz w:val="20"/>
                <w:szCs w:val="20"/>
                <w:color w:val="auto"/>
              </w:rPr>
            </w:pPr>
            <w:r>
              <w:rPr>
                <w:rFonts w:ascii="Arial" w:cs="Arial" w:eastAsia="Arial" w:hAnsi="Arial"/>
                <w:sz w:val="11"/>
                <w:szCs w:val="11"/>
                <w:color w:val="auto"/>
              </w:rPr>
              <w:t>Nasdaq Composite Index</w:t>
            </w: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100.00</w:t>
            </w:r>
          </w:p>
        </w:tc>
        <w:tc>
          <w:tcPr>
            <w:tcW w:w="100" w:type="dxa"/>
            <w:vAlign w:val="bottom"/>
          </w:tcPr>
          <w:p>
            <w:pPr>
              <w:spacing w:after="0"/>
              <w:rPr>
                <w:sz w:val="12"/>
                <w:szCs w:val="12"/>
                <w:color w:val="auto"/>
              </w:rPr>
            </w:pPr>
          </w:p>
        </w:tc>
        <w:tc>
          <w:tcPr>
            <w:tcW w:w="700" w:type="dxa"/>
            <w:vAlign w:val="bottom"/>
          </w:tcPr>
          <w:p>
            <w:pPr>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w w:val="94"/>
              </w:rPr>
              <w:t>111.24</w:t>
            </w:r>
          </w:p>
        </w:tc>
        <w:tc>
          <w:tcPr>
            <w:tcW w:w="100" w:type="dxa"/>
            <w:vAlign w:val="bottom"/>
          </w:tcPr>
          <w:p>
            <w:pPr>
              <w:spacing w:after="0"/>
              <w:rPr>
                <w:sz w:val="12"/>
                <w:szCs w:val="12"/>
                <w:color w:val="auto"/>
              </w:rPr>
            </w:pPr>
          </w:p>
        </w:tc>
        <w:tc>
          <w:tcPr>
            <w:tcW w:w="380" w:type="dxa"/>
            <w:vAlign w:val="bottom"/>
          </w:tcPr>
          <w:p>
            <w:pPr>
              <w:jc w:val="right"/>
              <w:ind w:right="268"/>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128.62</w:t>
            </w:r>
          </w:p>
        </w:tc>
        <w:tc>
          <w:tcPr>
            <w:tcW w:w="200" w:type="dxa"/>
            <w:vAlign w:val="bottom"/>
            <w:gridSpan w:val="2"/>
          </w:tcPr>
          <w:p>
            <w:pPr>
              <w:jc w:val="center"/>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128.62</w:t>
            </w:r>
          </w:p>
        </w:tc>
        <w:tc>
          <w:tcPr>
            <w:tcW w:w="80" w:type="dxa"/>
            <w:vAlign w:val="bottom"/>
          </w:tcPr>
          <w:p>
            <w:pPr>
              <w:spacing w:after="0"/>
              <w:rPr>
                <w:sz w:val="12"/>
                <w:szCs w:val="12"/>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3"/>
              <w:spacing w:after="0"/>
              <w:rPr>
                <w:sz w:val="20"/>
                <w:szCs w:val="20"/>
                <w:color w:val="auto"/>
              </w:rPr>
            </w:pPr>
            <w:r>
              <w:rPr>
                <w:rFonts w:ascii="Arial" w:cs="Arial" w:eastAsia="Arial" w:hAnsi="Arial"/>
                <w:sz w:val="11"/>
                <w:szCs w:val="11"/>
                <w:color w:val="auto"/>
              </w:rPr>
              <w:t>145.23</w:t>
            </w:r>
          </w:p>
        </w:tc>
        <w:tc>
          <w:tcPr>
            <w:tcW w:w="80" w:type="dxa"/>
            <w:vAlign w:val="bottom"/>
          </w:tcPr>
          <w:p>
            <w:pPr>
              <w:spacing w:after="0"/>
              <w:rPr>
                <w:sz w:val="12"/>
                <w:szCs w:val="12"/>
                <w:color w:val="auto"/>
              </w:rPr>
            </w:pPr>
          </w:p>
        </w:tc>
        <w:tc>
          <w:tcPr>
            <w:tcW w:w="400" w:type="dxa"/>
            <w:vAlign w:val="bottom"/>
          </w:tcPr>
          <w:p>
            <w:pPr>
              <w:ind w:left="20"/>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144.90</w:t>
            </w:r>
          </w:p>
        </w:tc>
        <w:tc>
          <w:tcPr>
            <w:tcW w:w="100" w:type="dxa"/>
            <w:vAlign w:val="bottom"/>
          </w:tcPr>
          <w:p>
            <w:pPr>
              <w:spacing w:after="0"/>
              <w:rPr>
                <w:sz w:val="12"/>
                <w:szCs w:val="12"/>
                <w:color w:val="auto"/>
              </w:rPr>
            </w:pPr>
          </w:p>
        </w:tc>
        <w:tc>
          <w:tcPr>
            <w:tcW w:w="380" w:type="dxa"/>
            <w:vAlign w:val="bottom"/>
          </w:tcPr>
          <w:p>
            <w:pPr>
              <w:jc w:val="right"/>
              <w:ind w:right="243"/>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157.14</w:t>
            </w:r>
          </w:p>
        </w:tc>
        <w:tc>
          <w:tcPr>
            <w:tcW w:w="100" w:type="dxa"/>
            <w:vAlign w:val="bottom"/>
          </w:tcPr>
          <w:p>
            <w:pPr>
              <w:spacing w:after="0"/>
              <w:rPr>
                <w:sz w:val="12"/>
                <w:szCs w:val="12"/>
                <w:color w:val="auto"/>
              </w:rPr>
            </w:pPr>
          </w:p>
        </w:tc>
      </w:tr>
      <w:tr>
        <w:trPr>
          <w:trHeight w:val="149"/>
        </w:trPr>
        <w:tc>
          <w:tcPr>
            <w:tcW w:w="3000" w:type="dxa"/>
            <w:vAlign w:val="bottom"/>
            <w:shd w:val="clear" w:color="auto" w:fill="CCEEFF"/>
          </w:tcPr>
          <w:p>
            <w:pPr>
              <w:ind w:left="20"/>
              <w:spacing w:after="0"/>
              <w:rPr>
                <w:sz w:val="20"/>
                <w:szCs w:val="20"/>
                <w:color w:val="auto"/>
              </w:rPr>
            </w:pPr>
            <w:r>
              <w:rPr>
                <w:rFonts w:ascii="Arial" w:cs="Arial" w:eastAsia="Arial" w:hAnsi="Arial"/>
                <w:sz w:val="11"/>
                <w:szCs w:val="11"/>
                <w:color w:val="auto"/>
              </w:rPr>
              <w:t>S&amp;P 1500 Insurance Brokers Index</w:t>
            </w: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100.00</w:t>
            </w:r>
          </w:p>
        </w:tc>
        <w:tc>
          <w:tcPr>
            <w:tcW w:w="10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4"/>
              </w:rPr>
              <w:t>106.49</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68"/>
              <w:spacing w:after="0"/>
              <w:rPr>
                <w:sz w:val="20"/>
                <w:szCs w:val="20"/>
                <w:color w:val="auto"/>
              </w:rPr>
            </w:pPr>
            <w:r>
              <w:rPr>
                <w:rFonts w:ascii="Arial" w:cs="Arial" w:eastAsia="Arial" w:hAnsi="Arial"/>
                <w:sz w:val="10"/>
                <w:szCs w:val="10"/>
                <w:color w:val="auto"/>
                <w:w w:val="71"/>
              </w:rPr>
              <w:t>$</w:t>
            </w:r>
          </w:p>
        </w:tc>
        <w:tc>
          <w:tcPr>
            <w:tcW w:w="72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110.90</w:t>
            </w:r>
          </w:p>
        </w:tc>
        <w:tc>
          <w:tcPr>
            <w:tcW w:w="20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110.90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127.34</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138.57</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153.42</w:t>
            </w:r>
          </w:p>
        </w:tc>
        <w:tc>
          <w:tcPr>
            <w:tcW w:w="100" w:type="dxa"/>
            <w:vAlign w:val="bottom"/>
          </w:tcPr>
          <w:p>
            <w:pPr>
              <w:spacing w:after="0"/>
              <w:rPr>
                <w:sz w:val="12"/>
                <w:szCs w:val="12"/>
                <w:color w:val="auto"/>
              </w:rPr>
            </w:pPr>
          </w:p>
        </w:tc>
      </w:tr>
      <w:tr>
        <w:trPr>
          <w:trHeight w:val="388"/>
        </w:trPr>
        <w:tc>
          <w:tcPr>
            <w:tcW w:w="3000" w:type="dxa"/>
            <w:vAlign w:val="bottom"/>
          </w:tcPr>
          <w:p>
            <w:pPr>
              <w:spacing w:after="0"/>
              <w:rPr>
                <w:sz w:val="20"/>
                <w:szCs w:val="20"/>
                <w:color w:val="auto"/>
              </w:rPr>
            </w:pPr>
            <w:r>
              <w:rPr>
                <w:rFonts w:ascii="Arial" w:cs="Arial" w:eastAsia="Arial" w:hAnsi="Arial"/>
                <w:sz w:val="13"/>
                <w:szCs w:val="13"/>
                <w:b w:val="1"/>
                <w:bCs w:val="1"/>
                <w:color w:val="0A2299"/>
              </w:rPr>
              <w:t>ITEM 6. [RESERVED]</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7"/>
        </w:trPr>
        <w:tc>
          <w:tcPr>
            <w:tcW w:w="3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gridSpan w:val="3"/>
          </w:tcPr>
          <w:p>
            <w:pPr>
              <w:spacing w:after="0"/>
              <w:rPr>
                <w:sz w:val="24"/>
                <w:szCs w:val="24"/>
                <w:color w:val="auto"/>
              </w:rPr>
            </w:pPr>
          </w:p>
        </w:tc>
        <w:tc>
          <w:tcPr>
            <w:tcW w:w="1580" w:type="dxa"/>
            <w:vAlign w:val="bottom"/>
            <w:gridSpan w:val="4"/>
          </w:tcPr>
          <w:p>
            <w:pPr>
              <w:spacing w:after="0"/>
              <w:rPr>
                <w:sz w:val="24"/>
                <w:szCs w:val="24"/>
                <w:color w:val="auto"/>
              </w:rPr>
            </w:pPr>
          </w:p>
        </w:tc>
        <w:tc>
          <w:tcPr>
            <w:tcW w:w="200" w:type="dxa"/>
            <w:vAlign w:val="bottom"/>
            <w:gridSpan w:val="2"/>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3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tcBorders>
              <w:right w:val="single" w:sz="8" w:color="auto"/>
            </w:tcBorders>
            <w:gridSpan w:val="3"/>
          </w:tcPr>
          <w:p>
            <w:pPr>
              <w:ind w:left="62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gridSpan w:val="4"/>
          </w:tcPr>
          <w:p>
            <w:pPr>
              <w:jc w:val="right"/>
              <w:ind w:right="343"/>
              <w:spacing w:after="0"/>
              <w:rPr>
                <w:sz w:val="20"/>
                <w:szCs w:val="20"/>
                <w:color w:val="auto"/>
              </w:rPr>
            </w:pPr>
            <w:r>
              <w:rPr>
                <w:rFonts w:ascii="Arial" w:cs="Arial" w:eastAsia="Arial" w:hAnsi="Arial"/>
                <w:sz w:val="11"/>
                <w:szCs w:val="11"/>
                <w:color w:val="auto"/>
              </w:rPr>
              <w:t>2021 Form 10-K</w:t>
            </w:r>
          </w:p>
        </w:tc>
        <w:tc>
          <w:tcPr>
            <w:tcW w:w="200" w:type="dxa"/>
            <w:vAlign w:val="bottom"/>
            <w:gridSpan w:val="2"/>
          </w:tcPr>
          <w:p>
            <w:pPr>
              <w:jc w:val="center"/>
              <w:spacing w:after="0"/>
              <w:rPr>
                <w:sz w:val="20"/>
                <w:szCs w:val="20"/>
                <w:color w:val="auto"/>
              </w:rPr>
            </w:pPr>
            <w:r>
              <w:rPr>
                <w:rFonts w:ascii="Arial" w:cs="Arial" w:eastAsia="Arial" w:hAnsi="Arial"/>
                <w:sz w:val="11"/>
                <w:szCs w:val="11"/>
                <w:color w:val="auto"/>
                <w:w w:val="97"/>
              </w:rPr>
              <w:t>43</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0"/>
        </w:trPr>
        <w:tc>
          <w:tcPr>
            <w:tcW w:w="30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69" w:right="319" w:bottom="1440" w:gutter="0" w:footer="0" w:header="0"/>
        </w:sectPr>
      </w:pPr>
    </w:p>
    <w:bookmarkStart w:id="46" w:name="page47"/>
    <w:bookmarkEnd w:id="46"/>
    <w:p>
      <w:pPr>
        <w:spacing w:after="0"/>
        <w:rPr>
          <w:sz w:val="20"/>
          <w:szCs w:val="20"/>
          <w:color w:val="auto"/>
        </w:rPr>
      </w:pPr>
      <w:r>
        <w:rPr>
          <w:rFonts w:ascii="Arial" w:cs="Arial" w:eastAsia="Arial" w:hAnsi="Arial"/>
          <w:sz w:val="13"/>
          <w:szCs w:val="13"/>
          <w:b w:val="1"/>
          <w:bCs w:val="1"/>
          <w:color w:val="0A2299"/>
        </w:rPr>
        <w:t>ITEM 7. MANAGEMENT’S DISCUSSION AND ANALYSIS OF FINANCIAL CONDITIONS AND RESULTS OF OPERATIONS</w:t>
      </w:r>
    </w:p>
    <w:p>
      <w:pPr>
        <w:spacing w:after="0" w:line="173" w:lineRule="exact"/>
        <w:rPr>
          <w:sz w:val="20"/>
          <w:szCs w:val="20"/>
          <w:color w:val="auto"/>
        </w:rPr>
      </w:pPr>
    </w:p>
    <w:p>
      <w:pPr>
        <w:ind w:right="20"/>
        <w:spacing w:after="0" w:line="243" w:lineRule="auto"/>
        <w:rPr>
          <w:sz w:val="20"/>
          <w:szCs w:val="20"/>
          <w:color w:val="auto"/>
        </w:rPr>
      </w:pPr>
      <w:r>
        <w:rPr>
          <w:rFonts w:ascii="Arial" w:cs="Arial" w:eastAsia="Arial" w:hAnsi="Arial"/>
          <w:sz w:val="13"/>
          <w:szCs w:val="13"/>
          <w:i w:val="1"/>
          <w:iCs w:val="1"/>
          <w:color w:val="auto"/>
        </w:rPr>
        <w:t>This section presents management’s perspective on our financial condition and results of operations. The following discussion and analysis is intended to highlight and supplement data and information presented elsewhere in this Annual Report on Form 10-K, including the Consolidated Financial Statements and related Notes, and should be read in conjunction with the accompanying tables. To the extent that this discussion describes prior performance, the descriptions relate only to the periods listed, which may not be indicative of our future financial outcomes. In addition to historical information, this discussion contains forward-looking statements that involve risks, uncertainties and assumptions that could cause results to differ materially from management’s expectations. Factors that could cause such differences are discussed in the sections titled “Cautionary Note Regarding Forward-Looking Statements,” “Summary Risk Factors” and “Risk Factors” in this Annual Report on Form 10-K. We assume no obligation to update any of these forward-looking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In certain cases, numbers and percentages in the tables below may not foot due to rounding.</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Overview</w:t>
      </w:r>
    </w:p>
    <w:p>
      <w:pPr>
        <w:spacing w:after="0" w:line="185" w:lineRule="exact"/>
        <w:rPr>
          <w:sz w:val="20"/>
          <w:szCs w:val="20"/>
          <w:color w:val="auto"/>
        </w:rPr>
      </w:pPr>
    </w:p>
    <w:p>
      <w:pPr>
        <w:ind w:right="60"/>
        <w:spacing w:after="0" w:line="239" w:lineRule="auto"/>
        <w:rPr>
          <w:sz w:val="20"/>
          <w:szCs w:val="20"/>
          <w:color w:val="auto"/>
        </w:rPr>
      </w:pPr>
      <w:r>
        <w:rPr>
          <w:rFonts w:ascii="Arial" w:cs="Arial" w:eastAsia="Arial" w:hAnsi="Arial"/>
          <w:sz w:val="13"/>
          <w:szCs w:val="13"/>
          <w:color w:val="auto"/>
        </w:rPr>
        <w:t>We are a leading health insurance marketplace and Medicare-focused digital health company whose mission is to improve access to healthcare in America. Our proprietary technology platform leverages modern machine-learning algorithms powered by nearly two decades of insurance behavioral data to reimagine the optimal process for helping individuals find the best health insurance plan for their specific needs. Our differentiated combination of a vertically-integrated consumer acquisition platform and highly skilled and trained agents has enabled us to enroll millions of people in Medicare and individual and family plans since our inception. With a current commissionable market of nearly $30 billion, and nearly 11,000 Americans turning 65 years old every day and our track record of significant growth in net revenues in the Medicare space in the past five years, we believe we will continue to be one of the top choices for insurance advice to help navigate one of the most important purchasing decisions individuals make.</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Business Segments</w:t>
      </w:r>
    </w:p>
    <w:p>
      <w:pPr>
        <w:spacing w:after="0" w:line="185" w:lineRule="exact"/>
        <w:rPr>
          <w:sz w:val="20"/>
          <w:szCs w:val="20"/>
          <w:color w:val="auto"/>
        </w:rPr>
      </w:pPr>
    </w:p>
    <w:p>
      <w:pPr>
        <w:ind w:right="40"/>
        <w:spacing w:after="0" w:line="239" w:lineRule="auto"/>
        <w:rPr>
          <w:sz w:val="20"/>
          <w:szCs w:val="20"/>
          <w:color w:val="auto"/>
        </w:rPr>
      </w:pPr>
      <w:r>
        <w:rPr>
          <w:rFonts w:ascii="Arial" w:cs="Arial" w:eastAsia="Arial" w:hAnsi="Arial"/>
          <w:sz w:val="13"/>
          <w:szCs w:val="13"/>
          <w:color w:val="auto"/>
        </w:rPr>
        <w:t>We have four reportable segments: (i) Medicare—Internal, (ii) Medicare—External, (iii) Individual and Family Plans, or IFP and Other—Internal and (iv) IFP and Other—External. We organize the segments by product type, Medicare and IFP and Other, as well as by distribution channel, internal and external, as further described below. In addition, we separately report other expenses (classified as “Corporate expenses” in our financial statements), the primary components of which are corporate overhead expenses and shared service expenses that have not been allocated to the operating segments. The segment results provided herein may not be comparable to other companies. We refer to the Medicare—Internal and Medicare—External segments collectively as the “Medicare segments” and the IFP and Other—Internal and IFP and Other—External segments as the “IFP and Other segments.”</w:t>
      </w:r>
    </w:p>
    <w:p>
      <w:pPr>
        <w:spacing w:after="0" w:line="152" w:lineRule="exact"/>
        <w:rPr>
          <w:sz w:val="20"/>
          <w:szCs w:val="20"/>
          <w:color w:val="auto"/>
        </w:rPr>
      </w:pPr>
    </w:p>
    <w:p>
      <w:pPr>
        <w:ind w:left="520" w:hanging="260"/>
        <w:spacing w:after="0" w:line="246" w:lineRule="auto"/>
        <w:tabs>
          <w:tab w:leader="none" w:pos="511" w:val="left"/>
        </w:tabs>
        <w:numPr>
          <w:ilvl w:val="0"/>
          <w:numId w:val="28"/>
        </w:numPr>
        <w:rPr>
          <w:rFonts w:ascii="Arial" w:cs="Arial" w:eastAsia="Arial" w:hAnsi="Arial"/>
          <w:sz w:val="13"/>
          <w:szCs w:val="13"/>
          <w:color w:val="auto"/>
        </w:rPr>
      </w:pPr>
      <w:r>
        <w:rPr>
          <w:rFonts w:ascii="Arial" w:cs="Arial" w:eastAsia="Arial" w:hAnsi="Arial"/>
          <w:sz w:val="13"/>
          <w:szCs w:val="13"/>
          <w:b w:val="1"/>
          <w:bCs w:val="1"/>
          <w:color w:val="auto"/>
        </w:rPr>
        <w:t xml:space="preserve">Medicare—Internal: </w:t>
      </w:r>
      <w:r>
        <w:rPr>
          <w:rFonts w:ascii="Arial" w:cs="Arial" w:eastAsia="Arial" w:hAnsi="Arial"/>
          <w:sz w:val="13"/>
          <w:szCs w:val="13"/>
          <w:color w:val="auto"/>
        </w:rPr>
        <w:t>The Medicare—Internal segment relates to sales of products and plans by GoHealth-employed agents offering qualified prospects plans from multiple carriers, GoHealth-employed agents offering qualified prospects plans on a carrier-specific basis, or sales of products and plans through our online platform without the assistance of our agents, which we refer to as DIY. In this segment, we sell Medicare Advantage, Medicare Supplement, Medicare prescription drug plans, and Medicare Special Needs Plans, or SNPs. We earn revenue in this segment through commissions paid by carriers based on sales we generated, as well as enrollment fees, hourly fees and other fees for services performed for specific carriers and other partners. The Medicare—Internal segment is our largest and fastest growing segment, and represented 94% of segment profits in 2021.</w:t>
      </w:r>
    </w:p>
    <w:p>
      <w:pPr>
        <w:spacing w:after="0" w:line="146" w:lineRule="exact"/>
        <w:rPr>
          <w:rFonts w:ascii="Arial" w:cs="Arial" w:eastAsia="Arial" w:hAnsi="Arial"/>
          <w:sz w:val="13"/>
          <w:szCs w:val="13"/>
          <w:color w:val="auto"/>
        </w:rPr>
      </w:pPr>
    </w:p>
    <w:p>
      <w:pPr>
        <w:ind w:left="520" w:right="60" w:hanging="260"/>
        <w:spacing w:after="0" w:line="249" w:lineRule="auto"/>
        <w:tabs>
          <w:tab w:leader="none" w:pos="511" w:val="left"/>
        </w:tabs>
        <w:numPr>
          <w:ilvl w:val="0"/>
          <w:numId w:val="28"/>
        </w:numPr>
        <w:rPr>
          <w:rFonts w:ascii="Arial" w:cs="Arial" w:eastAsia="Arial" w:hAnsi="Arial"/>
          <w:sz w:val="13"/>
          <w:szCs w:val="13"/>
          <w:color w:val="auto"/>
        </w:rPr>
      </w:pPr>
      <w:r>
        <w:rPr>
          <w:rFonts w:ascii="Arial" w:cs="Arial" w:eastAsia="Arial" w:hAnsi="Arial"/>
          <w:sz w:val="13"/>
          <w:szCs w:val="13"/>
          <w:b w:val="1"/>
          <w:bCs w:val="1"/>
          <w:color w:val="auto"/>
        </w:rPr>
        <w:t xml:space="preserve">Medicare—External: </w:t>
      </w:r>
      <w:r>
        <w:rPr>
          <w:rFonts w:ascii="Arial" w:cs="Arial" w:eastAsia="Arial" w:hAnsi="Arial"/>
          <w:sz w:val="13"/>
          <w:szCs w:val="13"/>
          <w:color w:val="auto"/>
        </w:rPr>
        <w:t>The Medicare—External segment relates to sales of products and plans under GoHealth’s carrier contracts using an independent, national network of agents or external</w:t>
      </w:r>
      <w:r>
        <w:rPr>
          <w:rFonts w:ascii="Arial" w:cs="Arial" w:eastAsia="Arial" w:hAnsi="Arial"/>
          <w:sz w:val="13"/>
          <w:szCs w:val="13"/>
          <w:b w:val="1"/>
          <w:bCs w:val="1"/>
          <w:color w:val="auto"/>
        </w:rPr>
        <w:t xml:space="preserve"> </w:t>
      </w:r>
      <w:r>
        <w:rPr>
          <w:rFonts w:ascii="Arial" w:cs="Arial" w:eastAsia="Arial" w:hAnsi="Arial"/>
          <w:sz w:val="13"/>
          <w:szCs w:val="13"/>
          <w:color w:val="auto"/>
        </w:rPr>
        <w:t>agencies, which are not employed by GoHealth. These agents utilize our technology and platform to enroll consumers in health insurance plans and provide us with a means to earn a return on leads that otherwise may have not been addressed. In this segment, we sell Medicare Advantage, Medicare Supplement, Medicare prescription drug plans, and SNPs. We earn revenue in this segment through commissions paid by carriers as a result of policy sales, as well as sales of consumer leads to external agencies.</w:t>
      </w:r>
    </w:p>
    <w:p>
      <w:pPr>
        <w:spacing w:after="0" w:line="143" w:lineRule="exact"/>
        <w:rPr>
          <w:rFonts w:ascii="Arial" w:cs="Arial" w:eastAsia="Arial" w:hAnsi="Arial"/>
          <w:sz w:val="13"/>
          <w:szCs w:val="13"/>
          <w:color w:val="auto"/>
        </w:rPr>
      </w:pPr>
    </w:p>
    <w:p>
      <w:pPr>
        <w:ind w:left="520" w:right="100" w:hanging="260"/>
        <w:spacing w:after="0" w:line="249" w:lineRule="auto"/>
        <w:tabs>
          <w:tab w:leader="none" w:pos="511" w:val="left"/>
        </w:tabs>
        <w:numPr>
          <w:ilvl w:val="0"/>
          <w:numId w:val="28"/>
        </w:numPr>
        <w:rPr>
          <w:rFonts w:ascii="Arial" w:cs="Arial" w:eastAsia="Arial" w:hAnsi="Arial"/>
          <w:sz w:val="13"/>
          <w:szCs w:val="13"/>
          <w:color w:val="auto"/>
        </w:rPr>
      </w:pPr>
      <w:r>
        <w:rPr>
          <w:rFonts w:ascii="Arial" w:cs="Arial" w:eastAsia="Arial" w:hAnsi="Arial"/>
          <w:sz w:val="13"/>
          <w:szCs w:val="13"/>
          <w:b w:val="1"/>
          <w:bCs w:val="1"/>
          <w:color w:val="auto"/>
        </w:rPr>
        <w:t xml:space="preserve">IFP and Other—Internal: </w:t>
      </w:r>
      <w:r>
        <w:rPr>
          <w:rFonts w:ascii="Arial" w:cs="Arial" w:eastAsia="Arial" w:hAnsi="Arial"/>
          <w:sz w:val="13"/>
          <w:szCs w:val="13"/>
          <w:color w:val="auto"/>
        </w:rPr>
        <w:t>The IFP and Other—Internal segment relates to sales of products and plans by GoHealth-employed agents offering qualified prospects plans from multiple carriers,</w:t>
      </w:r>
      <w:r>
        <w:rPr>
          <w:rFonts w:ascii="Arial" w:cs="Arial" w:eastAsia="Arial" w:hAnsi="Arial"/>
          <w:sz w:val="13"/>
          <w:szCs w:val="13"/>
          <w:b w:val="1"/>
          <w:bCs w:val="1"/>
          <w:color w:val="auto"/>
        </w:rPr>
        <w:t xml:space="preserve"> </w:t>
      </w:r>
      <w:r>
        <w:rPr>
          <w:rFonts w:ascii="Arial" w:cs="Arial" w:eastAsia="Arial" w:hAnsi="Arial"/>
          <w:sz w:val="13"/>
          <w:szCs w:val="13"/>
          <w:color w:val="auto"/>
        </w:rPr>
        <w:t>GoHealth-employed agents offering qualified prospects plans on a carrier-specific basis, or DIY. In this segment, we sell individual and family plans, dental plans, vision plans and other ancillary plans to individuals who are not Medicare-eligible. We earn revenue in this segment through commissions paid by carriers based on sales we generate, as well as enrollment fees, and hourly fees and other fees for services performed for specific carriers and other partners.</w:t>
      </w:r>
    </w:p>
    <w:p>
      <w:pPr>
        <w:spacing w:after="0" w:line="143" w:lineRule="exact"/>
        <w:rPr>
          <w:rFonts w:ascii="Arial" w:cs="Arial" w:eastAsia="Arial" w:hAnsi="Arial"/>
          <w:sz w:val="13"/>
          <w:szCs w:val="13"/>
          <w:color w:val="auto"/>
        </w:rPr>
      </w:pPr>
    </w:p>
    <w:p>
      <w:pPr>
        <w:ind w:left="520" w:right="140" w:hanging="260"/>
        <w:spacing w:after="0" w:line="270" w:lineRule="auto"/>
        <w:tabs>
          <w:tab w:leader="none" w:pos="511" w:val="left"/>
        </w:tabs>
        <w:numPr>
          <w:ilvl w:val="0"/>
          <w:numId w:val="28"/>
        </w:numPr>
        <w:rPr>
          <w:rFonts w:ascii="Arial" w:cs="Arial" w:eastAsia="Arial" w:hAnsi="Arial"/>
          <w:sz w:val="13"/>
          <w:szCs w:val="13"/>
          <w:color w:val="auto"/>
        </w:rPr>
      </w:pPr>
      <w:r>
        <w:rPr>
          <w:rFonts w:ascii="Arial" w:cs="Arial" w:eastAsia="Arial" w:hAnsi="Arial"/>
          <w:sz w:val="13"/>
          <w:szCs w:val="13"/>
          <w:b w:val="1"/>
          <w:bCs w:val="1"/>
          <w:color w:val="auto"/>
        </w:rPr>
        <w:t xml:space="preserve">IFP and Other—External: </w:t>
      </w:r>
      <w:r>
        <w:rPr>
          <w:rFonts w:ascii="Arial" w:cs="Arial" w:eastAsia="Arial" w:hAnsi="Arial"/>
          <w:sz w:val="13"/>
          <w:szCs w:val="13"/>
          <w:color w:val="auto"/>
        </w:rPr>
        <w:t>The IFP and Other—External segment relates to sales of products and plans under GoHealth’s carrier contracts using external agencies, who use agents that are</w:t>
      </w:r>
      <w:r>
        <w:rPr>
          <w:rFonts w:ascii="Arial" w:cs="Arial" w:eastAsia="Arial" w:hAnsi="Arial"/>
          <w:sz w:val="13"/>
          <w:szCs w:val="13"/>
          <w:b w:val="1"/>
          <w:bCs w:val="1"/>
          <w:color w:val="auto"/>
        </w:rPr>
        <w:t xml:space="preserve"> </w:t>
      </w:r>
      <w:r>
        <w:rPr>
          <w:rFonts w:ascii="Arial" w:cs="Arial" w:eastAsia="Arial" w:hAnsi="Arial"/>
          <w:sz w:val="13"/>
          <w:szCs w:val="13"/>
          <w:color w:val="auto"/>
        </w:rPr>
        <w:t>not employed by GoHealth. These agents utilize our technology and platform to enroll consumers in health insurance plans. We also sell consumer leads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44</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69" w:right="319" w:bottom="1440" w:gutter="0" w:footer="0" w:header="0"/>
        </w:sectPr>
      </w:pPr>
    </w:p>
    <w:bookmarkStart w:id="47" w:name="page48"/>
    <w:bookmarkEnd w:id="47"/>
    <w:p>
      <w:pPr>
        <w:ind w:left="520" w:right="120"/>
        <w:spacing w:after="0" w:line="244" w:lineRule="auto"/>
        <w:rPr>
          <w:sz w:val="20"/>
          <w:szCs w:val="20"/>
          <w:color w:val="auto"/>
        </w:rPr>
      </w:pPr>
      <w:r>
        <w:rPr>
          <w:rFonts w:ascii="Arial" w:cs="Arial" w:eastAsia="Arial" w:hAnsi="Arial"/>
          <w:sz w:val="13"/>
          <w:szCs w:val="13"/>
          <w:color w:val="auto"/>
        </w:rPr>
        <w:t>generated by us to external agencies. In this segment, we sell individual and family plans, dental plans, vision plans and other ancillary plans to individuals who are not Medicare-eligible. We earn revenue in this segment through commissions paid by carriers as a result of policy sales, as well as sales of consumer leads to external agencies.</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the percentages of revenues and profit (loss) generated by each of our operating segments for the periods presented: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60" w:type="dxa"/>
            <w:vAlign w:val="bottom"/>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rPr>
              <w:t>Successor</w:t>
            </w:r>
          </w:p>
        </w:tc>
        <w:tc>
          <w:tcPr>
            <w:tcW w:w="1260" w:type="dxa"/>
            <w:vAlign w:val="bottom"/>
            <w:tcBorders>
              <w:bottom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Predecessor</w:t>
            </w:r>
          </w:p>
        </w:tc>
        <w:tc>
          <w:tcPr>
            <w:tcW w:w="0" w:type="dxa"/>
            <w:vAlign w:val="bottom"/>
          </w:tcPr>
          <w:p>
            <w:pPr>
              <w:spacing w:after="0"/>
              <w:rPr>
                <w:sz w:val="1"/>
                <w:szCs w:val="1"/>
                <w:color w:val="auto"/>
              </w:rPr>
            </w:pPr>
          </w:p>
        </w:tc>
      </w:tr>
      <w:tr>
        <w:trPr>
          <w:trHeight w:val="107"/>
        </w:trPr>
        <w:tc>
          <w:tcPr>
            <w:tcW w:w="5960" w:type="dxa"/>
            <w:vAlign w:val="bottom"/>
          </w:tcPr>
          <w:p>
            <w:pPr>
              <w:spacing w:after="0"/>
              <w:rPr>
                <w:sz w:val="9"/>
                <w:szCs w:val="9"/>
                <w:color w:val="auto"/>
              </w:rPr>
            </w:pPr>
          </w:p>
        </w:tc>
        <w:tc>
          <w:tcPr>
            <w:tcW w:w="136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rPr>
              <w:t>Twelve months ended</w:t>
            </w:r>
          </w:p>
        </w:tc>
        <w:tc>
          <w:tcPr>
            <w:tcW w:w="134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rPr>
              <w:t>Twelve months ended</w:t>
            </w:r>
          </w:p>
        </w:tc>
        <w:tc>
          <w:tcPr>
            <w:tcW w:w="1360" w:type="dxa"/>
            <w:vAlign w:val="bottom"/>
            <w:tcBorders>
              <w:right w:val="single" w:sz="8" w:color="auto"/>
            </w:tcBorders>
            <w:gridSpan w:val="2"/>
          </w:tcPr>
          <w:p>
            <w:pPr>
              <w:jc w:val="center"/>
              <w:ind w:right="100"/>
              <w:spacing w:after="0" w:line="107" w:lineRule="exact"/>
              <w:rPr>
                <w:sz w:val="20"/>
                <w:szCs w:val="20"/>
                <w:color w:val="auto"/>
              </w:rPr>
            </w:pPr>
            <w:r>
              <w:rPr>
                <w:rFonts w:ascii="Arial" w:cs="Arial" w:eastAsia="Arial" w:hAnsi="Arial"/>
                <w:sz w:val="11"/>
                <w:szCs w:val="11"/>
                <w:b w:val="1"/>
                <w:bCs w:val="1"/>
                <w:color w:val="auto"/>
              </w:rPr>
              <w:t>Period from Sep. 13,</w:t>
            </w:r>
          </w:p>
        </w:tc>
        <w:tc>
          <w:tcPr>
            <w:tcW w:w="126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Period from Jan. 1,</w:t>
            </w:r>
          </w:p>
        </w:tc>
        <w:tc>
          <w:tcPr>
            <w:tcW w:w="0" w:type="dxa"/>
            <w:vAlign w:val="bottom"/>
          </w:tcPr>
          <w:p>
            <w:pPr>
              <w:spacing w:after="0"/>
              <w:rPr>
                <w:sz w:val="1"/>
                <w:szCs w:val="1"/>
                <w:color w:val="auto"/>
              </w:rPr>
            </w:pPr>
          </w:p>
        </w:tc>
      </w:tr>
      <w:tr>
        <w:trPr>
          <w:trHeight w:val="106"/>
        </w:trPr>
        <w:tc>
          <w:tcPr>
            <w:tcW w:w="596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360" w:type="dxa"/>
            <w:vAlign w:val="bottom"/>
            <w:tcBorders>
              <w:right w:val="single" w:sz="8" w:color="auto"/>
            </w:tcBorders>
            <w:gridSpan w:val="2"/>
          </w:tcPr>
          <w:p>
            <w:pPr>
              <w:jc w:val="center"/>
              <w:ind w:right="100"/>
              <w:spacing w:after="0" w:line="106" w:lineRule="exact"/>
              <w:rPr>
                <w:sz w:val="20"/>
                <w:szCs w:val="20"/>
                <w:color w:val="auto"/>
              </w:rPr>
            </w:pPr>
            <w:r>
              <w:rPr>
                <w:rFonts w:ascii="Arial" w:cs="Arial" w:eastAsia="Arial" w:hAnsi="Arial"/>
                <w:sz w:val="11"/>
                <w:szCs w:val="11"/>
                <w:b w:val="1"/>
                <w:bCs w:val="1"/>
                <w:color w:val="auto"/>
              </w:rPr>
              <w:t>2019 through Dec. 31,</w:t>
            </w:r>
          </w:p>
        </w:tc>
        <w:tc>
          <w:tcPr>
            <w:tcW w:w="126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rPr>
              <w:t>2019 through Sep. 12,</w:t>
            </w:r>
          </w:p>
        </w:tc>
        <w:tc>
          <w:tcPr>
            <w:tcW w:w="0" w:type="dxa"/>
            <w:vAlign w:val="bottom"/>
          </w:tcPr>
          <w:p>
            <w:pPr>
              <w:spacing w:after="0"/>
              <w:rPr>
                <w:sz w:val="1"/>
                <w:szCs w:val="1"/>
                <w:color w:val="auto"/>
              </w:rPr>
            </w:pPr>
          </w:p>
        </w:tc>
      </w:tr>
      <w:tr>
        <w:trPr>
          <w:trHeight w:val="138"/>
        </w:trPr>
        <w:tc>
          <w:tcPr>
            <w:tcW w:w="5960" w:type="dxa"/>
            <w:vAlign w:val="bottom"/>
          </w:tcPr>
          <w:p>
            <w:pPr>
              <w:spacing w:after="0"/>
              <w:rPr>
                <w:sz w:val="11"/>
                <w:szCs w:val="11"/>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Dec. 31, 2021</w:t>
            </w:r>
          </w:p>
        </w:tc>
        <w:tc>
          <w:tcPr>
            <w:tcW w:w="13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Dec. 31, 2020</w:t>
            </w:r>
          </w:p>
        </w:tc>
        <w:tc>
          <w:tcPr>
            <w:tcW w:w="1260" w:type="dxa"/>
            <w:vAlign w:val="bottom"/>
          </w:tcPr>
          <w:p>
            <w:pPr>
              <w:jc w:val="center"/>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right w:val="single" w:sz="8" w:color="auto"/>
            </w:tcBorders>
          </w:tcPr>
          <w:p>
            <w:pPr>
              <w:spacing w:after="0"/>
              <w:rPr>
                <w:sz w:val="11"/>
                <w:szCs w:val="11"/>
                <w:color w:val="auto"/>
              </w:rPr>
            </w:pPr>
          </w:p>
        </w:tc>
        <w:tc>
          <w:tcPr>
            <w:tcW w:w="1260" w:type="dxa"/>
            <w:vAlign w:val="bottom"/>
          </w:tcPr>
          <w:p>
            <w:pPr>
              <w:jc w:val="center"/>
              <w:spacing w:after="0"/>
              <w:rPr>
                <w:sz w:val="20"/>
                <w:szCs w:val="20"/>
                <w:color w:val="auto"/>
              </w:rPr>
            </w:pPr>
            <w:r>
              <w:rPr>
                <w:rFonts w:ascii="Arial" w:cs="Arial" w:eastAsia="Arial" w:hAnsi="Arial"/>
                <w:sz w:val="11"/>
                <w:szCs w:val="11"/>
                <w:b w:val="1"/>
                <w:bCs w:val="1"/>
                <w:color w:val="auto"/>
              </w:rPr>
              <w:t>2019</w:t>
            </w:r>
          </w:p>
        </w:tc>
        <w:tc>
          <w:tcPr>
            <w:tcW w:w="0" w:type="dxa"/>
            <w:vAlign w:val="bottom"/>
          </w:tcPr>
          <w:p>
            <w:pPr>
              <w:spacing w:after="0"/>
              <w:rPr>
                <w:sz w:val="1"/>
                <w:szCs w:val="1"/>
                <w:color w:val="auto"/>
              </w:rPr>
            </w:pPr>
          </w:p>
        </w:tc>
      </w:tr>
      <w:tr>
        <w:trPr>
          <w:trHeight w:val="129"/>
        </w:trPr>
        <w:tc>
          <w:tcPr>
            <w:tcW w:w="5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i w:val="1"/>
                <w:iCs w:val="1"/>
                <w:color w:val="auto"/>
              </w:rPr>
              <w:t>Percent of net revenues:</w:t>
            </w:r>
          </w:p>
        </w:tc>
        <w:tc>
          <w:tcPr>
            <w:tcW w:w="12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right w:val="single" w:sz="8" w:color="auto"/>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960" w:type="dxa"/>
            <w:vAlign w:val="bottom"/>
          </w:tcPr>
          <w:p>
            <w:pPr>
              <w:ind w:left="180"/>
              <w:spacing w:after="0"/>
              <w:rPr>
                <w:sz w:val="20"/>
                <w:szCs w:val="20"/>
                <w:color w:val="auto"/>
              </w:rPr>
            </w:pPr>
            <w:r>
              <w:rPr>
                <w:rFonts w:ascii="Arial" w:cs="Arial" w:eastAsia="Arial" w:hAnsi="Arial"/>
                <w:sz w:val="11"/>
                <w:szCs w:val="11"/>
                <w:color w:val="auto"/>
              </w:rPr>
              <w:t>Medicare—Internal</w:t>
            </w:r>
          </w:p>
        </w:tc>
        <w:tc>
          <w:tcPr>
            <w:tcW w:w="1280" w:type="dxa"/>
            <w:vAlign w:val="bottom"/>
          </w:tcPr>
          <w:p>
            <w:pPr>
              <w:jc w:val="right"/>
              <w:spacing w:after="0"/>
              <w:rPr>
                <w:sz w:val="20"/>
                <w:szCs w:val="20"/>
                <w:color w:val="auto"/>
              </w:rPr>
            </w:pPr>
            <w:r>
              <w:rPr>
                <w:rFonts w:ascii="Arial" w:cs="Arial" w:eastAsia="Arial" w:hAnsi="Arial"/>
                <w:sz w:val="11"/>
                <w:szCs w:val="11"/>
                <w:color w:val="auto"/>
              </w:rPr>
              <w:t>79.5 %</w:t>
            </w: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76.1 %</w:t>
            </w: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69.8 %</w:t>
            </w:r>
          </w:p>
        </w:tc>
        <w:tc>
          <w:tcPr>
            <w:tcW w:w="100" w:type="dxa"/>
            <w:vAlign w:val="bottom"/>
            <w:tcBorders>
              <w:right w:val="single" w:sz="8" w:color="auto"/>
            </w:tcBorders>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44.2 %</w:t>
            </w:r>
          </w:p>
        </w:tc>
        <w:tc>
          <w:tcPr>
            <w:tcW w:w="0" w:type="dxa"/>
            <w:vAlign w:val="bottom"/>
          </w:tcPr>
          <w:p>
            <w:pPr>
              <w:spacing w:after="0"/>
              <w:rPr>
                <w:sz w:val="1"/>
                <w:szCs w:val="1"/>
                <w:color w:val="auto"/>
              </w:rPr>
            </w:pPr>
          </w:p>
        </w:tc>
      </w:tr>
      <w:tr>
        <w:trPr>
          <w:trHeight w:val="149"/>
        </w:trPr>
        <w:tc>
          <w:tcPr>
            <w:tcW w:w="59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Medicare—External</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17.8 %</w:t>
            </w: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17.7 %</w:t>
            </w: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19.2 %</w:t>
            </w:r>
          </w:p>
        </w:tc>
        <w:tc>
          <w:tcPr>
            <w:tcW w:w="100" w:type="dxa"/>
            <w:vAlign w:val="bottom"/>
            <w:tcBorders>
              <w:right w:val="single" w:sz="8" w:color="auto"/>
            </w:tcBorders>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24.2 %</w:t>
            </w:r>
          </w:p>
        </w:tc>
        <w:tc>
          <w:tcPr>
            <w:tcW w:w="0" w:type="dxa"/>
            <w:vAlign w:val="bottom"/>
          </w:tcPr>
          <w:p>
            <w:pPr>
              <w:spacing w:after="0"/>
              <w:rPr>
                <w:sz w:val="1"/>
                <w:szCs w:val="1"/>
                <w:color w:val="auto"/>
              </w:rPr>
            </w:pPr>
          </w:p>
        </w:tc>
      </w:tr>
      <w:tr>
        <w:trPr>
          <w:trHeight w:val="149"/>
        </w:trPr>
        <w:tc>
          <w:tcPr>
            <w:tcW w:w="5960" w:type="dxa"/>
            <w:vAlign w:val="bottom"/>
          </w:tcPr>
          <w:p>
            <w:pPr>
              <w:ind w:left="180"/>
              <w:spacing w:after="0"/>
              <w:rPr>
                <w:sz w:val="20"/>
                <w:szCs w:val="20"/>
                <w:color w:val="auto"/>
              </w:rPr>
            </w:pPr>
            <w:r>
              <w:rPr>
                <w:rFonts w:ascii="Arial" w:cs="Arial" w:eastAsia="Arial" w:hAnsi="Arial"/>
                <w:sz w:val="11"/>
                <w:szCs w:val="11"/>
                <w:color w:val="auto"/>
              </w:rPr>
              <w:t>IFP and Other—Internal</w:t>
            </w:r>
          </w:p>
        </w:tc>
        <w:tc>
          <w:tcPr>
            <w:tcW w:w="1280" w:type="dxa"/>
            <w:vAlign w:val="bottom"/>
          </w:tcPr>
          <w:p>
            <w:pPr>
              <w:jc w:val="right"/>
              <w:spacing w:after="0"/>
              <w:rPr>
                <w:sz w:val="20"/>
                <w:szCs w:val="20"/>
                <w:color w:val="auto"/>
              </w:rPr>
            </w:pPr>
            <w:r>
              <w:rPr>
                <w:rFonts w:ascii="Arial" w:cs="Arial" w:eastAsia="Arial" w:hAnsi="Arial"/>
                <w:sz w:val="11"/>
                <w:szCs w:val="11"/>
                <w:color w:val="auto"/>
              </w:rPr>
              <w:t>1.9 %</w:t>
            </w: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3.7 %</w:t>
            </w: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6.8 %</w:t>
            </w:r>
          </w:p>
        </w:tc>
        <w:tc>
          <w:tcPr>
            <w:tcW w:w="100" w:type="dxa"/>
            <w:vAlign w:val="bottom"/>
            <w:tcBorders>
              <w:right w:val="single" w:sz="8" w:color="auto"/>
            </w:tcBorders>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16.4 %</w:t>
            </w:r>
          </w:p>
        </w:tc>
        <w:tc>
          <w:tcPr>
            <w:tcW w:w="0" w:type="dxa"/>
            <w:vAlign w:val="bottom"/>
          </w:tcPr>
          <w:p>
            <w:pPr>
              <w:spacing w:after="0"/>
              <w:rPr>
                <w:sz w:val="1"/>
                <w:szCs w:val="1"/>
                <w:color w:val="auto"/>
              </w:rPr>
            </w:pPr>
          </w:p>
        </w:tc>
      </w:tr>
      <w:tr>
        <w:trPr>
          <w:trHeight w:val="149"/>
        </w:trPr>
        <w:tc>
          <w:tcPr>
            <w:tcW w:w="59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IFP and Other—External</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0.8 %</w:t>
            </w:r>
          </w:p>
        </w:tc>
        <w:tc>
          <w:tcPr>
            <w:tcW w:w="80" w:type="dxa"/>
            <w:vAlign w:val="bottom"/>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2.5 %</w:t>
            </w:r>
          </w:p>
        </w:tc>
        <w:tc>
          <w:tcPr>
            <w:tcW w:w="80" w:type="dxa"/>
            <w:vAlign w:val="bottom"/>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4.3 %</w:t>
            </w:r>
          </w:p>
        </w:tc>
        <w:tc>
          <w:tcPr>
            <w:tcW w:w="100" w:type="dxa"/>
            <w:vAlign w:val="bottom"/>
            <w:tcBorders>
              <w:right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15.1 %</w:t>
            </w:r>
          </w:p>
        </w:tc>
        <w:tc>
          <w:tcPr>
            <w:tcW w:w="0" w:type="dxa"/>
            <w:vAlign w:val="bottom"/>
          </w:tcPr>
          <w:p>
            <w:pPr>
              <w:spacing w:after="0"/>
              <w:rPr>
                <w:sz w:val="1"/>
                <w:szCs w:val="1"/>
                <w:color w:val="auto"/>
              </w:rPr>
            </w:pPr>
          </w:p>
        </w:tc>
      </w:tr>
      <w:tr>
        <w:trPr>
          <w:trHeight w:val="139"/>
        </w:trPr>
        <w:tc>
          <w:tcPr>
            <w:tcW w:w="5960" w:type="dxa"/>
            <w:vAlign w:val="bottom"/>
          </w:tcPr>
          <w:p>
            <w:pPr>
              <w:ind w:left="20"/>
              <w:spacing w:after="0"/>
              <w:rPr>
                <w:sz w:val="20"/>
                <w:szCs w:val="20"/>
                <w:color w:val="auto"/>
              </w:rPr>
            </w:pPr>
            <w:r>
              <w:rPr>
                <w:rFonts w:ascii="Arial" w:cs="Arial" w:eastAsia="Arial" w:hAnsi="Arial"/>
                <w:sz w:val="11"/>
                <w:szCs w:val="11"/>
                <w:b w:val="1"/>
                <w:bCs w:val="1"/>
                <w:color w:val="auto"/>
              </w:rPr>
              <w:t>Total net revenues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100.0 %</w:t>
            </w:r>
          </w:p>
        </w:tc>
        <w:tc>
          <w:tcPr>
            <w:tcW w:w="80" w:type="dxa"/>
            <w:vAlign w:val="bottom"/>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100.0 %</w:t>
            </w:r>
          </w:p>
        </w:tc>
        <w:tc>
          <w:tcPr>
            <w:tcW w:w="80" w:type="dxa"/>
            <w:vAlign w:val="bottom"/>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100.0 %</w:t>
            </w:r>
          </w:p>
        </w:tc>
        <w:tc>
          <w:tcPr>
            <w:tcW w:w="100" w:type="dxa"/>
            <w:vAlign w:val="bottom"/>
            <w:tcBorders>
              <w:right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100.0 %</w:t>
            </w: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5960" w:type="dxa"/>
            <w:vAlign w:val="bottom"/>
            <w:shd w:val="clear" w:color="auto" w:fill="CCEEFF"/>
          </w:tcPr>
          <w:p>
            <w:pPr>
              <w:ind w:left="20"/>
              <w:spacing w:after="0" w:line="110" w:lineRule="exact"/>
              <w:rPr>
                <w:sz w:val="20"/>
                <w:szCs w:val="20"/>
                <w:color w:val="auto"/>
              </w:rPr>
            </w:pPr>
            <w:r>
              <w:rPr>
                <w:rFonts w:ascii="Arial" w:cs="Arial" w:eastAsia="Arial" w:hAnsi="Arial"/>
                <w:sz w:val="11"/>
                <w:szCs w:val="11"/>
                <w:i w:val="1"/>
                <w:iCs w:val="1"/>
                <w:color w:val="auto"/>
              </w:rPr>
              <w:t>Percent of segment profit:</w:t>
            </w:r>
          </w:p>
        </w:tc>
        <w:tc>
          <w:tcPr>
            <w:tcW w:w="1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5960" w:type="dxa"/>
            <w:vAlign w:val="bottom"/>
          </w:tcPr>
          <w:p>
            <w:pPr>
              <w:ind w:left="180"/>
              <w:spacing w:after="0"/>
              <w:rPr>
                <w:sz w:val="20"/>
                <w:szCs w:val="20"/>
                <w:color w:val="auto"/>
              </w:rPr>
            </w:pPr>
            <w:r>
              <w:rPr>
                <w:rFonts w:ascii="Arial" w:cs="Arial" w:eastAsia="Arial" w:hAnsi="Arial"/>
                <w:sz w:val="11"/>
                <w:szCs w:val="11"/>
                <w:color w:val="auto"/>
              </w:rPr>
              <w:t>Medicare—Internal</w:t>
            </w:r>
          </w:p>
        </w:tc>
        <w:tc>
          <w:tcPr>
            <w:tcW w:w="1280" w:type="dxa"/>
            <w:vAlign w:val="bottom"/>
          </w:tcPr>
          <w:p>
            <w:pPr>
              <w:jc w:val="right"/>
              <w:spacing w:after="0"/>
              <w:rPr>
                <w:sz w:val="20"/>
                <w:szCs w:val="20"/>
                <w:color w:val="auto"/>
              </w:rPr>
            </w:pPr>
            <w:r>
              <w:rPr>
                <w:rFonts w:ascii="Arial" w:cs="Arial" w:eastAsia="Arial" w:hAnsi="Arial"/>
                <w:sz w:val="11"/>
                <w:szCs w:val="11"/>
                <w:color w:val="auto"/>
              </w:rPr>
              <w:t>93.7 %</w:t>
            </w: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96.1 %</w:t>
            </w: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90.8 %</w:t>
            </w:r>
          </w:p>
        </w:tc>
        <w:tc>
          <w:tcPr>
            <w:tcW w:w="100" w:type="dxa"/>
            <w:vAlign w:val="bottom"/>
            <w:tcBorders>
              <w:right w:val="single" w:sz="8" w:color="auto"/>
            </w:tcBorders>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81.9 %</w:t>
            </w:r>
          </w:p>
        </w:tc>
        <w:tc>
          <w:tcPr>
            <w:tcW w:w="0" w:type="dxa"/>
            <w:vAlign w:val="bottom"/>
          </w:tcPr>
          <w:p>
            <w:pPr>
              <w:spacing w:after="0"/>
              <w:rPr>
                <w:sz w:val="1"/>
                <w:szCs w:val="1"/>
                <w:color w:val="auto"/>
              </w:rPr>
            </w:pPr>
          </w:p>
        </w:tc>
      </w:tr>
      <w:tr>
        <w:trPr>
          <w:trHeight w:val="149"/>
        </w:trPr>
        <w:tc>
          <w:tcPr>
            <w:tcW w:w="59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Medicare—External</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2.9 %</w:t>
            </w: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1.9 %</w:t>
            </w: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7.6 %</w:t>
            </w:r>
          </w:p>
        </w:tc>
        <w:tc>
          <w:tcPr>
            <w:tcW w:w="100" w:type="dxa"/>
            <w:vAlign w:val="bottom"/>
            <w:tcBorders>
              <w:right w:val="single" w:sz="8" w:color="auto"/>
            </w:tcBorders>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10.0 %</w:t>
            </w:r>
          </w:p>
        </w:tc>
        <w:tc>
          <w:tcPr>
            <w:tcW w:w="0" w:type="dxa"/>
            <w:vAlign w:val="bottom"/>
          </w:tcPr>
          <w:p>
            <w:pPr>
              <w:spacing w:after="0"/>
              <w:rPr>
                <w:sz w:val="1"/>
                <w:szCs w:val="1"/>
                <w:color w:val="auto"/>
              </w:rPr>
            </w:pPr>
          </w:p>
        </w:tc>
      </w:tr>
      <w:tr>
        <w:trPr>
          <w:trHeight w:val="149"/>
        </w:trPr>
        <w:tc>
          <w:tcPr>
            <w:tcW w:w="5960" w:type="dxa"/>
            <w:vAlign w:val="bottom"/>
          </w:tcPr>
          <w:p>
            <w:pPr>
              <w:ind w:left="180"/>
              <w:spacing w:after="0"/>
              <w:rPr>
                <w:sz w:val="20"/>
                <w:szCs w:val="20"/>
                <w:color w:val="auto"/>
              </w:rPr>
            </w:pPr>
            <w:r>
              <w:rPr>
                <w:rFonts w:ascii="Arial" w:cs="Arial" w:eastAsia="Arial" w:hAnsi="Arial"/>
                <w:sz w:val="11"/>
                <w:szCs w:val="11"/>
                <w:color w:val="auto"/>
              </w:rPr>
              <w:t>IFP and Other—Internal</w:t>
            </w:r>
          </w:p>
        </w:tc>
        <w:tc>
          <w:tcPr>
            <w:tcW w:w="1280" w:type="dxa"/>
            <w:vAlign w:val="bottom"/>
          </w:tcPr>
          <w:p>
            <w:pPr>
              <w:jc w:val="right"/>
              <w:spacing w:after="0"/>
              <w:rPr>
                <w:sz w:val="20"/>
                <w:szCs w:val="20"/>
                <w:color w:val="auto"/>
              </w:rPr>
            </w:pPr>
            <w:r>
              <w:rPr>
                <w:rFonts w:ascii="Arial" w:cs="Arial" w:eastAsia="Arial" w:hAnsi="Arial"/>
                <w:sz w:val="11"/>
                <w:szCs w:val="11"/>
                <w:color w:val="auto"/>
              </w:rPr>
              <w:t>3.1 %</w:t>
            </w: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1.4 %</w:t>
            </w: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1.2 %</w:t>
            </w:r>
          </w:p>
        </w:tc>
        <w:tc>
          <w:tcPr>
            <w:tcW w:w="100" w:type="dxa"/>
            <w:vAlign w:val="bottom"/>
            <w:tcBorders>
              <w:right w:val="single" w:sz="8" w:color="auto"/>
            </w:tcBorders>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4.5 %</w:t>
            </w:r>
          </w:p>
        </w:tc>
        <w:tc>
          <w:tcPr>
            <w:tcW w:w="0" w:type="dxa"/>
            <w:vAlign w:val="bottom"/>
          </w:tcPr>
          <w:p>
            <w:pPr>
              <w:spacing w:after="0"/>
              <w:rPr>
                <w:sz w:val="1"/>
                <w:szCs w:val="1"/>
                <w:color w:val="auto"/>
              </w:rPr>
            </w:pPr>
          </w:p>
        </w:tc>
      </w:tr>
      <w:tr>
        <w:trPr>
          <w:trHeight w:val="149"/>
        </w:trPr>
        <w:tc>
          <w:tcPr>
            <w:tcW w:w="59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IFP and Other—External</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0.3 %</w:t>
            </w:r>
          </w:p>
        </w:tc>
        <w:tc>
          <w:tcPr>
            <w:tcW w:w="80" w:type="dxa"/>
            <w:vAlign w:val="bottom"/>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0.6 %</w:t>
            </w:r>
          </w:p>
        </w:tc>
        <w:tc>
          <w:tcPr>
            <w:tcW w:w="80" w:type="dxa"/>
            <w:vAlign w:val="bottom"/>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0.4 %</w:t>
            </w:r>
          </w:p>
        </w:tc>
        <w:tc>
          <w:tcPr>
            <w:tcW w:w="100" w:type="dxa"/>
            <w:vAlign w:val="bottom"/>
            <w:tcBorders>
              <w:right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3.6 %</w:t>
            </w:r>
          </w:p>
        </w:tc>
        <w:tc>
          <w:tcPr>
            <w:tcW w:w="0" w:type="dxa"/>
            <w:vAlign w:val="bottom"/>
          </w:tcPr>
          <w:p>
            <w:pPr>
              <w:spacing w:after="0"/>
              <w:rPr>
                <w:sz w:val="1"/>
                <w:szCs w:val="1"/>
                <w:color w:val="auto"/>
              </w:rPr>
            </w:pPr>
          </w:p>
        </w:tc>
      </w:tr>
      <w:tr>
        <w:trPr>
          <w:trHeight w:val="139"/>
        </w:trPr>
        <w:tc>
          <w:tcPr>
            <w:tcW w:w="5960" w:type="dxa"/>
            <w:vAlign w:val="bottom"/>
          </w:tcPr>
          <w:p>
            <w:pPr>
              <w:ind w:left="20"/>
              <w:spacing w:after="0"/>
              <w:rPr>
                <w:sz w:val="20"/>
                <w:szCs w:val="20"/>
                <w:color w:val="auto"/>
              </w:rPr>
            </w:pPr>
            <w:r>
              <w:rPr>
                <w:rFonts w:ascii="Arial" w:cs="Arial" w:eastAsia="Arial" w:hAnsi="Arial"/>
                <w:sz w:val="11"/>
                <w:szCs w:val="11"/>
                <w:b w:val="1"/>
                <w:bCs w:val="1"/>
                <w:color w:val="auto"/>
              </w:rPr>
              <w:t>Total segment profit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100.0 %</w:t>
            </w:r>
          </w:p>
        </w:tc>
        <w:tc>
          <w:tcPr>
            <w:tcW w:w="80" w:type="dxa"/>
            <w:vAlign w:val="bottom"/>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100.0 %</w:t>
            </w:r>
          </w:p>
        </w:tc>
        <w:tc>
          <w:tcPr>
            <w:tcW w:w="80" w:type="dxa"/>
            <w:vAlign w:val="bottom"/>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100.0 %</w:t>
            </w:r>
          </w:p>
        </w:tc>
        <w:tc>
          <w:tcPr>
            <w:tcW w:w="100" w:type="dxa"/>
            <w:vAlign w:val="bottom"/>
            <w:tcBorders>
              <w:right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100.0 %</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Transactions</w:t>
      </w:r>
    </w:p>
    <w:p>
      <w:pPr>
        <w:spacing w:after="0" w:line="185" w:lineRule="exact"/>
        <w:rPr>
          <w:sz w:val="20"/>
          <w:szCs w:val="20"/>
          <w:color w:val="auto"/>
        </w:rPr>
      </w:pPr>
    </w:p>
    <w:p>
      <w:pPr>
        <w:ind w:right="220"/>
        <w:spacing w:after="0" w:line="244" w:lineRule="auto"/>
        <w:rPr>
          <w:sz w:val="20"/>
          <w:szCs w:val="20"/>
          <w:color w:val="auto"/>
        </w:rPr>
      </w:pPr>
      <w:r>
        <w:rPr>
          <w:rFonts w:ascii="Arial" w:cs="Arial" w:eastAsia="Arial" w:hAnsi="Arial"/>
          <w:sz w:val="13"/>
          <w:szCs w:val="13"/>
          <w:color w:val="auto"/>
        </w:rPr>
        <w:t>Our historical results of operations prior to the completion of the Transactions, including the IPO, do not reflect certain items that we expect will affect our results of operations and financial condition after giving effect to the Transactions and the use of proceeds from the IPO.</w:t>
      </w:r>
    </w:p>
    <w:p>
      <w:pPr>
        <w:spacing w:after="0" w:line="163" w:lineRule="exact"/>
        <w:rPr>
          <w:sz w:val="20"/>
          <w:szCs w:val="20"/>
          <w:color w:val="auto"/>
        </w:rPr>
      </w:pPr>
    </w:p>
    <w:p>
      <w:pPr>
        <w:ind w:right="40"/>
        <w:spacing w:after="0" w:line="239" w:lineRule="auto"/>
        <w:rPr>
          <w:sz w:val="20"/>
          <w:szCs w:val="20"/>
          <w:color w:val="auto"/>
        </w:rPr>
      </w:pPr>
      <w:r>
        <w:rPr>
          <w:rFonts w:ascii="Arial" w:cs="Arial" w:eastAsia="Arial" w:hAnsi="Arial"/>
          <w:sz w:val="13"/>
          <w:szCs w:val="13"/>
          <w:color w:val="auto"/>
        </w:rPr>
        <w:t>Following the completion of the Transactions, GoHealth, Inc. became the sole managing member of GoHealth Holdings, LLC. Although we have a minority economic interest in GoHealth Holdings, LLC, we have the sole voting interest in, and control of the business and affairs of, GoHealth Holdings, LLC and its direct and indirect subsidiaries. As a result, GoHealth, Inc. consolidates GoHealth Holdings, LLC and records significant non-controlling interests in a consolidated entity in GoHealth, Inc.’s Consolidated Financial Statements for the economic interest in GoHealth Holdings, LLC held directly or indirectly by the Continuing Equity Owners. As of December 31, 2021, public investors collectively own 64.8% of our outstanding Class A common stock, consisting of 74,804 shares of Class A common stock. As of December 31, 2021, GoHealth, Inc. owns 115,487 LLC Interests, representing 36.5% of the economic interest in GoHealth Holdings, LLC, the Founders collectively own 97,718 LLC Interests, representing 30.9% of the economic interest in GoHealth Holdings, LLC, Centerbridge owns 80,793 LLC Interests, representing 25.6% of the economic interest in GoHealth Holdings, LLC, and the Continuing Equity Owners collectively own 22,124 LLC Interests, representing 7.0% of the economic interest in GoHealth Holdings, LLC. Accordingly, as of December 31, 2021, the economic interest in GoHealth Holdings, LLC held by non-controlling interests was 63.5%. GoHealth, Inc. is a holding company that conducts no operations and its principal asset is the LLC Interests we purchased from GoHealth Holdings, LLC.</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45</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85" w:right="319" w:bottom="1440" w:gutter="0" w:footer="0" w:header="0"/>
        </w:sectPr>
      </w:pPr>
    </w:p>
    <w:bookmarkStart w:id="48" w:name="page49"/>
    <w:bookmarkEnd w:id="48"/>
    <w:p>
      <w:pPr>
        <w:spacing w:after="0"/>
        <w:rPr>
          <w:sz w:val="20"/>
          <w:szCs w:val="20"/>
          <w:color w:val="auto"/>
        </w:rPr>
      </w:pPr>
      <w:r>
        <w:rPr>
          <w:rFonts w:ascii="Arial" w:cs="Arial" w:eastAsia="Arial" w:hAnsi="Arial"/>
          <w:sz w:val="13"/>
          <w:szCs w:val="13"/>
          <w:color w:val="auto"/>
        </w:rPr>
        <w:t>The percentage ownership of total shares of Class A and Class B common stock issued and outstanding as of December 31, 2021,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106045</wp:posOffset>
            </wp:positionV>
            <wp:extent cx="4042410" cy="16840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042410" cy="168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40"/>
        <w:spacing w:after="0" w:line="271" w:lineRule="auto"/>
        <w:rPr>
          <w:sz w:val="20"/>
          <w:szCs w:val="20"/>
          <w:color w:val="auto"/>
        </w:rPr>
      </w:pPr>
      <w:r>
        <w:rPr>
          <w:rFonts w:ascii="Arial" w:cs="Arial" w:eastAsia="Arial" w:hAnsi="Arial"/>
          <w:sz w:val="12"/>
          <w:szCs w:val="12"/>
          <w:color w:val="auto"/>
        </w:rPr>
        <w:t>GoHealth, Inc. is subject to U.S. federal, state and local income taxes with respect to our allocable share of any taxable income of GoHealth Holdings, LLC and is taxed at the prevailing corporate tax rates. In addition to tax expenses, we also incur expenses related to our status as a public company, plus payment obligations under the Tax Receivable Agreement, which could be significant. We intend to cause GoHealth Holdings, LLC to make distributions to us in an amount sufficient to allow us to pay these expenses and fund any payments due under the Tax Receivable Agreement.</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Response to COVID-19</w:t>
      </w:r>
    </w:p>
    <w:p>
      <w:pPr>
        <w:spacing w:after="0" w:line="185" w:lineRule="exact"/>
        <w:rPr>
          <w:sz w:val="20"/>
          <w:szCs w:val="20"/>
          <w:color w:val="auto"/>
        </w:rPr>
      </w:pPr>
    </w:p>
    <w:p>
      <w:pPr>
        <w:ind w:right="260"/>
        <w:spacing w:after="0" w:line="241" w:lineRule="auto"/>
        <w:rPr>
          <w:sz w:val="20"/>
          <w:szCs w:val="20"/>
          <w:color w:val="auto"/>
        </w:rPr>
      </w:pPr>
      <w:r>
        <w:rPr>
          <w:rFonts w:ascii="Arial" w:cs="Arial" w:eastAsia="Arial" w:hAnsi="Arial"/>
          <w:sz w:val="13"/>
          <w:szCs w:val="13"/>
          <w:color w:val="auto"/>
        </w:rPr>
        <w:t>The COVID-19 pandemic has resulted in, and may continue to result in, significant economic disruption in the economy. While the situation has improved, namely with the help of vaccines, variants continue to put stress on the recovery. We continue to closely monitor the situation and its impacts on our business, liquidity, and capital planning initiatives. In addition, the Company continues to implement a gradual and phased return to the office for our employees, expecting that some employees will continue to work in a remote environment for the foreseeable future.</w:t>
      </w:r>
    </w:p>
    <w:p>
      <w:pPr>
        <w:spacing w:after="0" w:line="176" w:lineRule="exact"/>
        <w:rPr>
          <w:sz w:val="20"/>
          <w:szCs w:val="20"/>
          <w:color w:val="auto"/>
        </w:rPr>
      </w:pPr>
    </w:p>
    <w:p>
      <w:pPr>
        <w:jc w:val="both"/>
        <w:ind w:right="20"/>
        <w:spacing w:after="0" w:line="229" w:lineRule="auto"/>
        <w:rPr>
          <w:sz w:val="20"/>
          <w:szCs w:val="20"/>
          <w:color w:val="auto"/>
        </w:rPr>
      </w:pPr>
      <w:r>
        <w:rPr>
          <w:rFonts w:ascii="Arial" w:cs="Arial" w:eastAsia="Arial" w:hAnsi="Arial"/>
          <w:sz w:val="13"/>
          <w:szCs w:val="13"/>
          <w:color w:val="auto"/>
        </w:rPr>
        <w:t>We do not yet know the full extent of the impacts on our business, our operations or the global economy as a whole. However, the effects could have a material impact on our results of operations. See “Risk Factors—Risks Related to Our Business—The extent to which the COVID-19 pandemic and measures taken in response thereto impact our business, results of operations and financial condition will depend on future developments, which are highly uncertain and cannot be predicted” in this Annual Report on Form 10-K for additional information.</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46</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85" w:right="319" w:bottom="1440" w:gutter="0" w:footer="0" w:header="0"/>
        </w:sectPr>
      </w:pPr>
    </w:p>
    <w:bookmarkStart w:id="49" w:name="page50"/>
    <w:bookmarkEnd w:id="49"/>
    <w:p>
      <w:pPr>
        <w:spacing w:after="0"/>
        <w:rPr>
          <w:sz w:val="20"/>
          <w:szCs w:val="20"/>
          <w:color w:val="auto"/>
        </w:rPr>
      </w:pPr>
      <w:r>
        <w:rPr>
          <w:rFonts w:ascii="Arial" w:cs="Arial" w:eastAsia="Arial" w:hAnsi="Arial"/>
          <w:sz w:val="13"/>
          <w:szCs w:val="13"/>
          <w:b w:val="1"/>
          <w:bCs w:val="1"/>
          <w:color w:val="auto"/>
        </w:rPr>
        <w:t>Results of Operations</w:t>
      </w:r>
    </w:p>
    <w:p>
      <w:pPr>
        <w:spacing w:after="0" w:line="173" w:lineRule="exact"/>
        <w:rPr>
          <w:sz w:val="20"/>
          <w:szCs w:val="20"/>
          <w:color w:val="auto"/>
        </w:rPr>
      </w:pPr>
    </w:p>
    <w:p>
      <w:pPr>
        <w:ind w:right="120"/>
        <w:spacing w:after="0" w:line="251" w:lineRule="auto"/>
        <w:rPr>
          <w:sz w:val="20"/>
          <w:szCs w:val="20"/>
          <w:color w:val="auto"/>
        </w:rPr>
      </w:pPr>
      <w:r>
        <w:rPr>
          <w:rFonts w:ascii="Arial" w:cs="Arial" w:eastAsia="Arial" w:hAnsi="Arial"/>
          <w:sz w:val="13"/>
          <w:szCs w:val="13"/>
          <w:i w:val="1"/>
          <w:iCs w:val="1"/>
          <w:color w:val="auto"/>
        </w:rPr>
        <w:t>The following is a discussion and analysis of changes in the financial condition and results of operations for fiscal year 2021 compared to fiscal year 2020. A discussion and analysis regarding our results of operations for fiscal year 2020 compared to fiscal year 2019 that are not included in this Annual Report on Form 10-K can be found in our Annual Report on Form 10-K filed with the SEC on March 16, 2021.</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sets forth the components of our results of operations for the periods presented: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1"/>
                <w:szCs w:val="11"/>
                <w:b w:val="1"/>
                <w:bCs w:val="1"/>
                <w:color w:val="auto"/>
              </w:rPr>
              <w:t>Successor</w:t>
            </w: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3"/>
          </w:tcPr>
          <w:p>
            <w:pPr>
              <w:jc w:val="center"/>
              <w:ind w:right="43"/>
              <w:spacing w:after="0"/>
              <w:rPr>
                <w:sz w:val="20"/>
                <w:szCs w:val="20"/>
                <w:color w:val="auto"/>
              </w:rPr>
            </w:pPr>
            <w:r>
              <w:rPr>
                <w:rFonts w:ascii="Arial" w:cs="Arial" w:eastAsia="Arial" w:hAnsi="Arial"/>
                <w:sz w:val="11"/>
                <w:szCs w:val="11"/>
                <w:b w:val="1"/>
                <w:bCs w:val="1"/>
                <w:color w:val="auto"/>
              </w:rPr>
              <w:t>Predecessor</w:t>
            </w:r>
          </w:p>
        </w:tc>
        <w:tc>
          <w:tcPr>
            <w:tcW w:w="0" w:type="dxa"/>
            <w:vAlign w:val="bottom"/>
          </w:tcPr>
          <w:p>
            <w:pPr>
              <w:spacing w:after="0"/>
              <w:rPr>
                <w:sz w:val="1"/>
                <w:szCs w:val="1"/>
                <w:color w:val="auto"/>
              </w:rPr>
            </w:pPr>
          </w:p>
        </w:tc>
      </w:tr>
      <w:tr>
        <w:trPr>
          <w:trHeight w:val="107"/>
        </w:trPr>
        <w:tc>
          <w:tcPr>
            <w:tcW w:w="2760" w:type="dxa"/>
            <w:vAlign w:val="bottom"/>
          </w:tcPr>
          <w:p>
            <w:pPr>
              <w:spacing w:after="0"/>
              <w:rPr>
                <w:sz w:val="9"/>
                <w:szCs w:val="9"/>
                <w:color w:val="auto"/>
              </w:rPr>
            </w:pPr>
          </w:p>
        </w:tc>
        <w:tc>
          <w:tcPr>
            <w:tcW w:w="2000" w:type="dxa"/>
            <w:vAlign w:val="bottom"/>
            <w:gridSpan w:val="4"/>
            <w:vMerge w:val="restart"/>
          </w:tcPr>
          <w:p>
            <w:pPr>
              <w:jc w:val="right"/>
              <w:spacing w:after="0"/>
              <w:rPr>
                <w:sz w:val="20"/>
                <w:szCs w:val="20"/>
                <w:color w:val="auto"/>
              </w:rPr>
            </w:pPr>
            <w:r>
              <w:rPr>
                <w:rFonts w:ascii="Arial" w:cs="Arial" w:eastAsia="Arial" w:hAnsi="Arial"/>
                <w:sz w:val="11"/>
                <w:szCs w:val="11"/>
                <w:b w:val="1"/>
                <w:bCs w:val="1"/>
                <w:color w:val="auto"/>
              </w:rPr>
              <w:t>Twelve months ended Dec. 31, 2021</w:t>
            </w:r>
          </w:p>
        </w:tc>
        <w:tc>
          <w:tcPr>
            <w:tcW w:w="80" w:type="dxa"/>
            <w:vAlign w:val="bottom"/>
            <w:vMerge w:val="restart"/>
          </w:tcPr>
          <w:p>
            <w:pPr>
              <w:spacing w:after="0"/>
              <w:rPr>
                <w:sz w:val="9"/>
                <w:szCs w:val="9"/>
                <w:color w:val="auto"/>
              </w:rPr>
            </w:pPr>
          </w:p>
        </w:tc>
        <w:tc>
          <w:tcPr>
            <w:tcW w:w="1980" w:type="dxa"/>
            <w:vAlign w:val="bottom"/>
            <w:gridSpan w:val="4"/>
            <w:vMerge w:val="restart"/>
          </w:tcPr>
          <w:p>
            <w:pPr>
              <w:jc w:val="center"/>
              <w:spacing w:after="0"/>
              <w:rPr>
                <w:sz w:val="20"/>
                <w:szCs w:val="20"/>
                <w:color w:val="auto"/>
              </w:rPr>
            </w:pPr>
            <w:r>
              <w:rPr>
                <w:rFonts w:ascii="Arial" w:cs="Arial" w:eastAsia="Arial" w:hAnsi="Arial"/>
                <w:sz w:val="11"/>
                <w:szCs w:val="11"/>
                <w:b w:val="1"/>
                <w:bCs w:val="1"/>
                <w:color w:val="auto"/>
              </w:rPr>
              <w:t>Twelve months ended Dec. 31, 2020</w:t>
            </w:r>
          </w:p>
        </w:tc>
        <w:tc>
          <w:tcPr>
            <w:tcW w:w="100" w:type="dxa"/>
            <w:vAlign w:val="bottom"/>
            <w:vMerge w:val="restart"/>
          </w:tcPr>
          <w:p>
            <w:pPr>
              <w:spacing w:after="0"/>
              <w:rPr>
                <w:sz w:val="9"/>
                <w:szCs w:val="9"/>
                <w:color w:val="auto"/>
              </w:rPr>
            </w:pPr>
          </w:p>
        </w:tc>
        <w:tc>
          <w:tcPr>
            <w:tcW w:w="2260" w:type="dxa"/>
            <w:vAlign w:val="bottom"/>
            <w:tcBorders>
              <w:right w:val="single" w:sz="8" w:color="auto"/>
            </w:tcBorders>
            <w:gridSpan w:val="5"/>
          </w:tcPr>
          <w:p>
            <w:pPr>
              <w:ind w:left="60"/>
              <w:spacing w:after="0" w:line="107" w:lineRule="exact"/>
              <w:rPr>
                <w:sz w:val="20"/>
                <w:szCs w:val="20"/>
                <w:color w:val="auto"/>
              </w:rPr>
            </w:pPr>
            <w:r>
              <w:rPr>
                <w:rFonts w:ascii="Arial" w:cs="Arial" w:eastAsia="Arial" w:hAnsi="Arial"/>
                <w:sz w:val="11"/>
                <w:szCs w:val="11"/>
                <w:b w:val="1"/>
                <w:bCs w:val="1"/>
                <w:color w:val="auto"/>
              </w:rPr>
              <w:t>Period from Sep. 13, 2019 through</w:t>
            </w:r>
          </w:p>
        </w:tc>
        <w:tc>
          <w:tcPr>
            <w:tcW w:w="80" w:type="dxa"/>
            <w:vAlign w:val="bottom"/>
          </w:tcPr>
          <w:p>
            <w:pPr>
              <w:spacing w:after="0"/>
              <w:rPr>
                <w:sz w:val="9"/>
                <w:szCs w:val="9"/>
                <w:color w:val="auto"/>
              </w:rPr>
            </w:pPr>
          </w:p>
        </w:tc>
        <w:tc>
          <w:tcPr>
            <w:tcW w:w="1900" w:type="dxa"/>
            <w:vAlign w:val="bottom"/>
            <w:gridSpan w:val="3"/>
          </w:tcPr>
          <w:p>
            <w:pPr>
              <w:jc w:val="center"/>
              <w:ind w:right="43"/>
              <w:spacing w:after="0" w:line="107" w:lineRule="exact"/>
              <w:rPr>
                <w:sz w:val="20"/>
                <w:szCs w:val="20"/>
                <w:color w:val="auto"/>
              </w:rPr>
            </w:pPr>
            <w:r>
              <w:rPr>
                <w:rFonts w:ascii="Arial" w:cs="Arial" w:eastAsia="Arial" w:hAnsi="Arial"/>
                <w:sz w:val="11"/>
                <w:szCs w:val="11"/>
                <w:b w:val="1"/>
                <w:bCs w:val="1"/>
                <w:color w:val="auto"/>
              </w:rPr>
              <w:t>Period from Jan. 1, 2019 through</w:t>
            </w:r>
          </w:p>
        </w:tc>
        <w:tc>
          <w:tcPr>
            <w:tcW w:w="0" w:type="dxa"/>
            <w:vAlign w:val="bottom"/>
          </w:tcPr>
          <w:p>
            <w:pPr>
              <w:spacing w:after="0"/>
              <w:rPr>
                <w:sz w:val="1"/>
                <w:szCs w:val="1"/>
                <w:color w:val="auto"/>
              </w:rPr>
            </w:pPr>
          </w:p>
        </w:tc>
      </w:tr>
      <w:tr>
        <w:trPr>
          <w:trHeight w:val="138"/>
        </w:trPr>
        <w:tc>
          <w:tcPr>
            <w:tcW w:w="2760" w:type="dxa"/>
            <w:vAlign w:val="bottom"/>
          </w:tcPr>
          <w:p>
            <w:pPr>
              <w:spacing w:after="0"/>
              <w:rPr>
                <w:sz w:val="11"/>
                <w:szCs w:val="11"/>
                <w:color w:val="auto"/>
              </w:rPr>
            </w:pPr>
          </w:p>
        </w:tc>
        <w:tc>
          <w:tcPr>
            <w:tcW w:w="200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98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gridSpan w:val="3"/>
          </w:tcPr>
          <w:p>
            <w:pPr>
              <w:jc w:val="right"/>
              <w:ind w:right="583"/>
              <w:spacing w:after="0"/>
              <w:rPr>
                <w:sz w:val="20"/>
                <w:szCs w:val="20"/>
                <w:color w:val="auto"/>
              </w:rPr>
            </w:pPr>
            <w:r>
              <w:rPr>
                <w:rFonts w:ascii="Arial" w:cs="Arial" w:eastAsia="Arial" w:hAnsi="Arial"/>
                <w:sz w:val="11"/>
                <w:szCs w:val="11"/>
                <w:b w:val="1"/>
                <w:bCs w:val="1"/>
                <w:color w:val="auto"/>
              </w:rPr>
              <w:t>Dec. 31, 2019</w:t>
            </w:r>
          </w:p>
        </w:tc>
        <w:tc>
          <w:tcPr>
            <w:tcW w:w="280" w:type="dxa"/>
            <w:vAlign w:val="bottom"/>
            <w:tcBorders>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3"/>
          </w:tcPr>
          <w:p>
            <w:pPr>
              <w:jc w:val="center"/>
              <w:ind w:right="23"/>
              <w:spacing w:after="0"/>
              <w:rPr>
                <w:sz w:val="20"/>
                <w:szCs w:val="20"/>
                <w:color w:val="auto"/>
              </w:rPr>
            </w:pPr>
            <w:r>
              <w:rPr>
                <w:rFonts w:ascii="Arial" w:cs="Arial" w:eastAsia="Arial" w:hAnsi="Arial"/>
                <w:sz w:val="11"/>
                <w:szCs w:val="11"/>
                <w:b w:val="1"/>
                <w:bCs w:val="1"/>
                <w:color w:val="auto"/>
              </w:rPr>
              <w:t>Sep. 12, 2019</w:t>
            </w:r>
          </w:p>
        </w:tc>
        <w:tc>
          <w:tcPr>
            <w:tcW w:w="0" w:type="dxa"/>
            <w:vAlign w:val="bottom"/>
          </w:tcPr>
          <w:p>
            <w:pPr>
              <w:spacing w:after="0"/>
              <w:rPr>
                <w:sz w:val="1"/>
                <w:szCs w:val="1"/>
                <w:color w:val="auto"/>
              </w:rPr>
            </w:pPr>
          </w:p>
        </w:tc>
      </w:tr>
      <w:tr>
        <w:trPr>
          <w:trHeight w:val="107"/>
        </w:trPr>
        <w:tc>
          <w:tcPr>
            <w:tcW w:w="2760" w:type="dxa"/>
            <w:vAlign w:val="bottom"/>
            <w:vMerge w:val="restart"/>
          </w:tcPr>
          <w:p>
            <w:pPr>
              <w:ind w:left="20"/>
              <w:spacing w:after="0"/>
              <w:rPr>
                <w:sz w:val="20"/>
                <w:szCs w:val="20"/>
                <w:color w:val="auto"/>
              </w:rPr>
            </w:pPr>
            <w:r>
              <w:rPr>
                <w:rFonts w:ascii="Arial" w:cs="Arial" w:eastAsia="Arial" w:hAnsi="Arial"/>
                <w:sz w:val="11"/>
                <w:szCs w:val="11"/>
                <w:color w:val="auto"/>
              </w:rPr>
              <w:t>(in thousands)</w:t>
            </w:r>
          </w:p>
        </w:tc>
        <w:tc>
          <w:tcPr>
            <w:tcW w:w="180" w:type="dxa"/>
            <w:vAlign w:val="bottom"/>
          </w:tcPr>
          <w:p>
            <w:pPr>
              <w:spacing w:after="0"/>
              <w:rPr>
                <w:sz w:val="9"/>
                <w:szCs w:val="9"/>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Dollars</w:t>
            </w:r>
          </w:p>
        </w:tc>
        <w:tc>
          <w:tcPr>
            <w:tcW w:w="1040" w:type="dxa"/>
            <w:vAlign w:val="bottom"/>
            <w:gridSpan w:val="2"/>
          </w:tcPr>
          <w:p>
            <w:pPr>
              <w:jc w:val="center"/>
              <w:ind w:right="80"/>
              <w:spacing w:after="0" w:line="107" w:lineRule="exact"/>
              <w:rPr>
                <w:sz w:val="20"/>
                <w:szCs w:val="20"/>
                <w:color w:val="auto"/>
              </w:rPr>
            </w:pPr>
            <w:r>
              <w:rPr>
                <w:rFonts w:ascii="Arial" w:cs="Arial" w:eastAsia="Arial" w:hAnsi="Arial"/>
                <w:sz w:val="11"/>
                <w:szCs w:val="11"/>
                <w:b w:val="1"/>
                <w:bCs w:val="1"/>
                <w:color w:val="auto"/>
                <w:w w:val="99"/>
              </w:rPr>
              <w:t>% of Net</w:t>
            </w:r>
          </w:p>
        </w:tc>
        <w:tc>
          <w:tcPr>
            <w:tcW w:w="180" w:type="dxa"/>
            <w:vAlign w:val="bottom"/>
          </w:tcPr>
          <w:p>
            <w:pPr>
              <w:spacing w:after="0"/>
              <w:rPr>
                <w:sz w:val="9"/>
                <w:szCs w:val="9"/>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Dollars</w:t>
            </w:r>
          </w:p>
        </w:tc>
        <w:tc>
          <w:tcPr>
            <w:tcW w:w="1040" w:type="dxa"/>
            <w:vAlign w:val="bottom"/>
            <w:gridSpan w:val="2"/>
          </w:tcPr>
          <w:p>
            <w:pPr>
              <w:jc w:val="center"/>
              <w:ind w:right="100"/>
              <w:spacing w:after="0" w:line="107" w:lineRule="exact"/>
              <w:rPr>
                <w:sz w:val="20"/>
                <w:szCs w:val="20"/>
                <w:color w:val="auto"/>
              </w:rPr>
            </w:pPr>
            <w:r>
              <w:rPr>
                <w:rFonts w:ascii="Arial" w:cs="Arial" w:eastAsia="Arial" w:hAnsi="Arial"/>
                <w:sz w:val="11"/>
                <w:szCs w:val="11"/>
                <w:b w:val="1"/>
                <w:bCs w:val="1"/>
                <w:color w:val="auto"/>
              </w:rPr>
              <w:t>% of Net</w:t>
            </w:r>
          </w:p>
        </w:tc>
        <w:tc>
          <w:tcPr>
            <w:tcW w:w="180" w:type="dxa"/>
            <w:vAlign w:val="bottom"/>
          </w:tcPr>
          <w:p>
            <w:pPr>
              <w:spacing w:after="0"/>
              <w:rPr>
                <w:sz w:val="9"/>
                <w:szCs w:val="9"/>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Dollars</w:t>
            </w:r>
          </w:p>
        </w:tc>
        <w:tc>
          <w:tcPr>
            <w:tcW w:w="1240" w:type="dxa"/>
            <w:vAlign w:val="bottom"/>
            <w:tcBorders>
              <w:right w:val="single" w:sz="8" w:color="auto"/>
            </w:tcBorders>
            <w:gridSpan w:val="2"/>
          </w:tcPr>
          <w:p>
            <w:pPr>
              <w:jc w:val="center"/>
              <w:ind w:right="280"/>
              <w:spacing w:after="0" w:line="107" w:lineRule="exact"/>
              <w:rPr>
                <w:sz w:val="20"/>
                <w:szCs w:val="20"/>
                <w:color w:val="auto"/>
              </w:rPr>
            </w:pPr>
            <w:r>
              <w:rPr>
                <w:rFonts w:ascii="Arial" w:cs="Arial" w:eastAsia="Arial" w:hAnsi="Arial"/>
                <w:sz w:val="11"/>
                <w:szCs w:val="11"/>
                <w:b w:val="1"/>
                <w:bCs w:val="1"/>
                <w:color w:val="auto"/>
                <w:w w:val="99"/>
              </w:rPr>
              <w:t>% of Net</w:t>
            </w:r>
          </w:p>
        </w:tc>
        <w:tc>
          <w:tcPr>
            <w:tcW w:w="80" w:type="dxa"/>
            <w:vAlign w:val="bottom"/>
          </w:tcPr>
          <w:p>
            <w:pPr>
              <w:spacing w:after="0"/>
              <w:rPr>
                <w:sz w:val="9"/>
                <w:szCs w:val="9"/>
                <w:color w:val="auto"/>
              </w:rPr>
            </w:pPr>
          </w:p>
        </w:tc>
        <w:tc>
          <w:tcPr>
            <w:tcW w:w="94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Dollars</w:t>
            </w:r>
          </w:p>
        </w:tc>
        <w:tc>
          <w:tcPr>
            <w:tcW w:w="960" w:type="dxa"/>
            <w:vAlign w:val="bottom"/>
          </w:tcPr>
          <w:p>
            <w:pPr>
              <w:jc w:val="right"/>
              <w:ind w:right="203"/>
              <w:spacing w:after="0" w:line="107" w:lineRule="exact"/>
              <w:rPr>
                <w:sz w:val="20"/>
                <w:szCs w:val="20"/>
                <w:color w:val="auto"/>
              </w:rPr>
            </w:pPr>
            <w:r>
              <w:rPr>
                <w:rFonts w:ascii="Arial" w:cs="Arial" w:eastAsia="Arial" w:hAnsi="Arial"/>
                <w:sz w:val="11"/>
                <w:szCs w:val="11"/>
                <w:b w:val="1"/>
                <w:bCs w:val="1"/>
                <w:color w:val="auto"/>
              </w:rPr>
              <w:t>% of Net</w:t>
            </w:r>
          </w:p>
        </w:tc>
        <w:tc>
          <w:tcPr>
            <w:tcW w:w="0" w:type="dxa"/>
            <w:vAlign w:val="bottom"/>
          </w:tcPr>
          <w:p>
            <w:pPr>
              <w:spacing w:after="0"/>
              <w:rPr>
                <w:sz w:val="1"/>
                <w:szCs w:val="1"/>
                <w:color w:val="auto"/>
              </w:rPr>
            </w:pPr>
          </w:p>
        </w:tc>
      </w:tr>
      <w:tr>
        <w:trPr>
          <w:trHeight w:val="138"/>
        </w:trPr>
        <w:tc>
          <w:tcPr>
            <w:tcW w:w="27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9"/>
              </w:rPr>
              <w:t>Revenues</w:t>
            </w:r>
          </w:p>
        </w:tc>
        <w:tc>
          <w:tcPr>
            <w:tcW w:w="18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Revenues</w:t>
            </w:r>
          </w:p>
        </w:tc>
        <w:tc>
          <w:tcPr>
            <w:tcW w:w="1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4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1"/>
                <w:szCs w:val="11"/>
                <w:b w:val="1"/>
                <w:bCs w:val="1"/>
                <w:color w:val="auto"/>
                <w:w w:val="99"/>
              </w:rPr>
              <w:t>Revenues</w:t>
            </w:r>
          </w:p>
        </w:tc>
        <w:tc>
          <w:tcPr>
            <w:tcW w:w="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960" w:type="dxa"/>
            <w:vAlign w:val="bottom"/>
          </w:tcPr>
          <w:p>
            <w:pPr>
              <w:jc w:val="right"/>
              <w:ind w:right="143"/>
              <w:spacing w:after="0"/>
              <w:rPr>
                <w:sz w:val="20"/>
                <w:szCs w:val="20"/>
                <w:color w:val="auto"/>
              </w:rPr>
            </w:pPr>
            <w:r>
              <w:rPr>
                <w:rFonts w:ascii="Arial" w:cs="Arial" w:eastAsia="Arial" w:hAnsi="Arial"/>
                <w:sz w:val="11"/>
                <w:szCs w:val="11"/>
                <w:b w:val="1"/>
                <w:bCs w:val="1"/>
                <w:color w:val="auto"/>
              </w:rPr>
              <w:t>Revenues</w:t>
            </w:r>
          </w:p>
        </w:tc>
        <w:tc>
          <w:tcPr>
            <w:tcW w:w="0" w:type="dxa"/>
            <w:vAlign w:val="bottom"/>
          </w:tcPr>
          <w:p>
            <w:pPr>
              <w:spacing w:after="0"/>
              <w:rPr>
                <w:sz w:val="1"/>
                <w:szCs w:val="1"/>
                <w:color w:val="auto"/>
              </w:rPr>
            </w:pPr>
          </w:p>
        </w:tc>
      </w:tr>
      <w:tr>
        <w:trPr>
          <w:trHeight w:val="129"/>
        </w:trPr>
        <w:tc>
          <w:tcPr>
            <w:tcW w:w="2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i w:val="1"/>
                <w:iCs w:val="1"/>
                <w:color w:val="auto"/>
              </w:rPr>
              <w:t>Net revenues:</w:t>
            </w:r>
          </w:p>
        </w:tc>
        <w:tc>
          <w:tcPr>
            <w:tcW w:w="1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right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60" w:type="dxa"/>
            <w:vAlign w:val="bottom"/>
          </w:tcPr>
          <w:p>
            <w:pPr>
              <w:ind w:left="180"/>
              <w:spacing w:after="0"/>
              <w:rPr>
                <w:sz w:val="20"/>
                <w:szCs w:val="20"/>
                <w:color w:val="auto"/>
              </w:rPr>
            </w:pPr>
            <w:r>
              <w:rPr>
                <w:rFonts w:ascii="Arial" w:cs="Arial" w:eastAsia="Arial" w:hAnsi="Arial"/>
                <w:sz w:val="11"/>
                <w:szCs w:val="11"/>
                <w:color w:val="auto"/>
              </w:rPr>
              <w:t>Commission</w:t>
            </w: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83"/>
              <w:spacing w:after="0"/>
              <w:rPr>
                <w:sz w:val="20"/>
                <w:szCs w:val="20"/>
                <w:color w:val="auto"/>
              </w:rPr>
            </w:pPr>
            <w:r>
              <w:rPr>
                <w:rFonts w:ascii="Arial" w:cs="Arial" w:eastAsia="Arial" w:hAnsi="Arial"/>
                <w:sz w:val="11"/>
                <w:szCs w:val="11"/>
                <w:color w:val="auto"/>
              </w:rPr>
              <w:t>881,263</w:t>
            </w:r>
          </w:p>
        </w:tc>
        <w:tc>
          <w:tcPr>
            <w:tcW w:w="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82.9 %</w:t>
            </w:r>
          </w:p>
        </w:tc>
        <w:tc>
          <w:tcPr>
            <w:tcW w:w="80" w:type="dxa"/>
            <w:vAlign w:val="bottom"/>
          </w:tcPr>
          <w:p>
            <w:pPr>
              <w:spacing w:after="0"/>
              <w:rPr>
                <w:sz w:val="12"/>
                <w:szCs w:val="12"/>
                <w:color w:val="auto"/>
              </w:rPr>
            </w:pP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83"/>
              <w:spacing w:after="0"/>
              <w:rPr>
                <w:sz w:val="20"/>
                <w:szCs w:val="20"/>
                <w:color w:val="auto"/>
              </w:rPr>
            </w:pPr>
            <w:r>
              <w:rPr>
                <w:rFonts w:ascii="Arial" w:cs="Arial" w:eastAsia="Arial" w:hAnsi="Arial"/>
                <w:sz w:val="11"/>
                <w:szCs w:val="11"/>
                <w:color w:val="auto"/>
              </w:rPr>
              <w:t>671,140</w:t>
            </w: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76.5 %</w:t>
            </w:r>
          </w:p>
        </w:tc>
        <w:tc>
          <w:tcPr>
            <w:tcW w:w="100" w:type="dxa"/>
            <w:vAlign w:val="bottom"/>
          </w:tcPr>
          <w:p>
            <w:pPr>
              <w:spacing w:after="0"/>
              <w:rPr>
                <w:sz w:val="12"/>
                <w:szCs w:val="12"/>
                <w:color w:val="auto"/>
              </w:rPr>
            </w:pP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243,347</w:t>
            </w:r>
          </w:p>
        </w:tc>
        <w:tc>
          <w:tcPr>
            <w:tcW w:w="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78.9 %</w:t>
            </w:r>
          </w:p>
        </w:tc>
        <w:tc>
          <w:tcPr>
            <w:tcW w:w="280" w:type="dxa"/>
            <w:vAlign w:val="bottom"/>
            <w:tcBorders>
              <w:right w:val="single" w:sz="8" w:color="auto"/>
            </w:tcBorders>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103"/>
              <w:spacing w:after="0"/>
              <w:rPr>
                <w:sz w:val="20"/>
                <w:szCs w:val="20"/>
                <w:color w:val="auto"/>
              </w:rPr>
            </w:pPr>
            <w:r>
              <w:rPr>
                <w:rFonts w:ascii="Arial" w:cs="Arial" w:eastAsia="Arial" w:hAnsi="Arial"/>
                <w:sz w:val="11"/>
                <w:szCs w:val="11"/>
                <w:color w:val="auto"/>
              </w:rPr>
              <w:t>175,834</w:t>
            </w:r>
          </w:p>
        </w:tc>
        <w:tc>
          <w:tcPr>
            <w:tcW w:w="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76.1 %</w:t>
            </w: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Enterprise</w:t>
            </w:r>
          </w:p>
        </w:tc>
        <w:tc>
          <w:tcPr>
            <w:tcW w:w="1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181,152</w:t>
            </w:r>
          </w:p>
        </w:tc>
        <w:tc>
          <w:tcPr>
            <w:tcW w:w="8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17.1 %</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206,210</w:t>
            </w:r>
          </w:p>
        </w:tc>
        <w:tc>
          <w:tcPr>
            <w:tcW w:w="100" w:type="dxa"/>
            <w:vAlign w:val="bottom"/>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23.5 %</w:t>
            </w: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65,144</w:t>
            </w:r>
          </w:p>
        </w:tc>
        <w:tc>
          <w:tcPr>
            <w:tcW w:w="8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21.1 %</w:t>
            </w:r>
          </w:p>
        </w:tc>
        <w:tc>
          <w:tcPr>
            <w:tcW w:w="280" w:type="dxa"/>
            <w:vAlign w:val="bottom"/>
            <w:tcBorders>
              <w:right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55,176</w:t>
            </w:r>
          </w:p>
        </w:tc>
        <w:tc>
          <w:tcPr>
            <w:tcW w:w="8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23.9 %</w:t>
            </w:r>
          </w:p>
        </w:tc>
        <w:tc>
          <w:tcPr>
            <w:tcW w:w="0" w:type="dxa"/>
            <w:vAlign w:val="bottom"/>
          </w:tcPr>
          <w:p>
            <w:pPr>
              <w:spacing w:after="0"/>
              <w:rPr>
                <w:sz w:val="1"/>
                <w:szCs w:val="1"/>
                <w:color w:val="auto"/>
              </w:rPr>
            </w:pPr>
          </w:p>
        </w:tc>
      </w:tr>
      <w:tr>
        <w:trPr>
          <w:trHeight w:val="139"/>
        </w:trPr>
        <w:tc>
          <w:tcPr>
            <w:tcW w:w="27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Net revenues</w:t>
            </w: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1,062,415</w:t>
            </w:r>
          </w:p>
        </w:tc>
        <w:tc>
          <w:tcPr>
            <w:tcW w:w="8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100.0 %</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877,350</w:t>
            </w:r>
          </w:p>
        </w:tc>
        <w:tc>
          <w:tcPr>
            <w:tcW w:w="10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100.0 %</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308,491</w:t>
            </w:r>
          </w:p>
        </w:tc>
        <w:tc>
          <w:tcPr>
            <w:tcW w:w="8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100.0 %</w:t>
            </w:r>
          </w:p>
        </w:tc>
        <w:tc>
          <w:tcPr>
            <w:tcW w:w="280" w:type="dxa"/>
            <w:vAlign w:val="bottom"/>
            <w:tcBorders>
              <w:bottom w:val="single" w:sz="8" w:color="CCEEFF"/>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231,010</w:t>
            </w:r>
          </w:p>
        </w:tc>
        <w:tc>
          <w:tcPr>
            <w:tcW w:w="8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100.0 %</w:t>
            </w:r>
          </w:p>
        </w:tc>
        <w:tc>
          <w:tcPr>
            <w:tcW w:w="0" w:type="dxa"/>
            <w:vAlign w:val="bottom"/>
          </w:tcPr>
          <w:p>
            <w:pPr>
              <w:spacing w:after="0"/>
              <w:rPr>
                <w:sz w:val="1"/>
                <w:szCs w:val="1"/>
                <w:color w:val="auto"/>
              </w:rPr>
            </w:pPr>
          </w:p>
        </w:tc>
      </w:tr>
      <w:tr>
        <w:trPr>
          <w:trHeight w:val="129"/>
        </w:trPr>
        <w:tc>
          <w:tcPr>
            <w:tcW w:w="2760" w:type="dxa"/>
            <w:vAlign w:val="bottom"/>
            <w:shd w:val="clear" w:color="auto" w:fill="CCEEFF"/>
          </w:tcPr>
          <w:p>
            <w:pPr>
              <w:ind w:left="20"/>
              <w:spacing w:after="0"/>
              <w:rPr>
                <w:sz w:val="20"/>
                <w:szCs w:val="20"/>
                <w:color w:val="auto"/>
              </w:rPr>
            </w:pPr>
            <w:r>
              <w:rPr>
                <w:rFonts w:ascii="Arial" w:cs="Arial" w:eastAsia="Arial" w:hAnsi="Arial"/>
                <w:sz w:val="11"/>
                <w:szCs w:val="11"/>
                <w:i w:val="1"/>
                <w:iCs w:val="1"/>
                <w:color w:val="auto"/>
              </w:rPr>
              <w:t>Operating expenses:</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8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60" w:type="dxa"/>
            <w:vAlign w:val="bottom"/>
          </w:tcPr>
          <w:p>
            <w:pPr>
              <w:ind w:left="180"/>
              <w:spacing w:after="0"/>
              <w:rPr>
                <w:sz w:val="20"/>
                <w:szCs w:val="20"/>
                <w:color w:val="auto"/>
              </w:rPr>
            </w:pPr>
            <w:r>
              <w:rPr>
                <w:rFonts w:ascii="Arial" w:cs="Arial" w:eastAsia="Arial" w:hAnsi="Arial"/>
                <w:sz w:val="11"/>
                <w:szCs w:val="11"/>
                <w:color w:val="auto"/>
              </w:rPr>
              <w:t>Cost of revenue</w:t>
            </w:r>
          </w:p>
        </w:tc>
        <w:tc>
          <w:tcPr>
            <w:tcW w:w="180" w:type="dxa"/>
            <w:vAlign w:val="bottom"/>
          </w:tcPr>
          <w:p>
            <w:pPr>
              <w:spacing w:after="0"/>
              <w:rPr>
                <w:sz w:val="12"/>
                <w:szCs w:val="12"/>
                <w:color w:val="auto"/>
              </w:rPr>
            </w:pPr>
          </w:p>
        </w:tc>
        <w:tc>
          <w:tcPr>
            <w:tcW w:w="780" w:type="dxa"/>
            <w:vAlign w:val="bottom"/>
          </w:tcPr>
          <w:p>
            <w:pPr>
              <w:jc w:val="right"/>
              <w:ind w:right="83"/>
              <w:spacing w:after="0"/>
              <w:rPr>
                <w:sz w:val="20"/>
                <w:szCs w:val="20"/>
                <w:color w:val="auto"/>
              </w:rPr>
            </w:pPr>
            <w:r>
              <w:rPr>
                <w:rFonts w:ascii="Arial" w:cs="Arial" w:eastAsia="Arial" w:hAnsi="Arial"/>
                <w:sz w:val="11"/>
                <w:szCs w:val="11"/>
                <w:color w:val="auto"/>
              </w:rPr>
              <w:t>239,335</w:t>
            </w:r>
          </w:p>
        </w:tc>
        <w:tc>
          <w:tcPr>
            <w:tcW w:w="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22.5 %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83"/>
              <w:spacing w:after="0"/>
              <w:rPr>
                <w:sz w:val="20"/>
                <w:szCs w:val="20"/>
                <w:color w:val="auto"/>
              </w:rPr>
            </w:pPr>
            <w:r>
              <w:rPr>
                <w:rFonts w:ascii="Arial" w:cs="Arial" w:eastAsia="Arial" w:hAnsi="Arial"/>
                <w:sz w:val="11"/>
                <w:szCs w:val="11"/>
                <w:color w:val="auto"/>
              </w:rPr>
              <w:t>199,202</w:t>
            </w: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22.7 %</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90,384</w:t>
            </w:r>
          </w:p>
        </w:tc>
        <w:tc>
          <w:tcPr>
            <w:tcW w:w="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29.3 %</w:t>
            </w: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103"/>
              <w:spacing w:after="0"/>
              <w:rPr>
                <w:sz w:val="20"/>
                <w:szCs w:val="20"/>
                <w:color w:val="auto"/>
              </w:rPr>
            </w:pPr>
            <w:r>
              <w:rPr>
                <w:rFonts w:ascii="Arial" w:cs="Arial" w:eastAsia="Arial" w:hAnsi="Arial"/>
                <w:sz w:val="11"/>
                <w:szCs w:val="11"/>
                <w:color w:val="auto"/>
              </w:rPr>
              <w:t>79,169</w:t>
            </w:r>
          </w:p>
        </w:tc>
        <w:tc>
          <w:tcPr>
            <w:tcW w:w="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34.3 %</w:t>
            </w: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Marketing and advertising</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365,141</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34.4 %</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206,864</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23.6 %</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24,811</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8.0 %</w:t>
            </w:r>
          </w:p>
        </w:tc>
        <w:tc>
          <w:tcPr>
            <w:tcW w:w="28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37,769</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16.3 %</w:t>
            </w:r>
          </w:p>
        </w:tc>
        <w:tc>
          <w:tcPr>
            <w:tcW w:w="0" w:type="dxa"/>
            <w:vAlign w:val="bottom"/>
          </w:tcPr>
          <w:p>
            <w:pPr>
              <w:spacing w:after="0"/>
              <w:rPr>
                <w:sz w:val="1"/>
                <w:szCs w:val="1"/>
                <w:color w:val="auto"/>
              </w:rPr>
            </w:pPr>
          </w:p>
        </w:tc>
      </w:tr>
      <w:tr>
        <w:trPr>
          <w:trHeight w:val="149"/>
        </w:trPr>
        <w:tc>
          <w:tcPr>
            <w:tcW w:w="2760" w:type="dxa"/>
            <w:vAlign w:val="bottom"/>
          </w:tcPr>
          <w:p>
            <w:pPr>
              <w:ind w:left="180"/>
              <w:spacing w:after="0"/>
              <w:rPr>
                <w:sz w:val="20"/>
                <w:szCs w:val="20"/>
                <w:color w:val="auto"/>
              </w:rPr>
            </w:pPr>
            <w:r>
              <w:rPr>
                <w:rFonts w:ascii="Arial" w:cs="Arial" w:eastAsia="Arial" w:hAnsi="Arial"/>
                <w:sz w:val="11"/>
                <w:szCs w:val="11"/>
                <w:color w:val="auto"/>
              </w:rPr>
              <w:t>Customer care and enrollment</w:t>
            </w:r>
          </w:p>
        </w:tc>
        <w:tc>
          <w:tcPr>
            <w:tcW w:w="180" w:type="dxa"/>
            <w:vAlign w:val="bottom"/>
          </w:tcPr>
          <w:p>
            <w:pPr>
              <w:spacing w:after="0"/>
              <w:rPr>
                <w:sz w:val="12"/>
                <w:szCs w:val="12"/>
                <w:color w:val="auto"/>
              </w:rPr>
            </w:pPr>
          </w:p>
        </w:tc>
        <w:tc>
          <w:tcPr>
            <w:tcW w:w="780" w:type="dxa"/>
            <w:vAlign w:val="bottom"/>
          </w:tcPr>
          <w:p>
            <w:pPr>
              <w:jc w:val="right"/>
              <w:ind w:right="83"/>
              <w:spacing w:after="0"/>
              <w:rPr>
                <w:sz w:val="20"/>
                <w:szCs w:val="20"/>
                <w:color w:val="auto"/>
              </w:rPr>
            </w:pPr>
            <w:r>
              <w:rPr>
                <w:rFonts w:ascii="Arial" w:cs="Arial" w:eastAsia="Arial" w:hAnsi="Arial"/>
                <w:sz w:val="11"/>
                <w:szCs w:val="11"/>
                <w:color w:val="auto"/>
              </w:rPr>
              <w:t>320,165</w:t>
            </w:r>
          </w:p>
        </w:tc>
        <w:tc>
          <w:tcPr>
            <w:tcW w:w="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30.1 %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83"/>
              <w:spacing w:after="0"/>
              <w:rPr>
                <w:sz w:val="20"/>
                <w:szCs w:val="20"/>
                <w:color w:val="auto"/>
              </w:rPr>
            </w:pPr>
            <w:r>
              <w:rPr>
                <w:rFonts w:ascii="Arial" w:cs="Arial" w:eastAsia="Arial" w:hAnsi="Arial"/>
                <w:sz w:val="11"/>
                <w:szCs w:val="11"/>
                <w:color w:val="auto"/>
              </w:rPr>
              <w:t>165,497</w:t>
            </w: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18.9 %</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44,356</w:t>
            </w:r>
          </w:p>
        </w:tc>
        <w:tc>
          <w:tcPr>
            <w:tcW w:w="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14.4 %</w:t>
            </w: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103"/>
              <w:spacing w:after="0"/>
              <w:rPr>
                <w:sz w:val="20"/>
                <w:szCs w:val="20"/>
                <w:color w:val="auto"/>
              </w:rPr>
            </w:pPr>
            <w:r>
              <w:rPr>
                <w:rFonts w:ascii="Arial" w:cs="Arial" w:eastAsia="Arial" w:hAnsi="Arial"/>
                <w:sz w:val="11"/>
                <w:szCs w:val="11"/>
                <w:color w:val="auto"/>
              </w:rPr>
              <w:t>49,149</w:t>
            </w:r>
          </w:p>
        </w:tc>
        <w:tc>
          <w:tcPr>
            <w:tcW w:w="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21.3 %</w:t>
            </w: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Technology</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48,429</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4.6 %</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59,348</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6.8 %</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6,006</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1.9 %</w:t>
            </w:r>
          </w:p>
        </w:tc>
        <w:tc>
          <w:tcPr>
            <w:tcW w:w="28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40,312</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17.5 %</w:t>
            </w:r>
          </w:p>
        </w:tc>
        <w:tc>
          <w:tcPr>
            <w:tcW w:w="0" w:type="dxa"/>
            <w:vAlign w:val="bottom"/>
          </w:tcPr>
          <w:p>
            <w:pPr>
              <w:spacing w:after="0"/>
              <w:rPr>
                <w:sz w:val="1"/>
                <w:szCs w:val="1"/>
                <w:color w:val="auto"/>
              </w:rPr>
            </w:pPr>
          </w:p>
        </w:tc>
      </w:tr>
      <w:tr>
        <w:trPr>
          <w:trHeight w:val="149"/>
        </w:trPr>
        <w:tc>
          <w:tcPr>
            <w:tcW w:w="2760" w:type="dxa"/>
            <w:vAlign w:val="bottom"/>
          </w:tcPr>
          <w:p>
            <w:pPr>
              <w:ind w:left="180"/>
              <w:spacing w:after="0"/>
              <w:rPr>
                <w:sz w:val="20"/>
                <w:szCs w:val="20"/>
                <w:color w:val="auto"/>
              </w:rPr>
            </w:pPr>
            <w:r>
              <w:rPr>
                <w:rFonts w:ascii="Arial" w:cs="Arial" w:eastAsia="Arial" w:hAnsi="Arial"/>
                <w:sz w:val="11"/>
                <w:szCs w:val="11"/>
                <w:color w:val="auto"/>
              </w:rPr>
              <w:t>General and administrative</w:t>
            </w:r>
          </w:p>
        </w:tc>
        <w:tc>
          <w:tcPr>
            <w:tcW w:w="180" w:type="dxa"/>
            <w:vAlign w:val="bottom"/>
          </w:tcPr>
          <w:p>
            <w:pPr>
              <w:spacing w:after="0"/>
              <w:rPr>
                <w:sz w:val="12"/>
                <w:szCs w:val="12"/>
                <w:color w:val="auto"/>
              </w:rPr>
            </w:pPr>
          </w:p>
        </w:tc>
        <w:tc>
          <w:tcPr>
            <w:tcW w:w="780" w:type="dxa"/>
            <w:vAlign w:val="bottom"/>
          </w:tcPr>
          <w:p>
            <w:pPr>
              <w:jc w:val="right"/>
              <w:ind w:right="83"/>
              <w:spacing w:after="0"/>
              <w:rPr>
                <w:sz w:val="20"/>
                <w:szCs w:val="20"/>
                <w:color w:val="auto"/>
              </w:rPr>
            </w:pPr>
            <w:r>
              <w:rPr>
                <w:rFonts w:ascii="Arial" w:cs="Arial" w:eastAsia="Arial" w:hAnsi="Arial"/>
                <w:sz w:val="11"/>
                <w:szCs w:val="11"/>
                <w:color w:val="auto"/>
              </w:rPr>
              <w:t>98,183</w:t>
            </w:r>
          </w:p>
        </w:tc>
        <w:tc>
          <w:tcPr>
            <w:tcW w:w="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9.2 %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83"/>
              <w:spacing w:after="0"/>
              <w:rPr>
                <w:sz w:val="20"/>
                <w:szCs w:val="20"/>
                <w:color w:val="auto"/>
              </w:rPr>
            </w:pPr>
            <w:r>
              <w:rPr>
                <w:rFonts w:ascii="Arial" w:cs="Arial" w:eastAsia="Arial" w:hAnsi="Arial"/>
                <w:sz w:val="11"/>
                <w:szCs w:val="11"/>
                <w:color w:val="auto"/>
              </w:rPr>
              <w:t>197,229</w:t>
            </w: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22.5 %</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13,674</w:t>
            </w:r>
          </w:p>
        </w:tc>
        <w:tc>
          <w:tcPr>
            <w:tcW w:w="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4.4 %</w:t>
            </w: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103"/>
              <w:spacing w:after="0"/>
              <w:rPr>
                <w:sz w:val="20"/>
                <w:szCs w:val="20"/>
                <w:color w:val="auto"/>
              </w:rPr>
            </w:pPr>
            <w:r>
              <w:rPr>
                <w:rFonts w:ascii="Arial" w:cs="Arial" w:eastAsia="Arial" w:hAnsi="Arial"/>
                <w:sz w:val="11"/>
                <w:szCs w:val="11"/>
                <w:color w:val="auto"/>
              </w:rPr>
              <w:t>79,219</w:t>
            </w:r>
          </w:p>
        </w:tc>
        <w:tc>
          <w:tcPr>
            <w:tcW w:w="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34.3 %</w:t>
            </w:r>
          </w:p>
        </w:tc>
        <w:tc>
          <w:tcPr>
            <w:tcW w:w="0" w:type="dxa"/>
            <w:vAlign w:val="bottom"/>
          </w:tcPr>
          <w:p>
            <w:pPr>
              <w:spacing w:after="0"/>
              <w:rPr>
                <w:sz w:val="1"/>
                <w:szCs w:val="1"/>
                <w:color w:val="auto"/>
              </w:rPr>
            </w:pPr>
          </w:p>
        </w:tc>
      </w:tr>
      <w:tr>
        <w:trPr>
          <w:trHeight w:val="120"/>
        </w:trPr>
        <w:tc>
          <w:tcPr>
            <w:tcW w:w="2760" w:type="dxa"/>
            <w:vAlign w:val="bottom"/>
            <w:shd w:val="clear" w:color="auto" w:fill="CCEEFF"/>
          </w:tcPr>
          <w:p>
            <w:pPr>
              <w:ind w:left="180"/>
              <w:spacing w:after="0" w:line="121" w:lineRule="exact"/>
              <w:rPr>
                <w:sz w:val="20"/>
                <w:szCs w:val="20"/>
                <w:color w:val="auto"/>
              </w:rPr>
            </w:pPr>
            <w:r>
              <w:rPr>
                <w:rFonts w:ascii="Arial" w:cs="Arial" w:eastAsia="Arial" w:hAnsi="Arial"/>
                <w:sz w:val="11"/>
                <w:szCs w:val="11"/>
                <w:color w:val="auto"/>
              </w:rPr>
              <w:t>Change in fair value of contingent consideration</w:t>
            </w:r>
          </w:p>
        </w:tc>
        <w:tc>
          <w:tcPr>
            <w:tcW w:w="1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 %</w:t>
            </w:r>
          </w:p>
        </w:tc>
        <w:tc>
          <w:tcPr>
            <w:tcW w:w="1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color w:val="auto"/>
              </w:rPr>
              <w:t>19,700</w:t>
            </w: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2.2 %</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103"/>
              <w:spacing w:after="0"/>
              <w:rPr>
                <w:sz w:val="20"/>
                <w:szCs w:val="20"/>
                <w:color w:val="auto"/>
              </w:rPr>
            </w:pPr>
            <w:r>
              <w:rPr>
                <w:rFonts w:ascii="Arial" w:cs="Arial" w:eastAsia="Arial" w:hAnsi="Arial"/>
                <w:sz w:val="11"/>
                <w:szCs w:val="11"/>
                <w:color w:val="auto"/>
              </w:rPr>
              <w:t>70,700</w:t>
            </w:r>
          </w:p>
        </w:tc>
        <w:tc>
          <w:tcPr>
            <w:tcW w:w="8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22.9 %</w:t>
            </w:r>
          </w:p>
        </w:tc>
        <w:tc>
          <w:tcPr>
            <w:tcW w:w="28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34"/>
        </w:trPr>
        <w:tc>
          <w:tcPr>
            <w:tcW w:w="27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liability</w:t>
            </w:r>
          </w:p>
        </w:tc>
        <w:tc>
          <w:tcPr>
            <w:tcW w:w="180" w:type="dxa"/>
            <w:vAlign w:val="bottom"/>
            <w:shd w:val="clear" w:color="auto" w:fill="CCEEFF"/>
          </w:tcPr>
          <w:p>
            <w:pPr>
              <w:spacing w:after="0"/>
              <w:rPr>
                <w:sz w:val="11"/>
                <w:szCs w:val="11"/>
                <w:color w:val="auto"/>
              </w:rPr>
            </w:pPr>
          </w:p>
        </w:tc>
        <w:tc>
          <w:tcPr>
            <w:tcW w:w="860" w:type="dxa"/>
            <w:vAlign w:val="bottom"/>
            <w:gridSpan w:val="2"/>
            <w:vMerge w:val="continue"/>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vMerge w:val="continue"/>
            <w:shd w:val="clear" w:color="auto" w:fill="CCEEFF"/>
          </w:tcPr>
          <w:p>
            <w:pPr>
              <w:spacing w:after="0"/>
              <w:rPr>
                <w:sz w:val="11"/>
                <w:szCs w:val="11"/>
                <w:color w:val="auto"/>
              </w:rPr>
            </w:pPr>
          </w:p>
        </w:tc>
        <w:tc>
          <w:tcPr>
            <w:tcW w:w="28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vMerge w:val="continue"/>
            <w:shd w:val="clear" w:color="auto" w:fill="CCEEFF"/>
          </w:tcPr>
          <w:p>
            <w:pPr>
              <w:spacing w:after="0"/>
              <w:rPr>
                <w:sz w:val="11"/>
                <w:szCs w:val="11"/>
                <w:color w:val="auto"/>
              </w:rPr>
            </w:pPr>
          </w:p>
        </w:tc>
        <w:tc>
          <w:tcPr>
            <w:tcW w:w="9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60" w:type="dxa"/>
            <w:vAlign w:val="bottom"/>
          </w:tcPr>
          <w:p>
            <w:pPr>
              <w:ind w:left="180"/>
              <w:spacing w:after="0"/>
              <w:rPr>
                <w:sz w:val="20"/>
                <w:szCs w:val="20"/>
                <w:color w:val="auto"/>
              </w:rPr>
            </w:pPr>
            <w:r>
              <w:rPr>
                <w:rFonts w:ascii="Arial" w:cs="Arial" w:eastAsia="Arial" w:hAnsi="Arial"/>
                <w:sz w:val="11"/>
                <w:szCs w:val="11"/>
                <w:color w:val="auto"/>
              </w:rPr>
              <w:t>Amortization of intangible assets</w:t>
            </w:r>
          </w:p>
        </w:tc>
        <w:tc>
          <w:tcPr>
            <w:tcW w:w="180" w:type="dxa"/>
            <w:vAlign w:val="bottom"/>
          </w:tcPr>
          <w:p>
            <w:pPr>
              <w:spacing w:after="0"/>
              <w:rPr>
                <w:sz w:val="12"/>
                <w:szCs w:val="12"/>
                <w:color w:val="auto"/>
              </w:rPr>
            </w:pPr>
          </w:p>
        </w:tc>
        <w:tc>
          <w:tcPr>
            <w:tcW w:w="780" w:type="dxa"/>
            <w:vAlign w:val="bottom"/>
          </w:tcPr>
          <w:p>
            <w:pPr>
              <w:jc w:val="right"/>
              <w:ind w:right="83"/>
              <w:spacing w:after="0"/>
              <w:rPr>
                <w:sz w:val="20"/>
                <w:szCs w:val="20"/>
                <w:color w:val="auto"/>
              </w:rPr>
            </w:pPr>
            <w:r>
              <w:rPr>
                <w:rFonts w:ascii="Arial" w:cs="Arial" w:eastAsia="Arial" w:hAnsi="Arial"/>
                <w:sz w:val="11"/>
                <w:szCs w:val="11"/>
                <w:color w:val="auto"/>
              </w:rPr>
              <w:t>94,056</w:t>
            </w:r>
          </w:p>
        </w:tc>
        <w:tc>
          <w:tcPr>
            <w:tcW w:w="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8.9 %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83"/>
              <w:spacing w:after="0"/>
              <w:rPr>
                <w:sz w:val="20"/>
                <w:szCs w:val="20"/>
                <w:color w:val="auto"/>
              </w:rPr>
            </w:pPr>
            <w:r>
              <w:rPr>
                <w:rFonts w:ascii="Arial" w:cs="Arial" w:eastAsia="Arial" w:hAnsi="Arial"/>
                <w:sz w:val="11"/>
                <w:szCs w:val="11"/>
                <w:color w:val="auto"/>
              </w:rPr>
              <w:t>94,056</w:t>
            </w: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10.7 %</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28,217</w:t>
            </w:r>
          </w:p>
        </w:tc>
        <w:tc>
          <w:tcPr>
            <w:tcW w:w="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9.1 %</w:t>
            </w: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Goodwill impairment charges</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386,553</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36.4 %</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 %</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4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 %</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49"/>
        </w:trPr>
        <w:tc>
          <w:tcPr>
            <w:tcW w:w="2760" w:type="dxa"/>
            <w:vAlign w:val="bottom"/>
          </w:tcPr>
          <w:p>
            <w:pPr>
              <w:ind w:left="180"/>
              <w:spacing w:after="0"/>
              <w:rPr>
                <w:sz w:val="20"/>
                <w:szCs w:val="20"/>
                <w:color w:val="auto"/>
              </w:rPr>
            </w:pPr>
            <w:r>
              <w:rPr>
                <w:rFonts w:ascii="Arial" w:cs="Arial" w:eastAsia="Arial" w:hAnsi="Arial"/>
                <w:sz w:val="11"/>
                <w:szCs w:val="11"/>
                <w:color w:val="auto"/>
              </w:rPr>
              <w:t>Acquisition related transaction costs</w:t>
            </w:r>
          </w:p>
        </w:tc>
        <w:tc>
          <w:tcPr>
            <w:tcW w:w="18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1"/>
                <w:szCs w:val="11"/>
                <w:color w:val="auto"/>
              </w:rPr>
              <w:t>— %</w:t>
            </w:r>
          </w:p>
        </w:tc>
        <w:tc>
          <w:tcPr>
            <w:tcW w:w="1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1"/>
                <w:szCs w:val="11"/>
                <w:color w:val="auto"/>
              </w:rPr>
              <w:t>— %</w:t>
            </w:r>
          </w:p>
        </w:tc>
        <w:tc>
          <w:tcPr>
            <w:tcW w:w="180" w:type="dxa"/>
            <w:vAlign w:val="bottom"/>
          </w:tcPr>
          <w:p>
            <w:pPr>
              <w:spacing w:after="0"/>
              <w:rPr>
                <w:sz w:val="12"/>
                <w:szCs w:val="12"/>
                <w:color w:val="auto"/>
              </w:rPr>
            </w:pP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6,245</w:t>
            </w:r>
          </w:p>
        </w:tc>
        <w:tc>
          <w:tcPr>
            <w:tcW w:w="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2.0 %</w:t>
            </w: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103"/>
              <w:spacing w:after="0"/>
              <w:rPr>
                <w:sz w:val="20"/>
                <w:szCs w:val="20"/>
                <w:color w:val="auto"/>
              </w:rPr>
            </w:pPr>
            <w:r>
              <w:rPr>
                <w:rFonts w:ascii="Arial" w:cs="Arial" w:eastAsia="Arial" w:hAnsi="Arial"/>
                <w:sz w:val="11"/>
                <w:szCs w:val="11"/>
                <w:color w:val="auto"/>
              </w:rPr>
              <w:t>2,267</w:t>
            </w:r>
          </w:p>
        </w:tc>
        <w:tc>
          <w:tcPr>
            <w:tcW w:w="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1.0 %</w:t>
            </w:r>
          </w:p>
        </w:tc>
        <w:tc>
          <w:tcPr>
            <w:tcW w:w="0" w:type="dxa"/>
            <w:vAlign w:val="bottom"/>
          </w:tcPr>
          <w:p>
            <w:pPr>
              <w:spacing w:after="0"/>
              <w:rPr>
                <w:sz w:val="1"/>
                <w:szCs w:val="1"/>
                <w:color w:val="auto"/>
              </w:rPr>
            </w:pPr>
          </w:p>
        </w:tc>
      </w:tr>
      <w:tr>
        <w:trPr>
          <w:trHeight w:val="139"/>
        </w:trPr>
        <w:tc>
          <w:tcPr>
            <w:tcW w:w="2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operating expenses</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1,551,862</w:t>
            </w:r>
          </w:p>
        </w:tc>
        <w:tc>
          <w:tcPr>
            <w:tcW w:w="8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146.1 %</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941,896</w:t>
            </w:r>
          </w:p>
        </w:tc>
        <w:tc>
          <w:tcPr>
            <w:tcW w:w="10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107.4 %</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284,393</w:t>
            </w:r>
          </w:p>
        </w:tc>
        <w:tc>
          <w:tcPr>
            <w:tcW w:w="8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92.2 %</w:t>
            </w:r>
          </w:p>
        </w:tc>
        <w:tc>
          <w:tcPr>
            <w:tcW w:w="280" w:type="dxa"/>
            <w:vAlign w:val="bottom"/>
            <w:tcBorders>
              <w:top w:val="single" w:sz="8" w:color="CCEEFF"/>
              <w:right w:val="single" w:sz="8" w:color="auto"/>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287,885</w:t>
            </w:r>
          </w:p>
        </w:tc>
        <w:tc>
          <w:tcPr>
            <w:tcW w:w="8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124.6 %</w:t>
            </w:r>
          </w:p>
        </w:tc>
        <w:tc>
          <w:tcPr>
            <w:tcW w:w="0" w:type="dxa"/>
            <w:vAlign w:val="bottom"/>
          </w:tcPr>
          <w:p>
            <w:pPr>
              <w:spacing w:after="0"/>
              <w:rPr>
                <w:sz w:val="1"/>
                <w:szCs w:val="1"/>
                <w:color w:val="auto"/>
              </w:rPr>
            </w:pPr>
          </w:p>
        </w:tc>
      </w:tr>
      <w:tr>
        <w:trPr>
          <w:trHeight w:val="139"/>
        </w:trPr>
        <w:tc>
          <w:tcPr>
            <w:tcW w:w="2760" w:type="dxa"/>
            <w:vAlign w:val="bottom"/>
          </w:tcPr>
          <w:p>
            <w:pPr>
              <w:ind w:left="20"/>
              <w:spacing w:after="0"/>
              <w:rPr>
                <w:sz w:val="20"/>
                <w:szCs w:val="20"/>
                <w:color w:val="auto"/>
              </w:rPr>
            </w:pPr>
            <w:r>
              <w:rPr>
                <w:rFonts w:ascii="Arial" w:cs="Arial" w:eastAsia="Arial" w:hAnsi="Arial"/>
                <w:sz w:val="11"/>
                <w:szCs w:val="11"/>
                <w:color w:val="auto"/>
              </w:rPr>
              <w:t>Income (loss) from operations</w:t>
            </w:r>
          </w:p>
        </w:tc>
        <w:tc>
          <w:tcPr>
            <w:tcW w:w="180" w:type="dxa"/>
            <w:vAlign w:val="bottom"/>
          </w:tcPr>
          <w:p>
            <w:pPr>
              <w:spacing w:after="0"/>
              <w:rPr>
                <w:sz w:val="12"/>
                <w:szCs w:val="12"/>
                <w:color w:val="auto"/>
              </w:rPr>
            </w:pPr>
          </w:p>
        </w:tc>
        <w:tc>
          <w:tcPr>
            <w:tcW w:w="780" w:type="dxa"/>
            <w:vAlign w:val="bottom"/>
          </w:tcPr>
          <w:p>
            <w:pPr>
              <w:jc w:val="right"/>
              <w:ind w:right="63"/>
              <w:spacing w:after="0"/>
              <w:rPr>
                <w:sz w:val="20"/>
                <w:szCs w:val="20"/>
                <w:color w:val="auto"/>
              </w:rPr>
            </w:pPr>
            <w:r>
              <w:rPr>
                <w:rFonts w:ascii="Arial" w:cs="Arial" w:eastAsia="Arial" w:hAnsi="Arial"/>
                <w:sz w:val="11"/>
                <w:szCs w:val="11"/>
                <w:color w:val="auto"/>
              </w:rPr>
              <w:t>(489,447)</w:t>
            </w:r>
          </w:p>
        </w:tc>
        <w:tc>
          <w:tcPr>
            <w:tcW w:w="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(46.1)%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43"/>
              <w:spacing w:after="0"/>
              <w:rPr>
                <w:sz w:val="20"/>
                <w:szCs w:val="20"/>
                <w:color w:val="auto"/>
              </w:rPr>
            </w:pPr>
            <w:r>
              <w:rPr>
                <w:rFonts w:ascii="Arial" w:cs="Arial" w:eastAsia="Arial" w:hAnsi="Arial"/>
                <w:sz w:val="11"/>
                <w:szCs w:val="11"/>
                <w:color w:val="auto"/>
              </w:rPr>
              <w:t>(64,546)</w:t>
            </w: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(7.4)%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24,098</w:t>
            </w:r>
          </w:p>
        </w:tc>
        <w:tc>
          <w:tcPr>
            <w:tcW w:w="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7.8 %</w:t>
            </w: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63"/>
              <w:spacing w:after="0"/>
              <w:rPr>
                <w:sz w:val="20"/>
                <w:szCs w:val="20"/>
                <w:color w:val="auto"/>
              </w:rPr>
            </w:pPr>
            <w:r>
              <w:rPr>
                <w:rFonts w:ascii="Arial" w:cs="Arial" w:eastAsia="Arial" w:hAnsi="Arial"/>
                <w:sz w:val="11"/>
                <w:szCs w:val="11"/>
                <w:color w:val="auto"/>
              </w:rPr>
              <w:t>(56,875)</w:t>
            </w:r>
          </w:p>
        </w:tc>
        <w:tc>
          <w:tcPr>
            <w:tcW w:w="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(24.6)%</w:t>
            </w: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 expense</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33,505</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3.2 %</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32,969</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3.8 %</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8,076</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2.6 %</w:t>
            </w:r>
          </w:p>
        </w:tc>
        <w:tc>
          <w:tcPr>
            <w:tcW w:w="28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140</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0.1 %</w:t>
            </w:r>
          </w:p>
        </w:tc>
        <w:tc>
          <w:tcPr>
            <w:tcW w:w="0" w:type="dxa"/>
            <w:vAlign w:val="bottom"/>
          </w:tcPr>
          <w:p>
            <w:pPr>
              <w:spacing w:after="0"/>
              <w:rPr>
                <w:sz w:val="1"/>
                <w:szCs w:val="1"/>
                <w:color w:val="auto"/>
              </w:rPr>
            </w:pPr>
          </w:p>
        </w:tc>
      </w:tr>
      <w:tr>
        <w:trPr>
          <w:trHeight w:val="149"/>
        </w:trPr>
        <w:tc>
          <w:tcPr>
            <w:tcW w:w="2760" w:type="dxa"/>
            <w:vAlign w:val="bottom"/>
          </w:tcPr>
          <w:p>
            <w:pPr>
              <w:ind w:left="20"/>
              <w:spacing w:after="0"/>
              <w:rPr>
                <w:sz w:val="20"/>
                <w:szCs w:val="20"/>
                <w:color w:val="auto"/>
              </w:rPr>
            </w:pPr>
            <w:r>
              <w:rPr>
                <w:rFonts w:ascii="Arial" w:cs="Arial" w:eastAsia="Arial" w:hAnsi="Arial"/>
                <w:sz w:val="11"/>
                <w:szCs w:val="11"/>
                <w:color w:val="auto"/>
              </w:rPr>
              <w:t>Loss on extinguishment of debt</w:t>
            </w:r>
          </w:p>
        </w:tc>
        <w:tc>
          <w:tcPr>
            <w:tcW w:w="180" w:type="dxa"/>
            <w:vAlign w:val="bottom"/>
          </w:tcPr>
          <w:p>
            <w:pPr>
              <w:spacing w:after="0"/>
              <w:rPr>
                <w:sz w:val="12"/>
                <w:szCs w:val="12"/>
                <w:color w:val="auto"/>
              </w:rPr>
            </w:pPr>
          </w:p>
        </w:tc>
        <w:tc>
          <w:tcPr>
            <w:tcW w:w="780" w:type="dxa"/>
            <w:vAlign w:val="bottom"/>
          </w:tcPr>
          <w:p>
            <w:pPr>
              <w:jc w:val="right"/>
              <w:ind w:right="83"/>
              <w:spacing w:after="0"/>
              <w:rPr>
                <w:sz w:val="20"/>
                <w:szCs w:val="20"/>
                <w:color w:val="auto"/>
              </w:rPr>
            </w:pPr>
            <w:r>
              <w:rPr>
                <w:rFonts w:ascii="Arial" w:cs="Arial" w:eastAsia="Arial" w:hAnsi="Arial"/>
                <w:sz w:val="11"/>
                <w:szCs w:val="11"/>
                <w:color w:val="auto"/>
              </w:rPr>
              <w:t>11,935</w:t>
            </w:r>
          </w:p>
        </w:tc>
        <w:tc>
          <w:tcPr>
            <w:tcW w:w="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1.1 %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1"/>
                <w:szCs w:val="11"/>
                <w:color w:val="auto"/>
              </w:rPr>
              <w:t>— %</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expense (income), net</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(669)</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(358)</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 %</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(17)</w:t>
            </w:r>
          </w:p>
        </w:tc>
        <w:tc>
          <w:tcPr>
            <w:tcW w:w="80" w:type="dxa"/>
            <w:vAlign w:val="bottom"/>
            <w:shd w:val="clear" w:color="auto" w:fill="CCEEFF"/>
          </w:tcPr>
          <w:p>
            <w:pPr>
              <w:spacing w:after="0"/>
              <w:rPr>
                <w:sz w:val="12"/>
                <w:szCs w:val="12"/>
                <w:color w:val="auto"/>
              </w:rPr>
            </w:pPr>
          </w:p>
        </w:tc>
        <w:tc>
          <w:tcPr>
            <w:tcW w:w="124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 %</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114</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39"/>
        </w:trPr>
        <w:tc>
          <w:tcPr>
            <w:tcW w:w="27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Income (loss) before income taxes</w:t>
            </w:r>
          </w:p>
        </w:tc>
        <w:tc>
          <w:tcPr>
            <w:tcW w:w="1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rPr>
              <w:t>(534,218)</w:t>
            </w:r>
          </w:p>
        </w:tc>
        <w:tc>
          <w:tcPr>
            <w:tcW w:w="8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(50.3)%</w:t>
            </w:r>
          </w:p>
        </w:tc>
        <w:tc>
          <w:tcPr>
            <w:tcW w:w="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rPr>
              <w:t>(97,157)</w:t>
            </w:r>
          </w:p>
        </w:tc>
        <w:tc>
          <w:tcPr>
            <w:tcW w:w="10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(11.1)%</w:t>
            </w: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1"/>
                <w:szCs w:val="11"/>
                <w:color w:val="auto"/>
              </w:rPr>
              <w:t>16,039</w:t>
            </w:r>
          </w:p>
        </w:tc>
        <w:tc>
          <w:tcPr>
            <w:tcW w:w="8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5.2 %</w:t>
            </w:r>
          </w:p>
        </w:tc>
        <w:tc>
          <w:tcPr>
            <w:tcW w:w="280" w:type="dxa"/>
            <w:vAlign w:val="bottom"/>
            <w:tcBorders>
              <w:bottom w:val="single" w:sz="8" w:color="CCEEFF"/>
              <w:right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rPr>
              <w:t>(57,129)</w:t>
            </w:r>
          </w:p>
        </w:tc>
        <w:tc>
          <w:tcPr>
            <w:tcW w:w="8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(24.7)%</w:t>
            </w:r>
          </w:p>
        </w:tc>
        <w:tc>
          <w:tcPr>
            <w:tcW w:w="0" w:type="dxa"/>
            <w:vAlign w:val="bottom"/>
          </w:tcPr>
          <w:p>
            <w:pPr>
              <w:spacing w:after="0"/>
              <w:rPr>
                <w:sz w:val="1"/>
                <w:szCs w:val="1"/>
                <w:color w:val="auto"/>
              </w:rPr>
            </w:pPr>
          </w:p>
        </w:tc>
      </w:tr>
      <w:tr>
        <w:trPr>
          <w:trHeight w:val="139"/>
        </w:trPr>
        <w:tc>
          <w:tcPr>
            <w:tcW w:w="2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Income tax (benefit) expense</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(24)</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 %</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43</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 %</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44</w:t>
            </w:r>
          </w:p>
        </w:tc>
        <w:tc>
          <w:tcPr>
            <w:tcW w:w="80" w:type="dxa"/>
            <w:vAlign w:val="bottom"/>
            <w:shd w:val="clear" w:color="auto" w:fill="CCEEFF"/>
          </w:tcPr>
          <w:p>
            <w:pPr>
              <w:spacing w:after="0"/>
              <w:rPr>
                <w:sz w:val="12"/>
                <w:szCs w:val="12"/>
                <w:color w:val="auto"/>
              </w:rPr>
            </w:pPr>
          </w:p>
        </w:tc>
        <w:tc>
          <w:tcPr>
            <w:tcW w:w="124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 %</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(66)</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39"/>
        </w:trPr>
        <w:tc>
          <w:tcPr>
            <w:tcW w:w="27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Net income (loss)</w:t>
            </w: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rPr>
              <w:t>(534,194)</w:t>
            </w:r>
          </w:p>
        </w:tc>
        <w:tc>
          <w:tcPr>
            <w:tcW w:w="8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(50.3)%</w:t>
            </w:r>
          </w:p>
        </w:tc>
        <w:tc>
          <w:tcPr>
            <w:tcW w:w="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rPr>
              <w:t>(97,200)</w:t>
            </w:r>
          </w:p>
        </w:tc>
        <w:tc>
          <w:tcPr>
            <w:tcW w:w="10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(11.1)%</w:t>
            </w: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1"/>
                <w:szCs w:val="11"/>
                <w:color w:val="auto"/>
              </w:rPr>
              <w:t>15,995</w:t>
            </w:r>
          </w:p>
        </w:tc>
        <w:tc>
          <w:tcPr>
            <w:tcW w:w="8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5.2 %</w:t>
            </w:r>
          </w:p>
        </w:tc>
        <w:tc>
          <w:tcPr>
            <w:tcW w:w="280" w:type="dxa"/>
            <w:vAlign w:val="bottom"/>
            <w:tcBorders>
              <w:bottom w:val="single" w:sz="8" w:color="CCEEFF"/>
              <w:right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rPr>
              <w:t>(57,063)</w:t>
            </w:r>
          </w:p>
        </w:tc>
        <w:tc>
          <w:tcPr>
            <w:tcW w:w="8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(24.7)%</w:t>
            </w:r>
          </w:p>
        </w:tc>
        <w:tc>
          <w:tcPr>
            <w:tcW w:w="0" w:type="dxa"/>
            <w:vAlign w:val="bottom"/>
          </w:tcPr>
          <w:p>
            <w:pPr>
              <w:spacing w:after="0"/>
              <w:rPr>
                <w:sz w:val="1"/>
                <w:szCs w:val="1"/>
                <w:color w:val="auto"/>
              </w:rPr>
            </w:pPr>
          </w:p>
        </w:tc>
      </w:tr>
      <w:tr>
        <w:trPr>
          <w:trHeight w:val="100"/>
        </w:trPr>
        <w:tc>
          <w:tcPr>
            <w:tcW w:w="2760" w:type="dxa"/>
            <w:vAlign w:val="bottom"/>
            <w:shd w:val="clear" w:color="auto" w:fill="CCEEFF"/>
          </w:tcPr>
          <w:p>
            <w:pPr>
              <w:ind w:left="20"/>
              <w:spacing w:after="0" w:line="101" w:lineRule="exact"/>
              <w:rPr>
                <w:sz w:val="20"/>
                <w:szCs w:val="20"/>
                <w:color w:val="auto"/>
              </w:rPr>
            </w:pPr>
            <w:r>
              <w:rPr>
                <w:rFonts w:ascii="Arial" w:cs="Arial" w:eastAsia="Arial" w:hAnsi="Arial"/>
                <w:sz w:val="11"/>
                <w:szCs w:val="11"/>
                <w:color w:val="auto"/>
              </w:rPr>
              <w:t>Net income (loss) attributable to non-controlling</w:t>
            </w:r>
          </w:p>
        </w:tc>
        <w:tc>
          <w:tcPr>
            <w:tcW w:w="180" w:type="dxa"/>
            <w:vAlign w:val="bottom"/>
            <w:shd w:val="clear" w:color="auto" w:fill="CCEEFF"/>
          </w:tcPr>
          <w:p>
            <w:pPr>
              <w:spacing w:after="0"/>
              <w:rPr>
                <w:sz w:val="8"/>
                <w:szCs w:val="8"/>
                <w:color w:val="auto"/>
              </w:rPr>
            </w:pPr>
          </w:p>
        </w:tc>
        <w:tc>
          <w:tcPr>
            <w:tcW w:w="78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color w:val="auto"/>
              </w:rPr>
              <w:t>(344,837)</w:t>
            </w:r>
          </w:p>
        </w:tc>
        <w:tc>
          <w:tcPr>
            <w:tcW w:w="80" w:type="dxa"/>
            <w:vAlign w:val="bottom"/>
            <w:shd w:val="clear" w:color="auto" w:fill="CCEEFF"/>
          </w:tcPr>
          <w:p>
            <w:pPr>
              <w:spacing w:after="0"/>
              <w:rPr>
                <w:sz w:val="8"/>
                <w:szCs w:val="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(32.5)%</w:t>
            </w: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6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(52,933)</w:t>
            </w:r>
          </w:p>
        </w:tc>
        <w:tc>
          <w:tcPr>
            <w:tcW w:w="100" w:type="dxa"/>
            <w:vAlign w:val="bottom"/>
            <w:shd w:val="clear" w:color="auto" w:fill="CCEEFF"/>
          </w:tcPr>
          <w:p>
            <w:pPr>
              <w:spacing w:after="0"/>
              <w:rPr>
                <w:sz w:val="8"/>
                <w:szCs w:val="8"/>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(6.0)%</w:t>
            </w: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40" w:type="dxa"/>
            <w:vAlign w:val="bottom"/>
            <w:tcBorders>
              <w:right w:val="single" w:sz="8" w:color="auto"/>
            </w:tcBorders>
            <w:gridSpan w:val="2"/>
            <w:vMerge w:val="restart"/>
            <w:shd w:val="clear" w:color="auto" w:fill="CCEEFF"/>
          </w:tcPr>
          <w:p>
            <w:pPr>
              <w:jc w:val="right"/>
              <w:ind w:right="300"/>
              <w:spacing w:after="0"/>
              <w:rPr>
                <w:sz w:val="20"/>
                <w:szCs w:val="20"/>
                <w:color w:val="auto"/>
              </w:rPr>
            </w:pPr>
            <w:r>
              <w:rPr>
                <w:rFonts w:ascii="Arial" w:cs="Arial" w:eastAsia="Arial" w:hAnsi="Arial"/>
                <w:sz w:val="11"/>
                <w:szCs w:val="11"/>
                <w:color w:val="auto"/>
              </w:rPr>
              <w:t>— %</w:t>
            </w:r>
          </w:p>
        </w:tc>
        <w:tc>
          <w:tcPr>
            <w:tcW w:w="80" w:type="dxa"/>
            <w:vAlign w:val="bottom"/>
            <w:shd w:val="clear" w:color="auto" w:fill="CCEEFF"/>
          </w:tcPr>
          <w:p>
            <w:pPr>
              <w:spacing w:after="0"/>
              <w:rPr>
                <w:sz w:val="8"/>
                <w:szCs w:val="8"/>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34"/>
        </w:trPr>
        <w:tc>
          <w:tcPr>
            <w:tcW w:w="2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interests</w:t>
            </w:r>
          </w:p>
        </w:tc>
        <w:tc>
          <w:tcPr>
            <w:tcW w:w="180" w:type="dxa"/>
            <w:vAlign w:val="bottom"/>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vMerge w:val="continue"/>
            <w:shd w:val="clear" w:color="auto" w:fill="CCEEFF"/>
          </w:tcPr>
          <w:p>
            <w:pPr>
              <w:spacing w:after="0"/>
              <w:rPr>
                <w:sz w:val="11"/>
                <w:szCs w:val="11"/>
                <w:color w:val="auto"/>
              </w:rPr>
            </w:pPr>
          </w:p>
        </w:tc>
        <w:tc>
          <w:tcPr>
            <w:tcW w:w="1240" w:type="dxa"/>
            <w:vAlign w:val="bottom"/>
            <w:tcBorders>
              <w:right w:val="single" w:sz="8" w:color="auto"/>
            </w:tcBorders>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vMerge w:val="continue"/>
            <w:shd w:val="clear" w:color="auto" w:fill="CCEEFF"/>
          </w:tcPr>
          <w:p>
            <w:pPr>
              <w:spacing w:after="0"/>
              <w:rPr>
                <w:sz w:val="11"/>
                <w:szCs w:val="11"/>
                <w:color w:val="auto"/>
              </w:rPr>
            </w:pPr>
          </w:p>
        </w:tc>
        <w:tc>
          <w:tcPr>
            <w:tcW w:w="9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760" w:type="dxa"/>
            <w:vAlign w:val="bottom"/>
          </w:tcPr>
          <w:p>
            <w:pPr>
              <w:ind w:left="20"/>
              <w:spacing w:after="0"/>
              <w:rPr>
                <w:sz w:val="20"/>
                <w:szCs w:val="20"/>
                <w:color w:val="auto"/>
              </w:rPr>
            </w:pPr>
            <w:r>
              <w:rPr>
                <w:rFonts w:ascii="Arial" w:cs="Arial" w:eastAsia="Arial" w:hAnsi="Arial"/>
                <w:sz w:val="11"/>
                <w:szCs w:val="11"/>
                <w:b w:val="1"/>
                <w:bCs w:val="1"/>
                <w:color w:val="auto"/>
              </w:rPr>
              <w:t>Net income (loss) attributable to GoHealth, Inc.</w:t>
            </w: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w w:val="97"/>
              </w:rPr>
              <w:t>$</w:t>
            </w:r>
          </w:p>
        </w:tc>
        <w:tc>
          <w:tcPr>
            <w:tcW w:w="78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(189,357)</w:t>
            </w:r>
          </w:p>
        </w:tc>
        <w:tc>
          <w:tcPr>
            <w:tcW w:w="8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(17.8)%</w:t>
            </w: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w w:val="97"/>
              </w:rPr>
              <w:t>$</w:t>
            </w:r>
          </w:p>
        </w:tc>
        <w:tc>
          <w:tcPr>
            <w:tcW w:w="7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(44,267)</w:t>
            </w:r>
          </w:p>
        </w:tc>
        <w:tc>
          <w:tcPr>
            <w:tcW w:w="10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(5.0)%</w:t>
            </w: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15,995</w:t>
            </w:r>
          </w:p>
        </w:tc>
        <w:tc>
          <w:tcPr>
            <w:tcW w:w="8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5.2 %</w:t>
            </w:r>
          </w:p>
        </w:tc>
        <w:tc>
          <w:tcPr>
            <w:tcW w:w="280" w:type="dxa"/>
            <w:vAlign w:val="bottom"/>
            <w:tcBorders>
              <w:right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(57,063)</w:t>
            </w:r>
          </w:p>
        </w:tc>
        <w:tc>
          <w:tcPr>
            <w:tcW w:w="8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(24.7)%</w:t>
            </w:r>
          </w:p>
        </w:tc>
        <w:tc>
          <w:tcPr>
            <w:tcW w:w="0" w:type="dxa"/>
            <w:vAlign w:val="bottom"/>
          </w:tcPr>
          <w:p>
            <w:pPr>
              <w:spacing w:after="0"/>
              <w:rPr>
                <w:sz w:val="1"/>
                <w:szCs w:val="1"/>
                <w:color w:val="auto"/>
              </w:rPr>
            </w:pPr>
          </w:p>
        </w:tc>
      </w:tr>
      <w:tr>
        <w:trPr>
          <w:trHeight w:val="20"/>
        </w:trPr>
        <w:tc>
          <w:tcPr>
            <w:tcW w:w="27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760" w:type="dxa"/>
            <w:vAlign w:val="bottom"/>
            <w:shd w:val="clear" w:color="auto" w:fill="CCEEFF"/>
          </w:tcPr>
          <w:p>
            <w:pPr>
              <w:ind w:left="20"/>
              <w:spacing w:after="0" w:line="110" w:lineRule="exact"/>
              <w:rPr>
                <w:sz w:val="20"/>
                <w:szCs w:val="20"/>
                <w:color w:val="auto"/>
              </w:rPr>
            </w:pPr>
            <w:r>
              <w:rPr>
                <w:rFonts w:ascii="Arial" w:cs="Arial" w:eastAsia="Arial" w:hAnsi="Arial"/>
                <w:sz w:val="11"/>
                <w:szCs w:val="11"/>
                <w:i w:val="1"/>
                <w:iCs w:val="1"/>
                <w:color w:val="auto"/>
              </w:rPr>
              <w:t>Non-GAAP financial measures:</w:t>
            </w: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280" w:type="dxa"/>
            <w:vAlign w:val="bottom"/>
            <w:tcBorders>
              <w:right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760" w:type="dxa"/>
            <w:vAlign w:val="bottom"/>
          </w:tcPr>
          <w:p>
            <w:pPr>
              <w:ind w:left="20"/>
              <w:spacing w:after="0"/>
              <w:rPr>
                <w:sz w:val="20"/>
                <w:szCs w:val="20"/>
                <w:color w:val="auto"/>
              </w:rPr>
            </w:pPr>
            <w:r>
              <w:rPr>
                <w:rFonts w:ascii="Arial" w:cs="Arial" w:eastAsia="Arial" w:hAnsi="Arial"/>
                <w:sz w:val="11"/>
                <w:szCs w:val="11"/>
                <w:color w:val="auto"/>
              </w:rPr>
              <w:t>EBITDA</w:t>
            </w: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63"/>
              <w:spacing w:after="0"/>
              <w:rPr>
                <w:sz w:val="20"/>
                <w:szCs w:val="20"/>
                <w:color w:val="auto"/>
              </w:rPr>
            </w:pPr>
            <w:r>
              <w:rPr>
                <w:rFonts w:ascii="Arial" w:cs="Arial" w:eastAsia="Arial" w:hAnsi="Arial"/>
                <w:sz w:val="11"/>
                <w:szCs w:val="11"/>
                <w:color w:val="auto"/>
              </w:rPr>
              <w:t>(393,206)</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83"/>
              <w:spacing w:after="0"/>
              <w:rPr>
                <w:sz w:val="20"/>
                <w:szCs w:val="20"/>
                <w:color w:val="auto"/>
              </w:rPr>
            </w:pPr>
            <w:r>
              <w:rPr>
                <w:rFonts w:ascii="Arial" w:cs="Arial" w:eastAsia="Arial" w:hAnsi="Arial"/>
                <w:sz w:val="11"/>
                <w:szCs w:val="11"/>
                <w:color w:val="auto"/>
              </w:rPr>
              <w:t>34,364</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03"/>
              <w:spacing w:after="0"/>
              <w:rPr>
                <w:sz w:val="20"/>
                <w:szCs w:val="20"/>
                <w:color w:val="auto"/>
              </w:rPr>
            </w:pPr>
            <w:r>
              <w:rPr>
                <w:rFonts w:ascii="Arial" w:cs="Arial" w:eastAsia="Arial" w:hAnsi="Arial"/>
                <w:sz w:val="11"/>
                <w:szCs w:val="11"/>
                <w:color w:val="auto"/>
              </w:rPr>
              <w:t>52,853</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63"/>
              <w:spacing w:after="0"/>
              <w:rPr>
                <w:sz w:val="20"/>
                <w:szCs w:val="20"/>
                <w:color w:val="auto"/>
              </w:rPr>
            </w:pPr>
            <w:r>
              <w:rPr>
                <w:rFonts w:ascii="Arial" w:cs="Arial" w:eastAsia="Arial" w:hAnsi="Arial"/>
                <w:sz w:val="11"/>
                <w:szCs w:val="11"/>
                <w:color w:val="auto"/>
              </w:rPr>
              <w:t>(52,742)</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Adjusted EBITDA</w:t>
            </w: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33,821</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271,029</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130,465</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8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39,973</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tcPr>
          <w:p>
            <w:pPr>
              <w:ind w:left="20"/>
              <w:spacing w:after="0"/>
              <w:rPr>
                <w:sz w:val="20"/>
                <w:szCs w:val="20"/>
                <w:color w:val="auto"/>
              </w:rPr>
            </w:pPr>
            <w:r>
              <w:rPr>
                <w:rFonts w:ascii="Arial" w:cs="Arial" w:eastAsia="Arial" w:hAnsi="Arial"/>
                <w:sz w:val="11"/>
                <w:szCs w:val="11"/>
                <w:color w:val="auto"/>
              </w:rPr>
              <w:t>Adjusted EBITDA margin</w:t>
            </w:r>
          </w:p>
        </w:tc>
        <w:tc>
          <w:tcPr>
            <w:tcW w:w="1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3.2 %</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30.9 %</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42.3 %</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17.3 %</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EBITDA, Adjusted EBITDA and Adjusted EBITDA Margin</w:t>
      </w:r>
    </w:p>
    <w:p>
      <w:pPr>
        <w:spacing w:after="0" w:line="181" w:lineRule="exact"/>
        <w:rPr>
          <w:sz w:val="20"/>
          <w:szCs w:val="20"/>
          <w:color w:val="auto"/>
        </w:rPr>
      </w:pPr>
    </w:p>
    <w:p>
      <w:pPr>
        <w:ind w:right="120"/>
        <w:spacing w:after="0" w:line="271" w:lineRule="auto"/>
        <w:rPr>
          <w:sz w:val="20"/>
          <w:szCs w:val="20"/>
          <w:color w:val="auto"/>
        </w:rPr>
      </w:pPr>
      <w:r>
        <w:rPr>
          <w:rFonts w:ascii="Arial" w:cs="Arial" w:eastAsia="Arial" w:hAnsi="Arial"/>
          <w:sz w:val="12"/>
          <w:szCs w:val="12"/>
          <w:color w:val="auto"/>
        </w:rPr>
        <w:t>We use supplemental measures of our performance that are derived from our consolidated financial information, but which are not presented in our Consolidated Financial Statements prepared in accordance with GAAP. These non-GAAP financial measures include net income (loss) before interest expense, income tax (benefit) expense and depreciation and amortization expense, or EBITDA; Adjusted EBITDA and Adjusted EBITDA margin. Adjusted EBITDA is the primary financial performance measure used by management to evaluate its business and monitor its 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Adjusted EBITDA represents EBITDA as further adjusted for certain items summarized in the following table. Adjusted EBITDA margin represents Adjusted EBITDA divided by net revenues.</w:t>
      </w:r>
    </w:p>
    <w:p>
      <w:pPr>
        <w:spacing w:after="0" w:line="169" w:lineRule="exact"/>
        <w:rPr>
          <w:sz w:val="20"/>
          <w:szCs w:val="20"/>
          <w:color w:val="auto"/>
        </w:rPr>
      </w:pPr>
    </w:p>
    <w:p>
      <w:pPr>
        <w:jc w:val="both"/>
        <w:ind w:right="220"/>
        <w:spacing w:after="0" w:line="241" w:lineRule="auto"/>
        <w:rPr>
          <w:sz w:val="20"/>
          <w:szCs w:val="20"/>
          <w:color w:val="auto"/>
        </w:rPr>
      </w:pPr>
      <w:r>
        <w:rPr>
          <w:rFonts w:ascii="Arial" w:cs="Arial" w:eastAsia="Arial" w:hAnsi="Arial"/>
          <w:sz w:val="13"/>
          <w:szCs w:val="13"/>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47</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69" w:right="319" w:bottom="1440" w:gutter="0" w:footer="0" w:header="0"/>
        </w:sectPr>
      </w:pPr>
    </w:p>
    <w:bookmarkStart w:id="50" w:name="page51"/>
    <w:bookmarkEnd w:id="50"/>
    <w:p>
      <w:pPr>
        <w:ind w:right="80"/>
        <w:spacing w:after="0"/>
        <w:rPr>
          <w:sz w:val="20"/>
          <w:szCs w:val="20"/>
          <w:color w:val="auto"/>
        </w:rPr>
      </w:pPr>
      <w:r>
        <w:rPr>
          <w:rFonts w:ascii="Arial" w:cs="Arial" w:eastAsia="Arial" w:hAnsi="Arial"/>
          <w:sz w:val="13"/>
          <w:szCs w:val="13"/>
          <w:color w:val="auto"/>
        </w:rPr>
        <w:t>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in this Annual Report on Form 10-K.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66"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The non-GAAP financial measures are not meant to be considered as indicators of performance in isolation from or as a substitute for net income (loss) prepared in accordance with GAAP, and should be read only in conjunction with financial information presented on a GAAP basis. Reconciliations of each of EBITDA and Adjusted EBITDA to its most directly comparable GAAP financial measure, net income (loss), are presented in the tables below in this Annual Report on Form 10-K. We encourage you to review the reconciliations in conjunction with the presentation of the non-GAAP financial measures for each of the periods presented. In future periods, we may exclude similar items, may incur income and expenses similar to these excluded items and include other expenses, costs and non-recurring items.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sets forth the reconciliations of GAAP net income (loss) to EBITDA and Adjusted EBITDA for the periods presented: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1"/>
                <w:szCs w:val="11"/>
                <w:b w:val="1"/>
                <w:bCs w:val="1"/>
                <w:color w:val="auto"/>
              </w:rPr>
              <w:t>Successor</w:t>
            </w:r>
          </w:p>
        </w:tc>
        <w:tc>
          <w:tcPr>
            <w:tcW w:w="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23"/>
              <w:spacing w:after="0"/>
              <w:rPr>
                <w:sz w:val="20"/>
                <w:szCs w:val="20"/>
                <w:color w:val="auto"/>
              </w:rPr>
            </w:pPr>
            <w:r>
              <w:rPr>
                <w:rFonts w:ascii="Arial" w:cs="Arial" w:eastAsia="Arial" w:hAnsi="Arial"/>
                <w:sz w:val="11"/>
                <w:szCs w:val="11"/>
                <w:b w:val="1"/>
                <w:bCs w:val="1"/>
                <w:color w:val="auto"/>
              </w:rPr>
              <w:t>Predecessor</w:t>
            </w:r>
          </w:p>
        </w:tc>
        <w:tc>
          <w:tcPr>
            <w:tcW w:w="0" w:type="dxa"/>
            <w:vAlign w:val="bottom"/>
          </w:tcPr>
          <w:p>
            <w:pPr>
              <w:spacing w:after="0"/>
              <w:rPr>
                <w:sz w:val="1"/>
                <w:szCs w:val="1"/>
                <w:color w:val="auto"/>
              </w:rPr>
            </w:pPr>
          </w:p>
        </w:tc>
      </w:tr>
      <w:tr>
        <w:trPr>
          <w:trHeight w:val="107"/>
        </w:trPr>
        <w:tc>
          <w:tcPr>
            <w:tcW w:w="5960" w:type="dxa"/>
            <w:vAlign w:val="bottom"/>
          </w:tcPr>
          <w:p>
            <w:pPr>
              <w:spacing w:after="0"/>
              <w:rPr>
                <w:sz w:val="9"/>
                <w:szCs w:val="9"/>
                <w:color w:val="auto"/>
              </w:rPr>
            </w:pPr>
          </w:p>
        </w:tc>
        <w:tc>
          <w:tcPr>
            <w:tcW w:w="136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rPr>
              <w:t>Twelve months ended</w:t>
            </w:r>
          </w:p>
        </w:tc>
        <w:tc>
          <w:tcPr>
            <w:tcW w:w="134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rPr>
              <w:t>Twelve months ended</w:t>
            </w:r>
          </w:p>
        </w:tc>
        <w:tc>
          <w:tcPr>
            <w:tcW w:w="80" w:type="dxa"/>
            <w:vAlign w:val="bottom"/>
          </w:tcPr>
          <w:p>
            <w:pPr>
              <w:spacing w:after="0"/>
              <w:rPr>
                <w:sz w:val="9"/>
                <w:szCs w:val="9"/>
                <w:color w:val="auto"/>
              </w:rPr>
            </w:pPr>
          </w:p>
        </w:tc>
        <w:tc>
          <w:tcPr>
            <w:tcW w:w="1280" w:type="dxa"/>
            <w:vAlign w:val="bottom"/>
            <w:tcBorders>
              <w:right w:val="single" w:sz="8" w:color="auto"/>
            </w:tcBorders>
            <w:gridSpan w:val="2"/>
          </w:tcPr>
          <w:p>
            <w:pPr>
              <w:jc w:val="center"/>
              <w:ind w:right="180"/>
              <w:spacing w:after="0" w:line="107" w:lineRule="exact"/>
              <w:rPr>
                <w:sz w:val="20"/>
                <w:szCs w:val="20"/>
                <w:color w:val="auto"/>
              </w:rPr>
            </w:pPr>
            <w:r>
              <w:rPr>
                <w:rFonts w:ascii="Arial" w:cs="Arial" w:eastAsia="Arial" w:hAnsi="Arial"/>
                <w:sz w:val="11"/>
                <w:szCs w:val="11"/>
                <w:b w:val="1"/>
                <w:bCs w:val="1"/>
                <w:color w:val="auto"/>
              </w:rPr>
              <w:t>Period from Sep. 13,</w:t>
            </w:r>
          </w:p>
        </w:tc>
        <w:tc>
          <w:tcPr>
            <w:tcW w:w="100" w:type="dxa"/>
            <w:vAlign w:val="bottom"/>
          </w:tcPr>
          <w:p>
            <w:pPr>
              <w:spacing w:after="0"/>
              <w:rPr>
                <w:sz w:val="9"/>
                <w:szCs w:val="9"/>
                <w:color w:val="auto"/>
              </w:rPr>
            </w:pPr>
          </w:p>
        </w:tc>
        <w:tc>
          <w:tcPr>
            <w:tcW w:w="1160" w:type="dxa"/>
            <w:vAlign w:val="bottom"/>
          </w:tcPr>
          <w:p>
            <w:pPr>
              <w:jc w:val="center"/>
              <w:ind w:right="43"/>
              <w:spacing w:after="0" w:line="107" w:lineRule="exact"/>
              <w:rPr>
                <w:sz w:val="20"/>
                <w:szCs w:val="20"/>
                <w:color w:val="auto"/>
              </w:rPr>
            </w:pPr>
            <w:r>
              <w:rPr>
                <w:rFonts w:ascii="Arial" w:cs="Arial" w:eastAsia="Arial" w:hAnsi="Arial"/>
                <w:sz w:val="11"/>
                <w:szCs w:val="11"/>
                <w:b w:val="1"/>
                <w:bCs w:val="1"/>
                <w:color w:val="auto"/>
              </w:rPr>
              <w:t>Period from Jan. 1,</w:t>
            </w:r>
          </w:p>
        </w:tc>
        <w:tc>
          <w:tcPr>
            <w:tcW w:w="0" w:type="dxa"/>
            <w:vAlign w:val="bottom"/>
          </w:tcPr>
          <w:p>
            <w:pPr>
              <w:spacing w:after="0"/>
              <w:rPr>
                <w:sz w:val="1"/>
                <w:szCs w:val="1"/>
                <w:color w:val="auto"/>
              </w:rPr>
            </w:pPr>
          </w:p>
        </w:tc>
      </w:tr>
      <w:tr>
        <w:trPr>
          <w:trHeight w:val="106"/>
        </w:trPr>
        <w:tc>
          <w:tcPr>
            <w:tcW w:w="5960" w:type="dxa"/>
            <w:vAlign w:val="bottom"/>
            <w:vMerge w:val="restart"/>
          </w:tcPr>
          <w:p>
            <w:pPr>
              <w:ind w:left="20"/>
              <w:spacing w:after="0"/>
              <w:rPr>
                <w:sz w:val="20"/>
                <w:szCs w:val="20"/>
                <w:color w:val="auto"/>
              </w:rPr>
            </w:pPr>
            <w:r>
              <w:rPr>
                <w:rFonts w:ascii="Arial" w:cs="Arial" w:eastAsia="Arial" w:hAnsi="Arial"/>
                <w:sz w:val="11"/>
                <w:szCs w:val="11"/>
                <w:color w:val="auto"/>
              </w:rPr>
              <w:t>(in thousands)</w:t>
            </w:r>
          </w:p>
        </w:tc>
        <w:tc>
          <w:tcPr>
            <w:tcW w:w="1360" w:type="dxa"/>
            <w:vAlign w:val="bottom"/>
            <w:gridSpan w:val="3"/>
            <w:vMerge w:val="continue"/>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1360" w:type="dxa"/>
            <w:vAlign w:val="bottom"/>
            <w:tcBorders>
              <w:right w:val="single" w:sz="8" w:color="auto"/>
            </w:tcBorders>
            <w:gridSpan w:val="3"/>
          </w:tcPr>
          <w:p>
            <w:pPr>
              <w:jc w:val="center"/>
              <w:ind w:right="100"/>
              <w:spacing w:after="0" w:line="106" w:lineRule="exact"/>
              <w:rPr>
                <w:sz w:val="20"/>
                <w:szCs w:val="20"/>
                <w:color w:val="auto"/>
              </w:rPr>
            </w:pPr>
            <w:r>
              <w:rPr>
                <w:rFonts w:ascii="Arial" w:cs="Arial" w:eastAsia="Arial" w:hAnsi="Arial"/>
                <w:sz w:val="11"/>
                <w:szCs w:val="11"/>
                <w:b w:val="1"/>
                <w:bCs w:val="1"/>
                <w:color w:val="auto"/>
              </w:rPr>
              <w:t>2019 through Dec. 31,</w:t>
            </w:r>
          </w:p>
        </w:tc>
        <w:tc>
          <w:tcPr>
            <w:tcW w:w="1260" w:type="dxa"/>
            <w:vAlign w:val="bottom"/>
            <w:gridSpan w:val="2"/>
          </w:tcPr>
          <w:p>
            <w:pPr>
              <w:jc w:val="center"/>
              <w:spacing w:after="0" w:line="106" w:lineRule="exact"/>
              <w:rPr>
                <w:sz w:val="20"/>
                <w:szCs w:val="20"/>
                <w:color w:val="auto"/>
              </w:rPr>
            </w:pPr>
            <w:r>
              <w:rPr>
                <w:rFonts w:ascii="Arial" w:cs="Arial" w:eastAsia="Arial" w:hAnsi="Arial"/>
                <w:sz w:val="11"/>
                <w:szCs w:val="11"/>
                <w:b w:val="1"/>
                <w:bCs w:val="1"/>
                <w:color w:val="auto"/>
              </w:rPr>
              <w:t>2019 through Sep. 12,</w:t>
            </w:r>
          </w:p>
        </w:tc>
        <w:tc>
          <w:tcPr>
            <w:tcW w:w="0" w:type="dxa"/>
            <w:vAlign w:val="bottom"/>
          </w:tcPr>
          <w:p>
            <w:pPr>
              <w:spacing w:after="0"/>
              <w:rPr>
                <w:sz w:val="1"/>
                <w:szCs w:val="1"/>
                <w:color w:val="auto"/>
              </w:rPr>
            </w:pPr>
          </w:p>
        </w:tc>
      </w:tr>
      <w:tr>
        <w:trPr>
          <w:trHeight w:val="138"/>
        </w:trPr>
        <w:tc>
          <w:tcPr>
            <w:tcW w:w="59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Dec. 31, 2021</w:t>
            </w:r>
          </w:p>
        </w:tc>
        <w:tc>
          <w:tcPr>
            <w:tcW w:w="180" w:type="dxa"/>
            <w:vAlign w:val="bottom"/>
          </w:tcPr>
          <w:p>
            <w:pPr>
              <w:spacing w:after="0"/>
              <w:rPr>
                <w:sz w:val="11"/>
                <w:szCs w:val="11"/>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Dec. 31, 2020</w:t>
            </w:r>
          </w:p>
        </w:tc>
        <w:tc>
          <w:tcPr>
            <w:tcW w:w="80" w:type="dxa"/>
            <w:vAlign w:val="bottom"/>
          </w:tcPr>
          <w:p>
            <w:pPr>
              <w:spacing w:after="0"/>
              <w:rPr>
                <w:sz w:val="11"/>
                <w:szCs w:val="11"/>
                <w:color w:val="auto"/>
              </w:rPr>
            </w:pPr>
          </w:p>
        </w:tc>
        <w:tc>
          <w:tcPr>
            <w:tcW w:w="1180" w:type="dxa"/>
            <w:vAlign w:val="bottom"/>
          </w:tcPr>
          <w:p>
            <w:pPr>
              <w:jc w:val="center"/>
              <w:ind w:right="23"/>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center"/>
              <w:ind w:right="43"/>
              <w:spacing w:after="0"/>
              <w:rPr>
                <w:sz w:val="20"/>
                <w:szCs w:val="20"/>
                <w:color w:val="auto"/>
              </w:rPr>
            </w:pPr>
            <w:r>
              <w:rPr>
                <w:rFonts w:ascii="Arial" w:cs="Arial" w:eastAsia="Arial" w:hAnsi="Arial"/>
                <w:sz w:val="11"/>
                <w:szCs w:val="11"/>
                <w:b w:val="1"/>
                <w:bCs w:val="1"/>
                <w:color w:val="auto"/>
              </w:rPr>
              <w:t>2019</w:t>
            </w:r>
          </w:p>
        </w:tc>
        <w:tc>
          <w:tcPr>
            <w:tcW w:w="0" w:type="dxa"/>
            <w:vAlign w:val="bottom"/>
          </w:tcPr>
          <w:p>
            <w:pPr>
              <w:spacing w:after="0"/>
              <w:rPr>
                <w:sz w:val="1"/>
                <w:szCs w:val="1"/>
                <w:color w:val="auto"/>
              </w:rPr>
            </w:pPr>
          </w:p>
        </w:tc>
      </w:tr>
      <w:tr>
        <w:trPr>
          <w:trHeight w:val="159"/>
        </w:trPr>
        <w:tc>
          <w:tcPr>
            <w:tcW w:w="5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revenues</w:t>
            </w: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10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1,062,415</w:t>
            </w:r>
          </w:p>
        </w:tc>
        <w:tc>
          <w:tcPr>
            <w:tcW w:w="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877,350</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308,491</w:t>
            </w:r>
          </w:p>
        </w:tc>
        <w:tc>
          <w:tcPr>
            <w:tcW w:w="100" w:type="dxa"/>
            <w:vAlign w:val="bottom"/>
            <w:tcBorders>
              <w:top w:val="single" w:sz="8" w:color="CCEEFF"/>
              <w:right w:val="single" w:sz="8" w:color="auto"/>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231,010</w:t>
            </w:r>
          </w:p>
        </w:tc>
        <w:tc>
          <w:tcPr>
            <w:tcW w:w="0" w:type="dxa"/>
            <w:vAlign w:val="bottom"/>
          </w:tcPr>
          <w:p>
            <w:pPr>
              <w:spacing w:after="0"/>
              <w:rPr>
                <w:sz w:val="1"/>
                <w:szCs w:val="1"/>
                <w:color w:val="auto"/>
              </w:rPr>
            </w:pPr>
          </w:p>
        </w:tc>
      </w:tr>
      <w:tr>
        <w:trPr>
          <w:trHeight w:val="119"/>
        </w:trPr>
        <w:tc>
          <w:tcPr>
            <w:tcW w:w="5960" w:type="dxa"/>
            <w:vAlign w:val="bottom"/>
          </w:tcPr>
          <w:p>
            <w:pPr>
              <w:ind w:left="20"/>
              <w:spacing w:after="0" w:line="120" w:lineRule="exact"/>
              <w:rPr>
                <w:sz w:val="20"/>
                <w:szCs w:val="20"/>
                <w:color w:val="auto"/>
              </w:rPr>
            </w:pPr>
            <w:r>
              <w:rPr>
                <w:rFonts w:ascii="Arial" w:cs="Arial" w:eastAsia="Arial" w:hAnsi="Arial"/>
                <w:sz w:val="11"/>
                <w:szCs w:val="11"/>
                <w:color w:val="auto"/>
              </w:rPr>
              <w:t>Net income (loss)</w:t>
            </w:r>
          </w:p>
        </w:tc>
        <w:tc>
          <w:tcPr>
            <w:tcW w:w="180" w:type="dxa"/>
            <w:vAlign w:val="bottom"/>
          </w:tcPr>
          <w:p>
            <w:pPr>
              <w:spacing w:after="0"/>
              <w:rPr>
                <w:sz w:val="10"/>
                <w:szCs w:val="10"/>
                <w:color w:val="auto"/>
              </w:rPr>
            </w:pPr>
          </w:p>
        </w:tc>
        <w:tc>
          <w:tcPr>
            <w:tcW w:w="1100" w:type="dxa"/>
            <w:vAlign w:val="bottom"/>
          </w:tcPr>
          <w:p>
            <w:pPr>
              <w:jc w:val="right"/>
              <w:ind w:right="63"/>
              <w:spacing w:after="0" w:line="120" w:lineRule="exact"/>
              <w:rPr>
                <w:sz w:val="20"/>
                <w:szCs w:val="20"/>
                <w:color w:val="auto"/>
              </w:rPr>
            </w:pPr>
            <w:r>
              <w:rPr>
                <w:rFonts w:ascii="Arial" w:cs="Arial" w:eastAsia="Arial" w:hAnsi="Arial"/>
                <w:sz w:val="11"/>
                <w:szCs w:val="11"/>
                <w:color w:val="auto"/>
              </w:rPr>
              <w:t>(534,194)</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jc w:val="right"/>
              <w:ind w:right="63"/>
              <w:spacing w:after="0" w:line="120" w:lineRule="exact"/>
              <w:rPr>
                <w:sz w:val="20"/>
                <w:szCs w:val="20"/>
                <w:color w:val="auto"/>
              </w:rPr>
            </w:pPr>
            <w:r>
              <w:rPr>
                <w:rFonts w:ascii="Arial" w:cs="Arial" w:eastAsia="Arial" w:hAnsi="Arial"/>
                <w:sz w:val="11"/>
                <w:szCs w:val="11"/>
                <w:color w:val="auto"/>
              </w:rPr>
              <w:t>(97,200)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jc w:val="right"/>
              <w:ind w:right="83"/>
              <w:spacing w:after="0" w:line="120" w:lineRule="exact"/>
              <w:rPr>
                <w:sz w:val="20"/>
                <w:szCs w:val="20"/>
                <w:color w:val="auto"/>
              </w:rPr>
            </w:pPr>
            <w:r>
              <w:rPr>
                <w:rFonts w:ascii="Arial" w:cs="Arial" w:eastAsia="Arial" w:hAnsi="Arial"/>
                <w:sz w:val="11"/>
                <w:szCs w:val="11"/>
                <w:color w:val="auto"/>
              </w:rPr>
              <w:t>15,995</w:t>
            </w:r>
          </w:p>
        </w:tc>
        <w:tc>
          <w:tcPr>
            <w:tcW w:w="1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right"/>
              <w:ind w:right="63"/>
              <w:spacing w:after="0" w:line="120" w:lineRule="exact"/>
              <w:rPr>
                <w:sz w:val="20"/>
                <w:szCs w:val="20"/>
                <w:color w:val="auto"/>
              </w:rPr>
            </w:pPr>
            <w:r>
              <w:rPr>
                <w:rFonts w:ascii="Arial" w:cs="Arial" w:eastAsia="Arial" w:hAnsi="Arial"/>
                <w:sz w:val="11"/>
                <w:szCs w:val="11"/>
                <w:color w:val="auto"/>
              </w:rPr>
              <w:t>(57,063)</w:t>
            </w:r>
          </w:p>
        </w:tc>
        <w:tc>
          <w:tcPr>
            <w:tcW w:w="0" w:type="dxa"/>
            <w:vAlign w:val="bottom"/>
          </w:tcPr>
          <w:p>
            <w:pPr>
              <w:spacing w:after="0"/>
              <w:rPr>
                <w:sz w:val="1"/>
                <w:szCs w:val="1"/>
                <w:color w:val="auto"/>
              </w:rPr>
            </w:pPr>
          </w:p>
        </w:tc>
      </w:tr>
      <w:tr>
        <w:trPr>
          <w:trHeight w:val="149"/>
        </w:trPr>
        <w:tc>
          <w:tcPr>
            <w:tcW w:w="59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Interest expense</w:t>
            </w: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33,505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32,969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8,076</w:t>
            </w:r>
          </w:p>
        </w:tc>
        <w:tc>
          <w:tcPr>
            <w:tcW w:w="10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140</w:t>
            </w:r>
          </w:p>
        </w:tc>
        <w:tc>
          <w:tcPr>
            <w:tcW w:w="0" w:type="dxa"/>
            <w:vAlign w:val="bottom"/>
          </w:tcPr>
          <w:p>
            <w:pPr>
              <w:spacing w:after="0"/>
              <w:rPr>
                <w:sz w:val="1"/>
                <w:szCs w:val="1"/>
                <w:color w:val="auto"/>
              </w:rPr>
            </w:pPr>
          </w:p>
        </w:tc>
      </w:tr>
      <w:tr>
        <w:trPr>
          <w:trHeight w:val="149"/>
        </w:trPr>
        <w:tc>
          <w:tcPr>
            <w:tcW w:w="5960" w:type="dxa"/>
            <w:vAlign w:val="bottom"/>
          </w:tcPr>
          <w:p>
            <w:pPr>
              <w:ind w:left="180"/>
              <w:spacing w:after="0"/>
              <w:rPr>
                <w:sz w:val="20"/>
                <w:szCs w:val="20"/>
                <w:color w:val="auto"/>
              </w:rPr>
            </w:pPr>
            <w:r>
              <w:rPr>
                <w:rFonts w:ascii="Arial" w:cs="Arial" w:eastAsia="Arial" w:hAnsi="Arial"/>
                <w:sz w:val="11"/>
                <w:szCs w:val="11"/>
                <w:color w:val="auto"/>
              </w:rPr>
              <w:t>Income tax (benefit) expense</w:t>
            </w:r>
          </w:p>
        </w:tc>
        <w:tc>
          <w:tcPr>
            <w:tcW w:w="180" w:type="dxa"/>
            <w:vAlign w:val="bottom"/>
          </w:tcPr>
          <w:p>
            <w:pPr>
              <w:spacing w:after="0"/>
              <w:rPr>
                <w:sz w:val="12"/>
                <w:szCs w:val="12"/>
                <w:color w:val="auto"/>
              </w:rPr>
            </w:pPr>
          </w:p>
        </w:tc>
        <w:tc>
          <w:tcPr>
            <w:tcW w:w="1100" w:type="dxa"/>
            <w:vAlign w:val="bottom"/>
          </w:tcPr>
          <w:p>
            <w:pPr>
              <w:jc w:val="right"/>
              <w:ind w:right="63"/>
              <w:spacing w:after="0"/>
              <w:rPr>
                <w:sz w:val="20"/>
                <w:szCs w:val="20"/>
                <w:color w:val="auto"/>
              </w:rPr>
            </w:pPr>
            <w:r>
              <w:rPr>
                <w:rFonts w:ascii="Arial" w:cs="Arial" w:eastAsia="Arial" w:hAnsi="Arial"/>
                <w:sz w:val="11"/>
                <w:szCs w:val="11"/>
                <w:color w:val="auto"/>
              </w:rPr>
              <w:t>(24)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ind w:right="103"/>
              <w:spacing w:after="0"/>
              <w:rPr>
                <w:sz w:val="20"/>
                <w:szCs w:val="20"/>
                <w:color w:val="auto"/>
              </w:rPr>
            </w:pPr>
            <w:r>
              <w:rPr>
                <w:rFonts w:ascii="Arial" w:cs="Arial" w:eastAsia="Arial" w:hAnsi="Arial"/>
                <w:sz w:val="11"/>
                <w:szCs w:val="11"/>
                <w:color w:val="auto"/>
              </w:rPr>
              <w:t>43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right"/>
              <w:ind w:right="83"/>
              <w:spacing w:after="0"/>
              <w:rPr>
                <w:sz w:val="20"/>
                <w:szCs w:val="20"/>
                <w:color w:val="auto"/>
              </w:rPr>
            </w:pPr>
            <w:r>
              <w:rPr>
                <w:rFonts w:ascii="Arial" w:cs="Arial" w:eastAsia="Arial" w:hAnsi="Arial"/>
                <w:sz w:val="11"/>
                <w:szCs w:val="11"/>
                <w:color w:val="auto"/>
              </w:rPr>
              <w:t>44</w:t>
            </w: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right"/>
              <w:ind w:right="63"/>
              <w:spacing w:after="0"/>
              <w:rPr>
                <w:sz w:val="20"/>
                <w:szCs w:val="20"/>
                <w:color w:val="auto"/>
              </w:rPr>
            </w:pPr>
            <w:r>
              <w:rPr>
                <w:rFonts w:ascii="Arial" w:cs="Arial" w:eastAsia="Arial" w:hAnsi="Arial"/>
                <w:sz w:val="11"/>
                <w:szCs w:val="11"/>
                <w:color w:val="auto"/>
              </w:rPr>
              <w:t>(66)</w:t>
            </w:r>
          </w:p>
        </w:tc>
        <w:tc>
          <w:tcPr>
            <w:tcW w:w="0" w:type="dxa"/>
            <w:vAlign w:val="bottom"/>
          </w:tcPr>
          <w:p>
            <w:pPr>
              <w:spacing w:after="0"/>
              <w:rPr>
                <w:sz w:val="1"/>
                <w:szCs w:val="1"/>
                <w:color w:val="auto"/>
              </w:rPr>
            </w:pPr>
          </w:p>
        </w:tc>
      </w:tr>
      <w:tr>
        <w:trPr>
          <w:trHeight w:val="149"/>
        </w:trPr>
        <w:tc>
          <w:tcPr>
            <w:tcW w:w="59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Depreciation and amortization expense</w:t>
            </w:r>
          </w:p>
        </w:tc>
        <w:tc>
          <w:tcPr>
            <w:tcW w:w="18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107,507</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98,552</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28,738</w:t>
            </w:r>
          </w:p>
        </w:tc>
        <w:tc>
          <w:tcPr>
            <w:tcW w:w="100" w:type="dxa"/>
            <w:vAlign w:val="bottom"/>
            <w:tcBorders>
              <w:right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4,247</w:t>
            </w:r>
          </w:p>
        </w:tc>
        <w:tc>
          <w:tcPr>
            <w:tcW w:w="0" w:type="dxa"/>
            <w:vAlign w:val="bottom"/>
          </w:tcPr>
          <w:p>
            <w:pPr>
              <w:spacing w:after="0"/>
              <w:rPr>
                <w:sz w:val="1"/>
                <w:szCs w:val="1"/>
                <w:color w:val="auto"/>
              </w:rPr>
            </w:pPr>
          </w:p>
        </w:tc>
      </w:tr>
      <w:tr>
        <w:trPr>
          <w:trHeight w:val="139"/>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EBITDA</w:t>
            </w:r>
          </w:p>
        </w:tc>
        <w:tc>
          <w:tcPr>
            <w:tcW w:w="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(393,206)</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34,364</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52,853</w:t>
            </w:r>
          </w:p>
        </w:tc>
        <w:tc>
          <w:tcPr>
            <w:tcW w:w="100" w:type="dxa"/>
            <w:vAlign w:val="bottom"/>
            <w:tcBorders>
              <w:bottom w:val="single" w:sz="8" w:color="CCEEFF"/>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(52,742)</w:t>
            </w:r>
          </w:p>
        </w:tc>
        <w:tc>
          <w:tcPr>
            <w:tcW w:w="0" w:type="dxa"/>
            <w:vAlign w:val="bottom"/>
          </w:tcPr>
          <w:p>
            <w:pPr>
              <w:spacing w:after="0"/>
              <w:rPr>
                <w:sz w:val="1"/>
                <w:szCs w:val="1"/>
                <w:color w:val="auto"/>
              </w:rPr>
            </w:pPr>
          </w:p>
        </w:tc>
      </w:tr>
      <w:tr>
        <w:trPr>
          <w:trHeight w:val="139"/>
        </w:trPr>
        <w:tc>
          <w:tcPr>
            <w:tcW w:w="59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Loss on extinguishment of debt (1)</w:t>
            </w: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11,935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12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5960" w:type="dxa"/>
            <w:vAlign w:val="bottom"/>
          </w:tcPr>
          <w:p>
            <w:pPr>
              <w:ind w:left="180"/>
              <w:spacing w:after="0"/>
              <w:rPr>
                <w:sz w:val="20"/>
                <w:szCs w:val="20"/>
                <w:color w:val="auto"/>
              </w:rPr>
            </w:pPr>
            <w:r>
              <w:rPr>
                <w:rFonts w:ascii="Arial" w:cs="Arial" w:eastAsia="Arial" w:hAnsi="Arial"/>
                <w:sz w:val="11"/>
                <w:szCs w:val="11"/>
                <w:color w:val="auto"/>
              </w:rPr>
              <w:t>Goodwill impairment charges (2)</w:t>
            </w:r>
          </w:p>
        </w:tc>
        <w:tc>
          <w:tcPr>
            <w:tcW w:w="180" w:type="dxa"/>
            <w:vAlign w:val="bottom"/>
          </w:tcPr>
          <w:p>
            <w:pPr>
              <w:spacing w:after="0"/>
              <w:rPr>
                <w:sz w:val="12"/>
                <w:szCs w:val="12"/>
                <w:color w:val="auto"/>
              </w:rPr>
            </w:pPr>
          </w:p>
        </w:tc>
        <w:tc>
          <w:tcPr>
            <w:tcW w:w="1100" w:type="dxa"/>
            <w:vAlign w:val="bottom"/>
          </w:tcPr>
          <w:p>
            <w:pPr>
              <w:jc w:val="right"/>
              <w:ind w:right="103"/>
              <w:spacing w:after="0"/>
              <w:rPr>
                <w:sz w:val="20"/>
                <w:szCs w:val="20"/>
                <w:color w:val="auto"/>
              </w:rPr>
            </w:pPr>
            <w:r>
              <w:rPr>
                <w:rFonts w:ascii="Arial" w:cs="Arial" w:eastAsia="Arial" w:hAnsi="Arial"/>
                <w:sz w:val="11"/>
                <w:szCs w:val="11"/>
                <w:color w:val="auto"/>
              </w:rPr>
              <w:t>386,553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2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6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59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Share-based compensation expense (3)</w:t>
            </w: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27,297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6,929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448</w:t>
            </w:r>
          </w:p>
        </w:tc>
        <w:tc>
          <w:tcPr>
            <w:tcW w:w="10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5960" w:type="dxa"/>
            <w:vAlign w:val="bottom"/>
          </w:tcPr>
          <w:p>
            <w:pPr>
              <w:ind w:left="180"/>
              <w:spacing w:after="0"/>
              <w:rPr>
                <w:sz w:val="20"/>
                <w:szCs w:val="20"/>
                <w:color w:val="auto"/>
              </w:rPr>
            </w:pPr>
            <w:r>
              <w:rPr>
                <w:rFonts w:ascii="Arial" w:cs="Arial" w:eastAsia="Arial" w:hAnsi="Arial"/>
                <w:sz w:val="11"/>
                <w:szCs w:val="11"/>
                <w:color w:val="auto"/>
              </w:rPr>
              <w:t>Loss on sublease (4)</w:t>
            </w:r>
          </w:p>
        </w:tc>
        <w:tc>
          <w:tcPr>
            <w:tcW w:w="180" w:type="dxa"/>
            <w:vAlign w:val="bottom"/>
          </w:tcPr>
          <w:p>
            <w:pPr>
              <w:spacing w:after="0"/>
              <w:rPr>
                <w:sz w:val="12"/>
                <w:szCs w:val="12"/>
                <w:color w:val="auto"/>
              </w:rPr>
            </w:pPr>
          </w:p>
        </w:tc>
        <w:tc>
          <w:tcPr>
            <w:tcW w:w="1100" w:type="dxa"/>
            <w:vAlign w:val="bottom"/>
          </w:tcPr>
          <w:p>
            <w:pPr>
              <w:jc w:val="right"/>
              <w:ind w:right="103"/>
              <w:spacing w:after="0"/>
              <w:rPr>
                <w:sz w:val="20"/>
                <w:szCs w:val="20"/>
                <w:color w:val="auto"/>
              </w:rPr>
            </w:pPr>
            <w:r>
              <w:rPr>
                <w:rFonts w:ascii="Arial" w:cs="Arial" w:eastAsia="Arial" w:hAnsi="Arial"/>
                <w:sz w:val="11"/>
                <w:szCs w:val="11"/>
                <w:color w:val="auto"/>
              </w:rPr>
              <w:t>1,062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2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6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59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Legal fees (5)</w:t>
            </w: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180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12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5960" w:type="dxa"/>
            <w:vAlign w:val="bottom"/>
          </w:tcPr>
          <w:p>
            <w:pPr>
              <w:ind w:left="180"/>
              <w:spacing w:after="0"/>
              <w:rPr>
                <w:sz w:val="20"/>
                <w:szCs w:val="20"/>
                <w:color w:val="auto"/>
              </w:rPr>
            </w:pPr>
            <w:r>
              <w:rPr>
                <w:rFonts w:ascii="Arial" w:cs="Arial" w:eastAsia="Arial" w:hAnsi="Arial"/>
                <w:sz w:val="11"/>
                <w:szCs w:val="11"/>
                <w:color w:val="auto"/>
              </w:rPr>
              <w:t>Accelerated vesting of certain equity awards (6)</w:t>
            </w:r>
          </w:p>
        </w:tc>
        <w:tc>
          <w:tcPr>
            <w:tcW w:w="18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080" w:type="dxa"/>
            <w:vAlign w:val="bottom"/>
          </w:tcPr>
          <w:p>
            <w:pPr>
              <w:jc w:val="right"/>
              <w:ind w:right="103"/>
              <w:spacing w:after="0"/>
              <w:rPr>
                <w:sz w:val="20"/>
                <w:szCs w:val="20"/>
                <w:color w:val="auto"/>
              </w:rPr>
            </w:pPr>
            <w:r>
              <w:rPr>
                <w:rFonts w:ascii="Arial" w:cs="Arial" w:eastAsia="Arial" w:hAnsi="Arial"/>
                <w:sz w:val="11"/>
                <w:szCs w:val="11"/>
                <w:color w:val="auto"/>
              </w:rPr>
              <w:t>209,300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60" w:type="dxa"/>
            <w:vAlign w:val="bottom"/>
          </w:tcPr>
          <w:p>
            <w:pPr>
              <w:jc w:val="right"/>
              <w:ind w:right="83"/>
              <w:spacing w:after="0"/>
              <w:rPr>
                <w:sz w:val="20"/>
                <w:szCs w:val="20"/>
                <w:color w:val="auto"/>
              </w:rPr>
            </w:pPr>
            <w:r>
              <w:rPr>
                <w:rFonts w:ascii="Arial" w:cs="Arial" w:eastAsia="Arial" w:hAnsi="Arial"/>
                <w:sz w:val="11"/>
                <w:szCs w:val="11"/>
                <w:color w:val="auto"/>
              </w:rPr>
              <w:t>87,060</w:t>
            </w:r>
          </w:p>
        </w:tc>
        <w:tc>
          <w:tcPr>
            <w:tcW w:w="0" w:type="dxa"/>
            <w:vAlign w:val="bottom"/>
          </w:tcPr>
          <w:p>
            <w:pPr>
              <w:spacing w:after="0"/>
              <w:rPr>
                <w:sz w:val="1"/>
                <w:szCs w:val="1"/>
                <w:color w:val="auto"/>
              </w:rPr>
            </w:pPr>
          </w:p>
        </w:tc>
      </w:tr>
      <w:tr>
        <w:trPr>
          <w:trHeight w:val="149"/>
        </w:trPr>
        <w:tc>
          <w:tcPr>
            <w:tcW w:w="59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Change in fair value of contingent consideration liability (7)</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19,700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70,700</w:t>
            </w:r>
          </w:p>
        </w:tc>
        <w:tc>
          <w:tcPr>
            <w:tcW w:w="10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5960" w:type="dxa"/>
            <w:vAlign w:val="bottom"/>
          </w:tcPr>
          <w:p>
            <w:pPr>
              <w:ind w:left="180"/>
              <w:spacing w:after="0"/>
              <w:rPr>
                <w:sz w:val="20"/>
                <w:szCs w:val="20"/>
                <w:color w:val="auto"/>
              </w:rPr>
            </w:pPr>
            <w:r>
              <w:rPr>
                <w:rFonts w:ascii="Arial" w:cs="Arial" w:eastAsia="Arial" w:hAnsi="Arial"/>
                <w:sz w:val="11"/>
                <w:szCs w:val="11"/>
                <w:color w:val="auto"/>
              </w:rPr>
              <w:t>Centerbridge Acquisition costs (8)</w:t>
            </w:r>
          </w:p>
        </w:tc>
        <w:tc>
          <w:tcPr>
            <w:tcW w:w="18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180" w:type="dxa"/>
            <w:vAlign w:val="bottom"/>
          </w:tcPr>
          <w:p>
            <w:pPr>
              <w:jc w:val="right"/>
              <w:ind w:right="83"/>
              <w:spacing w:after="0"/>
              <w:rPr>
                <w:sz w:val="20"/>
                <w:szCs w:val="20"/>
                <w:color w:val="auto"/>
              </w:rPr>
            </w:pPr>
            <w:r>
              <w:rPr>
                <w:rFonts w:ascii="Arial" w:cs="Arial" w:eastAsia="Arial" w:hAnsi="Arial"/>
                <w:sz w:val="11"/>
                <w:szCs w:val="11"/>
                <w:color w:val="auto"/>
              </w:rPr>
              <w:t>6,245</w:t>
            </w: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right"/>
              <w:ind w:right="83"/>
              <w:spacing w:after="0"/>
              <w:rPr>
                <w:sz w:val="20"/>
                <w:szCs w:val="20"/>
                <w:color w:val="auto"/>
              </w:rPr>
            </w:pPr>
            <w:r>
              <w:rPr>
                <w:rFonts w:ascii="Arial" w:cs="Arial" w:eastAsia="Arial" w:hAnsi="Arial"/>
                <w:sz w:val="11"/>
                <w:szCs w:val="11"/>
                <w:color w:val="auto"/>
              </w:rPr>
              <w:t>4,908</w:t>
            </w:r>
          </w:p>
        </w:tc>
        <w:tc>
          <w:tcPr>
            <w:tcW w:w="0" w:type="dxa"/>
            <w:vAlign w:val="bottom"/>
          </w:tcPr>
          <w:p>
            <w:pPr>
              <w:spacing w:after="0"/>
              <w:rPr>
                <w:sz w:val="1"/>
                <w:szCs w:val="1"/>
                <w:color w:val="auto"/>
              </w:rPr>
            </w:pPr>
          </w:p>
        </w:tc>
      </w:tr>
      <w:tr>
        <w:trPr>
          <w:trHeight w:val="149"/>
        </w:trPr>
        <w:tc>
          <w:tcPr>
            <w:tcW w:w="59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IPO transactions costs (9)</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659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5960" w:type="dxa"/>
            <w:vAlign w:val="bottom"/>
          </w:tcPr>
          <w:p>
            <w:pPr>
              <w:ind w:left="180"/>
              <w:spacing w:after="0"/>
              <w:rPr>
                <w:sz w:val="20"/>
                <w:szCs w:val="20"/>
                <w:color w:val="auto"/>
              </w:rPr>
            </w:pPr>
            <w:r>
              <w:rPr>
                <w:rFonts w:ascii="Arial" w:cs="Arial" w:eastAsia="Arial" w:hAnsi="Arial"/>
                <w:sz w:val="11"/>
                <w:szCs w:val="11"/>
                <w:color w:val="auto"/>
              </w:rPr>
              <w:t>Severance costs (10)</w:t>
            </w:r>
          </w:p>
        </w:tc>
        <w:tc>
          <w:tcPr>
            <w:tcW w:w="18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080" w:type="dxa"/>
            <w:vAlign w:val="bottom"/>
          </w:tcPr>
          <w:p>
            <w:pPr>
              <w:jc w:val="right"/>
              <w:ind w:right="103"/>
              <w:spacing w:after="0"/>
              <w:rPr>
                <w:sz w:val="20"/>
                <w:szCs w:val="20"/>
                <w:color w:val="auto"/>
              </w:rPr>
            </w:pPr>
            <w:r>
              <w:rPr>
                <w:rFonts w:ascii="Arial" w:cs="Arial" w:eastAsia="Arial" w:hAnsi="Arial"/>
                <w:sz w:val="11"/>
                <w:szCs w:val="11"/>
                <w:color w:val="auto"/>
              </w:rPr>
              <w:t>77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right"/>
              <w:ind w:right="83"/>
              <w:spacing w:after="0"/>
              <w:rPr>
                <w:sz w:val="20"/>
                <w:szCs w:val="20"/>
                <w:color w:val="auto"/>
              </w:rPr>
            </w:pPr>
            <w:r>
              <w:rPr>
                <w:rFonts w:ascii="Arial" w:cs="Arial" w:eastAsia="Arial" w:hAnsi="Arial"/>
                <w:sz w:val="11"/>
                <w:szCs w:val="11"/>
                <w:color w:val="auto"/>
              </w:rPr>
              <w:t>219</w:t>
            </w: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right"/>
              <w:ind w:right="83"/>
              <w:spacing w:after="0"/>
              <w:rPr>
                <w:sz w:val="20"/>
                <w:szCs w:val="20"/>
                <w:color w:val="auto"/>
              </w:rPr>
            </w:pPr>
            <w:r>
              <w:rPr>
                <w:rFonts w:ascii="Arial" w:cs="Arial" w:eastAsia="Arial" w:hAnsi="Arial"/>
                <w:sz w:val="11"/>
                <w:szCs w:val="11"/>
                <w:color w:val="auto"/>
              </w:rPr>
              <w:t>747</w:t>
            </w:r>
          </w:p>
        </w:tc>
        <w:tc>
          <w:tcPr>
            <w:tcW w:w="0" w:type="dxa"/>
            <w:vAlign w:val="bottom"/>
          </w:tcPr>
          <w:p>
            <w:pPr>
              <w:spacing w:after="0"/>
              <w:rPr>
                <w:sz w:val="1"/>
                <w:szCs w:val="1"/>
                <w:color w:val="auto"/>
              </w:rPr>
            </w:pPr>
          </w:p>
        </w:tc>
      </w:tr>
      <w:tr>
        <w:trPr>
          <w:trHeight w:val="164"/>
        </w:trPr>
        <w:tc>
          <w:tcPr>
            <w:tcW w:w="5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Adjusted EBITDA</w:t>
            </w: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w w:val="97"/>
              </w:rPr>
              <w:t>$</w:t>
            </w:r>
          </w:p>
        </w:tc>
        <w:tc>
          <w:tcPr>
            <w:tcW w:w="110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b w:val="1"/>
                <w:bCs w:val="1"/>
                <w:color w:val="auto"/>
              </w:rPr>
              <w:t>33,821</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w w:val="97"/>
              </w:rPr>
              <w:t>$</w:t>
            </w:r>
          </w:p>
        </w:tc>
        <w:tc>
          <w:tcPr>
            <w:tcW w:w="108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b w:val="1"/>
                <w:bCs w:val="1"/>
                <w:color w:val="auto"/>
              </w:rPr>
              <w:t>271,029</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18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130,465</w:t>
            </w:r>
          </w:p>
        </w:tc>
        <w:tc>
          <w:tcPr>
            <w:tcW w:w="100" w:type="dxa"/>
            <w:vAlign w:val="bottom"/>
            <w:tcBorders>
              <w:top w:val="single" w:sz="8" w:color="CCEEFF"/>
              <w:bottom w:val="single" w:sz="8" w:color="CCEEFF"/>
              <w:right w:val="single" w:sz="8" w:color="auto"/>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16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39,973</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5960" w:type="dxa"/>
            <w:vAlign w:val="bottom"/>
          </w:tcPr>
          <w:p>
            <w:pPr>
              <w:ind w:left="20"/>
              <w:spacing w:after="0" w:line="111" w:lineRule="exact"/>
              <w:rPr>
                <w:sz w:val="20"/>
                <w:szCs w:val="20"/>
                <w:color w:val="auto"/>
              </w:rPr>
            </w:pPr>
            <w:r>
              <w:rPr>
                <w:rFonts w:ascii="Arial" w:cs="Arial" w:eastAsia="Arial" w:hAnsi="Arial"/>
                <w:sz w:val="11"/>
                <w:szCs w:val="11"/>
                <w:color w:val="auto"/>
              </w:rPr>
              <w:t>Adjusted EBITDA margin</w:t>
            </w:r>
          </w:p>
        </w:tc>
        <w:tc>
          <w:tcPr>
            <w:tcW w:w="180" w:type="dxa"/>
            <w:vAlign w:val="bottom"/>
          </w:tcPr>
          <w:p>
            <w:pPr>
              <w:spacing w:after="0"/>
              <w:rPr>
                <w:sz w:val="9"/>
                <w:szCs w:val="9"/>
                <w:color w:val="auto"/>
              </w:rPr>
            </w:pPr>
          </w:p>
        </w:tc>
        <w:tc>
          <w:tcPr>
            <w:tcW w:w="1100" w:type="dxa"/>
            <w:vAlign w:val="bottom"/>
          </w:tcPr>
          <w:p>
            <w:pPr>
              <w:jc w:val="right"/>
              <w:spacing w:after="0" w:line="111" w:lineRule="exact"/>
              <w:rPr>
                <w:sz w:val="20"/>
                <w:szCs w:val="20"/>
                <w:color w:val="auto"/>
              </w:rPr>
            </w:pPr>
            <w:r>
              <w:rPr>
                <w:rFonts w:ascii="Arial" w:cs="Arial" w:eastAsia="Arial" w:hAnsi="Arial"/>
                <w:sz w:val="11"/>
                <w:szCs w:val="11"/>
                <w:color w:val="auto"/>
              </w:rPr>
              <w:t>3.2 %</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jc w:val="right"/>
              <w:spacing w:after="0" w:line="111" w:lineRule="exact"/>
              <w:rPr>
                <w:sz w:val="20"/>
                <w:szCs w:val="20"/>
                <w:color w:val="auto"/>
              </w:rPr>
            </w:pPr>
            <w:r>
              <w:rPr>
                <w:rFonts w:ascii="Arial" w:cs="Arial" w:eastAsia="Arial" w:hAnsi="Arial"/>
                <w:sz w:val="11"/>
                <w:szCs w:val="11"/>
                <w:color w:val="auto"/>
              </w:rPr>
              <w:t>30.9 %</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jc w:val="right"/>
              <w:spacing w:after="0" w:line="111" w:lineRule="exact"/>
              <w:rPr>
                <w:sz w:val="20"/>
                <w:szCs w:val="20"/>
                <w:color w:val="auto"/>
              </w:rPr>
            </w:pPr>
            <w:r>
              <w:rPr>
                <w:rFonts w:ascii="Arial" w:cs="Arial" w:eastAsia="Arial" w:hAnsi="Arial"/>
                <w:sz w:val="11"/>
                <w:szCs w:val="11"/>
                <w:color w:val="auto"/>
              </w:rPr>
              <w:t>42.3 %</w:t>
            </w:r>
          </w:p>
        </w:tc>
        <w:tc>
          <w:tcPr>
            <w:tcW w:w="1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jc w:val="right"/>
              <w:spacing w:after="0" w:line="111" w:lineRule="exact"/>
              <w:rPr>
                <w:sz w:val="20"/>
                <w:szCs w:val="20"/>
                <w:color w:val="auto"/>
              </w:rPr>
            </w:pPr>
            <w:r>
              <w:rPr>
                <w:rFonts w:ascii="Arial" w:cs="Arial" w:eastAsia="Arial" w:hAnsi="Arial"/>
                <w:sz w:val="11"/>
                <w:szCs w:val="11"/>
                <w:color w:val="auto"/>
              </w:rPr>
              <w:t>17.3 %</w:t>
            </w:r>
          </w:p>
        </w:tc>
        <w:tc>
          <w:tcPr>
            <w:tcW w:w="0" w:type="dxa"/>
            <w:vAlign w:val="bottom"/>
          </w:tcPr>
          <w:p>
            <w:pPr>
              <w:spacing w:after="0"/>
              <w:rPr>
                <w:sz w:val="1"/>
                <w:szCs w:val="1"/>
                <w:color w:val="auto"/>
              </w:rPr>
            </w:pPr>
          </w:p>
        </w:tc>
      </w:tr>
    </w:tbl>
    <w:p>
      <w:pPr>
        <w:spacing w:after="0" w:line="257" w:lineRule="exact"/>
        <w:rPr>
          <w:sz w:val="20"/>
          <w:szCs w:val="20"/>
          <w:color w:val="auto"/>
        </w:rPr>
      </w:pPr>
    </w:p>
    <w:p>
      <w:pPr>
        <w:ind w:left="240" w:hanging="235"/>
        <w:spacing w:after="0"/>
        <w:tabs>
          <w:tab w:leader="none" w:pos="240" w:val="left"/>
        </w:tabs>
        <w:numPr>
          <w:ilvl w:val="0"/>
          <w:numId w:val="29"/>
        </w:numPr>
        <w:rPr>
          <w:rFonts w:ascii="Arial" w:cs="Arial" w:eastAsia="Arial" w:hAnsi="Arial"/>
          <w:sz w:val="11"/>
          <w:szCs w:val="11"/>
          <w:i w:val="1"/>
          <w:iCs w:val="1"/>
          <w:color w:val="auto"/>
        </w:rPr>
      </w:pPr>
      <w:r>
        <w:rPr>
          <w:rFonts w:ascii="Arial" w:cs="Arial" w:eastAsia="Arial" w:hAnsi="Arial"/>
          <w:sz w:val="11"/>
          <w:szCs w:val="11"/>
          <w:i w:val="1"/>
          <w:iCs w:val="1"/>
          <w:color w:val="auto"/>
        </w:rPr>
        <w:t>Represents the loss on debt extinguishment related to the Initial Term Loan Facility.</w:t>
      </w:r>
    </w:p>
    <w:p>
      <w:pPr>
        <w:spacing w:after="0" w:line="12" w:lineRule="exact"/>
        <w:rPr>
          <w:rFonts w:ascii="Arial" w:cs="Arial" w:eastAsia="Arial" w:hAnsi="Arial"/>
          <w:sz w:val="11"/>
          <w:szCs w:val="11"/>
          <w:i w:val="1"/>
          <w:iCs w:val="1"/>
          <w:color w:val="auto"/>
        </w:rPr>
      </w:pPr>
    </w:p>
    <w:p>
      <w:pPr>
        <w:ind w:left="240" w:hanging="235"/>
        <w:spacing w:after="0"/>
        <w:tabs>
          <w:tab w:leader="none" w:pos="240" w:val="left"/>
        </w:tabs>
        <w:numPr>
          <w:ilvl w:val="0"/>
          <w:numId w:val="29"/>
        </w:numPr>
        <w:rPr>
          <w:rFonts w:ascii="Arial" w:cs="Arial" w:eastAsia="Arial" w:hAnsi="Arial"/>
          <w:sz w:val="11"/>
          <w:szCs w:val="11"/>
          <w:i w:val="1"/>
          <w:iCs w:val="1"/>
          <w:color w:val="auto"/>
        </w:rPr>
      </w:pPr>
      <w:r>
        <w:rPr>
          <w:rFonts w:ascii="Arial" w:cs="Arial" w:eastAsia="Arial" w:hAnsi="Arial"/>
          <w:sz w:val="11"/>
          <w:szCs w:val="11"/>
          <w:i w:val="1"/>
          <w:iCs w:val="1"/>
          <w:color w:val="auto"/>
        </w:rPr>
        <w:t>Represents goodwill impairment charges related to the Medicare— Internal and Medicare— External reporting units for the twelve months ended December 31, 2021.</w:t>
      </w:r>
    </w:p>
    <w:p>
      <w:pPr>
        <w:ind w:left="240" w:hanging="235"/>
        <w:spacing w:after="0"/>
        <w:tabs>
          <w:tab w:leader="none" w:pos="240" w:val="left"/>
        </w:tabs>
        <w:numPr>
          <w:ilvl w:val="0"/>
          <w:numId w:val="29"/>
        </w:numPr>
        <w:rPr>
          <w:rFonts w:ascii="Arial" w:cs="Arial" w:eastAsia="Arial" w:hAnsi="Arial"/>
          <w:sz w:val="11"/>
          <w:szCs w:val="11"/>
          <w:i w:val="1"/>
          <w:iCs w:val="1"/>
          <w:color w:val="auto"/>
        </w:rPr>
      </w:pPr>
      <w:r>
        <w:rPr>
          <w:rFonts w:ascii="Arial" w:cs="Arial" w:eastAsia="Arial" w:hAnsi="Arial"/>
          <w:sz w:val="11"/>
          <w:szCs w:val="11"/>
          <w:i w:val="1"/>
          <w:iCs w:val="1"/>
          <w:color w:val="auto"/>
        </w:rPr>
        <w:t>Represents non-cash share-based compensation expense relating to equity awards.</w:t>
      </w:r>
    </w:p>
    <w:p>
      <w:pPr>
        <w:ind w:left="240" w:hanging="235"/>
        <w:spacing w:after="0"/>
        <w:tabs>
          <w:tab w:leader="none" w:pos="240" w:val="left"/>
        </w:tabs>
        <w:numPr>
          <w:ilvl w:val="0"/>
          <w:numId w:val="29"/>
        </w:numPr>
        <w:rPr>
          <w:rFonts w:ascii="Arial" w:cs="Arial" w:eastAsia="Arial" w:hAnsi="Arial"/>
          <w:sz w:val="11"/>
          <w:szCs w:val="11"/>
          <w:i w:val="1"/>
          <w:iCs w:val="1"/>
          <w:color w:val="auto"/>
        </w:rPr>
      </w:pPr>
      <w:r>
        <w:rPr>
          <w:rFonts w:ascii="Arial" w:cs="Arial" w:eastAsia="Arial" w:hAnsi="Arial"/>
          <w:sz w:val="11"/>
          <w:szCs w:val="11"/>
          <w:i w:val="1"/>
          <w:iCs w:val="1"/>
          <w:color w:val="auto"/>
        </w:rPr>
        <w:t>Represents the loss related to a sublease agreement entered into during the twelve months ended December 31, 2021.</w:t>
      </w:r>
    </w:p>
    <w:p>
      <w:pPr>
        <w:ind w:left="240" w:hanging="235"/>
        <w:spacing w:after="0"/>
        <w:tabs>
          <w:tab w:leader="none" w:pos="240" w:val="left"/>
        </w:tabs>
        <w:numPr>
          <w:ilvl w:val="0"/>
          <w:numId w:val="29"/>
        </w:numPr>
        <w:rPr>
          <w:rFonts w:ascii="Arial" w:cs="Arial" w:eastAsia="Arial" w:hAnsi="Arial"/>
          <w:sz w:val="11"/>
          <w:szCs w:val="11"/>
          <w:i w:val="1"/>
          <w:iCs w:val="1"/>
          <w:color w:val="auto"/>
        </w:rPr>
      </w:pPr>
      <w:r>
        <w:rPr>
          <w:rFonts w:ascii="Arial" w:cs="Arial" w:eastAsia="Arial" w:hAnsi="Arial"/>
          <w:sz w:val="11"/>
          <w:szCs w:val="11"/>
          <w:i w:val="1"/>
          <w:iCs w:val="1"/>
          <w:color w:val="auto"/>
        </w:rPr>
        <w:t>Represents non-recurring legal fees unrelated to our core operations.</w:t>
      </w:r>
    </w:p>
    <w:p>
      <w:pPr>
        <w:ind w:left="240" w:hanging="235"/>
        <w:spacing w:after="0"/>
        <w:tabs>
          <w:tab w:leader="none" w:pos="240" w:val="left"/>
        </w:tabs>
        <w:numPr>
          <w:ilvl w:val="0"/>
          <w:numId w:val="29"/>
        </w:numPr>
        <w:rPr>
          <w:rFonts w:ascii="Arial" w:cs="Arial" w:eastAsia="Arial" w:hAnsi="Arial"/>
          <w:sz w:val="11"/>
          <w:szCs w:val="11"/>
          <w:i w:val="1"/>
          <w:iCs w:val="1"/>
          <w:color w:val="auto"/>
        </w:rPr>
      </w:pPr>
      <w:r>
        <w:rPr>
          <w:rFonts w:ascii="Arial" w:cs="Arial" w:eastAsia="Arial" w:hAnsi="Arial"/>
          <w:sz w:val="11"/>
          <w:szCs w:val="11"/>
          <w:i w:val="1"/>
          <w:iCs w:val="1"/>
          <w:color w:val="auto"/>
        </w:rPr>
        <w:t>Represents non-cash share-based compensation expense relating to the accelerated vesting of performance-vesting units in connection with the IPO for the twelve months ended December 31, 2020.</w:t>
      </w:r>
    </w:p>
    <w:p>
      <w:pPr>
        <w:ind w:left="240" w:hanging="235"/>
        <w:spacing w:after="0"/>
        <w:tabs>
          <w:tab w:leader="none" w:pos="240" w:val="left"/>
        </w:tabs>
        <w:numPr>
          <w:ilvl w:val="0"/>
          <w:numId w:val="29"/>
        </w:numPr>
        <w:rPr>
          <w:rFonts w:ascii="Arial" w:cs="Arial" w:eastAsia="Arial" w:hAnsi="Arial"/>
          <w:sz w:val="11"/>
          <w:szCs w:val="11"/>
          <w:i w:val="1"/>
          <w:iCs w:val="1"/>
          <w:color w:val="auto"/>
        </w:rPr>
      </w:pPr>
      <w:r>
        <w:rPr>
          <w:rFonts w:ascii="Arial" w:cs="Arial" w:eastAsia="Arial" w:hAnsi="Arial"/>
          <w:sz w:val="11"/>
          <w:szCs w:val="11"/>
          <w:i w:val="1"/>
          <w:iCs w:val="1"/>
          <w:color w:val="auto"/>
        </w:rPr>
        <w:t>Represents the change in fair value of the contingent consideration liability due to the predecessor owners of the Company arising from the Centerbridge Acquisition.</w:t>
      </w:r>
    </w:p>
    <w:p>
      <w:pPr>
        <w:ind w:left="240" w:hanging="235"/>
        <w:spacing w:after="0"/>
        <w:tabs>
          <w:tab w:leader="none" w:pos="240" w:val="left"/>
        </w:tabs>
        <w:numPr>
          <w:ilvl w:val="0"/>
          <w:numId w:val="29"/>
        </w:numPr>
        <w:rPr>
          <w:rFonts w:ascii="Arial" w:cs="Arial" w:eastAsia="Arial" w:hAnsi="Arial"/>
          <w:sz w:val="11"/>
          <w:szCs w:val="11"/>
          <w:i w:val="1"/>
          <w:iCs w:val="1"/>
          <w:color w:val="auto"/>
        </w:rPr>
      </w:pPr>
      <w:r>
        <w:rPr>
          <w:rFonts w:ascii="Arial" w:cs="Arial" w:eastAsia="Arial" w:hAnsi="Arial"/>
          <w:sz w:val="11"/>
          <w:szCs w:val="11"/>
          <w:i w:val="1"/>
          <w:iCs w:val="1"/>
          <w:color w:val="auto"/>
        </w:rPr>
        <w:t>Represents legal, accounting, consulting, and other costs related to the Centerbridge Acquisition.</w:t>
      </w:r>
    </w:p>
    <w:p>
      <w:pPr>
        <w:ind w:left="240" w:hanging="235"/>
        <w:spacing w:after="0"/>
        <w:tabs>
          <w:tab w:leader="none" w:pos="240" w:val="left"/>
        </w:tabs>
        <w:numPr>
          <w:ilvl w:val="0"/>
          <w:numId w:val="29"/>
        </w:numPr>
        <w:rPr>
          <w:rFonts w:ascii="Arial" w:cs="Arial" w:eastAsia="Arial" w:hAnsi="Arial"/>
          <w:sz w:val="11"/>
          <w:szCs w:val="11"/>
          <w:i w:val="1"/>
          <w:iCs w:val="1"/>
          <w:color w:val="auto"/>
        </w:rPr>
      </w:pPr>
      <w:r>
        <w:rPr>
          <w:rFonts w:ascii="Arial" w:cs="Arial" w:eastAsia="Arial" w:hAnsi="Arial"/>
          <w:sz w:val="11"/>
          <w:szCs w:val="11"/>
          <w:i w:val="1"/>
          <w:iCs w:val="1"/>
          <w:color w:val="auto"/>
        </w:rPr>
        <w:t>Represents legal, accounting, consulting, and other indirect costs associated with the Company’s IPO.</w:t>
      </w:r>
    </w:p>
    <w:p>
      <w:pPr>
        <w:ind w:left="260" w:hanging="255"/>
        <w:spacing w:after="0"/>
        <w:tabs>
          <w:tab w:leader="none" w:pos="260" w:val="left"/>
        </w:tabs>
        <w:numPr>
          <w:ilvl w:val="0"/>
          <w:numId w:val="29"/>
        </w:numPr>
        <w:rPr>
          <w:rFonts w:ascii="Arial" w:cs="Arial" w:eastAsia="Arial" w:hAnsi="Arial"/>
          <w:sz w:val="11"/>
          <w:szCs w:val="11"/>
          <w:i w:val="1"/>
          <w:iCs w:val="1"/>
          <w:color w:val="auto"/>
        </w:rPr>
      </w:pPr>
      <w:r>
        <w:rPr>
          <w:rFonts w:ascii="Arial" w:cs="Arial" w:eastAsia="Arial" w:hAnsi="Arial"/>
          <w:sz w:val="11"/>
          <w:szCs w:val="11"/>
          <w:i w:val="1"/>
          <w:iCs w:val="1"/>
          <w:color w:val="auto"/>
        </w:rPr>
        <w:t>Represents costs associated with the termination of employment.</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Net Revenues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Commission Revenues</w:t>
      </w:r>
    </w:p>
    <w:p>
      <w:pPr>
        <w:spacing w:after="0" w:line="181" w:lineRule="exact"/>
        <w:rPr>
          <w:sz w:val="20"/>
          <w:szCs w:val="20"/>
          <w:color w:val="auto"/>
        </w:rPr>
      </w:pPr>
    </w:p>
    <w:p>
      <w:pPr>
        <w:ind w:right="20"/>
        <w:spacing w:after="0" w:line="244" w:lineRule="auto"/>
        <w:rPr>
          <w:sz w:val="20"/>
          <w:szCs w:val="20"/>
          <w:color w:val="auto"/>
        </w:rPr>
      </w:pPr>
      <w:r>
        <w:rPr>
          <w:rFonts w:ascii="Arial" w:cs="Arial" w:eastAsia="Arial" w:hAnsi="Arial"/>
          <w:sz w:val="13"/>
          <w:szCs w:val="13"/>
          <w:color w:val="auto"/>
        </w:rPr>
        <w:t>Commission revenues were $881.3 million for the twelve months ended December 31, 2021 compared to $671.1 million for the twelve months ended December 31, 2020. The $210.1 million, or 31.3%, increase was primarily attributable to increases in commission revenue from the Medicare—Internal segment driven by a 87% increase in Medicare commissionable Approved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48</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85" w:right="319" w:bottom="1440" w:gutter="0" w:footer="0" w:header="0"/>
        </w:sectPr>
      </w:pPr>
    </w:p>
    <w:bookmarkStart w:id="51" w:name="page52"/>
    <w:bookmarkEnd w:id="51"/>
    <w:p>
      <w:pPr>
        <w:ind w:right="140"/>
        <w:spacing w:after="0" w:line="241" w:lineRule="auto"/>
        <w:rPr>
          <w:sz w:val="20"/>
          <w:szCs w:val="20"/>
          <w:color w:val="auto"/>
        </w:rPr>
      </w:pPr>
      <w:r>
        <w:rPr>
          <w:rFonts w:ascii="Arial" w:cs="Arial" w:eastAsia="Arial" w:hAnsi="Arial"/>
          <w:sz w:val="13"/>
          <w:szCs w:val="13"/>
          <w:color w:val="auto"/>
        </w:rPr>
        <w:t>Submissions. This was partially offset by negative revenue adjustments relating to performance obligations satisfied in prior periods for the twelve months ended December 31, 2021 of $165.3 million and decreased LTV Per Approved Submission for the twelve months ended December 31, 2021 compared to the comparable prior year period driven by unfavorable effectuation and persistency trends.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Enterprise Revenues</w:t>
      </w:r>
    </w:p>
    <w:p>
      <w:pPr>
        <w:spacing w:after="0" w:line="181" w:lineRule="exact"/>
        <w:rPr>
          <w:sz w:val="20"/>
          <w:szCs w:val="20"/>
          <w:color w:val="auto"/>
        </w:rPr>
      </w:pPr>
    </w:p>
    <w:p>
      <w:pPr>
        <w:ind w:right="20"/>
        <w:spacing w:after="0"/>
        <w:rPr>
          <w:sz w:val="20"/>
          <w:szCs w:val="20"/>
          <w:color w:val="auto"/>
        </w:rPr>
      </w:pPr>
      <w:r>
        <w:rPr>
          <w:rFonts w:ascii="Arial" w:cs="Arial" w:eastAsia="Arial" w:hAnsi="Arial"/>
          <w:sz w:val="13"/>
          <w:szCs w:val="13"/>
          <w:color w:val="auto"/>
        </w:rPr>
        <w:t>Enterprise revenues were $181.2 million for the twelve months ended December 31, 2021 compared to $206.2 million for the twelve months ended December 31, 2020. The $25.1 million, or 12.2%, decrease was primarily attributable to a decrease of $33.4 million related to partner marketing and enrollment services and a $7.1 million decrease in technology licensing and implementation fees, and consumer lead sales to external third parties in our external segments, as we strategically shifted to generating consumer leads in the internal channels. The decreases were partially offset by a $15.4 million increase in direct partner campaigns in our Medicare—Internal segment.</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Operating Expense</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Cost of Revenue</w:t>
      </w:r>
    </w:p>
    <w:p>
      <w:pPr>
        <w:spacing w:after="0" w:line="181" w:lineRule="exact"/>
        <w:rPr>
          <w:sz w:val="20"/>
          <w:szCs w:val="20"/>
          <w:color w:val="auto"/>
        </w:rPr>
      </w:pPr>
    </w:p>
    <w:p>
      <w:pPr>
        <w:spacing w:after="0" w:line="271" w:lineRule="auto"/>
        <w:rPr>
          <w:sz w:val="20"/>
          <w:szCs w:val="20"/>
          <w:color w:val="auto"/>
        </w:rPr>
      </w:pPr>
      <w:r>
        <w:rPr>
          <w:rFonts w:ascii="Arial" w:cs="Arial" w:eastAsia="Arial" w:hAnsi="Arial"/>
          <w:sz w:val="12"/>
          <w:szCs w:val="12"/>
          <w:color w:val="auto"/>
        </w:rPr>
        <w:t>Cost of revenue was $239.3 million for the twelve months ended December 31, 2021 compared to $199.2 million for the twelve months ended December 31, 2020. The $40.1 million, or 20.1%, increase was primarily attributable to a 69% increase in commissionable Approved Submissions in the Medicare—External segment, which increased the amount of expense we recognized pursuant to our revenue-sharing agreements with external agents and other partners. This was partially offset by negative cost of revenue adjustments relating to performance obligations satisfied in prior periods.</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Marketing and Advertising</w:t>
      </w:r>
    </w:p>
    <w:p>
      <w:pPr>
        <w:spacing w:after="0" w:line="181" w:lineRule="exact"/>
        <w:rPr>
          <w:sz w:val="20"/>
          <w:szCs w:val="20"/>
          <w:color w:val="auto"/>
        </w:rPr>
      </w:pPr>
    </w:p>
    <w:p>
      <w:pPr>
        <w:ind w:right="320"/>
        <w:spacing w:after="0"/>
        <w:rPr>
          <w:sz w:val="20"/>
          <w:szCs w:val="20"/>
          <w:color w:val="auto"/>
        </w:rPr>
      </w:pPr>
      <w:r>
        <w:rPr>
          <w:rFonts w:ascii="Arial" w:cs="Arial" w:eastAsia="Arial" w:hAnsi="Arial"/>
          <w:sz w:val="13"/>
          <w:szCs w:val="13"/>
          <w:color w:val="auto"/>
        </w:rPr>
        <w:t>Marketing and advertising expense was $365.1 million for the twelve months ended December 31, 2021 compared to $206.9 million for the twelve months ended December 31, 2020. The $158.3 million, or 76.5%, increase was primarily attributable to an increase in our advertising costs for the Medicare—Internal segment to generate more qualified prospects, which contributed to a 87% increase in Medicare—Internal commissionable Approved Submissions. Additionally, marketing and advertising expense for the twelve months ended December 31, 2020 included $24.6 million of share-based compensation expense relating to the accelerated vesting of performance-vesting units in connection with the IPO.</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Customer Care and Enrollment</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color w:val="auto"/>
        </w:rPr>
        <w:t>Customer care and enrollment expense was $320.2 million for the twelve months ended December 31, 2021 compared to $165.5 million for the twelve months ended December 31, 2020. The $154.7 million, or 93.5%, increase was primarily attributable to the hiring of additional agents in the Medicare—Internal segment as well as expenses associated with an increased attrition rate of agents. Additionally, customer care and enrollment expense for the twelve months ended December 31, 2020 included $11.5 million of share-based compensation expense relating to the accelerated vesting of performance-vesting units in connection with the IPO.</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Technology</w:t>
      </w:r>
    </w:p>
    <w:p>
      <w:pPr>
        <w:spacing w:after="0" w:line="181" w:lineRule="exact"/>
        <w:rPr>
          <w:sz w:val="20"/>
          <w:szCs w:val="20"/>
          <w:color w:val="auto"/>
        </w:rPr>
      </w:pPr>
    </w:p>
    <w:p>
      <w:pPr>
        <w:ind w:right="100"/>
        <w:spacing w:after="0"/>
        <w:rPr>
          <w:sz w:val="20"/>
          <w:szCs w:val="20"/>
          <w:color w:val="auto"/>
        </w:rPr>
      </w:pPr>
      <w:r>
        <w:rPr>
          <w:rFonts w:ascii="Arial" w:cs="Arial" w:eastAsia="Arial" w:hAnsi="Arial"/>
          <w:sz w:val="13"/>
          <w:szCs w:val="13"/>
          <w:color w:val="auto"/>
        </w:rPr>
        <w:t>Technology expense was $48.4 million for the twelve months ended December 31, 2021 compared to $59.3 million for the twelve months ended December 31, 2020. The $10.9 million, or 18.4%, decrease was primarily attributable to $32.6 million of share-based compensation expense recorded during the twelve months ended December 31, 2020 relating to the accelerated vesting of performance-vesting units in connection with the IPO. Absent this share-based compensation expense, the increase was primarily due to the hiring of additional employees in our technology and data science teams, and the expansion of our business intelligence and analytics staffing in order to support the growth of the Medicare—Internal segment.</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General and Administrative</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color w:val="auto"/>
        </w:rPr>
        <w:t>General and administrative expense was $98.2 million for the twelve months ended December 31, 2021 compared to $197.2 million for the twelve months ended December 31, 2020. The $99.0 million, or 50.2%, decrease was primarily attributable to $140.6 million of share-based compensation expense recorded during the twelve months ended December 31, 2020 relating to the accelerated vesting of performance-vesting units in connection with the IPO. Absent this share-based compensation expense, the increase was primarily due to investments in corporate infrastructure, such as legal, human resources, and finance, to support general growth and implement the corporate resources needed to support a post-IPO business.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49</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85" w:right="319" w:bottom="1440" w:gutter="0" w:footer="0" w:header="0"/>
        </w:sectPr>
      </w:pPr>
    </w:p>
    <w:bookmarkStart w:id="52" w:name="page53"/>
    <w:bookmarkEnd w:id="52"/>
    <w:p>
      <w:pPr>
        <w:spacing w:after="0"/>
        <w:rPr>
          <w:sz w:val="20"/>
          <w:szCs w:val="20"/>
          <w:color w:val="auto"/>
        </w:rPr>
      </w:pPr>
      <w:r>
        <w:rPr>
          <w:rFonts w:ascii="Arial" w:cs="Arial" w:eastAsia="Arial" w:hAnsi="Arial"/>
          <w:sz w:val="13"/>
          <w:szCs w:val="13"/>
          <w:i w:val="1"/>
          <w:iCs w:val="1"/>
          <w:u w:val="single" w:color="auto"/>
          <w:color w:val="auto"/>
        </w:rPr>
        <w:t>Change in Fair Value of Contingent Consideration Liability</w:t>
      </w:r>
    </w:p>
    <w:p>
      <w:pPr>
        <w:spacing w:after="0" w:line="181" w:lineRule="exact"/>
        <w:rPr>
          <w:sz w:val="20"/>
          <w:szCs w:val="20"/>
          <w:color w:val="auto"/>
        </w:rPr>
      </w:pPr>
    </w:p>
    <w:p>
      <w:pPr>
        <w:ind w:right="700"/>
        <w:spacing w:after="0" w:line="244" w:lineRule="auto"/>
        <w:rPr>
          <w:sz w:val="20"/>
          <w:szCs w:val="20"/>
          <w:color w:val="auto"/>
        </w:rPr>
      </w:pPr>
      <w:r>
        <w:rPr>
          <w:rFonts w:ascii="Arial" w:cs="Arial" w:eastAsia="Arial" w:hAnsi="Arial"/>
          <w:sz w:val="13"/>
          <w:szCs w:val="13"/>
          <w:color w:val="auto"/>
        </w:rPr>
        <w:t>Change in fair value of contingent consideration liability was $19.7 million for the twelve months ended December 31, 2020 and relates to the earnout liability incurred in connection with the Centerbridge Acquisition, in which we agreed to pay additional consideration if certain financial targets were achieved. The earnout liability was settled in connection with our IPO.</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Amortization of Intangible Assets</w:t>
      </w:r>
    </w:p>
    <w:p>
      <w:pPr>
        <w:spacing w:after="0" w:line="181" w:lineRule="exact"/>
        <w:rPr>
          <w:sz w:val="20"/>
          <w:szCs w:val="20"/>
          <w:color w:val="auto"/>
        </w:rPr>
      </w:pPr>
    </w:p>
    <w:p>
      <w:pPr>
        <w:ind w:right="240"/>
        <w:spacing w:after="0" w:line="244" w:lineRule="auto"/>
        <w:rPr>
          <w:sz w:val="20"/>
          <w:szCs w:val="20"/>
          <w:color w:val="auto"/>
        </w:rPr>
      </w:pPr>
      <w:r>
        <w:rPr>
          <w:rFonts w:ascii="Arial" w:cs="Arial" w:eastAsia="Arial" w:hAnsi="Arial"/>
          <w:sz w:val="13"/>
          <w:szCs w:val="13"/>
          <w:color w:val="auto"/>
        </w:rPr>
        <w:t>Amortization of intangible assets expense was $94.1 million for both the twelve months ended December 31, 2021 and December 31, 2020, and relates to the amortization of developed technology and customer relationships.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Interest Expense</w:t>
      </w:r>
    </w:p>
    <w:p>
      <w:pPr>
        <w:spacing w:after="0" w:line="181" w:lineRule="exact"/>
        <w:rPr>
          <w:sz w:val="20"/>
          <w:szCs w:val="20"/>
          <w:color w:val="auto"/>
        </w:rPr>
      </w:pPr>
    </w:p>
    <w:p>
      <w:pPr>
        <w:ind w:right="120"/>
        <w:spacing w:after="0" w:line="244" w:lineRule="auto"/>
        <w:rPr>
          <w:sz w:val="20"/>
          <w:szCs w:val="20"/>
          <w:color w:val="auto"/>
        </w:rPr>
      </w:pPr>
      <w:r>
        <w:rPr>
          <w:rFonts w:ascii="Arial" w:cs="Arial" w:eastAsia="Arial" w:hAnsi="Arial"/>
          <w:sz w:val="13"/>
          <w:szCs w:val="13"/>
          <w:color w:val="auto"/>
        </w:rPr>
        <w:t>Interest expense was $33.5 million for the twelve months ended December 31, 2021 compared to $33.0 million for the twelve months ended December 31, 2020. The $0.5 million increase was due to additional debt outstanding on our Credit Facilities.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Loss on Extinguishment of Debt</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color w:val="auto"/>
        </w:rPr>
        <w:t>Loss on extinguishment of debt was $11.9 million for the twelve months ended December 31, 2021 and relates to the expense recognized for the extinguishment of the Initial Term Loan Facility.</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Goodwill Impairment Charges</w:t>
      </w:r>
    </w:p>
    <w:p>
      <w:pPr>
        <w:spacing w:after="0" w:line="181" w:lineRule="exact"/>
        <w:rPr>
          <w:sz w:val="20"/>
          <w:szCs w:val="20"/>
          <w:color w:val="auto"/>
        </w:rPr>
      </w:pPr>
    </w:p>
    <w:p>
      <w:pPr>
        <w:ind w:right="60"/>
        <w:spacing w:after="0" w:line="244" w:lineRule="auto"/>
        <w:rPr>
          <w:sz w:val="20"/>
          <w:szCs w:val="20"/>
          <w:color w:val="auto"/>
        </w:rPr>
      </w:pPr>
      <w:r>
        <w:rPr>
          <w:rFonts w:ascii="Arial" w:cs="Arial" w:eastAsia="Arial" w:hAnsi="Arial"/>
          <w:sz w:val="13"/>
          <w:szCs w:val="13"/>
          <w:color w:val="auto"/>
        </w:rPr>
        <w:t>The Company recognized goodwill impairment charges of $380.3 million and $6.2 million for the Medicare-Internal and Medicare— External reporting units, respectively, representing the full amount of goodwill associated with these reporting units, during the twelve months ended December 31, 2021.</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Adjusted EBITDA</w:t>
      </w:r>
    </w:p>
    <w:p>
      <w:pPr>
        <w:spacing w:after="0" w:line="181" w:lineRule="exact"/>
        <w:rPr>
          <w:sz w:val="20"/>
          <w:szCs w:val="20"/>
          <w:color w:val="auto"/>
        </w:rPr>
      </w:pPr>
    </w:p>
    <w:p>
      <w:pPr>
        <w:ind w:right="160"/>
        <w:spacing w:after="0" w:line="241" w:lineRule="auto"/>
        <w:rPr>
          <w:sz w:val="20"/>
          <w:szCs w:val="20"/>
          <w:color w:val="auto"/>
        </w:rPr>
      </w:pPr>
      <w:r>
        <w:rPr>
          <w:rFonts w:ascii="Arial" w:cs="Arial" w:eastAsia="Arial" w:hAnsi="Arial"/>
          <w:sz w:val="13"/>
          <w:szCs w:val="13"/>
          <w:color w:val="auto"/>
        </w:rPr>
        <w:t>Adjusted EBITDA was $33.8 million for the twelve months ended December 31, 2021 compared to $271.0 million for the twelve months ended December 31, 2020. The $237.2 million, or 87.5%, decrease was primarily attributable to the net impact of negative revenue adjustments relating to performance obligations satisfied in prior periods for the twelve months ended December 31, 2021 of $111.9 million, as well as expenses associated with an increased attrition rate of agents.</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Segment Information</w:t>
      </w:r>
    </w:p>
    <w:p>
      <w:pPr>
        <w:spacing w:after="0" w:line="173" w:lineRule="exact"/>
        <w:rPr>
          <w:sz w:val="20"/>
          <w:szCs w:val="20"/>
          <w:color w:val="auto"/>
        </w:rPr>
      </w:pPr>
    </w:p>
    <w:p>
      <w:pPr>
        <w:ind w:right="40"/>
        <w:spacing w:after="0" w:line="244" w:lineRule="auto"/>
        <w:rPr>
          <w:sz w:val="20"/>
          <w:szCs w:val="20"/>
          <w:color w:val="auto"/>
        </w:rPr>
      </w:pPr>
      <w:r>
        <w:rPr>
          <w:rFonts w:ascii="Arial" w:cs="Arial" w:eastAsia="Arial" w:hAnsi="Arial"/>
          <w:sz w:val="13"/>
          <w:szCs w:val="13"/>
          <w:color w:val="auto"/>
        </w:rPr>
        <w:t xml:space="preserve">Our operating segments have been determined in accordance with Accounting Standards Codification (“ASC”) 280, </w:t>
      </w:r>
      <w:r>
        <w:rPr>
          <w:rFonts w:ascii="Arial" w:cs="Arial" w:eastAsia="Arial" w:hAnsi="Arial"/>
          <w:sz w:val="13"/>
          <w:szCs w:val="13"/>
          <w:i w:val="1"/>
          <w:iCs w:val="1"/>
          <w:color w:val="auto"/>
        </w:rPr>
        <w:t>Segment Reporting</w:t>
      </w:r>
      <w:r>
        <w:rPr>
          <w:rFonts w:ascii="Arial" w:cs="Arial" w:eastAsia="Arial" w:hAnsi="Arial"/>
          <w:sz w:val="13"/>
          <w:szCs w:val="13"/>
          <w:color w:val="auto"/>
        </w:rPr>
        <w:t>. We have four operating segments: Medicare—Internal, Medicare—External, IFP and Other—Internal, and IFP and Other—External. In addition, we separately report other expenses (classified as “Corporate expense” in the following table), the primary components of which are corporate overhead expenses and shared service expenses that have not been allocated to the operating segments, as they are not the responsibility of segment operating management. The segment measurements provided to and evaluated by the chief operating decision maker are described in the Notes to Consolidated Financial Statements included elsewhere in this Annual Report on Form 10-K. These results should be considered in addition to, not as a substitute for, results reported in accordance with GAAP.</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50</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49"/>
        </w:trPr>
        <w:tc>
          <w:tcPr>
            <w:tcW w:w="28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4"/>
          </w:tcPr>
          <w:p>
            <w:pPr>
              <w:ind w:left="540"/>
              <w:spacing w:after="0"/>
              <w:rPr>
                <w:sz w:val="20"/>
                <w:szCs w:val="20"/>
                <w:color w:val="auto"/>
              </w:rPr>
            </w:pPr>
            <w:r>
              <w:rPr>
                <w:rFonts w:ascii="Arial" w:cs="Arial" w:eastAsia="Arial" w:hAnsi="Arial"/>
                <w:sz w:val="11"/>
                <w:szCs w:val="11"/>
                <w:b w:val="1"/>
                <w:bCs w:val="1"/>
                <w:color w:val="auto"/>
              </w:rPr>
              <w:t>Successor</w:t>
            </w: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3"/>
          </w:tcPr>
          <w:p>
            <w:pPr>
              <w:jc w:val="center"/>
              <w:ind w:right="43"/>
              <w:spacing w:after="0"/>
              <w:rPr>
                <w:sz w:val="20"/>
                <w:szCs w:val="20"/>
                <w:color w:val="auto"/>
              </w:rPr>
            </w:pPr>
            <w:r>
              <w:rPr>
                <w:rFonts w:ascii="Arial" w:cs="Arial" w:eastAsia="Arial" w:hAnsi="Arial"/>
                <w:sz w:val="11"/>
                <w:szCs w:val="11"/>
                <w:b w:val="1"/>
                <w:bCs w:val="1"/>
                <w:color w:val="auto"/>
              </w:rPr>
              <w:t>Predecessor</w:t>
            </w:r>
          </w:p>
        </w:tc>
        <w:tc>
          <w:tcPr>
            <w:tcW w:w="0" w:type="dxa"/>
            <w:vAlign w:val="bottom"/>
          </w:tcPr>
          <w:p>
            <w:pPr>
              <w:spacing w:after="0"/>
              <w:rPr>
                <w:sz w:val="1"/>
                <w:szCs w:val="1"/>
                <w:color w:val="auto"/>
              </w:rPr>
            </w:pPr>
          </w:p>
        </w:tc>
      </w:tr>
      <w:tr>
        <w:trPr>
          <w:trHeight w:val="107"/>
        </w:trPr>
        <w:tc>
          <w:tcPr>
            <w:tcW w:w="2880" w:type="dxa"/>
            <w:vAlign w:val="bottom"/>
          </w:tcPr>
          <w:p>
            <w:pPr>
              <w:spacing w:after="0"/>
              <w:rPr>
                <w:sz w:val="9"/>
                <w:szCs w:val="9"/>
                <w:color w:val="auto"/>
              </w:rPr>
            </w:pPr>
          </w:p>
        </w:tc>
        <w:tc>
          <w:tcPr>
            <w:tcW w:w="19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Twelve months ended Dec. 31, 2021</w:t>
            </w:r>
          </w:p>
        </w:tc>
        <w:tc>
          <w:tcPr>
            <w:tcW w:w="80" w:type="dxa"/>
            <w:vAlign w:val="bottom"/>
            <w:vMerge w:val="restart"/>
          </w:tcPr>
          <w:p>
            <w:pPr>
              <w:spacing w:after="0"/>
              <w:rPr>
                <w:sz w:val="9"/>
                <w:szCs w:val="9"/>
                <w:color w:val="auto"/>
              </w:rPr>
            </w:pPr>
          </w:p>
        </w:tc>
        <w:tc>
          <w:tcPr>
            <w:tcW w:w="196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Twelve months ended Dec. 31, 2020</w:t>
            </w:r>
          </w:p>
        </w:tc>
        <w:tc>
          <w:tcPr>
            <w:tcW w:w="120" w:type="dxa"/>
            <w:vAlign w:val="bottom"/>
            <w:vMerge w:val="restart"/>
          </w:tcPr>
          <w:p>
            <w:pPr>
              <w:spacing w:after="0"/>
              <w:rPr>
                <w:sz w:val="9"/>
                <w:szCs w:val="9"/>
                <w:color w:val="auto"/>
              </w:rPr>
            </w:pPr>
          </w:p>
        </w:tc>
        <w:tc>
          <w:tcPr>
            <w:tcW w:w="2060" w:type="dxa"/>
            <w:vAlign w:val="bottom"/>
            <w:tcBorders>
              <w:right w:val="single" w:sz="8" w:color="auto"/>
            </w:tcBorders>
            <w:gridSpan w:val="5"/>
          </w:tcPr>
          <w:p>
            <w:pPr>
              <w:ind w:left="60"/>
              <w:spacing w:after="0" w:line="107" w:lineRule="exact"/>
              <w:rPr>
                <w:sz w:val="20"/>
                <w:szCs w:val="20"/>
                <w:color w:val="auto"/>
              </w:rPr>
            </w:pPr>
            <w:r>
              <w:rPr>
                <w:rFonts w:ascii="Arial" w:cs="Arial" w:eastAsia="Arial" w:hAnsi="Arial"/>
                <w:sz w:val="11"/>
                <w:szCs w:val="11"/>
                <w:b w:val="1"/>
                <w:bCs w:val="1"/>
                <w:color w:val="auto"/>
              </w:rPr>
              <w:t>Period from Sep. 13, 2019 through</w:t>
            </w:r>
          </w:p>
        </w:tc>
        <w:tc>
          <w:tcPr>
            <w:tcW w:w="80" w:type="dxa"/>
            <w:vAlign w:val="bottom"/>
          </w:tcPr>
          <w:p>
            <w:pPr>
              <w:spacing w:after="0"/>
              <w:rPr>
                <w:sz w:val="9"/>
                <w:szCs w:val="9"/>
                <w:color w:val="auto"/>
              </w:rPr>
            </w:pPr>
          </w:p>
        </w:tc>
        <w:tc>
          <w:tcPr>
            <w:tcW w:w="1860" w:type="dxa"/>
            <w:vAlign w:val="bottom"/>
            <w:gridSpan w:val="3"/>
          </w:tcPr>
          <w:p>
            <w:pPr>
              <w:jc w:val="center"/>
              <w:ind w:right="43"/>
              <w:spacing w:after="0" w:line="107" w:lineRule="exact"/>
              <w:rPr>
                <w:sz w:val="20"/>
                <w:szCs w:val="20"/>
                <w:color w:val="auto"/>
              </w:rPr>
            </w:pPr>
            <w:r>
              <w:rPr>
                <w:rFonts w:ascii="Arial" w:cs="Arial" w:eastAsia="Arial" w:hAnsi="Arial"/>
                <w:sz w:val="11"/>
                <w:szCs w:val="11"/>
                <w:b w:val="1"/>
                <w:bCs w:val="1"/>
                <w:color w:val="auto"/>
              </w:rPr>
              <w:t>Period from Jan. 1, 2019 through</w:t>
            </w:r>
          </w:p>
        </w:tc>
        <w:tc>
          <w:tcPr>
            <w:tcW w:w="0" w:type="dxa"/>
            <w:vAlign w:val="bottom"/>
          </w:tcPr>
          <w:p>
            <w:pPr>
              <w:spacing w:after="0"/>
              <w:rPr>
                <w:sz w:val="1"/>
                <w:szCs w:val="1"/>
                <w:color w:val="auto"/>
              </w:rPr>
            </w:pPr>
          </w:p>
        </w:tc>
      </w:tr>
      <w:tr>
        <w:trPr>
          <w:trHeight w:val="138"/>
        </w:trPr>
        <w:tc>
          <w:tcPr>
            <w:tcW w:w="2880" w:type="dxa"/>
            <w:vAlign w:val="bottom"/>
          </w:tcPr>
          <w:p>
            <w:pPr>
              <w:spacing w:after="0"/>
              <w:rPr>
                <w:sz w:val="11"/>
                <w:szCs w:val="11"/>
                <w:color w:val="auto"/>
              </w:rPr>
            </w:pPr>
          </w:p>
        </w:tc>
        <w:tc>
          <w:tcPr>
            <w:tcW w:w="198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960" w:type="dxa"/>
            <w:vAlign w:val="bottom"/>
            <w:tcBorders>
              <w:bottom w:val="single" w:sz="8" w:color="auto"/>
            </w:tcBorders>
            <w:gridSpan w:val="4"/>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gridSpan w:val="3"/>
          </w:tcPr>
          <w:p>
            <w:pPr>
              <w:jc w:val="right"/>
              <w:ind w:right="583"/>
              <w:spacing w:after="0"/>
              <w:rPr>
                <w:sz w:val="20"/>
                <w:szCs w:val="20"/>
                <w:color w:val="auto"/>
              </w:rPr>
            </w:pPr>
            <w:r>
              <w:rPr>
                <w:rFonts w:ascii="Arial" w:cs="Arial" w:eastAsia="Arial" w:hAnsi="Arial"/>
                <w:sz w:val="11"/>
                <w:szCs w:val="11"/>
                <w:b w:val="1"/>
                <w:bCs w:val="1"/>
                <w:color w:val="auto"/>
              </w:rPr>
              <w:t>Dec. 31, 2019</w:t>
            </w:r>
          </w:p>
        </w:tc>
        <w:tc>
          <w:tcPr>
            <w:tcW w:w="100" w:type="dxa"/>
            <w:vAlign w:val="bottom"/>
            <w:tcBorders>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3"/>
          </w:tcPr>
          <w:p>
            <w:pPr>
              <w:jc w:val="center"/>
              <w:ind w:right="43"/>
              <w:spacing w:after="0"/>
              <w:rPr>
                <w:sz w:val="20"/>
                <w:szCs w:val="20"/>
                <w:color w:val="auto"/>
              </w:rPr>
            </w:pPr>
            <w:r>
              <w:rPr>
                <w:rFonts w:ascii="Arial" w:cs="Arial" w:eastAsia="Arial" w:hAnsi="Arial"/>
                <w:sz w:val="11"/>
                <w:szCs w:val="11"/>
                <w:b w:val="1"/>
                <w:bCs w:val="1"/>
                <w:color w:val="auto"/>
              </w:rPr>
              <w:t>Sep. 12, 2019</w:t>
            </w:r>
          </w:p>
        </w:tc>
        <w:tc>
          <w:tcPr>
            <w:tcW w:w="0" w:type="dxa"/>
            <w:vAlign w:val="bottom"/>
          </w:tcPr>
          <w:p>
            <w:pPr>
              <w:spacing w:after="0"/>
              <w:rPr>
                <w:sz w:val="1"/>
                <w:szCs w:val="1"/>
                <w:color w:val="auto"/>
              </w:rPr>
            </w:pPr>
          </w:p>
        </w:tc>
      </w:tr>
      <w:tr>
        <w:trPr>
          <w:trHeight w:val="107"/>
        </w:trPr>
        <w:tc>
          <w:tcPr>
            <w:tcW w:w="2880" w:type="dxa"/>
            <w:vAlign w:val="bottom"/>
            <w:vMerge w:val="restart"/>
          </w:tcPr>
          <w:p>
            <w:pPr>
              <w:ind w:left="20"/>
              <w:spacing w:after="0"/>
              <w:rPr>
                <w:sz w:val="20"/>
                <w:szCs w:val="20"/>
                <w:color w:val="auto"/>
              </w:rPr>
            </w:pPr>
            <w:r>
              <w:rPr>
                <w:rFonts w:ascii="Arial" w:cs="Arial" w:eastAsia="Arial" w:hAnsi="Arial"/>
                <w:sz w:val="11"/>
                <w:szCs w:val="11"/>
                <w:color w:val="auto"/>
              </w:rPr>
              <w:t>(in thousands)</w:t>
            </w:r>
          </w:p>
        </w:tc>
        <w:tc>
          <w:tcPr>
            <w:tcW w:w="160" w:type="dxa"/>
            <w:vAlign w:val="bottom"/>
          </w:tcPr>
          <w:p>
            <w:pPr>
              <w:spacing w:after="0"/>
              <w:rPr>
                <w:sz w:val="9"/>
                <w:szCs w:val="9"/>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Dollars</w:t>
            </w:r>
          </w:p>
        </w:tc>
        <w:tc>
          <w:tcPr>
            <w:tcW w:w="1080" w:type="dxa"/>
            <w:vAlign w:val="bottom"/>
            <w:gridSpan w:val="2"/>
          </w:tcPr>
          <w:p>
            <w:pPr>
              <w:jc w:val="center"/>
              <w:ind w:right="80"/>
              <w:spacing w:after="0" w:line="107" w:lineRule="exact"/>
              <w:rPr>
                <w:sz w:val="20"/>
                <w:szCs w:val="20"/>
                <w:color w:val="auto"/>
              </w:rPr>
            </w:pPr>
            <w:r>
              <w:rPr>
                <w:rFonts w:ascii="Arial" w:cs="Arial" w:eastAsia="Arial" w:hAnsi="Arial"/>
                <w:sz w:val="11"/>
                <w:szCs w:val="11"/>
                <w:b w:val="1"/>
                <w:bCs w:val="1"/>
                <w:color w:val="auto"/>
                <w:w w:val="99"/>
              </w:rPr>
              <w:t>% of Net</w:t>
            </w:r>
          </w:p>
        </w:tc>
        <w:tc>
          <w:tcPr>
            <w:tcW w:w="160" w:type="dxa"/>
            <w:vAlign w:val="bottom"/>
          </w:tcPr>
          <w:p>
            <w:pPr>
              <w:spacing w:after="0"/>
              <w:rPr>
                <w:sz w:val="9"/>
                <w:szCs w:val="9"/>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Dollars</w:t>
            </w:r>
          </w:p>
        </w:tc>
        <w:tc>
          <w:tcPr>
            <w:tcW w:w="1100" w:type="dxa"/>
            <w:vAlign w:val="bottom"/>
            <w:gridSpan w:val="2"/>
          </w:tcPr>
          <w:p>
            <w:pPr>
              <w:jc w:val="center"/>
              <w:ind w:right="120"/>
              <w:spacing w:after="0" w:line="107" w:lineRule="exact"/>
              <w:rPr>
                <w:sz w:val="20"/>
                <w:szCs w:val="20"/>
                <w:color w:val="auto"/>
              </w:rPr>
            </w:pPr>
            <w:r>
              <w:rPr>
                <w:rFonts w:ascii="Arial" w:cs="Arial" w:eastAsia="Arial" w:hAnsi="Arial"/>
                <w:sz w:val="11"/>
                <w:szCs w:val="11"/>
                <w:b w:val="1"/>
                <w:bCs w:val="1"/>
                <w:color w:val="auto"/>
              </w:rPr>
              <w:t>% of Net</w:t>
            </w:r>
          </w:p>
        </w:tc>
        <w:tc>
          <w:tcPr>
            <w:tcW w:w="160" w:type="dxa"/>
            <w:vAlign w:val="bottom"/>
          </w:tcPr>
          <w:p>
            <w:pPr>
              <w:spacing w:after="0"/>
              <w:rPr>
                <w:sz w:val="9"/>
                <w:szCs w:val="9"/>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Dollars</w:t>
            </w:r>
          </w:p>
        </w:tc>
        <w:tc>
          <w:tcPr>
            <w:tcW w:w="1100" w:type="dxa"/>
            <w:vAlign w:val="bottom"/>
            <w:tcBorders>
              <w:right w:val="single" w:sz="8" w:color="auto"/>
            </w:tcBorders>
            <w:gridSpan w:val="2"/>
          </w:tcPr>
          <w:p>
            <w:pPr>
              <w:jc w:val="center"/>
              <w:ind w:right="100"/>
              <w:spacing w:after="0" w:line="107" w:lineRule="exact"/>
              <w:rPr>
                <w:sz w:val="20"/>
                <w:szCs w:val="20"/>
                <w:color w:val="auto"/>
              </w:rPr>
            </w:pPr>
            <w:r>
              <w:rPr>
                <w:rFonts w:ascii="Arial" w:cs="Arial" w:eastAsia="Arial" w:hAnsi="Arial"/>
                <w:sz w:val="11"/>
                <w:szCs w:val="11"/>
                <w:b w:val="1"/>
                <w:bCs w:val="1"/>
                <w:color w:val="auto"/>
                <w:w w:val="99"/>
              </w:rPr>
              <w:t>% of Net</w:t>
            </w:r>
          </w:p>
        </w:tc>
        <w:tc>
          <w:tcPr>
            <w:tcW w:w="80" w:type="dxa"/>
            <w:vAlign w:val="bottom"/>
          </w:tcPr>
          <w:p>
            <w:pPr>
              <w:spacing w:after="0"/>
              <w:rPr>
                <w:sz w:val="9"/>
                <w:szCs w:val="9"/>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Dollars</w:t>
            </w:r>
          </w:p>
        </w:tc>
        <w:tc>
          <w:tcPr>
            <w:tcW w:w="980" w:type="dxa"/>
            <w:vAlign w:val="bottom"/>
          </w:tcPr>
          <w:p>
            <w:pPr>
              <w:jc w:val="right"/>
              <w:ind w:right="203"/>
              <w:spacing w:after="0" w:line="107" w:lineRule="exact"/>
              <w:rPr>
                <w:sz w:val="20"/>
                <w:szCs w:val="20"/>
                <w:color w:val="auto"/>
              </w:rPr>
            </w:pPr>
            <w:r>
              <w:rPr>
                <w:rFonts w:ascii="Arial" w:cs="Arial" w:eastAsia="Arial" w:hAnsi="Arial"/>
                <w:sz w:val="11"/>
                <w:szCs w:val="11"/>
                <w:b w:val="1"/>
                <w:bCs w:val="1"/>
                <w:color w:val="auto"/>
              </w:rPr>
              <w:t>% of Net</w:t>
            </w:r>
          </w:p>
        </w:tc>
        <w:tc>
          <w:tcPr>
            <w:tcW w:w="0" w:type="dxa"/>
            <w:vAlign w:val="bottom"/>
          </w:tcPr>
          <w:p>
            <w:pPr>
              <w:spacing w:after="0"/>
              <w:rPr>
                <w:sz w:val="1"/>
                <w:szCs w:val="1"/>
                <w:color w:val="auto"/>
              </w:rPr>
            </w:pPr>
          </w:p>
        </w:tc>
      </w:tr>
      <w:tr>
        <w:trPr>
          <w:trHeight w:val="138"/>
        </w:trPr>
        <w:tc>
          <w:tcPr>
            <w:tcW w:w="28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9"/>
              </w:rPr>
              <w:t>Revenues</w:t>
            </w:r>
          </w:p>
        </w:tc>
        <w:tc>
          <w:tcPr>
            <w:tcW w:w="1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Revenues</w:t>
            </w:r>
          </w:p>
        </w:tc>
        <w:tc>
          <w:tcPr>
            <w:tcW w:w="1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10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1"/>
                <w:szCs w:val="11"/>
                <w:b w:val="1"/>
                <w:bCs w:val="1"/>
                <w:color w:val="auto"/>
              </w:rPr>
              <w:t>Revenues</w:t>
            </w:r>
          </w:p>
        </w:tc>
        <w:tc>
          <w:tcPr>
            <w:tcW w:w="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980" w:type="dxa"/>
            <w:vAlign w:val="bottom"/>
          </w:tcPr>
          <w:p>
            <w:pPr>
              <w:jc w:val="right"/>
              <w:ind w:right="163"/>
              <w:spacing w:after="0"/>
              <w:rPr>
                <w:sz w:val="20"/>
                <w:szCs w:val="20"/>
                <w:color w:val="auto"/>
              </w:rPr>
            </w:pPr>
            <w:r>
              <w:rPr>
                <w:rFonts w:ascii="Arial" w:cs="Arial" w:eastAsia="Arial" w:hAnsi="Arial"/>
                <w:sz w:val="11"/>
                <w:szCs w:val="11"/>
                <w:b w:val="1"/>
                <w:bCs w:val="1"/>
                <w:color w:val="auto"/>
              </w:rPr>
              <w:t>Revenues</w:t>
            </w:r>
          </w:p>
        </w:tc>
        <w:tc>
          <w:tcPr>
            <w:tcW w:w="0" w:type="dxa"/>
            <w:vAlign w:val="bottom"/>
          </w:tcPr>
          <w:p>
            <w:pPr>
              <w:spacing w:after="0"/>
              <w:rPr>
                <w:sz w:val="1"/>
                <w:szCs w:val="1"/>
                <w:color w:val="auto"/>
              </w:rPr>
            </w:pPr>
          </w:p>
        </w:tc>
      </w:tr>
      <w:tr>
        <w:trPr>
          <w:trHeight w:val="129"/>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i w:val="1"/>
                <w:iCs w:val="1"/>
                <w:color w:val="auto"/>
              </w:rPr>
              <w:t>Net revenues:</w:t>
            </w:r>
          </w:p>
        </w:tc>
        <w:tc>
          <w:tcPr>
            <w:tcW w:w="1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right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80" w:type="dxa"/>
            <w:vAlign w:val="bottom"/>
          </w:tcPr>
          <w:p>
            <w:pPr>
              <w:ind w:left="180"/>
              <w:spacing w:after="0"/>
              <w:rPr>
                <w:sz w:val="20"/>
                <w:szCs w:val="20"/>
                <w:color w:val="auto"/>
              </w:rPr>
            </w:pPr>
            <w:r>
              <w:rPr>
                <w:rFonts w:ascii="Arial" w:cs="Arial" w:eastAsia="Arial" w:hAnsi="Arial"/>
                <w:sz w:val="11"/>
                <w:szCs w:val="11"/>
                <w:color w:val="auto"/>
              </w:rPr>
              <w:t>Medicare—Internal</w:t>
            </w:r>
          </w:p>
        </w:tc>
        <w:tc>
          <w:tcPr>
            <w:tcW w:w="160" w:type="dxa"/>
            <w:vAlign w:val="bottom"/>
          </w:tcPr>
          <w:p>
            <w:pPr>
              <w:ind w:left="20"/>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43"/>
              <w:spacing w:after="0"/>
              <w:rPr>
                <w:sz w:val="20"/>
                <w:szCs w:val="20"/>
                <w:color w:val="auto"/>
              </w:rPr>
            </w:pPr>
            <w:r>
              <w:rPr>
                <w:rFonts w:ascii="Arial" w:cs="Arial" w:eastAsia="Arial" w:hAnsi="Arial"/>
                <w:sz w:val="11"/>
                <w:szCs w:val="11"/>
                <w:color w:val="auto"/>
              </w:rPr>
              <w:t>844,894</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79.5 %</w:t>
            </w:r>
          </w:p>
        </w:tc>
        <w:tc>
          <w:tcPr>
            <w:tcW w:w="80" w:type="dxa"/>
            <w:vAlign w:val="bottom"/>
          </w:tcPr>
          <w:p>
            <w:pPr>
              <w:spacing w:after="0"/>
              <w:rPr>
                <w:sz w:val="12"/>
                <w:szCs w:val="12"/>
                <w:color w:val="auto"/>
              </w:rPr>
            </w:pPr>
          </w:p>
        </w:tc>
        <w:tc>
          <w:tcPr>
            <w:tcW w:w="160" w:type="dxa"/>
            <w:vAlign w:val="bottom"/>
          </w:tcPr>
          <w:p>
            <w:pPr>
              <w:ind w:left="20"/>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23"/>
              <w:spacing w:after="0"/>
              <w:rPr>
                <w:sz w:val="20"/>
                <w:szCs w:val="20"/>
                <w:color w:val="auto"/>
              </w:rPr>
            </w:pPr>
            <w:r>
              <w:rPr>
                <w:rFonts w:ascii="Arial" w:cs="Arial" w:eastAsia="Arial" w:hAnsi="Arial"/>
                <w:sz w:val="11"/>
                <w:szCs w:val="11"/>
                <w:color w:val="auto"/>
              </w:rPr>
              <w:t>667,293</w:t>
            </w: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76.1 %</w:t>
            </w:r>
          </w:p>
        </w:tc>
        <w:tc>
          <w:tcPr>
            <w:tcW w:w="120" w:type="dxa"/>
            <w:vAlign w:val="bottom"/>
          </w:tcPr>
          <w:p>
            <w:pPr>
              <w:spacing w:after="0"/>
              <w:rPr>
                <w:sz w:val="12"/>
                <w:szCs w:val="12"/>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215,322</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69.8 %</w:t>
            </w:r>
          </w:p>
        </w:tc>
        <w:tc>
          <w:tcPr>
            <w:tcW w:w="100" w:type="dxa"/>
            <w:vAlign w:val="bottom"/>
            <w:tcBorders>
              <w:right w:val="single" w:sz="8" w:color="auto"/>
            </w:tcBorders>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43"/>
              <w:spacing w:after="0"/>
              <w:rPr>
                <w:sz w:val="20"/>
                <w:szCs w:val="20"/>
                <w:color w:val="auto"/>
              </w:rPr>
            </w:pPr>
            <w:r>
              <w:rPr>
                <w:rFonts w:ascii="Arial" w:cs="Arial" w:eastAsia="Arial" w:hAnsi="Arial"/>
                <w:sz w:val="11"/>
                <w:szCs w:val="11"/>
                <w:color w:val="auto"/>
              </w:rPr>
              <w:t>102,196</w:t>
            </w: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44.2 %</w:t>
            </w:r>
          </w:p>
        </w:tc>
        <w:tc>
          <w:tcPr>
            <w:tcW w:w="0" w:type="dxa"/>
            <w:vAlign w:val="bottom"/>
          </w:tcPr>
          <w:p>
            <w:pPr>
              <w:spacing w:after="0"/>
              <w:rPr>
                <w:sz w:val="1"/>
                <w:szCs w:val="1"/>
                <w:color w:val="auto"/>
              </w:rPr>
            </w:pPr>
          </w:p>
        </w:tc>
      </w:tr>
      <w:tr>
        <w:trPr>
          <w:trHeight w:val="149"/>
        </w:trPr>
        <w:tc>
          <w:tcPr>
            <w:tcW w:w="28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Medicare—External</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189,563</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17.8 %</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155,660</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17.7 %</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59,152</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19.2 %</w:t>
            </w: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55,981</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24.2 %</w:t>
            </w:r>
          </w:p>
        </w:tc>
        <w:tc>
          <w:tcPr>
            <w:tcW w:w="0" w:type="dxa"/>
            <w:vAlign w:val="bottom"/>
          </w:tcPr>
          <w:p>
            <w:pPr>
              <w:spacing w:after="0"/>
              <w:rPr>
                <w:sz w:val="1"/>
                <w:szCs w:val="1"/>
                <w:color w:val="auto"/>
              </w:rPr>
            </w:pPr>
          </w:p>
        </w:tc>
      </w:tr>
      <w:tr>
        <w:trPr>
          <w:trHeight w:val="149"/>
        </w:trPr>
        <w:tc>
          <w:tcPr>
            <w:tcW w:w="2880" w:type="dxa"/>
            <w:vAlign w:val="bottom"/>
          </w:tcPr>
          <w:p>
            <w:pPr>
              <w:ind w:left="180"/>
              <w:spacing w:after="0"/>
              <w:rPr>
                <w:sz w:val="20"/>
                <w:szCs w:val="20"/>
                <w:color w:val="auto"/>
              </w:rPr>
            </w:pPr>
            <w:r>
              <w:rPr>
                <w:rFonts w:ascii="Arial" w:cs="Arial" w:eastAsia="Arial" w:hAnsi="Arial"/>
                <w:sz w:val="11"/>
                <w:szCs w:val="11"/>
                <w:color w:val="auto"/>
              </w:rPr>
              <w:t>IFP and Other—Internal</w:t>
            </w:r>
          </w:p>
        </w:tc>
        <w:tc>
          <w:tcPr>
            <w:tcW w:w="160" w:type="dxa"/>
            <w:vAlign w:val="bottom"/>
          </w:tcPr>
          <w:p>
            <w:pPr>
              <w:spacing w:after="0"/>
              <w:rPr>
                <w:sz w:val="12"/>
                <w:szCs w:val="12"/>
                <w:color w:val="auto"/>
              </w:rPr>
            </w:pPr>
          </w:p>
        </w:tc>
        <w:tc>
          <w:tcPr>
            <w:tcW w:w="740" w:type="dxa"/>
            <w:vAlign w:val="bottom"/>
          </w:tcPr>
          <w:p>
            <w:pPr>
              <w:jc w:val="right"/>
              <w:ind w:right="43"/>
              <w:spacing w:after="0"/>
              <w:rPr>
                <w:sz w:val="20"/>
                <w:szCs w:val="20"/>
                <w:color w:val="auto"/>
              </w:rPr>
            </w:pPr>
            <w:r>
              <w:rPr>
                <w:rFonts w:ascii="Arial" w:cs="Arial" w:eastAsia="Arial" w:hAnsi="Arial"/>
                <w:sz w:val="11"/>
                <w:szCs w:val="11"/>
                <w:color w:val="auto"/>
              </w:rPr>
              <w:t>19,687</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1.9 %</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3"/>
              <w:spacing w:after="0"/>
              <w:rPr>
                <w:sz w:val="20"/>
                <w:szCs w:val="20"/>
                <w:color w:val="auto"/>
              </w:rPr>
            </w:pPr>
            <w:r>
              <w:rPr>
                <w:rFonts w:ascii="Arial" w:cs="Arial" w:eastAsia="Arial" w:hAnsi="Arial"/>
                <w:sz w:val="11"/>
                <w:szCs w:val="11"/>
                <w:color w:val="auto"/>
              </w:rPr>
              <w:t>32,271</w:t>
            </w: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3.7 %</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43"/>
              <w:spacing w:after="0"/>
              <w:rPr>
                <w:sz w:val="20"/>
                <w:szCs w:val="20"/>
                <w:color w:val="auto"/>
              </w:rPr>
            </w:pPr>
            <w:r>
              <w:rPr>
                <w:rFonts w:ascii="Arial" w:cs="Arial" w:eastAsia="Arial" w:hAnsi="Arial"/>
                <w:sz w:val="11"/>
                <w:szCs w:val="11"/>
                <w:color w:val="auto"/>
              </w:rPr>
              <w:t>20,850</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6.8 %</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43"/>
              <w:spacing w:after="0"/>
              <w:rPr>
                <w:sz w:val="20"/>
                <w:szCs w:val="20"/>
                <w:color w:val="auto"/>
              </w:rPr>
            </w:pPr>
            <w:r>
              <w:rPr>
                <w:rFonts w:ascii="Arial" w:cs="Arial" w:eastAsia="Arial" w:hAnsi="Arial"/>
                <w:sz w:val="11"/>
                <w:szCs w:val="11"/>
                <w:color w:val="auto"/>
              </w:rPr>
              <w:t>37,909</w:t>
            </w: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16.4 %</w:t>
            </w:r>
          </w:p>
        </w:tc>
        <w:tc>
          <w:tcPr>
            <w:tcW w:w="0" w:type="dxa"/>
            <w:vAlign w:val="bottom"/>
          </w:tcPr>
          <w:p>
            <w:pPr>
              <w:spacing w:after="0"/>
              <w:rPr>
                <w:sz w:val="1"/>
                <w:szCs w:val="1"/>
                <w:color w:val="auto"/>
              </w:rPr>
            </w:pPr>
          </w:p>
        </w:tc>
      </w:tr>
      <w:tr>
        <w:trPr>
          <w:trHeight w:val="149"/>
        </w:trPr>
        <w:tc>
          <w:tcPr>
            <w:tcW w:w="28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IFP and Other—External</w:t>
            </w:r>
          </w:p>
        </w:tc>
        <w:tc>
          <w:tcPr>
            <w:tcW w:w="1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8,271</w:t>
            </w:r>
          </w:p>
        </w:tc>
        <w:tc>
          <w:tcPr>
            <w:tcW w:w="8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0.8 %</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22,126</w:t>
            </w:r>
          </w:p>
        </w:tc>
        <w:tc>
          <w:tcPr>
            <w:tcW w:w="100" w:type="dxa"/>
            <w:vAlign w:val="bottom"/>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2.5 %</w:t>
            </w: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13,167</w:t>
            </w:r>
          </w:p>
        </w:tc>
        <w:tc>
          <w:tcPr>
            <w:tcW w:w="8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4.3 %</w:t>
            </w: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34,924</w:t>
            </w:r>
          </w:p>
        </w:tc>
        <w:tc>
          <w:tcPr>
            <w:tcW w:w="100" w:type="dxa"/>
            <w:vAlign w:val="bottom"/>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15.1 %</w:t>
            </w:r>
          </w:p>
        </w:tc>
        <w:tc>
          <w:tcPr>
            <w:tcW w:w="0" w:type="dxa"/>
            <w:vAlign w:val="bottom"/>
          </w:tcPr>
          <w:p>
            <w:pPr>
              <w:spacing w:after="0"/>
              <w:rPr>
                <w:sz w:val="1"/>
                <w:szCs w:val="1"/>
                <w:color w:val="auto"/>
              </w:rPr>
            </w:pPr>
          </w:p>
        </w:tc>
      </w:tr>
      <w:tr>
        <w:trPr>
          <w:trHeight w:val="139"/>
        </w:trPr>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Net revenues</w:t>
            </w: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1,062,415</w:t>
            </w:r>
          </w:p>
        </w:tc>
        <w:tc>
          <w:tcPr>
            <w:tcW w:w="8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100.0 %</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877,350</w:t>
            </w:r>
          </w:p>
        </w:tc>
        <w:tc>
          <w:tcPr>
            <w:tcW w:w="10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100.0 %</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308,491</w:t>
            </w:r>
          </w:p>
        </w:tc>
        <w:tc>
          <w:tcPr>
            <w:tcW w:w="8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100.0 %</w:t>
            </w:r>
          </w:p>
        </w:tc>
        <w:tc>
          <w:tcPr>
            <w:tcW w:w="100" w:type="dxa"/>
            <w:vAlign w:val="bottom"/>
            <w:tcBorders>
              <w:bottom w:val="single" w:sz="8" w:color="CCEEFF"/>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231,010</w:t>
            </w:r>
          </w:p>
        </w:tc>
        <w:tc>
          <w:tcPr>
            <w:tcW w:w="10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100.0 %</w:t>
            </w:r>
          </w:p>
        </w:tc>
        <w:tc>
          <w:tcPr>
            <w:tcW w:w="0" w:type="dxa"/>
            <w:vAlign w:val="bottom"/>
          </w:tcPr>
          <w:p>
            <w:pPr>
              <w:spacing w:after="0"/>
              <w:rPr>
                <w:sz w:val="1"/>
                <w:szCs w:val="1"/>
                <w:color w:val="auto"/>
              </w:rPr>
            </w:pPr>
          </w:p>
        </w:tc>
      </w:tr>
      <w:tr>
        <w:trPr>
          <w:trHeight w:val="129"/>
        </w:trPr>
        <w:tc>
          <w:tcPr>
            <w:tcW w:w="2880" w:type="dxa"/>
            <w:vAlign w:val="bottom"/>
            <w:shd w:val="clear" w:color="auto" w:fill="CCEEFF"/>
          </w:tcPr>
          <w:p>
            <w:pPr>
              <w:ind w:left="20"/>
              <w:spacing w:after="0"/>
              <w:rPr>
                <w:sz w:val="20"/>
                <w:szCs w:val="20"/>
                <w:color w:val="auto"/>
              </w:rPr>
            </w:pPr>
            <w:r>
              <w:rPr>
                <w:rFonts w:ascii="Arial" w:cs="Arial" w:eastAsia="Arial" w:hAnsi="Arial"/>
                <w:sz w:val="11"/>
                <w:szCs w:val="11"/>
                <w:i w:val="1"/>
                <w:iCs w:val="1"/>
                <w:color w:val="auto"/>
              </w:rPr>
              <w:t>Segment profit:</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80" w:type="dxa"/>
            <w:vAlign w:val="bottom"/>
          </w:tcPr>
          <w:p>
            <w:pPr>
              <w:ind w:left="180"/>
              <w:spacing w:after="0"/>
              <w:rPr>
                <w:sz w:val="20"/>
                <w:szCs w:val="20"/>
                <w:color w:val="auto"/>
              </w:rPr>
            </w:pPr>
            <w:r>
              <w:rPr>
                <w:rFonts w:ascii="Arial" w:cs="Arial" w:eastAsia="Arial" w:hAnsi="Arial"/>
                <w:sz w:val="11"/>
                <w:szCs w:val="11"/>
                <w:color w:val="auto"/>
              </w:rPr>
              <w:t>Medicare—Internal</w:t>
            </w:r>
          </w:p>
        </w:tc>
        <w:tc>
          <w:tcPr>
            <w:tcW w:w="160" w:type="dxa"/>
            <w:vAlign w:val="bottom"/>
          </w:tcPr>
          <w:p>
            <w:pPr>
              <w:spacing w:after="0"/>
              <w:rPr>
                <w:sz w:val="12"/>
                <w:szCs w:val="12"/>
                <w:color w:val="auto"/>
              </w:rPr>
            </w:pPr>
          </w:p>
        </w:tc>
        <w:tc>
          <w:tcPr>
            <w:tcW w:w="740" w:type="dxa"/>
            <w:vAlign w:val="bottom"/>
          </w:tcPr>
          <w:p>
            <w:pPr>
              <w:jc w:val="right"/>
              <w:ind w:right="43"/>
              <w:spacing w:after="0"/>
              <w:rPr>
                <w:sz w:val="20"/>
                <w:szCs w:val="20"/>
                <w:color w:val="auto"/>
              </w:rPr>
            </w:pPr>
            <w:r>
              <w:rPr>
                <w:rFonts w:ascii="Arial" w:cs="Arial" w:eastAsia="Arial" w:hAnsi="Arial"/>
                <w:sz w:val="11"/>
                <w:szCs w:val="11"/>
                <w:color w:val="auto"/>
              </w:rPr>
              <w:t>84,345</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7.9 %</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3"/>
              <w:spacing w:after="0"/>
              <w:rPr>
                <w:sz w:val="20"/>
                <w:szCs w:val="20"/>
                <w:color w:val="auto"/>
              </w:rPr>
            </w:pPr>
            <w:r>
              <w:rPr>
                <w:rFonts w:ascii="Arial" w:cs="Arial" w:eastAsia="Arial" w:hAnsi="Arial"/>
                <w:sz w:val="11"/>
                <w:szCs w:val="11"/>
                <w:color w:val="auto"/>
              </w:rPr>
              <w:t>296,865</w:t>
            </w: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33.8 %</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43"/>
              <w:spacing w:after="0"/>
              <w:rPr>
                <w:sz w:val="20"/>
                <w:szCs w:val="20"/>
                <w:color w:val="auto"/>
              </w:rPr>
            </w:pPr>
            <w:r>
              <w:rPr>
                <w:rFonts w:ascii="Arial" w:cs="Arial" w:eastAsia="Arial" w:hAnsi="Arial"/>
                <w:sz w:val="11"/>
                <w:szCs w:val="11"/>
                <w:color w:val="auto"/>
              </w:rPr>
              <w:t>126,210</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40.9 %</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43"/>
              <w:spacing w:after="0"/>
              <w:rPr>
                <w:sz w:val="20"/>
                <w:szCs w:val="20"/>
                <w:color w:val="auto"/>
              </w:rPr>
            </w:pPr>
            <w:r>
              <w:rPr>
                <w:rFonts w:ascii="Arial" w:cs="Arial" w:eastAsia="Arial" w:hAnsi="Arial"/>
                <w:sz w:val="11"/>
                <w:szCs w:val="11"/>
                <w:color w:val="auto"/>
              </w:rPr>
              <w:t>40,024</w:t>
            </w: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17.3 %</w:t>
            </w:r>
          </w:p>
        </w:tc>
        <w:tc>
          <w:tcPr>
            <w:tcW w:w="0" w:type="dxa"/>
            <w:vAlign w:val="bottom"/>
          </w:tcPr>
          <w:p>
            <w:pPr>
              <w:spacing w:after="0"/>
              <w:rPr>
                <w:sz w:val="1"/>
                <w:szCs w:val="1"/>
                <w:color w:val="auto"/>
              </w:rPr>
            </w:pPr>
          </w:p>
        </w:tc>
      </w:tr>
      <w:tr>
        <w:trPr>
          <w:trHeight w:val="149"/>
        </w:trPr>
        <w:tc>
          <w:tcPr>
            <w:tcW w:w="28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Medicare—External</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2,622</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0.2 %</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5,944</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0.7 %</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10,584</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3.4 %</w:t>
            </w: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4,893</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2.1 %</w:t>
            </w:r>
          </w:p>
        </w:tc>
        <w:tc>
          <w:tcPr>
            <w:tcW w:w="0" w:type="dxa"/>
            <w:vAlign w:val="bottom"/>
          </w:tcPr>
          <w:p>
            <w:pPr>
              <w:spacing w:after="0"/>
              <w:rPr>
                <w:sz w:val="1"/>
                <w:szCs w:val="1"/>
                <w:color w:val="auto"/>
              </w:rPr>
            </w:pPr>
          </w:p>
        </w:tc>
      </w:tr>
      <w:tr>
        <w:trPr>
          <w:trHeight w:val="149"/>
        </w:trPr>
        <w:tc>
          <w:tcPr>
            <w:tcW w:w="2880" w:type="dxa"/>
            <w:vAlign w:val="bottom"/>
          </w:tcPr>
          <w:p>
            <w:pPr>
              <w:ind w:left="180"/>
              <w:spacing w:after="0"/>
              <w:rPr>
                <w:sz w:val="20"/>
                <w:szCs w:val="20"/>
                <w:color w:val="auto"/>
              </w:rPr>
            </w:pPr>
            <w:r>
              <w:rPr>
                <w:rFonts w:ascii="Arial" w:cs="Arial" w:eastAsia="Arial" w:hAnsi="Arial"/>
                <w:sz w:val="11"/>
                <w:szCs w:val="11"/>
                <w:color w:val="auto"/>
              </w:rPr>
              <w:t>IFP and Other—Internal</w:t>
            </w:r>
          </w:p>
        </w:tc>
        <w:tc>
          <w:tcPr>
            <w:tcW w:w="160" w:type="dxa"/>
            <w:vAlign w:val="bottom"/>
          </w:tcPr>
          <w:p>
            <w:pPr>
              <w:spacing w:after="0"/>
              <w:rPr>
                <w:sz w:val="12"/>
                <w:szCs w:val="12"/>
                <w:color w:val="auto"/>
              </w:rPr>
            </w:pPr>
          </w:p>
        </w:tc>
        <w:tc>
          <w:tcPr>
            <w:tcW w:w="740" w:type="dxa"/>
            <w:vAlign w:val="bottom"/>
          </w:tcPr>
          <w:p>
            <w:pPr>
              <w:jc w:val="right"/>
              <w:ind w:right="43"/>
              <w:spacing w:after="0"/>
              <w:rPr>
                <w:sz w:val="20"/>
                <w:szCs w:val="20"/>
                <w:color w:val="auto"/>
              </w:rPr>
            </w:pPr>
            <w:r>
              <w:rPr>
                <w:rFonts w:ascii="Arial" w:cs="Arial" w:eastAsia="Arial" w:hAnsi="Arial"/>
                <w:sz w:val="11"/>
                <w:szCs w:val="11"/>
                <w:color w:val="auto"/>
              </w:rPr>
              <w:t>2,819</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0.3 %</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3"/>
              <w:spacing w:after="0"/>
              <w:rPr>
                <w:sz w:val="20"/>
                <w:szCs w:val="20"/>
                <w:color w:val="auto"/>
              </w:rPr>
            </w:pPr>
            <w:r>
              <w:rPr>
                <w:rFonts w:ascii="Arial" w:cs="Arial" w:eastAsia="Arial" w:hAnsi="Arial"/>
                <w:sz w:val="11"/>
                <w:szCs w:val="11"/>
                <w:color w:val="auto"/>
              </w:rPr>
              <w:t>4,269</w:t>
            </w: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0.5 %</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43"/>
              <w:spacing w:after="0"/>
              <w:rPr>
                <w:sz w:val="20"/>
                <w:szCs w:val="20"/>
                <w:color w:val="auto"/>
              </w:rPr>
            </w:pPr>
            <w:r>
              <w:rPr>
                <w:rFonts w:ascii="Arial" w:cs="Arial" w:eastAsia="Arial" w:hAnsi="Arial"/>
                <w:sz w:val="11"/>
                <w:szCs w:val="11"/>
                <w:color w:val="auto"/>
              </w:rPr>
              <w:t>1,650</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0.5 %</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43"/>
              <w:spacing w:after="0"/>
              <w:rPr>
                <w:sz w:val="20"/>
                <w:szCs w:val="20"/>
                <w:color w:val="auto"/>
              </w:rPr>
            </w:pPr>
            <w:r>
              <w:rPr>
                <w:rFonts w:ascii="Arial" w:cs="Arial" w:eastAsia="Arial" w:hAnsi="Arial"/>
                <w:sz w:val="11"/>
                <w:szCs w:val="11"/>
                <w:color w:val="auto"/>
              </w:rPr>
              <w:t>2,195</w:t>
            </w: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1.0 %</w:t>
            </w:r>
          </w:p>
        </w:tc>
        <w:tc>
          <w:tcPr>
            <w:tcW w:w="0" w:type="dxa"/>
            <w:vAlign w:val="bottom"/>
          </w:tcPr>
          <w:p>
            <w:pPr>
              <w:spacing w:after="0"/>
              <w:rPr>
                <w:sz w:val="1"/>
                <w:szCs w:val="1"/>
                <w:color w:val="auto"/>
              </w:rPr>
            </w:pPr>
          </w:p>
        </w:tc>
      </w:tr>
      <w:tr>
        <w:trPr>
          <w:trHeight w:val="149"/>
        </w:trPr>
        <w:tc>
          <w:tcPr>
            <w:tcW w:w="28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IFP and Other—External</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245</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 %</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1,910</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0.2 %</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584</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0.2 %</w:t>
            </w: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1,748</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0.8 %</w:t>
            </w:r>
          </w:p>
        </w:tc>
        <w:tc>
          <w:tcPr>
            <w:tcW w:w="0" w:type="dxa"/>
            <w:vAlign w:val="bottom"/>
          </w:tcPr>
          <w:p>
            <w:pPr>
              <w:spacing w:after="0"/>
              <w:rPr>
                <w:sz w:val="1"/>
                <w:szCs w:val="1"/>
                <w:color w:val="auto"/>
              </w:rPr>
            </w:pPr>
          </w:p>
        </w:tc>
      </w:tr>
      <w:tr>
        <w:trPr>
          <w:trHeight w:val="139"/>
        </w:trPr>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Segment profit</w:t>
            </w: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rPr>
              <w:t>90,031</w:t>
            </w:r>
          </w:p>
        </w:tc>
        <w:tc>
          <w:tcPr>
            <w:tcW w:w="8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8.5 %</w:t>
            </w:r>
          </w:p>
        </w:tc>
        <w:tc>
          <w:tcPr>
            <w:tcW w:w="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rPr>
              <w:t>308,988</w:t>
            </w:r>
          </w:p>
        </w:tc>
        <w:tc>
          <w:tcPr>
            <w:tcW w:w="10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35.2 %</w:t>
            </w:r>
          </w:p>
        </w:tc>
        <w:tc>
          <w:tcPr>
            <w:tcW w:w="1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rPr>
              <w:t>139,027</w:t>
            </w:r>
          </w:p>
        </w:tc>
        <w:tc>
          <w:tcPr>
            <w:tcW w:w="8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45.1 %</w:t>
            </w:r>
          </w:p>
        </w:tc>
        <w:tc>
          <w:tcPr>
            <w:tcW w:w="100" w:type="dxa"/>
            <w:vAlign w:val="bottom"/>
            <w:tcBorders>
              <w:bottom w:val="single" w:sz="8" w:color="CCEEFF"/>
              <w:right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rPr>
              <w:t>48,860</w:t>
            </w:r>
          </w:p>
        </w:tc>
        <w:tc>
          <w:tcPr>
            <w:tcW w:w="10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21.2 %</w:t>
            </w:r>
          </w:p>
        </w:tc>
        <w:tc>
          <w:tcPr>
            <w:tcW w:w="0" w:type="dxa"/>
            <w:vAlign w:val="bottom"/>
          </w:tcPr>
          <w:p>
            <w:pPr>
              <w:spacing w:after="0"/>
              <w:rPr>
                <w:sz w:val="1"/>
                <w:szCs w:val="1"/>
                <w:color w:val="auto"/>
              </w:rPr>
            </w:pPr>
          </w:p>
        </w:tc>
      </w:tr>
      <w:tr>
        <w:trPr>
          <w:trHeight w:val="139"/>
        </w:trPr>
        <w:tc>
          <w:tcPr>
            <w:tcW w:w="28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Corporate expense (1)</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98,869</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9.3 %</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259,778</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29.6 %</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9,767</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3.2 %</w:t>
            </w: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103,469</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44.8 %</w:t>
            </w:r>
          </w:p>
        </w:tc>
        <w:tc>
          <w:tcPr>
            <w:tcW w:w="0" w:type="dxa"/>
            <w:vAlign w:val="bottom"/>
          </w:tcPr>
          <w:p>
            <w:pPr>
              <w:spacing w:after="0"/>
              <w:rPr>
                <w:sz w:val="1"/>
                <w:szCs w:val="1"/>
                <w:color w:val="auto"/>
              </w:rPr>
            </w:pPr>
          </w:p>
        </w:tc>
      </w:tr>
      <w:tr>
        <w:trPr>
          <w:trHeight w:val="120"/>
        </w:trPr>
        <w:tc>
          <w:tcPr>
            <w:tcW w:w="2880" w:type="dxa"/>
            <w:vAlign w:val="bottom"/>
          </w:tcPr>
          <w:p>
            <w:pPr>
              <w:ind w:left="180"/>
              <w:spacing w:after="0" w:line="121" w:lineRule="exact"/>
              <w:rPr>
                <w:sz w:val="20"/>
                <w:szCs w:val="20"/>
                <w:color w:val="auto"/>
              </w:rPr>
            </w:pPr>
            <w:r>
              <w:rPr>
                <w:rFonts w:ascii="Arial" w:cs="Arial" w:eastAsia="Arial" w:hAnsi="Arial"/>
                <w:sz w:val="11"/>
                <w:szCs w:val="11"/>
                <w:color w:val="auto"/>
              </w:rPr>
              <w:t>Change in fair value of contingent consideration</w:t>
            </w:r>
          </w:p>
        </w:tc>
        <w:tc>
          <w:tcPr>
            <w:tcW w:w="160" w:type="dxa"/>
            <w:vAlign w:val="bottom"/>
          </w:tcPr>
          <w:p>
            <w:pPr>
              <w:spacing w:after="0"/>
              <w:rPr>
                <w:sz w:val="10"/>
                <w:szCs w:val="10"/>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 %</w:t>
            </w:r>
          </w:p>
        </w:tc>
        <w:tc>
          <w:tcPr>
            <w:tcW w:w="160" w:type="dxa"/>
            <w:vAlign w:val="bottom"/>
          </w:tcPr>
          <w:p>
            <w:pPr>
              <w:spacing w:after="0"/>
              <w:rPr>
                <w:sz w:val="10"/>
                <w:szCs w:val="10"/>
                <w:color w:val="auto"/>
              </w:rPr>
            </w:pPr>
          </w:p>
        </w:tc>
        <w:tc>
          <w:tcPr>
            <w:tcW w:w="720" w:type="dxa"/>
            <w:vAlign w:val="bottom"/>
            <w:vMerge w:val="restart"/>
          </w:tcPr>
          <w:p>
            <w:pPr>
              <w:jc w:val="right"/>
              <w:ind w:right="23"/>
              <w:spacing w:after="0"/>
              <w:rPr>
                <w:sz w:val="20"/>
                <w:szCs w:val="20"/>
                <w:color w:val="auto"/>
              </w:rPr>
            </w:pPr>
            <w:r>
              <w:rPr>
                <w:rFonts w:ascii="Arial" w:cs="Arial" w:eastAsia="Arial" w:hAnsi="Arial"/>
                <w:sz w:val="11"/>
                <w:szCs w:val="11"/>
                <w:color w:val="auto"/>
              </w:rPr>
              <w:t>19,700</w:t>
            </w:r>
          </w:p>
        </w:tc>
        <w:tc>
          <w:tcPr>
            <w:tcW w:w="1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1"/>
                <w:szCs w:val="11"/>
                <w:color w:val="auto"/>
              </w:rPr>
              <w:t>2.2 %</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ind w:right="43"/>
              <w:spacing w:after="0"/>
              <w:rPr>
                <w:sz w:val="20"/>
                <w:szCs w:val="20"/>
                <w:color w:val="auto"/>
              </w:rPr>
            </w:pPr>
            <w:r>
              <w:rPr>
                <w:rFonts w:ascii="Arial" w:cs="Arial" w:eastAsia="Arial" w:hAnsi="Arial"/>
                <w:sz w:val="11"/>
                <w:szCs w:val="11"/>
                <w:color w:val="auto"/>
              </w:rPr>
              <w:t>70,700</w:t>
            </w:r>
          </w:p>
        </w:tc>
        <w:tc>
          <w:tcPr>
            <w:tcW w:w="8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1"/>
                <w:szCs w:val="11"/>
                <w:color w:val="auto"/>
              </w:rPr>
              <w:t>22.9 %</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980" w:type="dxa"/>
            <w:vAlign w:val="bottom"/>
            <w:vMerge w:val="restart"/>
          </w:tcPr>
          <w:p>
            <w:pPr>
              <w:jc w:val="right"/>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34"/>
        </w:trPr>
        <w:tc>
          <w:tcPr>
            <w:tcW w:w="2880" w:type="dxa"/>
            <w:vAlign w:val="bottom"/>
          </w:tcPr>
          <w:p>
            <w:pPr>
              <w:ind w:left="180"/>
              <w:spacing w:after="0"/>
              <w:rPr>
                <w:sz w:val="20"/>
                <w:szCs w:val="20"/>
                <w:color w:val="auto"/>
              </w:rPr>
            </w:pPr>
            <w:r>
              <w:rPr>
                <w:rFonts w:ascii="Arial" w:cs="Arial" w:eastAsia="Arial" w:hAnsi="Arial"/>
                <w:sz w:val="11"/>
                <w:szCs w:val="11"/>
                <w:color w:val="auto"/>
              </w:rPr>
              <w:t>liability</w:t>
            </w:r>
          </w:p>
        </w:tc>
        <w:tc>
          <w:tcPr>
            <w:tcW w:w="1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Amortization of intangible assets</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94,056</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8.9 %</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94,056</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10.7 %</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28,217</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9.1 %</w:t>
            </w: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49"/>
        </w:trPr>
        <w:tc>
          <w:tcPr>
            <w:tcW w:w="2880" w:type="dxa"/>
            <w:vAlign w:val="bottom"/>
          </w:tcPr>
          <w:p>
            <w:pPr>
              <w:ind w:left="180"/>
              <w:spacing w:after="0"/>
              <w:rPr>
                <w:sz w:val="20"/>
                <w:szCs w:val="20"/>
                <w:color w:val="auto"/>
              </w:rPr>
            </w:pPr>
            <w:r>
              <w:rPr>
                <w:rFonts w:ascii="Arial" w:cs="Arial" w:eastAsia="Arial" w:hAnsi="Arial"/>
                <w:sz w:val="11"/>
                <w:szCs w:val="11"/>
                <w:color w:val="auto"/>
              </w:rPr>
              <w:t>Loss on extinguishment of debt</w:t>
            </w:r>
          </w:p>
        </w:tc>
        <w:tc>
          <w:tcPr>
            <w:tcW w:w="160" w:type="dxa"/>
            <w:vAlign w:val="bottom"/>
          </w:tcPr>
          <w:p>
            <w:pPr>
              <w:spacing w:after="0"/>
              <w:rPr>
                <w:sz w:val="12"/>
                <w:szCs w:val="12"/>
                <w:color w:val="auto"/>
              </w:rPr>
            </w:pPr>
          </w:p>
        </w:tc>
        <w:tc>
          <w:tcPr>
            <w:tcW w:w="740" w:type="dxa"/>
            <w:vAlign w:val="bottom"/>
          </w:tcPr>
          <w:p>
            <w:pPr>
              <w:jc w:val="right"/>
              <w:ind w:right="43"/>
              <w:spacing w:after="0"/>
              <w:rPr>
                <w:sz w:val="20"/>
                <w:szCs w:val="20"/>
                <w:color w:val="auto"/>
              </w:rPr>
            </w:pPr>
            <w:r>
              <w:rPr>
                <w:rFonts w:ascii="Arial" w:cs="Arial" w:eastAsia="Arial" w:hAnsi="Arial"/>
                <w:sz w:val="11"/>
                <w:szCs w:val="11"/>
                <w:color w:val="auto"/>
              </w:rPr>
              <w:t>11,935</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1.1 %</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1"/>
                <w:szCs w:val="11"/>
                <w:color w:val="auto"/>
              </w:rPr>
              <w:t>— %</w:t>
            </w:r>
          </w:p>
        </w:tc>
        <w:tc>
          <w:tcPr>
            <w:tcW w:w="16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1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 %</w:t>
            </w:r>
          </w:p>
        </w:tc>
        <w:tc>
          <w:tcPr>
            <w:tcW w:w="8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49"/>
        </w:trPr>
        <w:tc>
          <w:tcPr>
            <w:tcW w:w="28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Goodwill impairment charges</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386,553</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36.4 %</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 %</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1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 %</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49"/>
        </w:trPr>
        <w:tc>
          <w:tcPr>
            <w:tcW w:w="2880" w:type="dxa"/>
            <w:vAlign w:val="bottom"/>
          </w:tcPr>
          <w:p>
            <w:pPr>
              <w:ind w:left="180"/>
              <w:spacing w:after="0"/>
              <w:rPr>
                <w:sz w:val="20"/>
                <w:szCs w:val="20"/>
                <w:color w:val="auto"/>
              </w:rPr>
            </w:pPr>
            <w:r>
              <w:rPr>
                <w:rFonts w:ascii="Arial" w:cs="Arial" w:eastAsia="Arial" w:hAnsi="Arial"/>
                <w:sz w:val="11"/>
                <w:szCs w:val="11"/>
                <w:color w:val="auto"/>
              </w:rPr>
              <w:t>Acquisition related transaction costs</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1"/>
                <w:szCs w:val="11"/>
                <w:color w:val="auto"/>
              </w:rPr>
              <w:t>— %</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1"/>
                <w:szCs w:val="11"/>
                <w:color w:val="auto"/>
              </w:rPr>
              <w:t>— %</w:t>
            </w:r>
          </w:p>
        </w:tc>
        <w:tc>
          <w:tcPr>
            <w:tcW w:w="160" w:type="dxa"/>
            <w:vAlign w:val="bottom"/>
          </w:tcPr>
          <w:p>
            <w:pPr>
              <w:spacing w:after="0"/>
              <w:rPr>
                <w:sz w:val="12"/>
                <w:szCs w:val="12"/>
                <w:color w:val="auto"/>
              </w:rPr>
            </w:pPr>
          </w:p>
        </w:tc>
        <w:tc>
          <w:tcPr>
            <w:tcW w:w="720" w:type="dxa"/>
            <w:vAlign w:val="bottom"/>
          </w:tcPr>
          <w:p>
            <w:pPr>
              <w:jc w:val="right"/>
              <w:ind w:right="43"/>
              <w:spacing w:after="0"/>
              <w:rPr>
                <w:sz w:val="20"/>
                <w:szCs w:val="20"/>
                <w:color w:val="auto"/>
              </w:rPr>
            </w:pPr>
            <w:r>
              <w:rPr>
                <w:rFonts w:ascii="Arial" w:cs="Arial" w:eastAsia="Arial" w:hAnsi="Arial"/>
                <w:sz w:val="11"/>
                <w:szCs w:val="11"/>
                <w:color w:val="auto"/>
              </w:rPr>
              <w:t>6,245</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2.0 %</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43"/>
              <w:spacing w:after="0"/>
              <w:rPr>
                <w:sz w:val="20"/>
                <w:szCs w:val="20"/>
                <w:color w:val="auto"/>
              </w:rPr>
            </w:pPr>
            <w:r>
              <w:rPr>
                <w:rFonts w:ascii="Arial" w:cs="Arial" w:eastAsia="Arial" w:hAnsi="Arial"/>
                <w:sz w:val="11"/>
                <w:szCs w:val="11"/>
                <w:color w:val="auto"/>
              </w:rPr>
              <w:t>2,267</w:t>
            </w: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1.0 %</w:t>
            </w:r>
          </w:p>
        </w:tc>
        <w:tc>
          <w:tcPr>
            <w:tcW w:w="0" w:type="dxa"/>
            <w:vAlign w:val="bottom"/>
          </w:tcPr>
          <w:p>
            <w:pPr>
              <w:spacing w:after="0"/>
              <w:rPr>
                <w:sz w:val="1"/>
                <w:szCs w:val="1"/>
                <w:color w:val="auto"/>
              </w:rPr>
            </w:pPr>
          </w:p>
        </w:tc>
      </w:tr>
      <w:tr>
        <w:trPr>
          <w:trHeight w:val="149"/>
        </w:trPr>
        <w:tc>
          <w:tcPr>
            <w:tcW w:w="28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Interest expense</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33,505</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3.2 %</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32,969</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3.8 %</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8,076</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2.6 %</w:t>
            </w: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140</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0.1 %</w:t>
            </w:r>
          </w:p>
        </w:tc>
        <w:tc>
          <w:tcPr>
            <w:tcW w:w="0" w:type="dxa"/>
            <w:vAlign w:val="bottom"/>
          </w:tcPr>
          <w:p>
            <w:pPr>
              <w:spacing w:after="0"/>
              <w:rPr>
                <w:sz w:val="1"/>
                <w:szCs w:val="1"/>
                <w:color w:val="auto"/>
              </w:rPr>
            </w:pPr>
          </w:p>
        </w:tc>
      </w:tr>
      <w:tr>
        <w:trPr>
          <w:trHeight w:val="149"/>
        </w:trPr>
        <w:tc>
          <w:tcPr>
            <w:tcW w:w="2880" w:type="dxa"/>
            <w:vAlign w:val="bottom"/>
          </w:tcPr>
          <w:p>
            <w:pPr>
              <w:ind w:left="180"/>
              <w:spacing w:after="0"/>
              <w:rPr>
                <w:sz w:val="20"/>
                <w:szCs w:val="20"/>
                <w:color w:val="auto"/>
              </w:rPr>
            </w:pPr>
            <w:r>
              <w:rPr>
                <w:rFonts w:ascii="Arial" w:cs="Arial" w:eastAsia="Arial" w:hAnsi="Arial"/>
                <w:sz w:val="11"/>
                <w:szCs w:val="11"/>
                <w:color w:val="auto"/>
              </w:rPr>
              <w:t>Other (income) expense, net</w:t>
            </w:r>
          </w:p>
        </w:tc>
        <w:tc>
          <w:tcPr>
            <w:tcW w:w="160" w:type="dxa"/>
            <w:vAlign w:val="bottom"/>
          </w:tcPr>
          <w:p>
            <w:pPr>
              <w:spacing w:after="0"/>
              <w:rPr>
                <w:sz w:val="12"/>
                <w:szCs w:val="12"/>
                <w:color w:val="auto"/>
              </w:rPr>
            </w:pPr>
          </w:p>
        </w:tc>
        <w:tc>
          <w:tcPr>
            <w:tcW w:w="740" w:type="dxa"/>
            <w:vAlign w:val="bottom"/>
          </w:tcPr>
          <w:p>
            <w:pPr>
              <w:jc w:val="right"/>
              <w:ind w:right="43"/>
              <w:spacing w:after="0"/>
              <w:rPr>
                <w:sz w:val="20"/>
                <w:szCs w:val="20"/>
                <w:color w:val="auto"/>
              </w:rPr>
            </w:pPr>
            <w:r>
              <w:rPr>
                <w:rFonts w:ascii="Arial" w:cs="Arial" w:eastAsia="Arial" w:hAnsi="Arial"/>
                <w:sz w:val="11"/>
                <w:szCs w:val="11"/>
                <w:color w:val="auto"/>
              </w:rPr>
              <w:t>(669)</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(0.1)%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3"/>
              <w:spacing w:after="0"/>
              <w:rPr>
                <w:sz w:val="20"/>
                <w:szCs w:val="20"/>
                <w:color w:val="auto"/>
              </w:rPr>
            </w:pPr>
            <w:r>
              <w:rPr>
                <w:rFonts w:ascii="Arial" w:cs="Arial" w:eastAsia="Arial" w:hAnsi="Arial"/>
                <w:sz w:val="11"/>
                <w:szCs w:val="11"/>
                <w:color w:val="auto"/>
              </w:rPr>
              <w:t>(358)</w:t>
            </w:r>
          </w:p>
        </w:tc>
        <w:tc>
          <w:tcPr>
            <w:tcW w:w="100" w:type="dxa"/>
            <w:vAlign w:val="bottom"/>
          </w:tcPr>
          <w:p>
            <w:pPr>
              <w:spacing w:after="0"/>
              <w:rPr>
                <w:sz w:val="12"/>
                <w:szCs w:val="1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color w:val="auto"/>
              </w:rPr>
              <w:t>— %</w:t>
            </w:r>
          </w:p>
        </w:tc>
        <w:tc>
          <w:tcPr>
            <w:tcW w:w="160" w:type="dxa"/>
            <w:vAlign w:val="bottom"/>
          </w:tcPr>
          <w:p>
            <w:pPr>
              <w:spacing w:after="0"/>
              <w:rPr>
                <w:sz w:val="12"/>
                <w:szCs w:val="12"/>
                <w:color w:val="auto"/>
              </w:rPr>
            </w:pPr>
          </w:p>
        </w:tc>
        <w:tc>
          <w:tcPr>
            <w:tcW w:w="720" w:type="dxa"/>
            <w:vAlign w:val="bottom"/>
          </w:tcPr>
          <w:p>
            <w:pPr>
              <w:jc w:val="right"/>
              <w:ind w:right="43"/>
              <w:spacing w:after="0"/>
              <w:rPr>
                <w:sz w:val="20"/>
                <w:szCs w:val="20"/>
                <w:color w:val="auto"/>
              </w:rPr>
            </w:pPr>
            <w:r>
              <w:rPr>
                <w:rFonts w:ascii="Arial" w:cs="Arial" w:eastAsia="Arial" w:hAnsi="Arial"/>
                <w:sz w:val="11"/>
                <w:szCs w:val="11"/>
                <w:color w:val="auto"/>
              </w:rPr>
              <w:t>(17)</w:t>
            </w:r>
          </w:p>
        </w:tc>
        <w:tc>
          <w:tcPr>
            <w:tcW w:w="80" w:type="dxa"/>
            <w:vAlign w:val="bottom"/>
          </w:tcPr>
          <w:p>
            <w:pPr>
              <w:spacing w:after="0"/>
              <w:rPr>
                <w:sz w:val="12"/>
                <w:szCs w:val="12"/>
                <w:color w:val="auto"/>
              </w:rPr>
            </w:pPr>
          </w:p>
        </w:tc>
        <w:tc>
          <w:tcPr>
            <w:tcW w:w="11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 %</w:t>
            </w:r>
          </w:p>
        </w:tc>
        <w:tc>
          <w:tcPr>
            <w:tcW w:w="80" w:type="dxa"/>
            <w:vAlign w:val="bottom"/>
          </w:tcPr>
          <w:p>
            <w:pPr>
              <w:spacing w:after="0"/>
              <w:rPr>
                <w:sz w:val="12"/>
                <w:szCs w:val="12"/>
                <w:color w:val="auto"/>
              </w:rPr>
            </w:pPr>
          </w:p>
        </w:tc>
        <w:tc>
          <w:tcPr>
            <w:tcW w:w="780" w:type="dxa"/>
            <w:vAlign w:val="bottom"/>
          </w:tcPr>
          <w:p>
            <w:pPr>
              <w:jc w:val="right"/>
              <w:ind w:right="43"/>
              <w:spacing w:after="0"/>
              <w:rPr>
                <w:sz w:val="20"/>
                <w:szCs w:val="20"/>
                <w:color w:val="auto"/>
              </w:rPr>
            </w:pPr>
            <w:r>
              <w:rPr>
                <w:rFonts w:ascii="Arial" w:cs="Arial" w:eastAsia="Arial" w:hAnsi="Arial"/>
                <w:sz w:val="11"/>
                <w:szCs w:val="11"/>
                <w:color w:val="auto"/>
              </w:rPr>
              <w:t>114</w:t>
            </w: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64"/>
        </w:trPr>
        <w:tc>
          <w:tcPr>
            <w:tcW w:w="2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Income (loss) before income taxes</w:t>
            </w: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4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(534,218)</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(50.3)%</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2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rPr>
              <w:t>(97,157)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(11.1)%</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16,039</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5.2 %</w:t>
            </w:r>
          </w:p>
        </w:tc>
        <w:tc>
          <w:tcPr>
            <w:tcW w:w="100" w:type="dxa"/>
            <w:vAlign w:val="bottom"/>
            <w:tcBorders>
              <w:top w:val="single" w:sz="8" w:color="CCEEFF"/>
              <w:bottom w:val="single" w:sz="8" w:color="CCEEFF"/>
              <w:right w:val="single" w:sz="8" w:color="auto"/>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(57,129)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(24.7)%</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240" w:hanging="235"/>
        <w:spacing w:after="0"/>
        <w:tabs>
          <w:tab w:leader="none" w:pos="240" w:val="left"/>
        </w:tabs>
        <w:numPr>
          <w:ilvl w:val="0"/>
          <w:numId w:val="30"/>
        </w:numPr>
        <w:rPr>
          <w:rFonts w:ascii="Arial" w:cs="Arial" w:eastAsia="Arial" w:hAnsi="Arial"/>
          <w:sz w:val="11"/>
          <w:szCs w:val="11"/>
          <w:i w:val="1"/>
          <w:iCs w:val="1"/>
          <w:color w:val="auto"/>
        </w:rPr>
      </w:pPr>
      <w:r>
        <w:rPr>
          <w:rFonts w:ascii="Arial" w:cs="Arial" w:eastAsia="Arial" w:hAnsi="Arial"/>
          <w:sz w:val="11"/>
          <w:szCs w:val="11"/>
          <w:i w:val="1"/>
          <w:iCs w:val="1"/>
          <w:color w:val="auto"/>
        </w:rPr>
        <w:t>The twelve months ended December 31, 2021 includes $27.3 million of share-based compensation expense associated with awards with service conditions. The twelve months ended December 31, 2020 includes</w:t>
      </w:r>
    </w:p>
    <w:p>
      <w:pPr>
        <w:spacing w:after="0" w:line="12" w:lineRule="exact"/>
        <w:rPr>
          <w:rFonts w:ascii="Arial" w:cs="Arial" w:eastAsia="Arial" w:hAnsi="Arial"/>
          <w:sz w:val="11"/>
          <w:szCs w:val="11"/>
          <w:i w:val="1"/>
          <w:iCs w:val="1"/>
          <w:color w:val="auto"/>
        </w:rPr>
      </w:pPr>
    </w:p>
    <w:p>
      <w:pPr>
        <w:ind w:left="260" w:right="60"/>
        <w:spacing w:after="0" w:line="250" w:lineRule="auto"/>
        <w:rPr>
          <w:rFonts w:ascii="Arial" w:cs="Arial" w:eastAsia="Arial" w:hAnsi="Arial"/>
          <w:sz w:val="11"/>
          <w:szCs w:val="11"/>
          <w:i w:val="1"/>
          <w:iCs w:val="1"/>
          <w:color w:val="auto"/>
        </w:rPr>
      </w:pPr>
      <w:r>
        <w:rPr>
          <w:rFonts w:ascii="Arial" w:cs="Arial" w:eastAsia="Arial" w:hAnsi="Arial"/>
          <w:sz w:val="11"/>
          <w:szCs w:val="11"/>
          <w:i w:val="1"/>
          <w:iCs w:val="1"/>
          <w:color w:val="auto"/>
        </w:rPr>
        <w:t>$6.9 million of share-based compensation expense associated with awards with service conditions, and $209.3 million of share-based compensation expense associated with the accelerated vesting of the Performance-Vesting Units in connection with the IPO. The period from January 1, 2019 through September 12, 2019 includes the Class C share-based compensation and incentive share plan expense recorded in connection with the Acquisition, and which totaled $87.1 million.</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Net Revenues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color w:val="auto"/>
        </w:rPr>
        <w:t>Net revenues for the Medicare—Internal segment were $844.9 million for the twelve months ended December 31, 2021 compared to $667.3 million for the twelve months ended December 31, 2020. The $177.6 million, or 26.6%, increase was primarily attributable to the hiring of additional agents and the implementation of new marketing strategies to generate a greater number of qualified prospects, which contributed to a 87% increase in commissionable Approved Submissions. This was offset by negative revenue adjustments relating to performance obligations satisfied in prior periods for the twelve months ended December 31, 2021 of $117.1 million.</w:t>
      </w:r>
    </w:p>
    <w:p>
      <w:pPr>
        <w:spacing w:after="0" w:line="166" w:lineRule="exact"/>
        <w:rPr>
          <w:sz w:val="20"/>
          <w:szCs w:val="20"/>
          <w:color w:val="auto"/>
        </w:rPr>
      </w:pPr>
    </w:p>
    <w:p>
      <w:pPr>
        <w:ind w:right="140"/>
        <w:spacing w:after="0"/>
        <w:rPr>
          <w:sz w:val="20"/>
          <w:szCs w:val="20"/>
          <w:color w:val="auto"/>
        </w:rPr>
      </w:pPr>
      <w:r>
        <w:rPr>
          <w:rFonts w:ascii="Arial" w:cs="Arial" w:eastAsia="Arial" w:hAnsi="Arial"/>
          <w:sz w:val="13"/>
          <w:szCs w:val="13"/>
          <w:color w:val="auto"/>
        </w:rPr>
        <w:t>Net revenues for the Medicare—External segment were $189.6 million for the twelve months ended December 31, 2021 compared to $155.7 million for the twelve months ended December 31, 2020. The $33.9 million, or 21.8%, increase was primarily attributable to a 69% increase in commissionable Approved Submissions in the Medicare—External segment due to our ability to recruit and onboard additional external agents to enroll consumers in Medicare plans using our technology and platform. This was offset by negative revenue adjustments relating to performance obligations satisfied in prior periods for the twelve months ended December 31, 2021 of $48.2 million.</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color w:val="auto"/>
        </w:rPr>
        <w:t>Net revenues for the IFP and Other—Internal segment were $19.7 million for the twelve months ended December 31, 2021 compared to $32.3 million for the twelve months ended December 31, 2020.</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Net revenues for the IFP and Other—External segment were $8.3 million for the twelve months ended December 31, 2021 compared to $22.1 million for the twelve months ended December 31, 2020.</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For each of the IFP and Other segments, the decreases were primarily driven by a strategic shift towards higher margin Medicare products.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Segment Profit (Loss)</w:t>
      </w:r>
    </w:p>
    <w:p>
      <w:pPr>
        <w:spacing w:after="0" w:line="181" w:lineRule="exact"/>
        <w:rPr>
          <w:sz w:val="20"/>
          <w:szCs w:val="20"/>
          <w:color w:val="auto"/>
        </w:rPr>
      </w:pPr>
    </w:p>
    <w:p>
      <w:pPr>
        <w:ind w:right="220"/>
        <w:spacing w:after="0" w:line="244" w:lineRule="auto"/>
        <w:rPr>
          <w:sz w:val="20"/>
          <w:szCs w:val="20"/>
          <w:color w:val="auto"/>
        </w:rPr>
      </w:pPr>
      <w:r>
        <w:rPr>
          <w:rFonts w:ascii="Arial" w:cs="Arial" w:eastAsia="Arial" w:hAnsi="Arial"/>
          <w:sz w:val="13"/>
          <w:szCs w:val="13"/>
          <w:color w:val="auto"/>
        </w:rPr>
        <w:t>Segment profit for the Medicare—Internal segment was $84.3 million for the twelve months ended December 31, 2021 compared to $296.9 million for the twelve months ended December 31, 2020. The $212.5 million, or 71.6%, decrease was primarily</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51</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05" w:right="319" w:bottom="1440" w:gutter="0" w:footer="0" w:header="0"/>
        </w:sectPr>
      </w:pPr>
    </w:p>
    <w:bookmarkStart w:id="54" w:name="page55"/>
    <w:bookmarkEnd w:id="54"/>
    <w:p>
      <w:pPr>
        <w:ind w:right="320"/>
        <w:spacing w:after="0" w:line="241" w:lineRule="auto"/>
        <w:rPr>
          <w:sz w:val="20"/>
          <w:szCs w:val="20"/>
          <w:color w:val="auto"/>
        </w:rPr>
      </w:pPr>
      <w:r>
        <w:rPr>
          <w:rFonts w:ascii="Arial" w:cs="Arial" w:eastAsia="Arial" w:hAnsi="Arial"/>
          <w:sz w:val="13"/>
          <w:szCs w:val="13"/>
          <w:color w:val="auto"/>
        </w:rPr>
        <w:t>attributable to (i) the net impact of negative revenue adjustments relating to performance obligations satisfied in prior periods for the twelve months ended December 31, 2021 of $103.1 million, (ii) increased expenses associated with an increased attrition rate of agents, and (iii) increased marketing and advertising costs, which contributed to a 87% increase of Medicare—Internal commissionable Approved Submissions, and a 21.1% increase in net revenue.</w:t>
      </w:r>
    </w:p>
    <w:p>
      <w:pPr>
        <w:spacing w:after="0" w:line="165" w:lineRule="exact"/>
        <w:rPr>
          <w:sz w:val="20"/>
          <w:szCs w:val="20"/>
          <w:color w:val="auto"/>
        </w:rPr>
      </w:pPr>
    </w:p>
    <w:p>
      <w:pPr>
        <w:ind w:right="40"/>
        <w:spacing w:after="0"/>
        <w:rPr>
          <w:sz w:val="20"/>
          <w:szCs w:val="20"/>
          <w:color w:val="auto"/>
        </w:rPr>
      </w:pPr>
      <w:r>
        <w:rPr>
          <w:rFonts w:ascii="Arial" w:cs="Arial" w:eastAsia="Arial" w:hAnsi="Arial"/>
          <w:sz w:val="13"/>
          <w:szCs w:val="13"/>
          <w:color w:val="auto"/>
        </w:rPr>
        <w:t>Segment loss for the Medicare—External segment was $2.6 million for the twelve months ended December 31, 2021 compared to segment profit of $5.9 million for the twelve months ended December 31, 2020. The $3.3 million, or 55.9%, decrease was primarily attributable to the net impact of negative revenue adjustments relating to performance obligations satisfied in prior periods for the twelve months ended December 31, 2021 of $8.8 million, partially offset by a 69% increase in commissionable Approved Submissions in the Medicare—External segment, which drove a 21.8% increase in commissions revenue.</w:t>
      </w:r>
    </w:p>
    <w:p>
      <w:pPr>
        <w:spacing w:after="0" w:line="166" w:lineRule="exact"/>
        <w:rPr>
          <w:sz w:val="20"/>
          <w:szCs w:val="20"/>
          <w:color w:val="auto"/>
        </w:rPr>
      </w:pPr>
    </w:p>
    <w:p>
      <w:pPr>
        <w:ind w:right="160"/>
        <w:spacing w:after="0" w:line="241" w:lineRule="auto"/>
        <w:rPr>
          <w:sz w:val="20"/>
          <w:szCs w:val="20"/>
          <w:color w:val="auto"/>
        </w:rPr>
      </w:pPr>
      <w:r>
        <w:rPr>
          <w:rFonts w:ascii="Arial" w:cs="Arial" w:eastAsia="Arial" w:hAnsi="Arial"/>
          <w:sz w:val="13"/>
          <w:szCs w:val="13"/>
          <w:color w:val="auto"/>
        </w:rPr>
        <w:t>Segment profit for the IFP and Other—Internal segment was $2.8 million for the twelve months ended December 31, 2021 compared to $4.3 million for the twelve months ended December 31, 2020. The $1.5 million, or 34.0%, decrease was primarily attributable to a $26.4 million, or 48.6% decrease in revenues, partially offset by a reduction in operating costs driven by less investment in this segment, as we have implemented an overall strategic shift towards higher margin Medicare products.</w:t>
      </w:r>
    </w:p>
    <w:p>
      <w:pPr>
        <w:spacing w:after="0" w:line="165" w:lineRule="exact"/>
        <w:rPr>
          <w:sz w:val="20"/>
          <w:szCs w:val="20"/>
          <w:color w:val="auto"/>
        </w:rPr>
      </w:pPr>
    </w:p>
    <w:p>
      <w:pPr>
        <w:spacing w:after="0"/>
        <w:rPr>
          <w:sz w:val="20"/>
          <w:szCs w:val="20"/>
          <w:color w:val="auto"/>
        </w:rPr>
      </w:pPr>
      <w:r>
        <w:rPr>
          <w:rFonts w:ascii="Arial" w:cs="Arial" w:eastAsia="Arial" w:hAnsi="Arial"/>
          <w:sz w:val="12"/>
          <w:szCs w:val="12"/>
          <w:color w:val="auto"/>
        </w:rPr>
        <w:t>Segment profit for the IFP and Other—External segment was $0.2 million for the twelve months ended December 31, 2021 compared to $1.9 million for the twelve months ended December 31, 2020.</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The $1.7 million, or 87.2%, decrease was primarily attributable to an overall strategic shift towards higher margin Medicare products.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Key Business and Operating Metrics by Segment</w:t>
      </w:r>
    </w:p>
    <w:p>
      <w:pPr>
        <w:spacing w:after="0" w:line="185" w:lineRule="exact"/>
        <w:rPr>
          <w:sz w:val="20"/>
          <w:szCs w:val="20"/>
          <w:color w:val="auto"/>
        </w:rPr>
      </w:pPr>
    </w:p>
    <w:p>
      <w:pPr>
        <w:ind w:right="60"/>
        <w:spacing w:after="0" w:line="244" w:lineRule="auto"/>
        <w:rPr>
          <w:sz w:val="20"/>
          <w:szCs w:val="20"/>
          <w:color w:val="auto"/>
        </w:rPr>
      </w:pPr>
      <w:r>
        <w:rPr>
          <w:rFonts w:ascii="Arial" w:cs="Arial" w:eastAsia="Arial" w:hAnsi="Arial"/>
          <w:sz w:val="13"/>
          <w:szCs w:val="13"/>
          <w:color w:val="auto"/>
        </w:rPr>
        <w:t>In addition to traditional financial metrics, we rely upon certain business and operating metrics to evaluate our business performance and facilitate our operations. Below are the most relevant business and operating metrics for each segment, except for EBITDA and Adjusted EBITDA, which are not presented on a segment basis.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Medicare Segments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Lifetime Value of Commissions per Consumer Acquisition Cost</w:t>
      </w:r>
    </w:p>
    <w:p>
      <w:pPr>
        <w:spacing w:after="0" w:line="181" w:lineRule="exact"/>
        <w:rPr>
          <w:sz w:val="20"/>
          <w:szCs w:val="20"/>
          <w:color w:val="auto"/>
        </w:rPr>
      </w:pPr>
    </w:p>
    <w:p>
      <w:pPr>
        <w:ind w:right="40"/>
        <w:spacing w:after="0" w:line="239" w:lineRule="auto"/>
        <w:rPr>
          <w:sz w:val="20"/>
          <w:szCs w:val="20"/>
          <w:color w:val="auto"/>
        </w:rPr>
      </w:pPr>
      <w:r>
        <w:rPr>
          <w:rFonts w:ascii="Arial" w:cs="Arial" w:eastAsia="Arial" w:hAnsi="Arial"/>
          <w:sz w:val="13"/>
          <w:szCs w:val="13"/>
          <w:color w:val="auto"/>
        </w:rPr>
        <w:t>Lifetime value of commissions per consumer acquisition cost, or LTV/CAC, represents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 excluding revenue adjustments recorded in the period, but relating to performance obligations satisfied in prior periods, divided by (ii) the cost to convert a qualified prospect into a Submitted Policy (comprised of cost of revenue, marketing and advertising expenses and customer care and enrollment expenses) less other non-commission carrier revenue for such period, or CAC. CAC is comprised of cost of revenue, marketing and advertising expenses and customer care and enrollment expenses less enterprise revenue and is presented on a per commissionable Approved Submission basis. The estimate of the future renewal commissions is determined by using the contracted renewal commission rates constrained by a persistency-adjusted renewal period. The persistency-adjusted renewal period is determined based on our historical experience and available industry and insurance carrier historical data. Persistency-adjustments allow us to estimate renewal revenue only to the extent probable that a material reversal in revenue would not be expected to occur. These factors may result in varying values from period to period. See “Risk Factors—Risks Related to Our Business—Our operating results may be adversely impacted by factors that impact our estimate of LTV” in this Annual Report on Form 10-K.</w:t>
      </w:r>
    </w:p>
    <w:p>
      <w:pPr>
        <w:spacing w:after="0" w:line="167" w:lineRule="exact"/>
        <w:rPr>
          <w:sz w:val="20"/>
          <w:szCs w:val="20"/>
          <w:color w:val="auto"/>
        </w:rPr>
      </w:pPr>
    </w:p>
    <w:p>
      <w:pPr>
        <w:ind w:right="140"/>
        <w:spacing w:after="0"/>
        <w:rPr>
          <w:sz w:val="20"/>
          <w:szCs w:val="20"/>
          <w:color w:val="auto"/>
        </w:rPr>
      </w:pPr>
      <w:r>
        <w:rPr>
          <w:rFonts w:ascii="Arial" w:cs="Arial" w:eastAsia="Arial" w:hAnsi="Arial"/>
          <w:sz w:val="13"/>
          <w:szCs w:val="13"/>
          <w:color w:val="auto"/>
        </w:rPr>
        <w:t>The LTV/CAC for the Medicare—Internal segment was 1.4x (with a CAC of $580.8 million) for the twelve months ended December 31, 2021, 2.8x (with a CAC of $162.2 million) for the twelve months ended December 31, 2020, 4.2x (with a CAC of $32.5 million) for the Successor 2019 Period and 2.3x (with a CAC of $30.7 million) for the Predecessor 2019 Period. The decrease in LTV/CAC is attributable to the hiring and training of additional agents and the implementation of new marketing strategies to drive the conversion of a greater number of qualified prospects into commissionable Approved Submissions, which increased 87% year over year in the Medicare—Internal segment.</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Submitted Policies</w:t>
      </w:r>
    </w:p>
    <w:p>
      <w:pPr>
        <w:spacing w:after="0" w:line="181" w:lineRule="exact"/>
        <w:rPr>
          <w:sz w:val="20"/>
          <w:szCs w:val="20"/>
          <w:color w:val="auto"/>
        </w:rPr>
      </w:pPr>
    </w:p>
    <w:p>
      <w:pPr>
        <w:ind w:right="320"/>
        <w:spacing w:after="0" w:line="244" w:lineRule="auto"/>
        <w:rPr>
          <w:sz w:val="20"/>
          <w:szCs w:val="20"/>
          <w:color w:val="auto"/>
        </w:rPr>
      </w:pPr>
      <w:r>
        <w:rPr>
          <w:rFonts w:ascii="Arial" w:cs="Arial" w:eastAsia="Arial" w:hAnsi="Arial"/>
          <w:sz w:val="13"/>
          <w:szCs w:val="13"/>
          <w:color w:val="auto"/>
        </w:rPr>
        <w:t>Submitted Policies represent completed applications that, with respect to each such application, the consumer has authorized us to submit to the carrier. The applicant may need to take additional actions, including providing subsequent information before the application is reviewed by the carrier.</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52</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85" w:right="319" w:bottom="1440" w:gutter="0" w:footer="0" w:header="0"/>
        </w:sectPr>
      </w:pPr>
    </w:p>
    <w:bookmarkStart w:id="55" w:name="page56"/>
    <w:bookmarkEnd w:id="55"/>
    <w:p>
      <w:pPr>
        <w:spacing w:after="0" w:line="244" w:lineRule="auto"/>
        <w:rPr>
          <w:sz w:val="20"/>
          <w:szCs w:val="20"/>
          <w:color w:val="auto"/>
        </w:rPr>
      </w:pPr>
      <w:r>
        <w:rPr>
          <w:rFonts w:ascii="Arial" w:cs="Arial" w:eastAsia="Arial" w:hAnsi="Arial"/>
          <w:sz w:val="13"/>
          <w:szCs w:val="13"/>
          <w:color w:val="auto"/>
        </w:rPr>
        <w:t>The following table presents the number of Submitted Policies by product for the Medicare segments for the periods presented, split between those submissions that are commissionable (compensated through commissions received from carriers) and those that are non-commissionable (compensated via hourly fees and enrollment fees):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40" w:type="dxa"/>
            <w:vAlign w:val="bottom"/>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rPr>
              <w:t>Successor</w:t>
            </w:r>
          </w:p>
        </w:tc>
        <w:tc>
          <w:tcPr>
            <w:tcW w:w="1200" w:type="dxa"/>
            <w:vAlign w:val="bottom"/>
            <w:tcBorders>
              <w:bottom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Predecessor</w:t>
            </w:r>
          </w:p>
        </w:tc>
        <w:tc>
          <w:tcPr>
            <w:tcW w:w="0" w:type="dxa"/>
            <w:vAlign w:val="bottom"/>
          </w:tcPr>
          <w:p>
            <w:pPr>
              <w:spacing w:after="0"/>
              <w:rPr>
                <w:sz w:val="1"/>
                <w:szCs w:val="1"/>
                <w:color w:val="auto"/>
              </w:rPr>
            </w:pPr>
          </w:p>
        </w:tc>
      </w:tr>
      <w:tr>
        <w:trPr>
          <w:trHeight w:val="107"/>
        </w:trPr>
        <w:tc>
          <w:tcPr>
            <w:tcW w:w="6240" w:type="dxa"/>
            <w:vAlign w:val="bottom"/>
          </w:tcPr>
          <w:p>
            <w:pPr>
              <w:spacing w:after="0"/>
              <w:rPr>
                <w:sz w:val="9"/>
                <w:szCs w:val="9"/>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rPr>
              <w:t>Twelve months</w:t>
            </w:r>
          </w:p>
        </w:tc>
        <w:tc>
          <w:tcPr>
            <w:tcW w:w="128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rPr>
              <w:t>Twelve months</w:t>
            </w:r>
          </w:p>
        </w:tc>
        <w:tc>
          <w:tcPr>
            <w:tcW w:w="1300" w:type="dxa"/>
            <w:vAlign w:val="bottom"/>
            <w:tcBorders>
              <w:right w:val="single" w:sz="8" w:color="auto"/>
            </w:tcBorders>
            <w:gridSpan w:val="2"/>
          </w:tcPr>
          <w:p>
            <w:pPr>
              <w:jc w:val="center"/>
              <w:ind w:right="100"/>
              <w:spacing w:after="0" w:line="107" w:lineRule="exact"/>
              <w:rPr>
                <w:sz w:val="20"/>
                <w:szCs w:val="20"/>
                <w:color w:val="auto"/>
              </w:rPr>
            </w:pPr>
            <w:r>
              <w:rPr>
                <w:rFonts w:ascii="Arial" w:cs="Arial" w:eastAsia="Arial" w:hAnsi="Arial"/>
                <w:sz w:val="11"/>
                <w:szCs w:val="11"/>
                <w:b w:val="1"/>
                <w:bCs w:val="1"/>
                <w:color w:val="auto"/>
              </w:rPr>
              <w:t>Period from Sep. 13,</w:t>
            </w:r>
          </w:p>
        </w:tc>
        <w:tc>
          <w:tcPr>
            <w:tcW w:w="118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Period from Jan. 1,</w:t>
            </w:r>
          </w:p>
        </w:tc>
        <w:tc>
          <w:tcPr>
            <w:tcW w:w="0" w:type="dxa"/>
            <w:vAlign w:val="bottom"/>
          </w:tcPr>
          <w:p>
            <w:pPr>
              <w:spacing w:after="0"/>
              <w:rPr>
                <w:sz w:val="1"/>
                <w:szCs w:val="1"/>
                <w:color w:val="auto"/>
              </w:rPr>
            </w:pPr>
          </w:p>
        </w:tc>
      </w:tr>
      <w:tr>
        <w:trPr>
          <w:trHeight w:val="106"/>
        </w:trPr>
        <w:tc>
          <w:tcPr>
            <w:tcW w:w="6240" w:type="dxa"/>
            <w:vAlign w:val="bottom"/>
            <w:vMerge w:val="restart"/>
          </w:tcPr>
          <w:p>
            <w:pPr>
              <w:ind w:left="20"/>
              <w:spacing w:after="0"/>
              <w:rPr>
                <w:sz w:val="20"/>
                <w:szCs w:val="20"/>
                <w:color w:val="auto"/>
              </w:rPr>
            </w:pPr>
            <w:r>
              <w:rPr>
                <w:rFonts w:ascii="Arial" w:cs="Arial" w:eastAsia="Arial" w:hAnsi="Arial"/>
                <w:sz w:val="11"/>
                <w:szCs w:val="11"/>
                <w:color w:val="auto"/>
              </w:rPr>
              <w:t>(in actuals)</w:t>
            </w:r>
          </w:p>
        </w:tc>
        <w:tc>
          <w:tcPr>
            <w:tcW w:w="1280" w:type="dxa"/>
            <w:vAlign w:val="bottom"/>
            <w:gridSpan w:val="2"/>
            <w:vMerge w:val="continue"/>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300" w:type="dxa"/>
            <w:vAlign w:val="bottom"/>
            <w:tcBorders>
              <w:right w:val="single" w:sz="8" w:color="auto"/>
            </w:tcBorders>
            <w:gridSpan w:val="2"/>
          </w:tcPr>
          <w:p>
            <w:pPr>
              <w:jc w:val="center"/>
              <w:ind w:right="100"/>
              <w:spacing w:after="0" w:line="106" w:lineRule="exact"/>
              <w:rPr>
                <w:sz w:val="20"/>
                <w:szCs w:val="20"/>
                <w:color w:val="auto"/>
              </w:rPr>
            </w:pPr>
            <w:r>
              <w:rPr>
                <w:rFonts w:ascii="Arial" w:cs="Arial" w:eastAsia="Arial" w:hAnsi="Arial"/>
                <w:sz w:val="11"/>
                <w:szCs w:val="11"/>
                <w:b w:val="1"/>
                <w:bCs w:val="1"/>
                <w:color w:val="auto"/>
              </w:rPr>
              <w:t>2019 through Dec. 31,</w:t>
            </w:r>
          </w:p>
        </w:tc>
        <w:tc>
          <w:tcPr>
            <w:tcW w:w="118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rPr>
              <w:t>2019 through Sep.</w:t>
            </w:r>
          </w:p>
        </w:tc>
        <w:tc>
          <w:tcPr>
            <w:tcW w:w="0" w:type="dxa"/>
            <w:vAlign w:val="bottom"/>
          </w:tcPr>
          <w:p>
            <w:pPr>
              <w:spacing w:after="0"/>
              <w:rPr>
                <w:sz w:val="1"/>
                <w:szCs w:val="1"/>
                <w:color w:val="auto"/>
              </w:rPr>
            </w:pPr>
          </w:p>
        </w:tc>
      </w:tr>
      <w:tr>
        <w:trPr>
          <w:trHeight w:val="138"/>
        </w:trPr>
        <w:tc>
          <w:tcPr>
            <w:tcW w:w="6240" w:type="dxa"/>
            <w:vAlign w:val="bottom"/>
            <w:vMerge w:val="continue"/>
          </w:tcPr>
          <w:p>
            <w:pPr>
              <w:spacing w:after="0"/>
              <w:rPr>
                <w:sz w:val="11"/>
                <w:szCs w:val="11"/>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ended Dec. 31, 2021</w:t>
            </w:r>
          </w:p>
        </w:tc>
        <w:tc>
          <w:tcPr>
            <w:tcW w:w="12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ended Dec. 31, 2020</w:t>
            </w: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97"/>
              </w:rPr>
              <w:t>2019</w:t>
            </w:r>
          </w:p>
        </w:tc>
        <w:tc>
          <w:tcPr>
            <w:tcW w:w="100" w:type="dxa"/>
            <w:vAlign w:val="bottom"/>
            <w:tcBorders>
              <w:right w:val="single" w:sz="8" w:color="auto"/>
            </w:tcBorders>
          </w:tcPr>
          <w:p>
            <w:pPr>
              <w:spacing w:after="0"/>
              <w:rPr>
                <w:sz w:val="11"/>
                <w:szCs w:val="11"/>
                <w:color w:val="auto"/>
              </w:rPr>
            </w:pPr>
          </w:p>
        </w:tc>
        <w:tc>
          <w:tcPr>
            <w:tcW w:w="1180" w:type="dxa"/>
            <w:vAlign w:val="bottom"/>
          </w:tcPr>
          <w:p>
            <w:pPr>
              <w:jc w:val="center"/>
              <w:spacing w:after="0"/>
              <w:rPr>
                <w:sz w:val="20"/>
                <w:szCs w:val="20"/>
                <w:color w:val="auto"/>
              </w:rPr>
            </w:pPr>
            <w:r>
              <w:rPr>
                <w:rFonts w:ascii="Arial" w:cs="Arial" w:eastAsia="Arial" w:hAnsi="Arial"/>
                <w:sz w:val="11"/>
                <w:szCs w:val="11"/>
                <w:b w:val="1"/>
                <w:bCs w:val="1"/>
                <w:color w:val="auto"/>
              </w:rPr>
              <w:t>12, 2019</w:t>
            </w:r>
          </w:p>
        </w:tc>
        <w:tc>
          <w:tcPr>
            <w:tcW w:w="0" w:type="dxa"/>
            <w:vAlign w:val="bottom"/>
          </w:tcPr>
          <w:p>
            <w:pPr>
              <w:spacing w:after="0"/>
              <w:rPr>
                <w:sz w:val="1"/>
                <w:szCs w:val="1"/>
                <w:color w:val="auto"/>
              </w:rPr>
            </w:pPr>
          </w:p>
        </w:tc>
      </w:tr>
      <w:tr>
        <w:trPr>
          <w:trHeight w:val="139"/>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Medicare Advantage</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1,190,530</w:t>
            </w:r>
          </w:p>
        </w:tc>
        <w:tc>
          <w:tcPr>
            <w:tcW w:w="8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644,669</w:t>
            </w:r>
          </w:p>
        </w:tc>
        <w:tc>
          <w:tcPr>
            <w:tcW w:w="8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222,599</w:t>
            </w:r>
          </w:p>
        </w:tc>
        <w:tc>
          <w:tcPr>
            <w:tcW w:w="100" w:type="dxa"/>
            <w:vAlign w:val="bottom"/>
            <w:tcBorders>
              <w:top w:val="single" w:sz="8" w:color="CCEEFF"/>
              <w:right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134,173</w:t>
            </w:r>
          </w:p>
        </w:tc>
        <w:tc>
          <w:tcPr>
            <w:tcW w:w="0" w:type="dxa"/>
            <w:vAlign w:val="bottom"/>
          </w:tcPr>
          <w:p>
            <w:pPr>
              <w:spacing w:after="0"/>
              <w:rPr>
                <w:sz w:val="1"/>
                <w:szCs w:val="1"/>
                <w:color w:val="auto"/>
              </w:rPr>
            </w:pPr>
          </w:p>
        </w:tc>
      </w:tr>
      <w:tr>
        <w:trPr>
          <w:trHeight w:val="149"/>
        </w:trPr>
        <w:tc>
          <w:tcPr>
            <w:tcW w:w="6240" w:type="dxa"/>
            <w:vAlign w:val="bottom"/>
          </w:tcPr>
          <w:p>
            <w:pPr>
              <w:ind w:left="20"/>
              <w:spacing w:after="0"/>
              <w:rPr>
                <w:sz w:val="20"/>
                <w:szCs w:val="20"/>
                <w:color w:val="auto"/>
              </w:rPr>
            </w:pPr>
            <w:r>
              <w:rPr>
                <w:rFonts w:ascii="Arial" w:cs="Arial" w:eastAsia="Arial" w:hAnsi="Arial"/>
                <w:sz w:val="11"/>
                <w:szCs w:val="11"/>
                <w:color w:val="auto"/>
              </w:rPr>
              <w:t>Medicare Supplement</w:t>
            </w:r>
          </w:p>
        </w:tc>
        <w:tc>
          <w:tcPr>
            <w:tcW w:w="1200" w:type="dxa"/>
            <w:vAlign w:val="bottom"/>
          </w:tcPr>
          <w:p>
            <w:pPr>
              <w:jc w:val="right"/>
              <w:spacing w:after="0"/>
              <w:rPr>
                <w:sz w:val="20"/>
                <w:szCs w:val="20"/>
                <w:color w:val="auto"/>
              </w:rPr>
            </w:pPr>
            <w:r>
              <w:rPr>
                <w:rFonts w:ascii="Arial" w:cs="Arial" w:eastAsia="Arial" w:hAnsi="Arial"/>
                <w:sz w:val="11"/>
                <w:szCs w:val="11"/>
                <w:color w:val="auto"/>
              </w:rPr>
              <w:t>4,508</w:t>
            </w:r>
          </w:p>
        </w:tc>
        <w:tc>
          <w:tcPr>
            <w:tcW w:w="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9,119</w:t>
            </w:r>
          </w:p>
        </w:tc>
        <w:tc>
          <w:tcPr>
            <w:tcW w:w="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7,444</w:t>
            </w:r>
          </w:p>
        </w:tc>
        <w:tc>
          <w:tcPr>
            <w:tcW w:w="100" w:type="dxa"/>
            <w:vAlign w:val="bottom"/>
            <w:tcBorders>
              <w:right w:val="single" w:sz="8" w:color="auto"/>
            </w:tcBorders>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11,205</w:t>
            </w:r>
          </w:p>
        </w:tc>
        <w:tc>
          <w:tcPr>
            <w:tcW w:w="0" w:type="dxa"/>
            <w:vAlign w:val="bottom"/>
          </w:tcPr>
          <w:p>
            <w:pPr>
              <w:spacing w:after="0"/>
              <w:rPr>
                <w:sz w:val="1"/>
                <w:szCs w:val="1"/>
                <w:color w:val="auto"/>
              </w:rPr>
            </w:pPr>
          </w:p>
        </w:tc>
      </w:tr>
      <w:tr>
        <w:trPr>
          <w:trHeight w:val="149"/>
        </w:trPr>
        <w:tc>
          <w:tcPr>
            <w:tcW w:w="6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Prescription Drug Plans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42,469</w:t>
            </w:r>
          </w:p>
        </w:tc>
        <w:tc>
          <w:tcPr>
            <w:tcW w:w="80" w:type="dxa"/>
            <w:vAlign w:val="bottom"/>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16,762</w:t>
            </w:r>
          </w:p>
        </w:tc>
        <w:tc>
          <w:tcPr>
            <w:tcW w:w="80" w:type="dxa"/>
            <w:vAlign w:val="bottom"/>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13,838</w:t>
            </w:r>
          </w:p>
        </w:tc>
        <w:tc>
          <w:tcPr>
            <w:tcW w:w="100" w:type="dxa"/>
            <w:vAlign w:val="bottom"/>
            <w:tcBorders>
              <w:right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7,675</w:t>
            </w:r>
          </w:p>
        </w:tc>
        <w:tc>
          <w:tcPr>
            <w:tcW w:w="0" w:type="dxa"/>
            <w:vAlign w:val="bottom"/>
          </w:tcPr>
          <w:p>
            <w:pPr>
              <w:spacing w:after="0"/>
              <w:rPr>
                <w:sz w:val="1"/>
                <w:szCs w:val="1"/>
                <w:color w:val="auto"/>
              </w:rPr>
            </w:pPr>
          </w:p>
        </w:tc>
      </w:tr>
      <w:tr>
        <w:trPr>
          <w:trHeight w:val="139"/>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Medicare—Commissionable</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1,237,507</w:t>
            </w:r>
          </w:p>
        </w:tc>
        <w:tc>
          <w:tcPr>
            <w:tcW w:w="8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670,550</w:t>
            </w:r>
          </w:p>
        </w:tc>
        <w:tc>
          <w:tcPr>
            <w:tcW w:w="8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243,881</w:t>
            </w:r>
          </w:p>
        </w:tc>
        <w:tc>
          <w:tcPr>
            <w:tcW w:w="100" w:type="dxa"/>
            <w:vAlign w:val="bottom"/>
            <w:tcBorders>
              <w:bottom w:val="single" w:sz="8" w:color="CCEEFF"/>
              <w:right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153,053</w:t>
            </w:r>
          </w:p>
        </w:tc>
        <w:tc>
          <w:tcPr>
            <w:tcW w:w="0" w:type="dxa"/>
            <w:vAlign w:val="bottom"/>
          </w:tcPr>
          <w:p>
            <w:pPr>
              <w:spacing w:after="0"/>
              <w:rPr>
                <w:sz w:val="1"/>
                <w:szCs w:val="1"/>
                <w:color w:val="auto"/>
              </w:rPr>
            </w:pPr>
          </w:p>
        </w:tc>
      </w:tr>
      <w:tr>
        <w:trPr>
          <w:trHeight w:val="139"/>
        </w:trPr>
        <w:tc>
          <w:tcPr>
            <w:tcW w:w="6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Medicare Advantage</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23,414</w:t>
            </w: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44,799</w:t>
            </w: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17,775</w:t>
            </w:r>
          </w:p>
        </w:tc>
        <w:tc>
          <w:tcPr>
            <w:tcW w:w="100" w:type="dxa"/>
            <w:vAlign w:val="bottom"/>
            <w:tcBorders>
              <w:right w:val="single" w:sz="8" w:color="auto"/>
            </w:tcBorders>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4,240</w:t>
            </w:r>
          </w:p>
        </w:tc>
        <w:tc>
          <w:tcPr>
            <w:tcW w:w="0" w:type="dxa"/>
            <w:vAlign w:val="bottom"/>
          </w:tcPr>
          <w:p>
            <w:pPr>
              <w:spacing w:after="0"/>
              <w:rPr>
                <w:sz w:val="1"/>
                <w:szCs w:val="1"/>
                <w:color w:val="auto"/>
              </w:rPr>
            </w:pPr>
          </w:p>
        </w:tc>
      </w:tr>
      <w:tr>
        <w:trPr>
          <w:trHeight w:val="149"/>
        </w:trPr>
        <w:tc>
          <w:tcPr>
            <w:tcW w:w="6240" w:type="dxa"/>
            <w:vAlign w:val="bottom"/>
          </w:tcPr>
          <w:p>
            <w:pPr>
              <w:ind w:left="20"/>
              <w:spacing w:after="0"/>
              <w:rPr>
                <w:sz w:val="20"/>
                <w:szCs w:val="20"/>
                <w:color w:val="auto"/>
              </w:rPr>
            </w:pPr>
            <w:r>
              <w:rPr>
                <w:rFonts w:ascii="Arial" w:cs="Arial" w:eastAsia="Arial" w:hAnsi="Arial"/>
                <w:sz w:val="11"/>
                <w:szCs w:val="11"/>
                <w:color w:val="auto"/>
              </w:rPr>
              <w:t>Medicare Supplement</w:t>
            </w:r>
          </w:p>
        </w:tc>
        <w:tc>
          <w:tcPr>
            <w:tcW w:w="1200" w:type="dxa"/>
            <w:vAlign w:val="bottom"/>
          </w:tcPr>
          <w:p>
            <w:pPr>
              <w:jc w:val="right"/>
              <w:spacing w:after="0"/>
              <w:rPr>
                <w:sz w:val="20"/>
                <w:szCs w:val="20"/>
                <w:color w:val="auto"/>
              </w:rPr>
            </w:pPr>
            <w:r>
              <w:rPr>
                <w:rFonts w:ascii="Arial" w:cs="Arial" w:eastAsia="Arial" w:hAnsi="Arial"/>
                <w:sz w:val="11"/>
                <w:szCs w:val="11"/>
                <w:color w:val="auto"/>
              </w:rPr>
              <w:t>8,242</w:t>
            </w:r>
          </w:p>
        </w:tc>
        <w:tc>
          <w:tcPr>
            <w:tcW w:w="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8,782</w:t>
            </w:r>
          </w:p>
        </w:tc>
        <w:tc>
          <w:tcPr>
            <w:tcW w:w="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4,185</w:t>
            </w:r>
          </w:p>
        </w:tc>
        <w:tc>
          <w:tcPr>
            <w:tcW w:w="100" w:type="dxa"/>
            <w:vAlign w:val="bottom"/>
            <w:tcBorders>
              <w:right w:val="single" w:sz="8" w:color="auto"/>
            </w:tcBorders>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1,051</w:t>
            </w:r>
          </w:p>
        </w:tc>
        <w:tc>
          <w:tcPr>
            <w:tcW w:w="0" w:type="dxa"/>
            <w:vAlign w:val="bottom"/>
          </w:tcPr>
          <w:p>
            <w:pPr>
              <w:spacing w:after="0"/>
              <w:rPr>
                <w:sz w:val="1"/>
                <w:szCs w:val="1"/>
                <w:color w:val="auto"/>
              </w:rPr>
            </w:pPr>
          </w:p>
        </w:tc>
      </w:tr>
      <w:tr>
        <w:trPr>
          <w:trHeight w:val="149"/>
        </w:trPr>
        <w:tc>
          <w:tcPr>
            <w:tcW w:w="6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Prescription Drug Plans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4,696</w:t>
            </w:r>
          </w:p>
        </w:tc>
        <w:tc>
          <w:tcPr>
            <w:tcW w:w="80" w:type="dxa"/>
            <w:vAlign w:val="bottom"/>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5,781</w:t>
            </w:r>
          </w:p>
        </w:tc>
        <w:tc>
          <w:tcPr>
            <w:tcW w:w="80" w:type="dxa"/>
            <w:vAlign w:val="bottom"/>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3,041</w:t>
            </w:r>
          </w:p>
        </w:tc>
        <w:tc>
          <w:tcPr>
            <w:tcW w:w="100" w:type="dxa"/>
            <w:vAlign w:val="bottom"/>
            <w:tcBorders>
              <w:right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471</w:t>
            </w:r>
          </w:p>
        </w:tc>
        <w:tc>
          <w:tcPr>
            <w:tcW w:w="0" w:type="dxa"/>
            <w:vAlign w:val="bottom"/>
          </w:tcPr>
          <w:p>
            <w:pPr>
              <w:spacing w:after="0"/>
              <w:rPr>
                <w:sz w:val="1"/>
                <w:szCs w:val="1"/>
                <w:color w:val="auto"/>
              </w:rPr>
            </w:pPr>
          </w:p>
        </w:tc>
      </w:tr>
      <w:tr>
        <w:trPr>
          <w:trHeight w:val="139"/>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Medicare—Non-commissionable</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36,352</w:t>
            </w:r>
          </w:p>
        </w:tc>
        <w:tc>
          <w:tcPr>
            <w:tcW w:w="8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59,362</w:t>
            </w:r>
          </w:p>
        </w:tc>
        <w:tc>
          <w:tcPr>
            <w:tcW w:w="8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25,001</w:t>
            </w:r>
          </w:p>
        </w:tc>
        <w:tc>
          <w:tcPr>
            <w:tcW w:w="100" w:type="dxa"/>
            <w:vAlign w:val="bottom"/>
            <w:tcBorders>
              <w:bottom w:val="single" w:sz="8" w:color="CCEEFF"/>
              <w:right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5,762</w:t>
            </w:r>
          </w:p>
        </w:tc>
        <w:tc>
          <w:tcPr>
            <w:tcW w:w="0" w:type="dxa"/>
            <w:vAlign w:val="bottom"/>
          </w:tcPr>
          <w:p>
            <w:pPr>
              <w:spacing w:after="0"/>
              <w:rPr>
                <w:sz w:val="1"/>
                <w:szCs w:val="1"/>
                <w:color w:val="auto"/>
              </w:rPr>
            </w:pPr>
          </w:p>
        </w:tc>
      </w:tr>
      <w:tr>
        <w:trPr>
          <w:trHeight w:val="164"/>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Medicare Submitted Policies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1,273,859</w:t>
            </w:r>
          </w:p>
        </w:tc>
        <w:tc>
          <w:tcPr>
            <w:tcW w:w="8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729,912</w:t>
            </w:r>
          </w:p>
        </w:tc>
        <w:tc>
          <w:tcPr>
            <w:tcW w:w="8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268,882</w:t>
            </w:r>
          </w:p>
        </w:tc>
        <w:tc>
          <w:tcPr>
            <w:tcW w:w="100" w:type="dxa"/>
            <w:vAlign w:val="bottom"/>
            <w:tcBorders>
              <w:bottom w:val="single" w:sz="8" w:color="CCEEFF"/>
              <w:right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158,815</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jc w:val="both"/>
        <w:ind w:right="140"/>
        <w:spacing w:after="0" w:line="241" w:lineRule="auto"/>
        <w:rPr>
          <w:sz w:val="20"/>
          <w:szCs w:val="20"/>
          <w:color w:val="auto"/>
        </w:rPr>
      </w:pPr>
      <w:r>
        <w:rPr>
          <w:rFonts w:ascii="Arial" w:cs="Arial" w:eastAsia="Arial" w:hAnsi="Arial"/>
          <w:sz w:val="13"/>
          <w:szCs w:val="13"/>
          <w:color w:val="auto"/>
        </w:rPr>
        <w:t>Total Medicare Submitted Policies were 1,273,859 for the twelve months ended December 31, 2021, and 729,912 for the twelve months ended December 31, 2020. The increase is attributable to an increase in marketing costs that generated a greater number of prospects, along with increased agent headcount. We were also able to drive an increase in total Submitted Policies in the Medicare— External segment due to our ability to recruit and onboard additional external agents to enroll consumers in Medicare plans using our technology and platform.</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Approved Submissions</w:t>
      </w:r>
    </w:p>
    <w:p>
      <w:pPr>
        <w:spacing w:after="0" w:line="181" w:lineRule="exact"/>
        <w:rPr>
          <w:sz w:val="20"/>
          <w:szCs w:val="20"/>
          <w:color w:val="auto"/>
        </w:rPr>
      </w:pPr>
    </w:p>
    <w:p>
      <w:pPr>
        <w:ind w:right="80"/>
        <w:spacing w:after="0" w:line="241" w:lineRule="auto"/>
        <w:rPr>
          <w:sz w:val="20"/>
          <w:szCs w:val="20"/>
          <w:color w:val="auto"/>
        </w:rPr>
      </w:pPr>
      <w:r>
        <w:rPr>
          <w:rFonts w:ascii="Arial" w:cs="Arial" w:eastAsia="Arial" w:hAnsi="Arial"/>
          <w:sz w:val="13"/>
          <w:szCs w:val="13"/>
          <w:color w:val="auto"/>
        </w:rPr>
        <w:t>Approved Submissions represent Submitted Policies approved by carriers for the identified product during the indicated period. Not all Approved Submissions will go in force, as some individuals we enroll may not ultimately pay their insurance premiums or may switch out of a policy within the disenrollment period during the first 90 days of the policy. In general, the relationship between Submitted Policies and Approved Submissions has been steady over time. Therefore, factors impacting the number of Submitted Policies also impact the number of Approved Submissions.</w:t>
      </w:r>
    </w:p>
    <w:p>
      <w:pPr>
        <w:spacing w:after="0" w:line="165" w:lineRule="exact"/>
        <w:rPr>
          <w:sz w:val="20"/>
          <w:szCs w:val="20"/>
          <w:color w:val="auto"/>
        </w:rPr>
      </w:pPr>
    </w:p>
    <w:p>
      <w:pPr>
        <w:ind w:right="180"/>
        <w:spacing w:after="0" w:line="244" w:lineRule="auto"/>
        <w:rPr>
          <w:sz w:val="20"/>
          <w:szCs w:val="20"/>
          <w:color w:val="auto"/>
        </w:rPr>
      </w:pPr>
      <w:r>
        <w:rPr>
          <w:rFonts w:ascii="Arial" w:cs="Arial" w:eastAsia="Arial" w:hAnsi="Arial"/>
          <w:sz w:val="13"/>
          <w:szCs w:val="13"/>
          <w:color w:val="auto"/>
        </w:rPr>
        <w:t>The following tables present the number of Approved Submissions by product relating to commissionable policies for each of the Medicare segments for the periods presented. Only commissionable policies are used to calculate our LTV.</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3"/>
          <w:szCs w:val="13"/>
          <w:i w:val="1"/>
          <w:iCs w:val="1"/>
          <w:color w:val="auto"/>
        </w:rPr>
        <w:t>Medicare—Internal</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40" w:type="dxa"/>
            <w:vAlign w:val="bottom"/>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rPr>
              <w:t>Successor</w:t>
            </w:r>
          </w:p>
        </w:tc>
        <w:tc>
          <w:tcPr>
            <w:tcW w:w="1200" w:type="dxa"/>
            <w:vAlign w:val="bottom"/>
            <w:tcBorders>
              <w:bottom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Predecessor</w:t>
            </w:r>
          </w:p>
        </w:tc>
        <w:tc>
          <w:tcPr>
            <w:tcW w:w="0" w:type="dxa"/>
            <w:vAlign w:val="bottom"/>
          </w:tcPr>
          <w:p>
            <w:pPr>
              <w:spacing w:after="0"/>
              <w:rPr>
                <w:sz w:val="1"/>
                <w:szCs w:val="1"/>
                <w:color w:val="auto"/>
              </w:rPr>
            </w:pPr>
          </w:p>
        </w:tc>
      </w:tr>
      <w:tr>
        <w:trPr>
          <w:trHeight w:val="107"/>
        </w:trPr>
        <w:tc>
          <w:tcPr>
            <w:tcW w:w="6240" w:type="dxa"/>
            <w:vAlign w:val="bottom"/>
          </w:tcPr>
          <w:p>
            <w:pPr>
              <w:spacing w:after="0"/>
              <w:rPr>
                <w:sz w:val="9"/>
                <w:szCs w:val="9"/>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rPr>
              <w:t>Twelve months</w:t>
            </w:r>
          </w:p>
        </w:tc>
        <w:tc>
          <w:tcPr>
            <w:tcW w:w="128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rPr>
              <w:t>Twelve months</w:t>
            </w:r>
          </w:p>
        </w:tc>
        <w:tc>
          <w:tcPr>
            <w:tcW w:w="1300" w:type="dxa"/>
            <w:vAlign w:val="bottom"/>
            <w:tcBorders>
              <w:right w:val="single" w:sz="8" w:color="auto"/>
            </w:tcBorders>
            <w:gridSpan w:val="2"/>
          </w:tcPr>
          <w:p>
            <w:pPr>
              <w:jc w:val="center"/>
              <w:ind w:right="100"/>
              <w:spacing w:after="0" w:line="107" w:lineRule="exact"/>
              <w:rPr>
                <w:sz w:val="20"/>
                <w:szCs w:val="20"/>
                <w:color w:val="auto"/>
              </w:rPr>
            </w:pPr>
            <w:r>
              <w:rPr>
                <w:rFonts w:ascii="Arial" w:cs="Arial" w:eastAsia="Arial" w:hAnsi="Arial"/>
                <w:sz w:val="11"/>
                <w:szCs w:val="11"/>
                <w:b w:val="1"/>
                <w:bCs w:val="1"/>
                <w:color w:val="auto"/>
              </w:rPr>
              <w:t>Period from Sep. 13,</w:t>
            </w:r>
          </w:p>
        </w:tc>
        <w:tc>
          <w:tcPr>
            <w:tcW w:w="118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Period from Jan. 1,</w:t>
            </w:r>
          </w:p>
        </w:tc>
        <w:tc>
          <w:tcPr>
            <w:tcW w:w="0" w:type="dxa"/>
            <w:vAlign w:val="bottom"/>
          </w:tcPr>
          <w:p>
            <w:pPr>
              <w:spacing w:after="0"/>
              <w:rPr>
                <w:sz w:val="1"/>
                <w:szCs w:val="1"/>
                <w:color w:val="auto"/>
              </w:rPr>
            </w:pPr>
          </w:p>
        </w:tc>
      </w:tr>
      <w:tr>
        <w:trPr>
          <w:trHeight w:val="106"/>
        </w:trPr>
        <w:tc>
          <w:tcPr>
            <w:tcW w:w="6240" w:type="dxa"/>
            <w:vAlign w:val="bottom"/>
            <w:vMerge w:val="restart"/>
          </w:tcPr>
          <w:p>
            <w:pPr>
              <w:ind w:left="20"/>
              <w:spacing w:after="0"/>
              <w:rPr>
                <w:sz w:val="20"/>
                <w:szCs w:val="20"/>
                <w:color w:val="auto"/>
              </w:rPr>
            </w:pPr>
            <w:r>
              <w:rPr>
                <w:rFonts w:ascii="Arial" w:cs="Arial" w:eastAsia="Arial" w:hAnsi="Arial"/>
                <w:sz w:val="11"/>
                <w:szCs w:val="11"/>
                <w:color w:val="auto"/>
              </w:rPr>
              <w:t>(in actuals)</w:t>
            </w:r>
          </w:p>
        </w:tc>
        <w:tc>
          <w:tcPr>
            <w:tcW w:w="1280" w:type="dxa"/>
            <w:vAlign w:val="bottom"/>
            <w:gridSpan w:val="2"/>
            <w:vMerge w:val="continue"/>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300" w:type="dxa"/>
            <w:vAlign w:val="bottom"/>
            <w:tcBorders>
              <w:right w:val="single" w:sz="8" w:color="auto"/>
            </w:tcBorders>
            <w:gridSpan w:val="2"/>
          </w:tcPr>
          <w:p>
            <w:pPr>
              <w:jc w:val="center"/>
              <w:ind w:right="100"/>
              <w:spacing w:after="0" w:line="106" w:lineRule="exact"/>
              <w:rPr>
                <w:sz w:val="20"/>
                <w:szCs w:val="20"/>
                <w:color w:val="auto"/>
              </w:rPr>
            </w:pPr>
            <w:r>
              <w:rPr>
                <w:rFonts w:ascii="Arial" w:cs="Arial" w:eastAsia="Arial" w:hAnsi="Arial"/>
                <w:sz w:val="11"/>
                <w:szCs w:val="11"/>
                <w:b w:val="1"/>
                <w:bCs w:val="1"/>
                <w:color w:val="auto"/>
              </w:rPr>
              <w:t>2019 through Dec. 31,</w:t>
            </w:r>
          </w:p>
        </w:tc>
        <w:tc>
          <w:tcPr>
            <w:tcW w:w="118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rPr>
              <w:t>2019 through Sep.</w:t>
            </w:r>
          </w:p>
        </w:tc>
        <w:tc>
          <w:tcPr>
            <w:tcW w:w="0" w:type="dxa"/>
            <w:vAlign w:val="bottom"/>
          </w:tcPr>
          <w:p>
            <w:pPr>
              <w:spacing w:after="0"/>
              <w:rPr>
                <w:sz w:val="1"/>
                <w:szCs w:val="1"/>
                <w:color w:val="auto"/>
              </w:rPr>
            </w:pPr>
          </w:p>
        </w:tc>
      </w:tr>
      <w:tr>
        <w:trPr>
          <w:trHeight w:val="138"/>
        </w:trPr>
        <w:tc>
          <w:tcPr>
            <w:tcW w:w="6240" w:type="dxa"/>
            <w:vAlign w:val="bottom"/>
            <w:vMerge w:val="continue"/>
          </w:tcPr>
          <w:p>
            <w:pPr>
              <w:spacing w:after="0"/>
              <w:rPr>
                <w:sz w:val="11"/>
                <w:szCs w:val="11"/>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ended Dec. 31, 2021</w:t>
            </w:r>
          </w:p>
        </w:tc>
        <w:tc>
          <w:tcPr>
            <w:tcW w:w="12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ended Dec. 31, 2020</w:t>
            </w: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97"/>
              </w:rPr>
              <w:t>2019</w:t>
            </w:r>
          </w:p>
        </w:tc>
        <w:tc>
          <w:tcPr>
            <w:tcW w:w="100" w:type="dxa"/>
            <w:vAlign w:val="bottom"/>
            <w:tcBorders>
              <w:right w:val="single" w:sz="8" w:color="auto"/>
            </w:tcBorders>
          </w:tcPr>
          <w:p>
            <w:pPr>
              <w:spacing w:after="0"/>
              <w:rPr>
                <w:sz w:val="11"/>
                <w:szCs w:val="11"/>
                <w:color w:val="auto"/>
              </w:rPr>
            </w:pPr>
          </w:p>
        </w:tc>
        <w:tc>
          <w:tcPr>
            <w:tcW w:w="1180" w:type="dxa"/>
            <w:vAlign w:val="bottom"/>
          </w:tcPr>
          <w:p>
            <w:pPr>
              <w:jc w:val="center"/>
              <w:spacing w:after="0"/>
              <w:rPr>
                <w:sz w:val="20"/>
                <w:szCs w:val="20"/>
                <w:color w:val="auto"/>
              </w:rPr>
            </w:pPr>
            <w:r>
              <w:rPr>
                <w:rFonts w:ascii="Arial" w:cs="Arial" w:eastAsia="Arial" w:hAnsi="Arial"/>
                <w:sz w:val="11"/>
                <w:szCs w:val="11"/>
                <w:b w:val="1"/>
                <w:bCs w:val="1"/>
                <w:color w:val="auto"/>
              </w:rPr>
              <w:t>12, 2019</w:t>
            </w:r>
          </w:p>
        </w:tc>
        <w:tc>
          <w:tcPr>
            <w:tcW w:w="0" w:type="dxa"/>
            <w:vAlign w:val="bottom"/>
          </w:tcPr>
          <w:p>
            <w:pPr>
              <w:spacing w:after="0"/>
              <w:rPr>
                <w:sz w:val="1"/>
                <w:szCs w:val="1"/>
                <w:color w:val="auto"/>
              </w:rPr>
            </w:pPr>
          </w:p>
        </w:tc>
      </w:tr>
      <w:tr>
        <w:trPr>
          <w:trHeight w:val="139"/>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Medicare Advantage</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903,808</w:t>
            </w:r>
          </w:p>
        </w:tc>
        <w:tc>
          <w:tcPr>
            <w:tcW w:w="8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478,863</w:t>
            </w:r>
          </w:p>
        </w:tc>
        <w:tc>
          <w:tcPr>
            <w:tcW w:w="8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159,969</w:t>
            </w:r>
          </w:p>
        </w:tc>
        <w:tc>
          <w:tcPr>
            <w:tcW w:w="100" w:type="dxa"/>
            <w:vAlign w:val="bottom"/>
            <w:tcBorders>
              <w:top w:val="single" w:sz="8" w:color="CCEEFF"/>
              <w:right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86,544</w:t>
            </w:r>
          </w:p>
        </w:tc>
        <w:tc>
          <w:tcPr>
            <w:tcW w:w="0" w:type="dxa"/>
            <w:vAlign w:val="bottom"/>
          </w:tcPr>
          <w:p>
            <w:pPr>
              <w:spacing w:after="0"/>
              <w:rPr>
                <w:sz w:val="1"/>
                <w:szCs w:val="1"/>
                <w:color w:val="auto"/>
              </w:rPr>
            </w:pPr>
          </w:p>
        </w:tc>
      </w:tr>
      <w:tr>
        <w:trPr>
          <w:trHeight w:val="149"/>
        </w:trPr>
        <w:tc>
          <w:tcPr>
            <w:tcW w:w="6240" w:type="dxa"/>
            <w:vAlign w:val="bottom"/>
          </w:tcPr>
          <w:p>
            <w:pPr>
              <w:ind w:left="20"/>
              <w:spacing w:after="0"/>
              <w:rPr>
                <w:sz w:val="20"/>
                <w:szCs w:val="20"/>
                <w:color w:val="auto"/>
              </w:rPr>
            </w:pPr>
            <w:r>
              <w:rPr>
                <w:rFonts w:ascii="Arial" w:cs="Arial" w:eastAsia="Arial" w:hAnsi="Arial"/>
                <w:sz w:val="11"/>
                <w:szCs w:val="11"/>
                <w:color w:val="auto"/>
              </w:rPr>
              <w:t>Medicare Supplement</w:t>
            </w:r>
          </w:p>
        </w:tc>
        <w:tc>
          <w:tcPr>
            <w:tcW w:w="1200" w:type="dxa"/>
            <w:vAlign w:val="bottom"/>
          </w:tcPr>
          <w:p>
            <w:pPr>
              <w:jc w:val="right"/>
              <w:spacing w:after="0"/>
              <w:rPr>
                <w:sz w:val="20"/>
                <w:szCs w:val="20"/>
                <w:color w:val="auto"/>
              </w:rPr>
            </w:pPr>
            <w:r>
              <w:rPr>
                <w:rFonts w:ascii="Arial" w:cs="Arial" w:eastAsia="Arial" w:hAnsi="Arial"/>
                <w:sz w:val="11"/>
                <w:szCs w:val="11"/>
                <w:color w:val="auto"/>
              </w:rPr>
              <w:t>1,229</w:t>
            </w:r>
          </w:p>
        </w:tc>
        <w:tc>
          <w:tcPr>
            <w:tcW w:w="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3,116</w:t>
            </w:r>
          </w:p>
        </w:tc>
        <w:tc>
          <w:tcPr>
            <w:tcW w:w="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1,852</w:t>
            </w:r>
          </w:p>
        </w:tc>
        <w:tc>
          <w:tcPr>
            <w:tcW w:w="100" w:type="dxa"/>
            <w:vAlign w:val="bottom"/>
            <w:tcBorders>
              <w:right w:val="single" w:sz="8" w:color="auto"/>
            </w:tcBorders>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3,198</w:t>
            </w:r>
          </w:p>
        </w:tc>
        <w:tc>
          <w:tcPr>
            <w:tcW w:w="0" w:type="dxa"/>
            <w:vAlign w:val="bottom"/>
          </w:tcPr>
          <w:p>
            <w:pPr>
              <w:spacing w:after="0"/>
              <w:rPr>
                <w:sz w:val="1"/>
                <w:szCs w:val="1"/>
                <w:color w:val="auto"/>
              </w:rPr>
            </w:pPr>
          </w:p>
        </w:tc>
      </w:tr>
      <w:tr>
        <w:trPr>
          <w:trHeight w:val="149"/>
        </w:trPr>
        <w:tc>
          <w:tcPr>
            <w:tcW w:w="6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Prescription Drug Plans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24,006</w:t>
            </w:r>
          </w:p>
        </w:tc>
        <w:tc>
          <w:tcPr>
            <w:tcW w:w="80" w:type="dxa"/>
            <w:vAlign w:val="bottom"/>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13,582</w:t>
            </w:r>
          </w:p>
        </w:tc>
        <w:tc>
          <w:tcPr>
            <w:tcW w:w="80" w:type="dxa"/>
            <w:vAlign w:val="bottom"/>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8,943</w:t>
            </w:r>
          </w:p>
        </w:tc>
        <w:tc>
          <w:tcPr>
            <w:tcW w:w="100" w:type="dxa"/>
            <w:vAlign w:val="bottom"/>
            <w:tcBorders>
              <w:right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5,078</w:t>
            </w:r>
          </w:p>
        </w:tc>
        <w:tc>
          <w:tcPr>
            <w:tcW w:w="0" w:type="dxa"/>
            <w:vAlign w:val="bottom"/>
          </w:tcPr>
          <w:p>
            <w:pPr>
              <w:spacing w:after="0"/>
              <w:rPr>
                <w:sz w:val="1"/>
                <w:szCs w:val="1"/>
                <w:color w:val="auto"/>
              </w:rPr>
            </w:pPr>
          </w:p>
        </w:tc>
      </w:tr>
      <w:tr>
        <w:trPr>
          <w:trHeight w:val="139"/>
        </w:trPr>
        <w:tc>
          <w:tcPr>
            <w:tcW w:w="6240" w:type="dxa"/>
            <w:vAlign w:val="bottom"/>
          </w:tcPr>
          <w:p>
            <w:pPr>
              <w:ind w:left="20"/>
              <w:spacing w:after="0"/>
              <w:rPr>
                <w:sz w:val="20"/>
                <w:szCs w:val="20"/>
                <w:color w:val="auto"/>
              </w:rPr>
            </w:pPr>
            <w:r>
              <w:rPr>
                <w:rFonts w:ascii="Arial" w:cs="Arial" w:eastAsia="Arial" w:hAnsi="Arial"/>
                <w:sz w:val="11"/>
                <w:szCs w:val="11"/>
                <w:color w:val="auto"/>
              </w:rPr>
              <w:t>Total Medicare—Internal Commissionable Approved Submissions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929,043</w:t>
            </w:r>
          </w:p>
        </w:tc>
        <w:tc>
          <w:tcPr>
            <w:tcW w:w="80" w:type="dxa"/>
            <w:vAlign w:val="bottom"/>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495,561</w:t>
            </w:r>
          </w:p>
        </w:tc>
        <w:tc>
          <w:tcPr>
            <w:tcW w:w="80" w:type="dxa"/>
            <w:vAlign w:val="bottom"/>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170,764</w:t>
            </w:r>
          </w:p>
        </w:tc>
        <w:tc>
          <w:tcPr>
            <w:tcW w:w="100" w:type="dxa"/>
            <w:vAlign w:val="bottom"/>
            <w:tcBorders>
              <w:right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94,820</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right="460"/>
        <w:spacing w:after="0" w:line="244" w:lineRule="auto"/>
        <w:rPr>
          <w:sz w:val="20"/>
          <w:szCs w:val="20"/>
          <w:color w:val="auto"/>
        </w:rPr>
      </w:pPr>
      <w:r>
        <w:rPr>
          <w:rFonts w:ascii="Arial" w:cs="Arial" w:eastAsia="Arial" w:hAnsi="Arial"/>
          <w:sz w:val="13"/>
          <w:szCs w:val="13"/>
          <w:color w:val="auto"/>
        </w:rPr>
        <w:t>Medicare—Internal commissionable Approved Submissions were 929,043 for the twelve months ended December 31, 2021, and 495,561 for the twelve months ended December 31, 2020. The increase was attributable to the hiring of additional agents and increased marketing costs that generated a greater number of prospects.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53</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85" w:right="319" w:bottom="1440" w:gutter="0" w:footer="0" w:header="0"/>
        </w:sectPr>
      </w:pPr>
    </w:p>
    <w:bookmarkStart w:id="56" w:name="page57"/>
    <w:bookmarkEnd w:id="56"/>
    <w:p>
      <w:pPr>
        <w:ind w:left="520"/>
        <w:spacing w:after="0"/>
        <w:rPr>
          <w:sz w:val="20"/>
          <w:szCs w:val="20"/>
          <w:color w:val="auto"/>
        </w:rPr>
      </w:pPr>
      <w:r>
        <w:rPr>
          <w:rFonts w:ascii="Arial" w:cs="Arial" w:eastAsia="Arial" w:hAnsi="Arial"/>
          <w:sz w:val="13"/>
          <w:szCs w:val="13"/>
          <w:i w:val="1"/>
          <w:iCs w:val="1"/>
          <w:color w:val="auto"/>
        </w:rPr>
        <w:t>Medicare—External</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40" w:type="dxa"/>
            <w:vAlign w:val="bottom"/>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rPr>
              <w:t>Successor</w:t>
            </w:r>
          </w:p>
        </w:tc>
        <w:tc>
          <w:tcPr>
            <w:tcW w:w="1200" w:type="dxa"/>
            <w:vAlign w:val="bottom"/>
            <w:tcBorders>
              <w:bottom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Predecessor</w:t>
            </w:r>
          </w:p>
        </w:tc>
        <w:tc>
          <w:tcPr>
            <w:tcW w:w="0" w:type="dxa"/>
            <w:vAlign w:val="bottom"/>
          </w:tcPr>
          <w:p>
            <w:pPr>
              <w:spacing w:after="0"/>
              <w:rPr>
                <w:sz w:val="1"/>
                <w:szCs w:val="1"/>
                <w:color w:val="auto"/>
              </w:rPr>
            </w:pPr>
          </w:p>
        </w:tc>
      </w:tr>
      <w:tr>
        <w:trPr>
          <w:trHeight w:val="107"/>
        </w:trPr>
        <w:tc>
          <w:tcPr>
            <w:tcW w:w="6240" w:type="dxa"/>
            <w:vAlign w:val="bottom"/>
          </w:tcPr>
          <w:p>
            <w:pPr>
              <w:spacing w:after="0"/>
              <w:rPr>
                <w:sz w:val="9"/>
                <w:szCs w:val="9"/>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rPr>
              <w:t>Twelve months</w:t>
            </w:r>
          </w:p>
        </w:tc>
        <w:tc>
          <w:tcPr>
            <w:tcW w:w="128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rPr>
              <w:t>Twelve months</w:t>
            </w:r>
          </w:p>
        </w:tc>
        <w:tc>
          <w:tcPr>
            <w:tcW w:w="1300" w:type="dxa"/>
            <w:vAlign w:val="bottom"/>
            <w:tcBorders>
              <w:right w:val="single" w:sz="8" w:color="auto"/>
            </w:tcBorders>
            <w:gridSpan w:val="2"/>
          </w:tcPr>
          <w:p>
            <w:pPr>
              <w:jc w:val="center"/>
              <w:ind w:right="100"/>
              <w:spacing w:after="0" w:line="107" w:lineRule="exact"/>
              <w:rPr>
                <w:sz w:val="20"/>
                <w:szCs w:val="20"/>
                <w:color w:val="auto"/>
              </w:rPr>
            </w:pPr>
            <w:r>
              <w:rPr>
                <w:rFonts w:ascii="Arial" w:cs="Arial" w:eastAsia="Arial" w:hAnsi="Arial"/>
                <w:sz w:val="11"/>
                <w:szCs w:val="11"/>
                <w:b w:val="1"/>
                <w:bCs w:val="1"/>
                <w:color w:val="auto"/>
              </w:rPr>
              <w:t>Period from Sep. 13,</w:t>
            </w:r>
          </w:p>
        </w:tc>
        <w:tc>
          <w:tcPr>
            <w:tcW w:w="118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Period from Jan. 1,</w:t>
            </w:r>
          </w:p>
        </w:tc>
        <w:tc>
          <w:tcPr>
            <w:tcW w:w="0" w:type="dxa"/>
            <w:vAlign w:val="bottom"/>
          </w:tcPr>
          <w:p>
            <w:pPr>
              <w:spacing w:after="0"/>
              <w:rPr>
                <w:sz w:val="1"/>
                <w:szCs w:val="1"/>
                <w:color w:val="auto"/>
              </w:rPr>
            </w:pPr>
          </w:p>
        </w:tc>
      </w:tr>
      <w:tr>
        <w:trPr>
          <w:trHeight w:val="106"/>
        </w:trPr>
        <w:tc>
          <w:tcPr>
            <w:tcW w:w="6240" w:type="dxa"/>
            <w:vAlign w:val="bottom"/>
            <w:vMerge w:val="restart"/>
          </w:tcPr>
          <w:p>
            <w:pPr>
              <w:ind w:left="20"/>
              <w:spacing w:after="0"/>
              <w:rPr>
                <w:sz w:val="20"/>
                <w:szCs w:val="20"/>
                <w:color w:val="auto"/>
              </w:rPr>
            </w:pPr>
            <w:r>
              <w:rPr>
                <w:rFonts w:ascii="Arial" w:cs="Arial" w:eastAsia="Arial" w:hAnsi="Arial"/>
                <w:sz w:val="11"/>
                <w:szCs w:val="11"/>
                <w:color w:val="auto"/>
              </w:rPr>
              <w:t>(in actuals)</w:t>
            </w:r>
          </w:p>
        </w:tc>
        <w:tc>
          <w:tcPr>
            <w:tcW w:w="1280" w:type="dxa"/>
            <w:vAlign w:val="bottom"/>
            <w:gridSpan w:val="2"/>
            <w:vMerge w:val="continue"/>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300" w:type="dxa"/>
            <w:vAlign w:val="bottom"/>
            <w:tcBorders>
              <w:right w:val="single" w:sz="8" w:color="auto"/>
            </w:tcBorders>
            <w:gridSpan w:val="2"/>
          </w:tcPr>
          <w:p>
            <w:pPr>
              <w:jc w:val="center"/>
              <w:ind w:right="100"/>
              <w:spacing w:after="0" w:line="106" w:lineRule="exact"/>
              <w:rPr>
                <w:sz w:val="20"/>
                <w:szCs w:val="20"/>
                <w:color w:val="auto"/>
              </w:rPr>
            </w:pPr>
            <w:r>
              <w:rPr>
                <w:rFonts w:ascii="Arial" w:cs="Arial" w:eastAsia="Arial" w:hAnsi="Arial"/>
                <w:sz w:val="11"/>
                <w:szCs w:val="11"/>
                <w:b w:val="1"/>
                <w:bCs w:val="1"/>
                <w:color w:val="auto"/>
              </w:rPr>
              <w:t>2019 through Dec. 31,</w:t>
            </w:r>
          </w:p>
        </w:tc>
        <w:tc>
          <w:tcPr>
            <w:tcW w:w="118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rPr>
              <w:t>2019 through Sep.</w:t>
            </w:r>
          </w:p>
        </w:tc>
        <w:tc>
          <w:tcPr>
            <w:tcW w:w="0" w:type="dxa"/>
            <w:vAlign w:val="bottom"/>
          </w:tcPr>
          <w:p>
            <w:pPr>
              <w:spacing w:after="0"/>
              <w:rPr>
                <w:sz w:val="1"/>
                <w:szCs w:val="1"/>
                <w:color w:val="auto"/>
              </w:rPr>
            </w:pPr>
          </w:p>
        </w:tc>
      </w:tr>
      <w:tr>
        <w:trPr>
          <w:trHeight w:val="138"/>
        </w:trPr>
        <w:tc>
          <w:tcPr>
            <w:tcW w:w="6240" w:type="dxa"/>
            <w:vAlign w:val="bottom"/>
            <w:vMerge w:val="continue"/>
          </w:tcPr>
          <w:p>
            <w:pPr>
              <w:spacing w:after="0"/>
              <w:rPr>
                <w:sz w:val="11"/>
                <w:szCs w:val="11"/>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ended Dec. 31, 2021</w:t>
            </w:r>
          </w:p>
        </w:tc>
        <w:tc>
          <w:tcPr>
            <w:tcW w:w="12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ended Dec. 31, 2020</w:t>
            </w: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97"/>
              </w:rPr>
              <w:t>2019</w:t>
            </w:r>
          </w:p>
        </w:tc>
        <w:tc>
          <w:tcPr>
            <w:tcW w:w="100" w:type="dxa"/>
            <w:vAlign w:val="bottom"/>
            <w:tcBorders>
              <w:right w:val="single" w:sz="8" w:color="auto"/>
            </w:tcBorders>
          </w:tcPr>
          <w:p>
            <w:pPr>
              <w:spacing w:after="0"/>
              <w:rPr>
                <w:sz w:val="11"/>
                <w:szCs w:val="11"/>
                <w:color w:val="auto"/>
              </w:rPr>
            </w:pPr>
          </w:p>
        </w:tc>
        <w:tc>
          <w:tcPr>
            <w:tcW w:w="1180" w:type="dxa"/>
            <w:vAlign w:val="bottom"/>
          </w:tcPr>
          <w:p>
            <w:pPr>
              <w:jc w:val="center"/>
              <w:spacing w:after="0"/>
              <w:rPr>
                <w:sz w:val="20"/>
                <w:szCs w:val="20"/>
                <w:color w:val="auto"/>
              </w:rPr>
            </w:pPr>
            <w:r>
              <w:rPr>
                <w:rFonts w:ascii="Arial" w:cs="Arial" w:eastAsia="Arial" w:hAnsi="Arial"/>
                <w:sz w:val="11"/>
                <w:szCs w:val="11"/>
                <w:b w:val="1"/>
                <w:bCs w:val="1"/>
                <w:color w:val="auto"/>
              </w:rPr>
              <w:t>12, 2019</w:t>
            </w:r>
          </w:p>
        </w:tc>
        <w:tc>
          <w:tcPr>
            <w:tcW w:w="0" w:type="dxa"/>
            <w:vAlign w:val="bottom"/>
          </w:tcPr>
          <w:p>
            <w:pPr>
              <w:spacing w:after="0"/>
              <w:rPr>
                <w:sz w:val="1"/>
                <w:szCs w:val="1"/>
                <w:color w:val="auto"/>
              </w:rPr>
            </w:pPr>
          </w:p>
        </w:tc>
      </w:tr>
      <w:tr>
        <w:trPr>
          <w:trHeight w:val="139"/>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Medicare Advantage</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266,795</w:t>
            </w:r>
          </w:p>
        </w:tc>
        <w:tc>
          <w:tcPr>
            <w:tcW w:w="8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158,325</w:t>
            </w:r>
          </w:p>
        </w:tc>
        <w:tc>
          <w:tcPr>
            <w:tcW w:w="8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53,852</w:t>
            </w:r>
          </w:p>
        </w:tc>
        <w:tc>
          <w:tcPr>
            <w:tcW w:w="100" w:type="dxa"/>
            <w:vAlign w:val="bottom"/>
            <w:tcBorders>
              <w:top w:val="single" w:sz="8" w:color="CCEEFF"/>
              <w:right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48,341</w:t>
            </w:r>
          </w:p>
        </w:tc>
        <w:tc>
          <w:tcPr>
            <w:tcW w:w="0" w:type="dxa"/>
            <w:vAlign w:val="bottom"/>
          </w:tcPr>
          <w:p>
            <w:pPr>
              <w:spacing w:after="0"/>
              <w:rPr>
                <w:sz w:val="1"/>
                <w:szCs w:val="1"/>
                <w:color w:val="auto"/>
              </w:rPr>
            </w:pPr>
          </w:p>
        </w:tc>
      </w:tr>
      <w:tr>
        <w:trPr>
          <w:trHeight w:val="149"/>
        </w:trPr>
        <w:tc>
          <w:tcPr>
            <w:tcW w:w="6240" w:type="dxa"/>
            <w:vAlign w:val="bottom"/>
          </w:tcPr>
          <w:p>
            <w:pPr>
              <w:ind w:left="20"/>
              <w:spacing w:after="0"/>
              <w:rPr>
                <w:sz w:val="20"/>
                <w:szCs w:val="20"/>
                <w:color w:val="auto"/>
              </w:rPr>
            </w:pPr>
            <w:r>
              <w:rPr>
                <w:rFonts w:ascii="Arial" w:cs="Arial" w:eastAsia="Arial" w:hAnsi="Arial"/>
                <w:sz w:val="11"/>
                <w:szCs w:val="11"/>
                <w:color w:val="auto"/>
              </w:rPr>
              <w:t>Medicare Supplement</w:t>
            </w:r>
          </w:p>
        </w:tc>
        <w:tc>
          <w:tcPr>
            <w:tcW w:w="1200" w:type="dxa"/>
            <w:vAlign w:val="bottom"/>
          </w:tcPr>
          <w:p>
            <w:pPr>
              <w:jc w:val="right"/>
              <w:spacing w:after="0"/>
              <w:rPr>
                <w:sz w:val="20"/>
                <w:szCs w:val="20"/>
                <w:color w:val="auto"/>
              </w:rPr>
            </w:pPr>
            <w:r>
              <w:rPr>
                <w:rFonts w:ascii="Arial" w:cs="Arial" w:eastAsia="Arial" w:hAnsi="Arial"/>
                <w:sz w:val="11"/>
                <w:szCs w:val="11"/>
                <w:color w:val="auto"/>
              </w:rPr>
              <w:t>2,531</w:t>
            </w:r>
          </w:p>
        </w:tc>
        <w:tc>
          <w:tcPr>
            <w:tcW w:w="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5,254</w:t>
            </w:r>
          </w:p>
        </w:tc>
        <w:tc>
          <w:tcPr>
            <w:tcW w:w="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3,926</w:t>
            </w:r>
          </w:p>
        </w:tc>
        <w:tc>
          <w:tcPr>
            <w:tcW w:w="100" w:type="dxa"/>
            <w:vAlign w:val="bottom"/>
            <w:tcBorders>
              <w:right w:val="single" w:sz="8" w:color="auto"/>
            </w:tcBorders>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7,065</w:t>
            </w:r>
          </w:p>
        </w:tc>
        <w:tc>
          <w:tcPr>
            <w:tcW w:w="0" w:type="dxa"/>
            <w:vAlign w:val="bottom"/>
          </w:tcPr>
          <w:p>
            <w:pPr>
              <w:spacing w:after="0"/>
              <w:rPr>
                <w:sz w:val="1"/>
                <w:szCs w:val="1"/>
                <w:color w:val="auto"/>
              </w:rPr>
            </w:pPr>
          </w:p>
        </w:tc>
      </w:tr>
      <w:tr>
        <w:trPr>
          <w:trHeight w:val="149"/>
        </w:trPr>
        <w:tc>
          <w:tcPr>
            <w:tcW w:w="6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Prescription Drug Plans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12,344</w:t>
            </w:r>
          </w:p>
        </w:tc>
        <w:tc>
          <w:tcPr>
            <w:tcW w:w="80" w:type="dxa"/>
            <w:vAlign w:val="bottom"/>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3,036</w:t>
            </w:r>
          </w:p>
        </w:tc>
        <w:tc>
          <w:tcPr>
            <w:tcW w:w="80" w:type="dxa"/>
            <w:vAlign w:val="bottom"/>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4,895</w:t>
            </w:r>
          </w:p>
        </w:tc>
        <w:tc>
          <w:tcPr>
            <w:tcW w:w="100" w:type="dxa"/>
            <w:vAlign w:val="bottom"/>
            <w:tcBorders>
              <w:right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2,597</w:t>
            </w:r>
          </w:p>
        </w:tc>
        <w:tc>
          <w:tcPr>
            <w:tcW w:w="0" w:type="dxa"/>
            <w:vAlign w:val="bottom"/>
          </w:tcPr>
          <w:p>
            <w:pPr>
              <w:spacing w:after="0"/>
              <w:rPr>
                <w:sz w:val="1"/>
                <w:szCs w:val="1"/>
                <w:color w:val="auto"/>
              </w:rPr>
            </w:pPr>
          </w:p>
        </w:tc>
      </w:tr>
      <w:tr>
        <w:trPr>
          <w:trHeight w:val="139"/>
        </w:trPr>
        <w:tc>
          <w:tcPr>
            <w:tcW w:w="6240" w:type="dxa"/>
            <w:vAlign w:val="bottom"/>
          </w:tcPr>
          <w:p>
            <w:pPr>
              <w:ind w:left="20"/>
              <w:spacing w:after="0"/>
              <w:rPr>
                <w:sz w:val="20"/>
                <w:szCs w:val="20"/>
                <w:color w:val="auto"/>
              </w:rPr>
            </w:pPr>
            <w:r>
              <w:rPr>
                <w:rFonts w:ascii="Arial" w:cs="Arial" w:eastAsia="Arial" w:hAnsi="Arial"/>
                <w:sz w:val="11"/>
                <w:szCs w:val="11"/>
                <w:color w:val="auto"/>
              </w:rPr>
              <w:t>Total Medicare—External Commissionable Approved Submissions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281,670</w:t>
            </w:r>
          </w:p>
        </w:tc>
        <w:tc>
          <w:tcPr>
            <w:tcW w:w="80" w:type="dxa"/>
            <w:vAlign w:val="bottom"/>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166,615</w:t>
            </w:r>
          </w:p>
        </w:tc>
        <w:tc>
          <w:tcPr>
            <w:tcW w:w="80" w:type="dxa"/>
            <w:vAlign w:val="bottom"/>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62,673</w:t>
            </w:r>
          </w:p>
        </w:tc>
        <w:tc>
          <w:tcPr>
            <w:tcW w:w="100" w:type="dxa"/>
            <w:vAlign w:val="bottom"/>
            <w:tcBorders>
              <w:right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58,003</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right="420"/>
        <w:spacing w:after="0" w:line="284" w:lineRule="auto"/>
        <w:rPr>
          <w:sz w:val="20"/>
          <w:szCs w:val="20"/>
          <w:color w:val="auto"/>
        </w:rPr>
      </w:pPr>
      <w:r>
        <w:rPr>
          <w:rFonts w:ascii="Arial" w:cs="Arial" w:eastAsia="Arial" w:hAnsi="Arial"/>
          <w:sz w:val="12"/>
          <w:szCs w:val="12"/>
          <w:color w:val="auto"/>
        </w:rPr>
        <w:t>Medicare—External commissionable Approved Submissions were 281,670 for the twelve months ended December 31, 2021, and 166,615 for the twelve months ended December 31, 2020. The increase in Medicare—External commissionable Approved Submissions was attributable to our ability to recruit and onboard additional external agents to enroll consumers in Medicare plans.</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Lifetime Value of Commissions Per Approved Submission</w:t>
      </w:r>
    </w:p>
    <w:p>
      <w:pPr>
        <w:spacing w:after="0" w:line="181" w:lineRule="exact"/>
        <w:rPr>
          <w:sz w:val="20"/>
          <w:szCs w:val="20"/>
          <w:color w:val="auto"/>
        </w:rPr>
      </w:pPr>
    </w:p>
    <w:p>
      <w:pPr>
        <w:ind w:right="40"/>
        <w:spacing w:after="0" w:line="262" w:lineRule="auto"/>
        <w:rPr>
          <w:sz w:val="20"/>
          <w:szCs w:val="20"/>
          <w:color w:val="auto"/>
        </w:rPr>
      </w:pPr>
      <w:r>
        <w:rPr>
          <w:rFonts w:ascii="Arial" w:cs="Arial" w:eastAsia="Arial" w:hAnsi="Arial"/>
          <w:sz w:val="12"/>
          <w:szCs w:val="12"/>
          <w:color w:val="auto"/>
        </w:rPr>
        <w:t>Lifetime value of commissions per commissionable Approved Submission, or LTV per Approved Submission, represents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 excluding revenue adjustments recorded in the period, but relating to performance obligations satisfied in prior periods, divided by (ii) the number of commissionable Approved Submissions for such period. LTV per Approved Submission is equal to the sum of the commission revenue due upon the initial sale of a policy, and when applicable, an estimate of future renewal commissions per commissionable Approved Submissions. The estimate of the future renewal commissions is determined by using the contracted renewal commission rates constrained by a persistency-adjusted renewal period. The persistency-adjusted renewal period is determined based on our historical experience and available industry and carrier historical data. Persistency-adjustments allow us to estimate renewal revenue only to the extent probable that a material reversal in revenue would not be expected to occur. These factors may result in varying values from period to period. LTV per Approved Submission represents commissions only from policies sold during the period, but excludes policies originally submitted in prior periods.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the LTV per Approved Submission by product for the Medicare segments for the periods presented: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rPr>
              <w:t>Successor</w:t>
            </w: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ind w:right="43"/>
              <w:spacing w:after="0"/>
              <w:rPr>
                <w:sz w:val="20"/>
                <w:szCs w:val="20"/>
                <w:color w:val="auto"/>
              </w:rPr>
            </w:pPr>
            <w:r>
              <w:rPr>
                <w:rFonts w:ascii="Arial" w:cs="Arial" w:eastAsia="Arial" w:hAnsi="Arial"/>
                <w:sz w:val="11"/>
                <w:szCs w:val="11"/>
                <w:b w:val="1"/>
                <w:bCs w:val="1"/>
                <w:color w:val="auto"/>
              </w:rPr>
              <w:t>Predecessor</w:t>
            </w:r>
          </w:p>
        </w:tc>
        <w:tc>
          <w:tcPr>
            <w:tcW w:w="0" w:type="dxa"/>
            <w:vAlign w:val="bottom"/>
          </w:tcPr>
          <w:p>
            <w:pPr>
              <w:spacing w:after="0"/>
              <w:rPr>
                <w:sz w:val="1"/>
                <w:szCs w:val="1"/>
                <w:color w:val="auto"/>
              </w:rPr>
            </w:pPr>
          </w:p>
        </w:tc>
      </w:tr>
      <w:tr>
        <w:trPr>
          <w:trHeight w:val="107"/>
        </w:trPr>
        <w:tc>
          <w:tcPr>
            <w:tcW w:w="6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rPr>
              <w:t>Twelve months</w:t>
            </w:r>
          </w:p>
        </w:tc>
        <w:tc>
          <w:tcPr>
            <w:tcW w:w="140" w:type="dxa"/>
            <w:vAlign w:val="bottom"/>
          </w:tcPr>
          <w:p>
            <w:pPr>
              <w:spacing w:after="0"/>
              <w:rPr>
                <w:sz w:val="9"/>
                <w:szCs w:val="9"/>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rPr>
              <w:t>Twelve months</w:t>
            </w:r>
          </w:p>
        </w:tc>
        <w:tc>
          <w:tcPr>
            <w:tcW w:w="1300" w:type="dxa"/>
            <w:vAlign w:val="bottom"/>
            <w:tcBorders>
              <w:right w:val="single" w:sz="8" w:color="auto"/>
            </w:tcBorders>
            <w:gridSpan w:val="3"/>
          </w:tcPr>
          <w:p>
            <w:pPr>
              <w:jc w:val="right"/>
              <w:ind w:right="160"/>
              <w:spacing w:after="0" w:line="107" w:lineRule="exact"/>
              <w:rPr>
                <w:sz w:val="20"/>
                <w:szCs w:val="20"/>
                <w:color w:val="auto"/>
              </w:rPr>
            </w:pPr>
            <w:r>
              <w:rPr>
                <w:rFonts w:ascii="Arial" w:cs="Arial" w:eastAsia="Arial" w:hAnsi="Arial"/>
                <w:sz w:val="11"/>
                <w:szCs w:val="11"/>
                <w:b w:val="1"/>
                <w:bCs w:val="1"/>
                <w:color w:val="auto"/>
              </w:rPr>
              <w:t>Period from Sep. 13,</w:t>
            </w:r>
          </w:p>
        </w:tc>
        <w:tc>
          <w:tcPr>
            <w:tcW w:w="80" w:type="dxa"/>
            <w:vAlign w:val="bottom"/>
          </w:tcPr>
          <w:p>
            <w:pPr>
              <w:spacing w:after="0"/>
              <w:rPr>
                <w:sz w:val="9"/>
                <w:szCs w:val="9"/>
                <w:color w:val="auto"/>
              </w:rPr>
            </w:pPr>
          </w:p>
        </w:tc>
        <w:tc>
          <w:tcPr>
            <w:tcW w:w="1100" w:type="dxa"/>
            <w:vAlign w:val="bottom"/>
          </w:tcPr>
          <w:p>
            <w:pPr>
              <w:jc w:val="center"/>
              <w:ind w:right="23"/>
              <w:spacing w:after="0" w:line="107" w:lineRule="exact"/>
              <w:rPr>
                <w:sz w:val="20"/>
                <w:szCs w:val="20"/>
                <w:color w:val="auto"/>
              </w:rPr>
            </w:pPr>
            <w:r>
              <w:rPr>
                <w:rFonts w:ascii="Arial" w:cs="Arial" w:eastAsia="Arial" w:hAnsi="Arial"/>
                <w:sz w:val="11"/>
                <w:szCs w:val="11"/>
                <w:b w:val="1"/>
                <w:bCs w:val="1"/>
                <w:color w:val="auto"/>
              </w:rPr>
              <w:t>Period from Jan. 1,</w:t>
            </w:r>
          </w:p>
        </w:tc>
        <w:tc>
          <w:tcPr>
            <w:tcW w:w="0" w:type="dxa"/>
            <w:vAlign w:val="bottom"/>
          </w:tcPr>
          <w:p>
            <w:pPr>
              <w:spacing w:after="0"/>
              <w:rPr>
                <w:sz w:val="1"/>
                <w:szCs w:val="1"/>
                <w:color w:val="auto"/>
              </w:rPr>
            </w:pPr>
          </w:p>
        </w:tc>
      </w:tr>
      <w:tr>
        <w:trPr>
          <w:trHeight w:val="106"/>
        </w:trPr>
        <w:tc>
          <w:tcPr>
            <w:tcW w:w="6240" w:type="dxa"/>
            <w:vAlign w:val="bottom"/>
            <w:vMerge w:val="restart"/>
          </w:tcPr>
          <w:p>
            <w:pPr>
              <w:ind w:left="20"/>
              <w:spacing w:after="0"/>
              <w:rPr>
                <w:sz w:val="20"/>
                <w:szCs w:val="20"/>
                <w:color w:val="auto"/>
              </w:rPr>
            </w:pPr>
            <w:r>
              <w:rPr>
                <w:rFonts w:ascii="Arial" w:cs="Arial" w:eastAsia="Arial" w:hAnsi="Arial"/>
                <w:sz w:val="11"/>
                <w:szCs w:val="11"/>
                <w:color w:val="auto"/>
              </w:rPr>
              <w:t>(in actuals)</w:t>
            </w:r>
          </w:p>
        </w:tc>
        <w:tc>
          <w:tcPr>
            <w:tcW w:w="1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300" w:type="dxa"/>
            <w:vAlign w:val="bottom"/>
            <w:tcBorders>
              <w:right w:val="single" w:sz="8" w:color="auto"/>
            </w:tcBorders>
            <w:gridSpan w:val="3"/>
          </w:tcPr>
          <w:p>
            <w:pPr>
              <w:ind w:left="20"/>
              <w:spacing w:after="0" w:line="106" w:lineRule="exact"/>
              <w:rPr>
                <w:sz w:val="20"/>
                <w:szCs w:val="20"/>
                <w:color w:val="auto"/>
              </w:rPr>
            </w:pPr>
            <w:r>
              <w:rPr>
                <w:rFonts w:ascii="Arial" w:cs="Arial" w:eastAsia="Arial" w:hAnsi="Arial"/>
                <w:sz w:val="11"/>
                <w:szCs w:val="11"/>
                <w:b w:val="1"/>
                <w:bCs w:val="1"/>
                <w:color w:val="auto"/>
              </w:rPr>
              <w:t>2019 through Dec. 31,</w:t>
            </w:r>
          </w:p>
        </w:tc>
        <w:tc>
          <w:tcPr>
            <w:tcW w:w="80" w:type="dxa"/>
            <w:vAlign w:val="bottom"/>
          </w:tcPr>
          <w:p>
            <w:pPr>
              <w:spacing w:after="0"/>
              <w:rPr>
                <w:sz w:val="9"/>
                <w:szCs w:val="9"/>
                <w:color w:val="auto"/>
              </w:rPr>
            </w:pPr>
          </w:p>
        </w:tc>
        <w:tc>
          <w:tcPr>
            <w:tcW w:w="1100" w:type="dxa"/>
            <w:vAlign w:val="bottom"/>
          </w:tcPr>
          <w:p>
            <w:pPr>
              <w:jc w:val="center"/>
              <w:ind w:right="23"/>
              <w:spacing w:after="0" w:line="106" w:lineRule="exact"/>
              <w:rPr>
                <w:sz w:val="20"/>
                <w:szCs w:val="20"/>
                <w:color w:val="auto"/>
              </w:rPr>
            </w:pPr>
            <w:r>
              <w:rPr>
                <w:rFonts w:ascii="Arial" w:cs="Arial" w:eastAsia="Arial" w:hAnsi="Arial"/>
                <w:sz w:val="11"/>
                <w:szCs w:val="11"/>
                <w:b w:val="1"/>
                <w:bCs w:val="1"/>
                <w:color w:val="auto"/>
              </w:rPr>
              <w:t>2019 through Sep.</w:t>
            </w:r>
          </w:p>
        </w:tc>
        <w:tc>
          <w:tcPr>
            <w:tcW w:w="0" w:type="dxa"/>
            <w:vAlign w:val="bottom"/>
          </w:tcPr>
          <w:p>
            <w:pPr>
              <w:spacing w:after="0"/>
              <w:rPr>
                <w:sz w:val="1"/>
                <w:szCs w:val="1"/>
                <w:color w:val="auto"/>
              </w:rPr>
            </w:pPr>
          </w:p>
        </w:tc>
      </w:tr>
      <w:tr>
        <w:trPr>
          <w:trHeight w:val="138"/>
        </w:trPr>
        <w:tc>
          <w:tcPr>
            <w:tcW w:w="6240" w:type="dxa"/>
            <w:vAlign w:val="bottom"/>
            <w:vMerge w:val="continue"/>
          </w:tcPr>
          <w:p>
            <w:pPr>
              <w:spacing w:after="0"/>
              <w:rPr>
                <w:sz w:val="11"/>
                <w:szCs w:val="11"/>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rPr>
              <w:t>ended Dec. 31, 2021</w:t>
            </w:r>
          </w:p>
        </w:tc>
        <w:tc>
          <w:tcPr>
            <w:tcW w:w="128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rPr>
              <w:t>ended Dec. 31, 2020</w:t>
            </w:r>
          </w:p>
        </w:tc>
        <w:tc>
          <w:tcPr>
            <w:tcW w:w="280" w:type="dxa"/>
            <w:vAlign w:val="bottom"/>
          </w:tcPr>
          <w:p>
            <w:pPr>
              <w:spacing w:after="0"/>
              <w:rPr>
                <w:sz w:val="11"/>
                <w:szCs w:val="11"/>
                <w:color w:val="auto"/>
              </w:rPr>
            </w:pPr>
          </w:p>
        </w:tc>
        <w:tc>
          <w:tcPr>
            <w:tcW w:w="920" w:type="dxa"/>
            <w:vAlign w:val="bottom"/>
          </w:tcPr>
          <w:p>
            <w:pPr>
              <w:jc w:val="right"/>
              <w:ind w:right="423"/>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43"/>
              <w:spacing w:after="0"/>
              <w:rPr>
                <w:sz w:val="20"/>
                <w:szCs w:val="20"/>
                <w:color w:val="auto"/>
              </w:rPr>
            </w:pPr>
            <w:r>
              <w:rPr>
                <w:rFonts w:ascii="Arial" w:cs="Arial" w:eastAsia="Arial" w:hAnsi="Arial"/>
                <w:sz w:val="11"/>
                <w:szCs w:val="11"/>
                <w:b w:val="1"/>
                <w:bCs w:val="1"/>
                <w:color w:val="auto"/>
              </w:rPr>
              <w:t>12, 2019</w:t>
            </w:r>
          </w:p>
        </w:tc>
        <w:tc>
          <w:tcPr>
            <w:tcW w:w="0" w:type="dxa"/>
            <w:vAlign w:val="bottom"/>
          </w:tcPr>
          <w:p>
            <w:pPr>
              <w:spacing w:after="0"/>
              <w:rPr>
                <w:sz w:val="1"/>
                <w:szCs w:val="1"/>
                <w:color w:val="auto"/>
              </w:rPr>
            </w:pPr>
          </w:p>
        </w:tc>
      </w:tr>
      <w:tr>
        <w:trPr>
          <w:trHeight w:val="139"/>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Medicare Advantage</w:t>
            </w: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842</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900</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9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805</w:t>
            </w:r>
          </w:p>
        </w:tc>
        <w:tc>
          <w:tcPr>
            <w:tcW w:w="100" w:type="dxa"/>
            <w:vAlign w:val="bottom"/>
            <w:tcBorders>
              <w:top w:val="single" w:sz="8" w:color="CCEEFF"/>
              <w:right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751</w:t>
            </w:r>
          </w:p>
        </w:tc>
        <w:tc>
          <w:tcPr>
            <w:tcW w:w="0" w:type="dxa"/>
            <w:vAlign w:val="bottom"/>
          </w:tcPr>
          <w:p>
            <w:pPr>
              <w:spacing w:after="0"/>
              <w:rPr>
                <w:sz w:val="1"/>
                <w:szCs w:val="1"/>
                <w:color w:val="auto"/>
              </w:rPr>
            </w:pPr>
          </w:p>
        </w:tc>
      </w:tr>
      <w:tr>
        <w:trPr>
          <w:trHeight w:val="149"/>
        </w:trPr>
        <w:tc>
          <w:tcPr>
            <w:tcW w:w="6240" w:type="dxa"/>
            <w:vAlign w:val="bottom"/>
          </w:tcPr>
          <w:p>
            <w:pPr>
              <w:ind w:left="20"/>
              <w:spacing w:after="0"/>
              <w:rPr>
                <w:sz w:val="20"/>
                <w:szCs w:val="20"/>
                <w:color w:val="auto"/>
              </w:rPr>
            </w:pPr>
            <w:r>
              <w:rPr>
                <w:rFonts w:ascii="Arial" w:cs="Arial" w:eastAsia="Arial" w:hAnsi="Arial"/>
                <w:sz w:val="11"/>
                <w:szCs w:val="11"/>
                <w:color w:val="auto"/>
              </w:rPr>
              <w:t>Medicare Supplement</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ind w:right="3"/>
              <w:spacing w:after="0"/>
              <w:rPr>
                <w:sz w:val="20"/>
                <w:szCs w:val="20"/>
                <w:color w:val="auto"/>
              </w:rPr>
            </w:pPr>
            <w:r>
              <w:rPr>
                <w:rFonts w:ascii="Arial" w:cs="Arial" w:eastAsia="Arial" w:hAnsi="Arial"/>
                <w:sz w:val="11"/>
                <w:szCs w:val="11"/>
                <w:color w:val="auto"/>
              </w:rPr>
              <w:t>856</w:t>
            </w:r>
          </w:p>
        </w:tc>
        <w:tc>
          <w:tcPr>
            <w:tcW w:w="80" w:type="dxa"/>
            <w:vAlign w:val="bottom"/>
          </w:tcPr>
          <w:p>
            <w:pPr>
              <w:spacing w:after="0"/>
              <w:rPr>
                <w:sz w:val="12"/>
                <w:szCs w:val="12"/>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849</w:t>
            </w:r>
          </w:p>
        </w:tc>
        <w:tc>
          <w:tcPr>
            <w:tcW w:w="80" w:type="dxa"/>
            <w:vAlign w:val="bottom"/>
          </w:tcPr>
          <w:p>
            <w:pPr>
              <w:spacing w:after="0"/>
              <w:rPr>
                <w:sz w:val="12"/>
                <w:szCs w:val="12"/>
                <w:color w:val="auto"/>
              </w:rPr>
            </w:pPr>
          </w:p>
        </w:tc>
        <w:tc>
          <w:tcPr>
            <w:tcW w:w="280" w:type="dxa"/>
            <w:vAlign w:val="bottom"/>
          </w:tcPr>
          <w:p>
            <w:pPr>
              <w:ind w:left="20"/>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936</w:t>
            </w:r>
          </w:p>
        </w:tc>
        <w:tc>
          <w:tcPr>
            <w:tcW w:w="100" w:type="dxa"/>
            <w:vAlign w:val="bottom"/>
            <w:tcBorders>
              <w:right w:val="single" w:sz="8" w:color="auto"/>
            </w:tcBorders>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911</w:t>
            </w:r>
          </w:p>
        </w:tc>
        <w:tc>
          <w:tcPr>
            <w:tcW w:w="0" w:type="dxa"/>
            <w:vAlign w:val="bottom"/>
          </w:tcPr>
          <w:p>
            <w:pPr>
              <w:spacing w:after="0"/>
              <w:rPr>
                <w:sz w:val="1"/>
                <w:szCs w:val="1"/>
                <w:color w:val="auto"/>
              </w:rPr>
            </w:pPr>
          </w:p>
        </w:tc>
      </w:tr>
      <w:tr>
        <w:trPr>
          <w:trHeight w:val="149"/>
        </w:trPr>
        <w:tc>
          <w:tcPr>
            <w:tcW w:w="6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Prescription Drug Plans</w:t>
            </w: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215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215</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213</w:t>
            </w: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194</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300"/>
        <w:spacing w:after="0" w:line="244" w:lineRule="auto"/>
        <w:rPr>
          <w:sz w:val="20"/>
          <w:szCs w:val="20"/>
          <w:color w:val="auto"/>
        </w:rPr>
      </w:pPr>
      <w:r>
        <w:rPr>
          <w:rFonts w:ascii="Arial" w:cs="Arial" w:eastAsia="Arial" w:hAnsi="Arial"/>
          <w:sz w:val="13"/>
          <w:szCs w:val="13"/>
          <w:color w:val="auto"/>
        </w:rPr>
        <w:t>LTV per Approved Submission for Medicare Advantage was $842 for the twelve months ended December 31, 2021, and $900 for the twelve months ended December 31, 2020. The decrease was primarily attributable to an increase in consumer shopping, resulting in lower persistency and an increased constraint added to the LTV for the three months ended December 31, 2021.</w:t>
      </w:r>
    </w:p>
    <w:p>
      <w:pPr>
        <w:spacing w:after="0" w:line="163" w:lineRule="exact"/>
        <w:rPr>
          <w:sz w:val="20"/>
          <w:szCs w:val="20"/>
          <w:color w:val="auto"/>
        </w:rPr>
      </w:pPr>
    </w:p>
    <w:p>
      <w:pPr>
        <w:ind w:right="280"/>
        <w:spacing w:after="0" w:line="244" w:lineRule="auto"/>
        <w:rPr>
          <w:sz w:val="20"/>
          <w:szCs w:val="20"/>
          <w:color w:val="auto"/>
        </w:rPr>
      </w:pPr>
      <w:r>
        <w:rPr>
          <w:rFonts w:ascii="Arial" w:cs="Arial" w:eastAsia="Arial" w:hAnsi="Arial"/>
          <w:sz w:val="13"/>
          <w:szCs w:val="13"/>
          <w:color w:val="auto"/>
        </w:rPr>
        <w:t>LTV per Approved Submission for Medicare Supplement was $856 for the twelve months ended December 31, 2021, and $849 for the twelve months ended December 31, 2020. The increase was primarily due to changes in carrier mix.</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LTV per Approved Submission for prescription drug plans were relatively unchanged for the twelve months ended December 31, 2021 and the twelve months ended December 31, 2020.</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IFP and Other Segments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Submitted Policies</w:t>
      </w:r>
    </w:p>
    <w:p>
      <w:pPr>
        <w:spacing w:after="0" w:line="181" w:lineRule="exact"/>
        <w:rPr>
          <w:sz w:val="20"/>
          <w:szCs w:val="20"/>
          <w:color w:val="auto"/>
        </w:rPr>
      </w:pPr>
    </w:p>
    <w:p>
      <w:pPr>
        <w:ind w:right="80"/>
        <w:spacing w:after="0" w:line="244" w:lineRule="auto"/>
        <w:rPr>
          <w:sz w:val="20"/>
          <w:szCs w:val="20"/>
          <w:color w:val="auto"/>
        </w:rPr>
      </w:pPr>
      <w:r>
        <w:rPr>
          <w:rFonts w:ascii="Arial" w:cs="Arial" w:eastAsia="Arial" w:hAnsi="Arial"/>
          <w:sz w:val="13"/>
          <w:szCs w:val="13"/>
          <w:color w:val="auto"/>
        </w:rPr>
        <w:t>Submitted Policies represent the number of completed applications that, with respect to each such application, the consumer has authorized us to submit to the carrier. The applicant may need to take additional actions, including providing subsequent information before the application is reviewed by the carrier.</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54</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57" w:name="page58"/>
    <w:bookmarkEnd w:id="57"/>
    <w:p>
      <w:pPr>
        <w:ind w:right="80"/>
        <w:spacing w:after="0" w:line="241" w:lineRule="auto"/>
        <w:rPr>
          <w:sz w:val="20"/>
          <w:szCs w:val="20"/>
          <w:color w:val="auto"/>
        </w:rPr>
      </w:pPr>
      <w:r>
        <w:rPr>
          <w:rFonts w:ascii="Arial" w:cs="Arial" w:eastAsia="Arial" w:hAnsi="Arial"/>
          <w:sz w:val="13"/>
          <w:szCs w:val="13"/>
          <w:color w:val="auto"/>
        </w:rPr>
        <w:t>Total Submitted Policies for the IFP and Other segments were 63,196 for the twelve months ended December 31, 2021, 120,674 for the twelve months ended December 31, 2020, 146,228 for the Successor 2019 Period, and 150,544 for the Predecessor 2019 Period. The decrease is due to a change in strategy to prioritize agents and marketing and advertising spend in the Medicare segments instead of the IFP and Other segments.</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Liquidity and Capital Resources</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Overview</w:t>
      </w:r>
    </w:p>
    <w:p>
      <w:pPr>
        <w:spacing w:after="0" w:line="181" w:lineRule="exact"/>
        <w:rPr>
          <w:sz w:val="20"/>
          <w:szCs w:val="20"/>
          <w:color w:val="auto"/>
        </w:rPr>
      </w:pPr>
    </w:p>
    <w:p>
      <w:pPr>
        <w:ind w:right="160"/>
        <w:spacing w:after="0" w:line="239" w:lineRule="auto"/>
        <w:rPr>
          <w:sz w:val="20"/>
          <w:szCs w:val="20"/>
          <w:color w:val="auto"/>
        </w:rPr>
      </w:pPr>
      <w:r>
        <w:rPr>
          <w:rFonts w:ascii="Arial" w:cs="Arial" w:eastAsia="Arial" w:hAnsi="Arial"/>
          <w:sz w:val="13"/>
          <w:szCs w:val="13"/>
          <w:color w:val="auto"/>
        </w:rPr>
        <w:t>Our liquidity needs primarily include working capital and debt service requirements. At December 31, 2021, cash and cash equivalents totaled $84.4 million. On July 17, 2020, we completed our IPO, which resulted in the issuance and sale of 43,500 shares of common stock at the IPO price of $21.00, and generating net proceeds of $852.4 million after deducting underwriting discounts and other offering costs. We believe that our current sources of liquidity, which include cash and cash equivalents and funds available under the Credit Facilities, as described further below, will be sufficient to meet our projected operating and debt service requirements for at least the next 12 months. Short-term liquidity needs will primarily be funded through the Revolving Credit Facilities, as described further below, if necessary. As of December 31, 2021, the Company had $155.0 million outstanding under the Revolving Credit Facilities and had a remaining capacity of $45.0 million. To the extent that our current liquidity is insufficient to fund future activities, we may need to raise additional funds, which may include the sale of equity securities or through debt financing arrangements. The incurrence of additional debt financing would result in debt service obligations, and any future instruments governing such debt could provide for operating and financing covenants that could restrict our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a summary of cash flows for the twelve months ended December 31, 2021, the twelve months ended December 31, 2020, the Successor 2019 Period, and the</w:t>
      </w:r>
    </w:p>
    <w:p>
      <w:pPr>
        <w:spacing w:after="0"/>
        <w:rPr>
          <w:sz w:val="20"/>
          <w:szCs w:val="20"/>
          <w:color w:val="auto"/>
        </w:rPr>
      </w:pPr>
      <w:r>
        <w:rPr>
          <w:rFonts w:ascii="Arial" w:cs="Arial" w:eastAsia="Arial" w:hAnsi="Arial"/>
          <w:sz w:val="13"/>
          <w:szCs w:val="13"/>
          <w:color w:val="auto"/>
        </w:rPr>
        <w:t>Predecessor 2019 Period: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1"/>
                <w:szCs w:val="11"/>
                <w:b w:val="1"/>
                <w:bCs w:val="1"/>
                <w:color w:val="auto"/>
              </w:rPr>
              <w:t>Successor</w:t>
            </w:r>
          </w:p>
        </w:tc>
        <w:tc>
          <w:tcPr>
            <w:tcW w:w="1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center"/>
              <w:ind w:right="83"/>
              <w:spacing w:after="0"/>
              <w:rPr>
                <w:sz w:val="20"/>
                <w:szCs w:val="20"/>
                <w:color w:val="auto"/>
              </w:rPr>
            </w:pPr>
            <w:r>
              <w:rPr>
                <w:rFonts w:ascii="Arial" w:cs="Arial" w:eastAsia="Arial" w:hAnsi="Arial"/>
                <w:sz w:val="11"/>
                <w:szCs w:val="11"/>
                <w:b w:val="1"/>
                <w:bCs w:val="1"/>
                <w:color w:val="auto"/>
              </w:rPr>
              <w:t>Predecessor</w:t>
            </w:r>
          </w:p>
        </w:tc>
        <w:tc>
          <w:tcPr>
            <w:tcW w:w="0" w:type="dxa"/>
            <w:vAlign w:val="bottom"/>
          </w:tcPr>
          <w:p>
            <w:pPr>
              <w:spacing w:after="0"/>
              <w:rPr>
                <w:sz w:val="1"/>
                <w:szCs w:val="1"/>
                <w:color w:val="auto"/>
              </w:rPr>
            </w:pPr>
          </w:p>
        </w:tc>
      </w:tr>
      <w:tr>
        <w:trPr>
          <w:trHeight w:val="107"/>
        </w:trPr>
        <w:tc>
          <w:tcPr>
            <w:tcW w:w="4460" w:type="dxa"/>
            <w:vAlign w:val="bottom"/>
            <w:vMerge w:val="restart"/>
          </w:tcPr>
          <w:p>
            <w:pPr>
              <w:ind w:left="20"/>
              <w:spacing w:after="0"/>
              <w:rPr>
                <w:sz w:val="20"/>
                <w:szCs w:val="20"/>
                <w:color w:val="auto"/>
              </w:rPr>
            </w:pPr>
            <w:r>
              <w:rPr>
                <w:rFonts w:ascii="Arial" w:cs="Arial" w:eastAsia="Arial" w:hAnsi="Arial"/>
                <w:sz w:val="11"/>
                <w:szCs w:val="11"/>
                <w:color w:val="auto"/>
              </w:rPr>
              <w:t>(in thousands)</w:t>
            </w:r>
          </w:p>
        </w:tc>
        <w:tc>
          <w:tcPr>
            <w:tcW w:w="80" w:type="dxa"/>
            <w:vAlign w:val="bottom"/>
          </w:tcPr>
          <w:p>
            <w:pPr>
              <w:spacing w:after="0"/>
              <w:rPr>
                <w:sz w:val="9"/>
                <w:szCs w:val="9"/>
                <w:color w:val="auto"/>
              </w:rPr>
            </w:pPr>
          </w:p>
        </w:tc>
        <w:tc>
          <w:tcPr>
            <w:tcW w:w="1640" w:type="dxa"/>
            <w:vAlign w:val="bottom"/>
            <w:gridSpan w:val="2"/>
          </w:tcPr>
          <w:p>
            <w:pPr>
              <w:ind w:left="20"/>
              <w:spacing w:after="0" w:line="107" w:lineRule="exact"/>
              <w:rPr>
                <w:sz w:val="20"/>
                <w:szCs w:val="20"/>
                <w:color w:val="auto"/>
              </w:rPr>
            </w:pPr>
            <w:r>
              <w:rPr>
                <w:rFonts w:ascii="Arial" w:cs="Arial" w:eastAsia="Arial" w:hAnsi="Arial"/>
                <w:sz w:val="11"/>
                <w:szCs w:val="11"/>
                <w:b w:val="1"/>
                <w:bCs w:val="1"/>
                <w:color w:val="auto"/>
              </w:rPr>
              <w:t>Twelve months ended Dec.</w:t>
            </w:r>
          </w:p>
        </w:tc>
        <w:tc>
          <w:tcPr>
            <w:tcW w:w="80" w:type="dxa"/>
            <w:vAlign w:val="bottom"/>
          </w:tcPr>
          <w:p>
            <w:pPr>
              <w:spacing w:after="0"/>
              <w:rPr>
                <w:sz w:val="9"/>
                <w:szCs w:val="9"/>
                <w:color w:val="auto"/>
              </w:rPr>
            </w:pPr>
          </w:p>
        </w:tc>
        <w:tc>
          <w:tcPr>
            <w:tcW w:w="1640" w:type="dxa"/>
            <w:vAlign w:val="bottom"/>
            <w:gridSpan w:val="2"/>
          </w:tcPr>
          <w:p>
            <w:pPr>
              <w:jc w:val="center"/>
              <w:ind w:right="160"/>
              <w:spacing w:after="0" w:line="107" w:lineRule="exact"/>
              <w:rPr>
                <w:sz w:val="20"/>
                <w:szCs w:val="20"/>
                <w:color w:val="auto"/>
              </w:rPr>
            </w:pPr>
            <w:r>
              <w:rPr>
                <w:rFonts w:ascii="Arial" w:cs="Arial" w:eastAsia="Arial" w:hAnsi="Arial"/>
                <w:sz w:val="11"/>
                <w:szCs w:val="11"/>
                <w:b w:val="1"/>
                <w:bCs w:val="1"/>
                <w:color w:val="auto"/>
              </w:rPr>
              <w:t>Twelve months ended Dec.</w:t>
            </w:r>
          </w:p>
        </w:tc>
        <w:tc>
          <w:tcPr>
            <w:tcW w:w="120" w:type="dxa"/>
            <w:vAlign w:val="bottom"/>
          </w:tcPr>
          <w:p>
            <w:pPr>
              <w:spacing w:after="0"/>
              <w:rPr>
                <w:sz w:val="9"/>
                <w:szCs w:val="9"/>
                <w:color w:val="auto"/>
              </w:rPr>
            </w:pPr>
          </w:p>
        </w:tc>
        <w:tc>
          <w:tcPr>
            <w:tcW w:w="1640" w:type="dxa"/>
            <w:vAlign w:val="bottom"/>
            <w:tcBorders>
              <w:right w:val="single" w:sz="8" w:color="auto"/>
            </w:tcBorders>
            <w:gridSpan w:val="2"/>
          </w:tcPr>
          <w:p>
            <w:pPr>
              <w:jc w:val="center"/>
              <w:ind w:right="220"/>
              <w:spacing w:after="0" w:line="107" w:lineRule="exact"/>
              <w:rPr>
                <w:sz w:val="20"/>
                <w:szCs w:val="20"/>
                <w:color w:val="auto"/>
              </w:rPr>
            </w:pPr>
            <w:r>
              <w:rPr>
                <w:rFonts w:ascii="Arial" w:cs="Arial" w:eastAsia="Arial" w:hAnsi="Arial"/>
                <w:sz w:val="11"/>
                <w:szCs w:val="11"/>
                <w:b w:val="1"/>
                <w:bCs w:val="1"/>
                <w:color w:val="auto"/>
              </w:rPr>
              <w:t>Period from Sep. 13, 2019</w:t>
            </w:r>
          </w:p>
        </w:tc>
        <w:tc>
          <w:tcPr>
            <w:tcW w:w="120" w:type="dxa"/>
            <w:vAlign w:val="bottom"/>
          </w:tcPr>
          <w:p>
            <w:pPr>
              <w:spacing w:after="0"/>
              <w:rPr>
                <w:sz w:val="9"/>
                <w:szCs w:val="9"/>
                <w:color w:val="auto"/>
              </w:rPr>
            </w:pPr>
          </w:p>
        </w:tc>
        <w:tc>
          <w:tcPr>
            <w:tcW w:w="1500" w:type="dxa"/>
            <w:vAlign w:val="bottom"/>
          </w:tcPr>
          <w:p>
            <w:pPr>
              <w:jc w:val="center"/>
              <w:ind w:right="63"/>
              <w:spacing w:after="0" w:line="107" w:lineRule="exact"/>
              <w:rPr>
                <w:sz w:val="20"/>
                <w:szCs w:val="20"/>
                <w:color w:val="auto"/>
              </w:rPr>
            </w:pPr>
            <w:r>
              <w:rPr>
                <w:rFonts w:ascii="Arial" w:cs="Arial" w:eastAsia="Arial" w:hAnsi="Arial"/>
                <w:sz w:val="11"/>
                <w:szCs w:val="11"/>
                <w:b w:val="1"/>
                <w:bCs w:val="1"/>
                <w:color w:val="auto"/>
              </w:rPr>
              <w:t>Period from Jan. 1, 2019</w:t>
            </w:r>
          </w:p>
        </w:tc>
        <w:tc>
          <w:tcPr>
            <w:tcW w:w="0" w:type="dxa"/>
            <w:vAlign w:val="bottom"/>
          </w:tcPr>
          <w:p>
            <w:pPr>
              <w:spacing w:after="0"/>
              <w:rPr>
                <w:sz w:val="1"/>
                <w:szCs w:val="1"/>
                <w:color w:val="auto"/>
              </w:rPr>
            </w:pPr>
          </w:p>
        </w:tc>
      </w:tr>
      <w:tr>
        <w:trPr>
          <w:trHeight w:val="138"/>
        </w:trPr>
        <w:tc>
          <w:tcPr>
            <w:tcW w:w="4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jc w:val="right"/>
              <w:ind w:right="543"/>
              <w:spacing w:after="0"/>
              <w:rPr>
                <w:sz w:val="20"/>
                <w:szCs w:val="20"/>
                <w:color w:val="auto"/>
              </w:rPr>
            </w:pPr>
            <w:r>
              <w:rPr>
                <w:rFonts w:ascii="Arial" w:cs="Arial" w:eastAsia="Arial" w:hAnsi="Arial"/>
                <w:sz w:val="11"/>
                <w:szCs w:val="11"/>
                <w:b w:val="1"/>
                <w:bCs w:val="1"/>
                <w:color w:val="auto"/>
              </w:rPr>
              <w:t>31, 2021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jc w:val="center"/>
              <w:ind w:right="23"/>
              <w:spacing w:after="0"/>
              <w:rPr>
                <w:sz w:val="20"/>
                <w:szCs w:val="20"/>
                <w:color w:val="auto"/>
              </w:rPr>
            </w:pPr>
            <w:r>
              <w:rPr>
                <w:rFonts w:ascii="Arial" w:cs="Arial" w:eastAsia="Arial" w:hAnsi="Arial"/>
                <w:sz w:val="11"/>
                <w:szCs w:val="11"/>
                <w:b w:val="1"/>
                <w:bCs w:val="1"/>
                <w:color w:val="auto"/>
              </w:rPr>
              <w:t>31, 2020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rPr>
              <w:t>through Dec. 31, 2019</w:t>
            </w:r>
          </w:p>
        </w:tc>
        <w:tc>
          <w:tcPr>
            <w:tcW w:w="120" w:type="dxa"/>
            <w:vAlign w:val="bottom"/>
          </w:tcPr>
          <w:p>
            <w:pPr>
              <w:spacing w:after="0"/>
              <w:rPr>
                <w:sz w:val="11"/>
                <w:szCs w:val="11"/>
                <w:color w:val="auto"/>
              </w:rPr>
            </w:pPr>
          </w:p>
        </w:tc>
        <w:tc>
          <w:tcPr>
            <w:tcW w:w="1500" w:type="dxa"/>
            <w:vAlign w:val="bottom"/>
          </w:tcPr>
          <w:p>
            <w:pPr>
              <w:jc w:val="center"/>
              <w:ind w:right="63"/>
              <w:spacing w:after="0"/>
              <w:rPr>
                <w:sz w:val="20"/>
                <w:szCs w:val="20"/>
                <w:color w:val="auto"/>
              </w:rPr>
            </w:pPr>
            <w:r>
              <w:rPr>
                <w:rFonts w:ascii="Arial" w:cs="Arial" w:eastAsia="Arial" w:hAnsi="Arial"/>
                <w:sz w:val="11"/>
                <w:szCs w:val="11"/>
                <w:b w:val="1"/>
                <w:bCs w:val="1"/>
                <w:color w:val="auto"/>
              </w:rPr>
              <w:t>through Sep. 12, 2019</w:t>
            </w:r>
          </w:p>
        </w:tc>
        <w:tc>
          <w:tcPr>
            <w:tcW w:w="0" w:type="dxa"/>
            <w:vAlign w:val="bottom"/>
          </w:tcPr>
          <w:p>
            <w:pPr>
              <w:spacing w:after="0"/>
              <w:rPr>
                <w:sz w:val="1"/>
                <w:szCs w:val="1"/>
                <w:color w:val="auto"/>
              </w:rPr>
            </w:pPr>
          </w:p>
        </w:tc>
      </w:tr>
      <w:tr>
        <w:trPr>
          <w:trHeight w:val="139"/>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cash provided by (used in) operating activities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(299,006)</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(114,217)</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(9,284)</w:t>
            </w:r>
          </w:p>
        </w:tc>
        <w:tc>
          <w:tcPr>
            <w:tcW w:w="100" w:type="dxa"/>
            <w:vAlign w:val="bottom"/>
            <w:tcBorders>
              <w:top w:val="single" w:sz="8" w:color="CCEEFF"/>
              <w:right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9,281</w:t>
            </w:r>
          </w:p>
        </w:tc>
        <w:tc>
          <w:tcPr>
            <w:tcW w:w="0" w:type="dxa"/>
            <w:vAlign w:val="bottom"/>
          </w:tcPr>
          <w:p>
            <w:pPr>
              <w:spacing w:after="0"/>
              <w:rPr>
                <w:sz w:val="1"/>
                <w:szCs w:val="1"/>
                <w:color w:val="auto"/>
              </w:rPr>
            </w:pPr>
          </w:p>
        </w:tc>
      </w:tr>
      <w:tr>
        <w:trPr>
          <w:trHeight w:val="149"/>
        </w:trPr>
        <w:tc>
          <w:tcPr>
            <w:tcW w:w="4460" w:type="dxa"/>
            <w:vAlign w:val="bottom"/>
          </w:tcPr>
          <w:p>
            <w:pPr>
              <w:ind w:left="20"/>
              <w:spacing w:after="0"/>
              <w:rPr>
                <w:sz w:val="20"/>
                <w:szCs w:val="20"/>
                <w:color w:val="auto"/>
              </w:rPr>
            </w:pPr>
            <w:r>
              <w:rPr>
                <w:rFonts w:ascii="Arial" w:cs="Arial" w:eastAsia="Arial" w:hAnsi="Arial"/>
                <w:sz w:val="11"/>
                <w:szCs w:val="11"/>
                <w:color w:val="auto"/>
              </w:rPr>
              <w:t>Net cash used in investing activities</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560" w:type="dxa"/>
            <w:vAlign w:val="bottom"/>
          </w:tcPr>
          <w:p>
            <w:pPr>
              <w:jc w:val="right"/>
              <w:spacing w:after="0"/>
              <w:rPr>
                <w:sz w:val="20"/>
                <w:szCs w:val="20"/>
                <w:color w:val="auto"/>
              </w:rPr>
            </w:pPr>
            <w:r>
              <w:rPr>
                <w:rFonts w:ascii="Arial" w:cs="Arial" w:eastAsia="Arial" w:hAnsi="Arial"/>
                <w:sz w:val="11"/>
                <w:szCs w:val="11"/>
                <w:color w:val="auto"/>
              </w:rPr>
              <w:t>(19,801)</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560" w:type="dxa"/>
            <w:vAlign w:val="bottom"/>
          </w:tcPr>
          <w:p>
            <w:pPr>
              <w:jc w:val="right"/>
              <w:spacing w:after="0"/>
              <w:rPr>
                <w:sz w:val="20"/>
                <w:szCs w:val="20"/>
                <w:color w:val="auto"/>
              </w:rPr>
            </w:pPr>
            <w:r>
              <w:rPr>
                <w:rFonts w:ascii="Arial" w:cs="Arial" w:eastAsia="Arial" w:hAnsi="Arial"/>
                <w:sz w:val="11"/>
                <w:szCs w:val="11"/>
                <w:color w:val="auto"/>
              </w:rPr>
              <w:t>(14,523)</w:t>
            </w:r>
          </w:p>
        </w:tc>
        <w:tc>
          <w:tcPr>
            <w:tcW w:w="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540" w:type="dxa"/>
            <w:vAlign w:val="bottom"/>
          </w:tcPr>
          <w:p>
            <w:pPr>
              <w:jc w:val="right"/>
              <w:spacing w:after="0"/>
              <w:rPr>
                <w:sz w:val="20"/>
                <w:szCs w:val="20"/>
                <w:color w:val="auto"/>
              </w:rPr>
            </w:pPr>
            <w:r>
              <w:rPr>
                <w:rFonts w:ascii="Arial" w:cs="Arial" w:eastAsia="Arial" w:hAnsi="Arial"/>
                <w:sz w:val="11"/>
                <w:szCs w:val="11"/>
                <w:color w:val="auto"/>
              </w:rPr>
              <w:t>(810,010)</w:t>
            </w:r>
          </w:p>
        </w:tc>
        <w:tc>
          <w:tcPr>
            <w:tcW w:w="100" w:type="dxa"/>
            <w:vAlign w:val="bottom"/>
            <w:tcBorders>
              <w:right w:val="single" w:sz="8" w:color="auto"/>
            </w:tcBorders>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500" w:type="dxa"/>
            <w:vAlign w:val="bottom"/>
          </w:tcPr>
          <w:p>
            <w:pPr>
              <w:jc w:val="right"/>
              <w:spacing w:after="0"/>
              <w:rPr>
                <w:sz w:val="20"/>
                <w:szCs w:val="20"/>
                <w:color w:val="auto"/>
              </w:rPr>
            </w:pPr>
            <w:r>
              <w:rPr>
                <w:rFonts w:ascii="Arial" w:cs="Arial" w:eastAsia="Arial" w:hAnsi="Arial"/>
                <w:sz w:val="11"/>
                <w:szCs w:val="11"/>
                <w:color w:val="auto"/>
              </w:rPr>
              <w:t>(5,597)</w:t>
            </w:r>
          </w:p>
        </w:tc>
        <w:tc>
          <w:tcPr>
            <w:tcW w:w="0" w:type="dxa"/>
            <w:vAlign w:val="bottom"/>
          </w:tcPr>
          <w:p>
            <w:pPr>
              <w:spacing w:after="0"/>
              <w:rPr>
                <w:sz w:val="1"/>
                <w:szCs w:val="1"/>
                <w:color w:val="auto"/>
              </w:rPr>
            </w:pPr>
          </w:p>
        </w:tc>
      </w:tr>
      <w:tr>
        <w:trPr>
          <w:trHeight w:val="149"/>
        </w:trPr>
        <w:tc>
          <w:tcPr>
            <w:tcW w:w="44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cash provided by (used in) financing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259,089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260,663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830,879</w:t>
            </w: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(3,449)</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Operating Activities</w:t>
      </w:r>
    </w:p>
    <w:p>
      <w:pPr>
        <w:spacing w:after="0" w:line="181" w:lineRule="exact"/>
        <w:rPr>
          <w:sz w:val="20"/>
          <w:szCs w:val="20"/>
          <w:color w:val="auto"/>
        </w:rPr>
      </w:pPr>
    </w:p>
    <w:p>
      <w:pPr>
        <w:jc w:val="both"/>
        <w:ind w:right="580"/>
        <w:spacing w:after="0" w:line="241" w:lineRule="auto"/>
        <w:rPr>
          <w:sz w:val="20"/>
          <w:szCs w:val="20"/>
          <w:color w:val="auto"/>
        </w:rPr>
      </w:pPr>
      <w:r>
        <w:rPr>
          <w:rFonts w:ascii="Arial" w:cs="Arial" w:eastAsia="Arial" w:hAnsi="Arial"/>
          <w:sz w:val="13"/>
          <w:szCs w:val="13"/>
          <w:color w:val="auto"/>
        </w:rPr>
        <w:t>Cash provided by (used in) operating activities primarily consists of net income (loss) adjusted for certain non-cash items including share-based compensation; depreciation and amortization; amortization of intangible assets; loss on extinguishment of debt; loss on sublease; change in the fair value of contingent consideration; goodwill impairment charges; noncash lease expense; amortization of debt discount and issuance costs and the effect of changes in working capital and other activities.</w:t>
      </w:r>
    </w:p>
    <w:p>
      <w:pPr>
        <w:spacing w:after="0" w:line="165" w:lineRule="exact"/>
        <w:rPr>
          <w:sz w:val="20"/>
          <w:szCs w:val="20"/>
          <w:color w:val="auto"/>
        </w:rPr>
      </w:pPr>
    </w:p>
    <w:p>
      <w:pPr>
        <w:ind w:right="60"/>
        <w:spacing w:after="0" w:line="244" w:lineRule="auto"/>
        <w:rPr>
          <w:sz w:val="20"/>
          <w:szCs w:val="20"/>
          <w:color w:val="auto"/>
        </w:rPr>
      </w:pPr>
      <w:r>
        <w:rPr>
          <w:rFonts w:ascii="Arial" w:cs="Arial" w:eastAsia="Arial" w:hAnsi="Arial"/>
          <w:sz w:val="13"/>
          <w:szCs w:val="13"/>
          <w:color w:val="auto"/>
        </w:rPr>
        <w:t>Collection of commissions receivable depends upon the timing of the receipt of commission payments. If there were to be a delay in receiving a commission payment from a carrier within a quarter, the operating cash flows for that quarter could be adversely impacted.</w:t>
      </w:r>
    </w:p>
    <w:p>
      <w:pPr>
        <w:spacing w:after="0" w:line="163"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A significant portion of marketing and advertising expense is driven by the number of qualified prospects required to generate the insurance applications submitted to carriers. Marketing and advertising costs are expensed and generally paid as incurred and since commission revenue is recognized upon approval of a submission but commission payments are paid to us over time, there are working capital requirements to fund the upfront cost of acquiring new policies.</w:t>
      </w:r>
    </w:p>
    <w:p>
      <w:pPr>
        <w:spacing w:after="0" w:line="165" w:lineRule="exact"/>
        <w:rPr>
          <w:sz w:val="20"/>
          <w:szCs w:val="20"/>
          <w:color w:val="auto"/>
        </w:rPr>
      </w:pPr>
    </w:p>
    <w:p>
      <w:pPr>
        <w:ind w:right="60"/>
        <w:spacing w:after="0" w:line="239" w:lineRule="auto"/>
        <w:rPr>
          <w:sz w:val="20"/>
          <w:szCs w:val="20"/>
          <w:color w:val="auto"/>
        </w:rPr>
      </w:pPr>
      <w:r>
        <w:rPr>
          <w:rFonts w:ascii="Arial" w:cs="Arial" w:eastAsia="Arial" w:hAnsi="Arial"/>
          <w:sz w:val="13"/>
          <w:szCs w:val="13"/>
          <w:color w:val="auto"/>
        </w:rPr>
        <w:t>Net cash used in operating activities was $299.0 million for the twelve months ended December 31, 2021, compared to $114.2 million for the twelve months ended December 31, 2020. The $184.8 million decrease is primarily driven by an increase in net loss of $437.0 million, an increase in commissions receivable of $25.5 million and a decrease in share-based compensation expense of $188.9 million, partially offset by an increase in goodwill impairment charges of $386.6 million, an increase in commissions payable of $9.9 million, an increase in accounts payable of $35.8 million, and other adjustments for non-cash items of $34.3 million. The increases in commissions receivable and commissions payable were each driven by increases in Medicare commissionable Approved Submissions.</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Investing Activities</w:t>
      </w:r>
    </w:p>
    <w:p>
      <w:pPr>
        <w:spacing w:after="0" w:line="181" w:lineRule="exact"/>
        <w:rPr>
          <w:sz w:val="20"/>
          <w:szCs w:val="20"/>
          <w:color w:val="auto"/>
        </w:rPr>
      </w:pPr>
    </w:p>
    <w:p>
      <w:pPr>
        <w:ind w:right="60"/>
        <w:spacing w:after="0" w:line="244" w:lineRule="auto"/>
        <w:rPr>
          <w:sz w:val="20"/>
          <w:szCs w:val="20"/>
          <w:color w:val="auto"/>
        </w:rPr>
      </w:pPr>
      <w:r>
        <w:rPr>
          <w:rFonts w:ascii="Arial" w:cs="Arial" w:eastAsia="Arial" w:hAnsi="Arial"/>
          <w:sz w:val="13"/>
          <w:szCs w:val="13"/>
          <w:color w:val="auto"/>
        </w:rPr>
        <w:t>Net cash used in investing activities increased to $19.8 million for the twelve months ended December 31, 2021, from $14.5 million for the twelve months ended December 31, 2020. The increase was primarily driven by an increase in capitalized internal-use software related to new technology, software, and systems and purchases of property and equipment.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55</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85" w:right="319" w:bottom="1440" w:gutter="0" w:footer="0" w:header="0"/>
        </w:sectPr>
      </w:pPr>
    </w:p>
    <w:bookmarkStart w:id="58" w:name="page59"/>
    <w:bookmarkEnd w:id="58"/>
    <w:p>
      <w:pPr>
        <w:spacing w:after="0"/>
        <w:rPr>
          <w:sz w:val="20"/>
          <w:szCs w:val="20"/>
          <w:color w:val="auto"/>
        </w:rPr>
      </w:pPr>
      <w:r>
        <w:rPr>
          <w:rFonts w:ascii="Arial" w:cs="Arial" w:eastAsia="Arial" w:hAnsi="Arial"/>
          <w:sz w:val="13"/>
          <w:szCs w:val="13"/>
          <w:i w:val="1"/>
          <w:iCs w:val="1"/>
          <w:color w:val="auto"/>
        </w:rPr>
        <w:t>Financing Activities</w:t>
      </w:r>
    </w:p>
    <w:p>
      <w:pPr>
        <w:spacing w:after="0" w:line="181" w:lineRule="exact"/>
        <w:rPr>
          <w:sz w:val="20"/>
          <w:szCs w:val="20"/>
          <w:color w:val="auto"/>
        </w:rPr>
      </w:pPr>
    </w:p>
    <w:p>
      <w:pPr>
        <w:ind w:right="120"/>
        <w:spacing w:after="0" w:line="239" w:lineRule="auto"/>
        <w:rPr>
          <w:sz w:val="20"/>
          <w:szCs w:val="20"/>
          <w:color w:val="auto"/>
        </w:rPr>
      </w:pPr>
      <w:r>
        <w:rPr>
          <w:rFonts w:ascii="Arial" w:cs="Arial" w:eastAsia="Arial" w:hAnsi="Arial"/>
          <w:sz w:val="13"/>
          <w:szCs w:val="13"/>
          <w:color w:val="auto"/>
        </w:rPr>
        <w:t>Net cash provided by financing activities was $259.1 million for the twelve months ended December 31, 2021, from $260.7 million for the twelve months ended December 31, 2020. During the twelve months ended December 31, 2020, the Company received proceeds from the issuance of Class A common stock sold in the IPO, net of offering costs, of $852.4 million. Of the $852.4 million of IPO proceeds, $508.3 million was used to purchase LLC Interests, $100.0 million was used to settle the Senior Preferred Earnout Units, and $96.2 million was used as partial consideration for the Blocker Merger. There were no such proceeds in 2021. This was partially offset by an increase in borrowings, net of repayments and call premium paid on debt extinguishment, of $147.0 million for the twelve months ended December 31, 2021.</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Term Loan Facilities</w:t>
      </w:r>
    </w:p>
    <w:p>
      <w:pPr>
        <w:spacing w:after="0" w:line="181" w:lineRule="exact"/>
        <w:rPr>
          <w:sz w:val="20"/>
          <w:szCs w:val="20"/>
          <w:color w:val="auto"/>
        </w:rPr>
      </w:pPr>
    </w:p>
    <w:p>
      <w:pPr>
        <w:ind w:right="100"/>
        <w:spacing w:after="0" w:line="241" w:lineRule="auto"/>
        <w:rPr>
          <w:sz w:val="20"/>
          <w:szCs w:val="20"/>
          <w:color w:val="auto"/>
        </w:rPr>
      </w:pPr>
      <w:r>
        <w:rPr>
          <w:rFonts w:ascii="Arial" w:cs="Arial" w:eastAsia="Arial" w:hAnsi="Arial"/>
          <w:sz w:val="13"/>
          <w:szCs w:val="13"/>
          <w:color w:val="auto"/>
        </w:rPr>
        <w:t>On September 13, 2019, in connection with the Acquisition, Norvax (the “Borrower”) entered into a first lien credit agreement (the “Credit Agreement”) which provided for a $300.0 million aggregate principal amount senior secured term loan facility (the “Initial Term Loan Facility”). During 2020, the Company entered into a series of amendments to the Credit Agreement to provide for, among other items as further described below, $117.0 million of incremental term loans (the “Incremental Term Loan Facility”).</w:t>
      </w:r>
    </w:p>
    <w:p>
      <w:pPr>
        <w:spacing w:after="0" w:line="165" w:lineRule="exact"/>
        <w:rPr>
          <w:sz w:val="20"/>
          <w:szCs w:val="20"/>
          <w:color w:val="auto"/>
        </w:rPr>
      </w:pPr>
    </w:p>
    <w:p>
      <w:pPr>
        <w:ind w:right="280"/>
        <w:spacing w:after="0" w:line="241" w:lineRule="auto"/>
        <w:rPr>
          <w:sz w:val="20"/>
          <w:szCs w:val="20"/>
          <w:color w:val="auto"/>
        </w:rPr>
      </w:pPr>
      <w:r>
        <w:rPr>
          <w:rFonts w:ascii="Arial" w:cs="Arial" w:eastAsia="Arial" w:hAnsi="Arial"/>
          <w:sz w:val="13"/>
          <w:szCs w:val="13"/>
          <w:color w:val="auto"/>
        </w:rPr>
        <w:t>On June 11, 2021, the Company entered into Amendment No. 5 to the Credit Agreement and Incremental Facility Agreement (“Amendment No. 5”). Amendment No. 5 creates a new class of incremental term loans (the “2021 Incremental Term Loans”) in an aggregate principal amount equal to $310.0 million, which was used to refinance $295.5 million of outstanding principal under the Initial Term Loan Facility, pay the related accrued interest and fund the prepayment premium.</w:t>
      </w:r>
    </w:p>
    <w:p>
      <w:pPr>
        <w:spacing w:after="0" w:line="70" w:lineRule="exact"/>
        <w:rPr>
          <w:sz w:val="20"/>
          <w:szCs w:val="20"/>
          <w:color w:val="auto"/>
        </w:rPr>
      </w:pPr>
    </w:p>
    <w:p>
      <w:pPr>
        <w:ind w:right="120"/>
        <w:spacing w:after="0" w:line="233" w:lineRule="auto"/>
        <w:rPr>
          <w:sz w:val="20"/>
          <w:szCs w:val="20"/>
          <w:color w:val="auto"/>
        </w:rPr>
      </w:pPr>
      <w:r>
        <w:rPr>
          <w:rFonts w:ascii="Arial" w:cs="Arial" w:eastAsia="Arial" w:hAnsi="Arial"/>
          <w:sz w:val="13"/>
          <w:szCs w:val="13"/>
          <w:color w:val="auto"/>
        </w:rPr>
        <w:t>On November 10, 2021, the Company entered into Amendment No. 6 to the Credit Agreement and Incremental Facility Agreement (“Amendment No. 6”). Amendment No. 6 provides $100.0 million of incremental term loans, or the “2021-2 Incremental Term Loans”.</w:t>
      </w:r>
    </w:p>
    <w:p>
      <w:pPr>
        <w:spacing w:after="0" w:line="166" w:lineRule="exact"/>
        <w:rPr>
          <w:sz w:val="20"/>
          <w:szCs w:val="20"/>
          <w:color w:val="auto"/>
        </w:rPr>
      </w:pPr>
    </w:p>
    <w:p>
      <w:pPr>
        <w:ind w:right="360"/>
        <w:spacing w:after="0" w:line="244" w:lineRule="auto"/>
        <w:rPr>
          <w:sz w:val="20"/>
          <w:szCs w:val="20"/>
          <w:color w:val="auto"/>
        </w:rPr>
      </w:pPr>
      <w:r>
        <w:rPr>
          <w:rFonts w:ascii="Arial" w:cs="Arial" w:eastAsia="Arial" w:hAnsi="Arial"/>
          <w:sz w:val="13"/>
          <w:szCs w:val="13"/>
          <w:color w:val="auto"/>
        </w:rPr>
        <w:t>The Company collectively refers to the Initial Term Loan Facility, the Incremental Term Loan Facility, the 2021 Incremental Term Loans, and the 2021-2 Incremental Term Loans as the “Term Loan Facilities”.</w:t>
      </w:r>
    </w:p>
    <w:p>
      <w:pPr>
        <w:spacing w:after="0" w:line="163"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color w:val="auto"/>
        </w:rPr>
        <w:t>As of December 31, 2021, the Company had a principal amount of $115.0 million, $308.4 million, and $100.0 million outstanding under the Incremental Term Loan Facility, the 2021 Incremental Term Loans, and the 2021-2 Incremental Term Loans,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Revolving Credit Facilities</w:t>
      </w:r>
    </w:p>
    <w:p>
      <w:pPr>
        <w:spacing w:after="0" w:line="181" w:lineRule="exact"/>
        <w:rPr>
          <w:sz w:val="20"/>
          <w:szCs w:val="20"/>
          <w:color w:val="auto"/>
        </w:rPr>
      </w:pPr>
    </w:p>
    <w:p>
      <w:pPr>
        <w:ind w:right="20"/>
        <w:spacing w:after="0" w:line="244" w:lineRule="auto"/>
        <w:rPr>
          <w:sz w:val="20"/>
          <w:szCs w:val="20"/>
          <w:color w:val="auto"/>
        </w:rPr>
      </w:pPr>
      <w:r>
        <w:rPr>
          <w:rFonts w:ascii="Arial" w:cs="Arial" w:eastAsia="Arial" w:hAnsi="Arial"/>
          <w:sz w:val="13"/>
          <w:szCs w:val="13"/>
          <w:color w:val="auto"/>
        </w:rPr>
        <w:t>The Credit Agreement provided for a $30.0 million aggregate principal amount senior secured revolving credit facility (the “Revolving Credit Facility”). During 2020, the Company entered into a series of amendments (Amendments No. 1 - 5) to the Credit Agreement to provide for $28.0 million of incremental revolving credit (the “Incremental Revolving Credit Facilities”).</w:t>
      </w:r>
    </w:p>
    <w:p>
      <w:pPr>
        <w:spacing w:after="0" w:line="163" w:lineRule="exact"/>
        <w:rPr>
          <w:sz w:val="20"/>
          <w:szCs w:val="20"/>
          <w:color w:val="auto"/>
        </w:rPr>
      </w:pPr>
    </w:p>
    <w:p>
      <w:pPr>
        <w:ind w:right="500"/>
        <w:spacing w:after="0" w:line="244" w:lineRule="auto"/>
        <w:rPr>
          <w:sz w:val="20"/>
          <w:szCs w:val="20"/>
          <w:color w:val="auto"/>
        </w:rPr>
      </w:pPr>
      <w:r>
        <w:rPr>
          <w:rFonts w:ascii="Arial" w:cs="Arial" w:eastAsia="Arial" w:hAnsi="Arial"/>
          <w:sz w:val="13"/>
          <w:szCs w:val="13"/>
          <w:color w:val="auto"/>
        </w:rPr>
        <w:t>On May 7, 2021, the Company entered into a fourth amendment to the Credit Agreement, which provided $142.0 million of incremental revolving credit (the “Incremental No. 4 Revolving Credit Facility”), for a total amount of $200.0 million.</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The Company collectively refers to the Revolving Credit Facility, the Incremental Revolving Credit Facilities, and the Incremental No. 4 Revolving Credit Facility as the “Revolving Credit Facilities”.</w:t>
      </w:r>
    </w:p>
    <w:p>
      <w:pPr>
        <w:spacing w:after="0" w:line="169" w:lineRule="exact"/>
        <w:rPr>
          <w:sz w:val="20"/>
          <w:szCs w:val="20"/>
          <w:color w:val="auto"/>
        </w:rPr>
      </w:pPr>
    </w:p>
    <w:p>
      <w:pPr>
        <w:ind w:right="480"/>
        <w:spacing w:after="0" w:line="244" w:lineRule="auto"/>
        <w:rPr>
          <w:sz w:val="20"/>
          <w:szCs w:val="20"/>
          <w:color w:val="auto"/>
        </w:rPr>
      </w:pPr>
      <w:r>
        <w:rPr>
          <w:rFonts w:ascii="Arial" w:cs="Arial" w:eastAsia="Arial" w:hAnsi="Arial"/>
          <w:sz w:val="13"/>
          <w:szCs w:val="13"/>
          <w:color w:val="auto"/>
        </w:rPr>
        <w:t>Amendment No. 5, as described above, also separates the Revolving Credit Facilities into two classes of revolving commitments consisting of Class A Revolving Commitments in the amount of $30.0 million and Class B Revolving Commitments in the amount of $170.0 million.</w:t>
      </w:r>
    </w:p>
    <w:p>
      <w:pPr>
        <w:spacing w:after="0" w:line="163" w:lineRule="exact"/>
        <w:rPr>
          <w:sz w:val="20"/>
          <w:szCs w:val="20"/>
          <w:color w:val="auto"/>
        </w:rPr>
      </w:pPr>
    </w:p>
    <w:p>
      <w:pPr>
        <w:ind w:right="180"/>
        <w:spacing w:after="0" w:line="244" w:lineRule="auto"/>
        <w:rPr>
          <w:sz w:val="20"/>
          <w:szCs w:val="20"/>
          <w:color w:val="auto"/>
        </w:rPr>
      </w:pPr>
      <w:r>
        <w:rPr>
          <w:rFonts w:ascii="Arial" w:cs="Arial" w:eastAsia="Arial" w:hAnsi="Arial"/>
          <w:sz w:val="13"/>
          <w:szCs w:val="13"/>
          <w:color w:val="auto"/>
        </w:rPr>
        <w:t>The Company had $23.2 million outstanding under the Class A Revolving Credit Facilities and $131.8 million outstanding under the Class B Revolving Credit Facilities as of December 31, 2021. The Revolving Credit Facilities have a remaining capacity of $45.0 million in the aggregate as of December 31, 2021.</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Covenants and Other Matters</w:t>
      </w:r>
    </w:p>
    <w:p>
      <w:pPr>
        <w:spacing w:after="0" w:line="181" w:lineRule="exact"/>
        <w:rPr>
          <w:sz w:val="20"/>
          <w:szCs w:val="20"/>
          <w:color w:val="auto"/>
        </w:rPr>
      </w:pPr>
    </w:p>
    <w:p>
      <w:pPr>
        <w:ind w:right="140"/>
        <w:spacing w:after="0"/>
        <w:rPr>
          <w:sz w:val="20"/>
          <w:szCs w:val="20"/>
          <w:color w:val="auto"/>
        </w:rPr>
      </w:pPr>
      <w:r>
        <w:rPr>
          <w:rFonts w:ascii="Arial" w:cs="Arial" w:eastAsia="Arial" w:hAnsi="Arial"/>
          <w:sz w:val="13"/>
          <w:szCs w:val="13"/>
          <w:color w:val="auto"/>
        </w:rPr>
        <w:t>The Credit Agreement contains a number of covenants that, among other things and subject to certain exceptions, restrict the Borrower’s and its restricted subsidiaries’ ability to incur indebtedness; incur certain liens; consolidate, merge or sell or otherwise dispose of assets; make investments, loans, advances, guarantees and acquisitions; pay dividends or make other distributions on equity interests, or redeem, repurchase or retire equity interests; enter into transactions with affiliates; alter the business conducted by the Company and subsidiaries; change their fiscal year; and amend or modify governing documents. In addition, the Credit Agreement contains financial and non-financial covenants.</w:t>
      </w:r>
    </w:p>
    <w:p>
      <w:pPr>
        <w:spacing w:after="0" w:line="166"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The Credit Agreement also contains certain customary representations and warranties and affirmative covenants, and certain reporting obligations. In addition, the lenders under the Credit Facilities will be permitted to accelerate all outstanding borrowings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56</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59" w:name="page60"/>
    <w:bookmarkEnd w:id="59"/>
    <w:p>
      <w:pPr>
        <w:jc w:val="both"/>
        <w:ind w:right="280"/>
        <w:spacing w:after="0" w:line="271" w:lineRule="auto"/>
        <w:rPr>
          <w:sz w:val="20"/>
          <w:szCs w:val="20"/>
          <w:color w:val="auto"/>
        </w:rPr>
      </w:pPr>
      <w:r>
        <w:rPr>
          <w:rFonts w:ascii="Arial" w:cs="Arial" w:eastAsia="Arial" w:hAnsi="Arial"/>
          <w:sz w:val="12"/>
          <w:szCs w:val="12"/>
          <w:color w:val="auto"/>
        </w:rPr>
        <w:t>and other obligations, terminate outstanding commitments and exercise other specified remedies upon the occurrence of certain events of default (subject to certain grace periods and exceptions), which include, among other things, payment defaults, breaches of representations and warranties, covenant defaults, certain cross-defaults and cross-accelerations to other indebtedness, certain events of bankruptcy and insolvency, certain judgments and changes of control. Subject to certain limited exceptions, substantially all of the Company’s assets are restricted from distribution.</w:t>
      </w:r>
    </w:p>
    <w:p>
      <w:pPr>
        <w:spacing w:after="0" w:line="148" w:lineRule="exact"/>
        <w:rPr>
          <w:sz w:val="20"/>
          <w:szCs w:val="20"/>
          <w:color w:val="auto"/>
        </w:rPr>
      </w:pPr>
    </w:p>
    <w:p>
      <w:pPr>
        <w:ind w:right="60"/>
        <w:spacing w:after="0" w:line="241" w:lineRule="auto"/>
        <w:rPr>
          <w:sz w:val="20"/>
          <w:szCs w:val="20"/>
          <w:color w:val="auto"/>
        </w:rPr>
      </w:pPr>
      <w:r>
        <w:rPr>
          <w:rFonts w:ascii="Arial" w:cs="Arial" w:eastAsia="Arial" w:hAnsi="Arial"/>
          <w:sz w:val="13"/>
          <w:szCs w:val="13"/>
          <w:color w:val="auto"/>
        </w:rPr>
        <w:t>On March 14, 2022, the Company amended its Credit Agreement. Among other terms, the interest rate for the 2021 Incremental Term Loans and the 2021-2 Incremental Term Loans was increased by 150 basis points. The Credit Agreement was amended to remove testing of the Net Leverage Ratio for the December 31, 2021 period and increase the maximum permitted Net Leverage Ratio for certain future reporting periods.</w:t>
      </w:r>
    </w:p>
    <w:p>
      <w:pPr>
        <w:spacing w:after="0" w:line="165" w:lineRule="exact"/>
        <w:rPr>
          <w:sz w:val="20"/>
          <w:szCs w:val="20"/>
          <w:color w:val="auto"/>
        </w:rPr>
      </w:pPr>
    </w:p>
    <w:p>
      <w:pPr>
        <w:ind w:right="460"/>
        <w:spacing w:after="0" w:line="284" w:lineRule="auto"/>
        <w:rPr>
          <w:sz w:val="20"/>
          <w:szCs w:val="20"/>
          <w:color w:val="auto"/>
        </w:rPr>
      </w:pPr>
      <w:r>
        <w:rPr>
          <w:rFonts w:ascii="Arial" w:cs="Arial" w:eastAsia="Arial" w:hAnsi="Arial"/>
          <w:sz w:val="12"/>
          <w:szCs w:val="12"/>
          <w:color w:val="auto"/>
        </w:rPr>
        <w:t>Our material contractual obligations generally include operating leases and capital leases, and long-term debt. Refer to Note 11, “Leases,” of the Notes to Consolidated Financial Statements for information about our leasing obligations. Refer to Note 5, “Long-Term Debt,” of the Notes to Consolidated Financial Statements for information about our long-term debt obligations.</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 Accounting Pronouncements</w:t>
      </w:r>
    </w:p>
    <w:p>
      <w:pPr>
        <w:spacing w:after="0" w:line="185" w:lineRule="exact"/>
        <w:rPr>
          <w:sz w:val="20"/>
          <w:szCs w:val="20"/>
          <w:color w:val="auto"/>
        </w:rPr>
      </w:pPr>
    </w:p>
    <w:p>
      <w:pPr>
        <w:ind w:right="280"/>
        <w:spacing w:after="0" w:line="244" w:lineRule="auto"/>
        <w:rPr>
          <w:sz w:val="20"/>
          <w:szCs w:val="20"/>
          <w:color w:val="auto"/>
        </w:rPr>
      </w:pPr>
      <w:r>
        <w:rPr>
          <w:rFonts w:ascii="Arial" w:cs="Arial" w:eastAsia="Arial" w:hAnsi="Arial"/>
          <w:sz w:val="13"/>
          <w:szCs w:val="13"/>
          <w:color w:val="auto"/>
        </w:rPr>
        <w:t>For a discussion of new accounting pronouncements recently adopted and not yet adopted, see Note 1, “Description of Business and Significant Accounting Policies,” to the Consolidated Financial Statements included elsewhere in this Annual Report on Form 10-K.</w:t>
      </w:r>
    </w:p>
    <w:p>
      <w:pPr>
        <w:spacing w:after="0" w:line="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Seasonality</w:t>
      </w:r>
    </w:p>
    <w:p>
      <w:pPr>
        <w:spacing w:after="0" w:line="100" w:lineRule="exact"/>
        <w:rPr>
          <w:sz w:val="20"/>
          <w:szCs w:val="20"/>
          <w:color w:val="auto"/>
        </w:rPr>
      </w:pPr>
    </w:p>
    <w:p>
      <w:pPr>
        <w:ind w:right="20"/>
        <w:spacing w:after="0" w:line="239" w:lineRule="auto"/>
        <w:rPr>
          <w:sz w:val="20"/>
          <w:szCs w:val="20"/>
          <w:color w:val="auto"/>
        </w:rPr>
      </w:pPr>
      <w:r>
        <w:rPr>
          <w:rFonts w:ascii="Arial" w:cs="Arial" w:eastAsia="Arial" w:hAnsi="Arial"/>
          <w:sz w:val="13"/>
          <w:szCs w:val="13"/>
          <w:color w:val="auto"/>
        </w:rPr>
        <w:t>The Medicare annual enrollment period occurs from October 15th to December 7th. As a result, we experience an increase in the number of submitted Medicare-related applications during the fourth quarter and an increase in expense related to the Medicare segments during the third and fourth quarters. Additionally, as a result of the annual Medicare Advantage open enrollment period that occurs from January 1st to March 31st, commission revenue is typically second-highest in our first quarter. The second and third quarters are known as special election periods, and are our seasonally smallest quarters. A significant portion of our marketing and advertising expenses is driven by the number of health insurance applications submitted through us. Marketing and advertising expenses are generally higher in the fourth quarter during the Medicare annual enrollment period, but because commissions from approved customers are paid to us over time, our operating cash flows could be adversely impacted by a substantial increase in marketing and advertising expenses as a result of a higher volume of applications submitted during the fourth quarter or positively impacted by a substantial decline in marketing and advertising expenses as a result of lower volume of applications submitted during the fourth quarter.</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185" w:lineRule="exact"/>
        <w:rPr>
          <w:sz w:val="20"/>
          <w:szCs w:val="20"/>
          <w:color w:val="auto"/>
        </w:rPr>
      </w:pPr>
    </w:p>
    <w:p>
      <w:pPr>
        <w:ind w:right="20"/>
        <w:spacing w:after="0" w:line="241" w:lineRule="auto"/>
        <w:rPr>
          <w:sz w:val="20"/>
          <w:szCs w:val="20"/>
          <w:color w:val="auto"/>
        </w:rPr>
      </w:pPr>
      <w:r>
        <w:rPr>
          <w:rFonts w:ascii="Arial" w:cs="Arial" w:eastAsia="Arial" w:hAnsi="Arial"/>
          <w:sz w:val="13"/>
          <w:szCs w:val="13"/>
          <w:color w:val="auto"/>
        </w:rPr>
        <w:t>The preparation of Consolidated Financial Statements in conformity with GAAP requires management to make estimates and assumptions that affect the reported amounts of revenues, expenses, assets, and liabilities and disclosure of contingent assets and liabilities in our financial statements. We regularly assess these estimates; however, actual amounts could differ from those estimates. The impact of changes in estimates is recorded in the period in which they become known.</w:t>
      </w:r>
    </w:p>
    <w:p>
      <w:pPr>
        <w:spacing w:after="0" w:line="165" w:lineRule="exact"/>
        <w:rPr>
          <w:sz w:val="20"/>
          <w:szCs w:val="20"/>
          <w:color w:val="auto"/>
        </w:rPr>
      </w:pPr>
    </w:p>
    <w:p>
      <w:pPr>
        <w:jc w:val="both"/>
        <w:ind w:right="80"/>
        <w:spacing w:after="0" w:line="241" w:lineRule="auto"/>
        <w:rPr>
          <w:sz w:val="20"/>
          <w:szCs w:val="20"/>
          <w:color w:val="auto"/>
        </w:rPr>
      </w:pPr>
      <w:r>
        <w:rPr>
          <w:rFonts w:ascii="Arial" w:cs="Arial" w:eastAsia="Arial" w:hAnsi="Arial"/>
          <w:sz w:val="13"/>
          <w:szCs w:val="13"/>
          <w:color w:val="auto"/>
        </w:rPr>
        <w:t>An accounting policy is considered to be critical if the nature of the estimates or assumptions is material due to the levels of subjectivity and judgment necessary to account for highly uncertain matters or the susceptibility of such matters to change, and the effect of the estimates and assumptions on financial condition or operating performance. The accounting policies we believe to reflect our more significant estimates, judgments and assumptions that are most critical to understanding and evaluating our reported financial results are:</w:t>
      </w:r>
    </w:p>
    <w:p>
      <w:pPr>
        <w:spacing w:after="0" w:line="165" w:lineRule="exact"/>
        <w:rPr>
          <w:sz w:val="20"/>
          <w:szCs w:val="20"/>
          <w:color w:val="auto"/>
        </w:rPr>
      </w:pPr>
    </w:p>
    <w:p>
      <w:pPr>
        <w:ind w:left="500" w:hanging="240"/>
        <w:spacing w:after="0"/>
        <w:tabs>
          <w:tab w:leader="none" w:pos="5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Revenue recognition and commissions receivable;</w:t>
      </w:r>
    </w:p>
    <w:p>
      <w:pPr>
        <w:spacing w:after="0" w:line="168" w:lineRule="exact"/>
        <w:rPr>
          <w:rFonts w:ascii="Arial" w:cs="Arial" w:eastAsia="Arial" w:hAnsi="Arial"/>
          <w:sz w:val="13"/>
          <w:szCs w:val="13"/>
          <w:color w:val="auto"/>
        </w:rPr>
      </w:pPr>
    </w:p>
    <w:p>
      <w:pPr>
        <w:ind w:left="500" w:hanging="240"/>
        <w:spacing w:after="0"/>
        <w:tabs>
          <w:tab w:leader="none" w:pos="5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Share-based compensation;</w:t>
      </w:r>
    </w:p>
    <w:p>
      <w:pPr>
        <w:spacing w:after="0" w:line="168" w:lineRule="exact"/>
        <w:rPr>
          <w:rFonts w:ascii="Arial" w:cs="Arial" w:eastAsia="Arial" w:hAnsi="Arial"/>
          <w:sz w:val="13"/>
          <w:szCs w:val="13"/>
          <w:color w:val="auto"/>
        </w:rPr>
      </w:pPr>
    </w:p>
    <w:p>
      <w:pPr>
        <w:ind w:left="500" w:hanging="240"/>
        <w:spacing w:after="0"/>
        <w:tabs>
          <w:tab w:leader="none" w:pos="5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Goodwill and intangible assets;</w:t>
      </w:r>
    </w:p>
    <w:p>
      <w:pPr>
        <w:spacing w:after="0" w:line="168" w:lineRule="exact"/>
        <w:rPr>
          <w:rFonts w:ascii="Arial" w:cs="Arial" w:eastAsia="Arial" w:hAnsi="Arial"/>
          <w:sz w:val="13"/>
          <w:szCs w:val="13"/>
          <w:color w:val="auto"/>
        </w:rPr>
      </w:pPr>
    </w:p>
    <w:p>
      <w:pPr>
        <w:ind w:left="500" w:hanging="240"/>
        <w:spacing w:after="0"/>
        <w:tabs>
          <w:tab w:leader="none" w:pos="5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Income taxes; and</w:t>
      </w:r>
    </w:p>
    <w:p>
      <w:pPr>
        <w:spacing w:after="0" w:line="168" w:lineRule="exact"/>
        <w:rPr>
          <w:rFonts w:ascii="Arial" w:cs="Arial" w:eastAsia="Arial" w:hAnsi="Arial"/>
          <w:sz w:val="13"/>
          <w:szCs w:val="13"/>
          <w:color w:val="auto"/>
        </w:rPr>
      </w:pPr>
    </w:p>
    <w:p>
      <w:pPr>
        <w:ind w:left="500" w:hanging="240"/>
        <w:spacing w:after="0"/>
        <w:tabs>
          <w:tab w:leader="none" w:pos="5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Liabilities pursuant to tax receivable agreements (“TRAs”).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Revenue Recognition and Commissions Receivable</w:t>
      </w:r>
    </w:p>
    <w:p>
      <w:pPr>
        <w:spacing w:after="0" w:line="169" w:lineRule="exact"/>
        <w:rPr>
          <w:sz w:val="20"/>
          <w:szCs w:val="20"/>
          <w:color w:val="auto"/>
        </w:rPr>
      </w:pPr>
    </w:p>
    <w:p>
      <w:pPr>
        <w:ind w:right="340"/>
        <w:spacing w:after="0" w:line="263" w:lineRule="auto"/>
        <w:rPr>
          <w:sz w:val="20"/>
          <w:szCs w:val="20"/>
          <w:color w:val="auto"/>
        </w:rPr>
      </w:pPr>
      <w:r>
        <w:rPr>
          <w:rFonts w:ascii="Arial" w:cs="Arial" w:eastAsia="Arial" w:hAnsi="Arial"/>
          <w:sz w:val="13"/>
          <w:szCs w:val="13"/>
          <w:color w:val="auto"/>
        </w:rPr>
        <w:t xml:space="preserve">In accordance with ASC 606, </w:t>
      </w:r>
      <w:r>
        <w:rPr>
          <w:rFonts w:ascii="Arial" w:cs="Arial" w:eastAsia="Arial" w:hAnsi="Arial"/>
          <w:sz w:val="13"/>
          <w:szCs w:val="13"/>
          <w:i w:val="1"/>
          <w:iCs w:val="1"/>
          <w:color w:val="auto"/>
        </w:rPr>
        <w:t>Revenue from Contracts with Customers</w:t>
      </w:r>
      <w:r>
        <w:rPr>
          <w:rFonts w:ascii="Arial" w:cs="Arial" w:eastAsia="Arial" w:hAnsi="Arial"/>
          <w:sz w:val="13"/>
          <w:szCs w:val="13"/>
          <w:color w:val="auto"/>
        </w:rPr>
        <w:t>, revenue is recognized when a customer obtains control of promised goods or services and is recognized in an amount that reflects the consideration that an entity expects to receive in exchange for those goods or services.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57</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85" w:right="319" w:bottom="1440" w:gutter="0" w:footer="0" w:header="0"/>
        </w:sectPr>
      </w:pPr>
    </w:p>
    <w:bookmarkStart w:id="60" w:name="page61"/>
    <w:bookmarkEnd w:id="60"/>
    <w:p>
      <w:pPr>
        <w:ind w:right="40"/>
        <w:spacing w:after="0" w:line="239" w:lineRule="auto"/>
        <w:rPr>
          <w:sz w:val="20"/>
          <w:szCs w:val="20"/>
          <w:color w:val="auto"/>
        </w:rPr>
      </w:pPr>
      <w:r>
        <w:rPr>
          <w:rFonts w:ascii="Arial" w:cs="Arial" w:eastAsia="Arial" w:hAnsi="Arial"/>
          <w:sz w:val="13"/>
          <w:szCs w:val="13"/>
          <w:color w:val="auto"/>
        </w:rPr>
        <w:t>Significant management judgments and estimates must be made in connection with determination of the revenue to be recognized in any accounting period. If we made different judgments or utilized different estimates for any period, material differences in the amount and timing of revenue recognized could result. The accounting estimates and judgments related to the recognition of revenue require us to make assumptions about numerous factors, such as the determination of performance obligations and determination of the transaction price. The estimate of renewal commissions are considered variable consideration in the transaction price and requires significant judgment including determining the number of periods in which a renewal will occur and the value of those renewal commissions to be received if renewed. We utilize the expected value approach to do this, incorporating a combination of historical lapse and premium increase data, available industry and carrier experience data, historical payment data by segment and carrier, as well as current forecast data to estimate forecasted renewal considerations, and then to constrain revenue recognized to the extent that it is probable that a significant reversal in the amount of cumulative revenue recognized will not occur. The uncertainty associated with the variable consideration is subsequently resolved when the policy renews, and any adjustments in variable consideration are recognized in the period incurred.</w:t>
      </w:r>
    </w:p>
    <w:p>
      <w:pPr>
        <w:spacing w:after="0" w:line="167" w:lineRule="exact"/>
        <w:rPr>
          <w:sz w:val="20"/>
          <w:szCs w:val="20"/>
          <w:color w:val="auto"/>
        </w:rPr>
      </w:pPr>
    </w:p>
    <w:p>
      <w:pPr>
        <w:ind w:right="80"/>
        <w:spacing w:after="0" w:line="244" w:lineRule="auto"/>
        <w:rPr>
          <w:sz w:val="20"/>
          <w:szCs w:val="20"/>
          <w:color w:val="auto"/>
        </w:rPr>
      </w:pPr>
      <w:r>
        <w:rPr>
          <w:rFonts w:ascii="Arial" w:cs="Arial" w:eastAsia="Arial" w:hAnsi="Arial"/>
          <w:sz w:val="13"/>
          <w:szCs w:val="13"/>
          <w:color w:val="auto"/>
        </w:rPr>
        <w:t>Commissions receivable includes the variable consideration for policies that may renew, and therefore, are subject to the same assumptions, judgments and estimates used when recognizing revenue as noted above.</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Share-Based Compensation</w:t>
      </w:r>
    </w:p>
    <w:p>
      <w:pPr>
        <w:spacing w:after="0" w:line="181"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We recognize compensation expense for all share-based awards, including Profit Units, restricted stock units (“RSUs”) and stock options, based on the estimated grant date fair value of awards. Share-based compensation expense for Time-Vesting Units, RSUs and stock options are recognized on a straight-line basis over the requisite service period, which is generally three to five years.</w:t>
      </w:r>
    </w:p>
    <w:p>
      <w:pPr>
        <w:spacing w:after="0" w:line="163" w:lineRule="exact"/>
        <w:rPr>
          <w:sz w:val="20"/>
          <w:szCs w:val="20"/>
          <w:color w:val="auto"/>
        </w:rPr>
      </w:pPr>
    </w:p>
    <w:p>
      <w:pPr>
        <w:ind w:right="80"/>
        <w:spacing w:after="0" w:line="239" w:lineRule="auto"/>
        <w:rPr>
          <w:sz w:val="20"/>
          <w:szCs w:val="20"/>
          <w:color w:val="auto"/>
        </w:rPr>
      </w:pPr>
      <w:r>
        <w:rPr>
          <w:rFonts w:ascii="Arial" w:cs="Arial" w:eastAsia="Arial" w:hAnsi="Arial"/>
          <w:sz w:val="13"/>
          <w:szCs w:val="13"/>
          <w:color w:val="auto"/>
        </w:rPr>
        <w:t>Effective September 13, 2019 and in conjunction with the Centerbridge Acquisition, the Company authorized the grants of non-voting Profit Units. Profit Units consist of both Time-Vesting Units and Performance-Vesting Units and their fair value is determined using a Monte Carlo simulation. Embedded in the simulation are several assumptions, including the expected life of the award based on estimates of the timing of a liquidity event, the expected dividend yield, the risk-free interest rate and the expected volatility. The Time-Vesting Units’ expense is recognized on a straight-line basis over a five year vesting period. The Performance-Vesting Units’ expense is recognized upon a liquidity event based on certain predetermined criteria. Upon completion of our IPO, the implied performance condition was satisfied, triggering an accelerated vesting and related compensation expense of $209.3 million in the third quarter of 2020.</w:t>
      </w:r>
    </w:p>
    <w:p>
      <w:pPr>
        <w:spacing w:after="0" w:line="168" w:lineRule="exact"/>
        <w:rPr>
          <w:sz w:val="20"/>
          <w:szCs w:val="20"/>
          <w:color w:val="auto"/>
        </w:rPr>
      </w:pPr>
    </w:p>
    <w:p>
      <w:pPr>
        <w:ind w:right="60"/>
        <w:spacing w:after="0" w:line="239" w:lineRule="auto"/>
        <w:rPr>
          <w:sz w:val="20"/>
          <w:szCs w:val="20"/>
          <w:color w:val="auto"/>
        </w:rPr>
      </w:pPr>
      <w:r>
        <w:rPr>
          <w:rFonts w:ascii="Arial" w:cs="Arial" w:eastAsia="Arial" w:hAnsi="Arial"/>
          <w:sz w:val="13"/>
          <w:szCs w:val="13"/>
          <w:color w:val="auto"/>
        </w:rPr>
        <w:t>We granted RSUs and stock options to employees and non-employee directors. The fair value of RSUs is determined based on the stock price on the date of grant. The fair value of stock options is calculated using a Black-Scholes-Merton pricing model. Embedded in the pricing model are several assumptions, including the expected life of the award, the expected dividend yield, the risk-free interest rate and the expected volatility. The assumptions we use represent management's best estimates. If factors change and different assumptions are used, our compensation expense for stock options could be materially different for future grants. Compensation expense is recognized on a straight-line basis over the requisite service period, which is generally four years for RSUs and three to four years for stock options. We recognize forfeitures as they occur.</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Goodwill and Intangible Assets</w:t>
      </w:r>
    </w:p>
    <w:p>
      <w:pPr>
        <w:spacing w:after="0" w:line="181" w:lineRule="exact"/>
        <w:rPr>
          <w:sz w:val="20"/>
          <w:szCs w:val="20"/>
          <w:color w:val="auto"/>
        </w:rPr>
      </w:pPr>
    </w:p>
    <w:p>
      <w:pPr>
        <w:ind w:right="20"/>
        <w:spacing w:after="0" w:line="241" w:lineRule="auto"/>
        <w:rPr>
          <w:sz w:val="20"/>
          <w:szCs w:val="20"/>
          <w:color w:val="auto"/>
        </w:rPr>
      </w:pPr>
      <w:r>
        <w:rPr>
          <w:rFonts w:ascii="Arial" w:cs="Arial" w:eastAsia="Arial" w:hAnsi="Arial"/>
          <w:sz w:val="13"/>
          <w:szCs w:val="13"/>
          <w:color w:val="auto"/>
        </w:rPr>
        <w:t>We allocate the fair value of purchase consideration to the tangible assets acquired, liabilities assumed, and intangible assets acquired based on their estimated fair values. The excess of the fair value of purchase consideration over the fair values of these identifiable assets and liabilities is recorded as goodwill and represents the future economic benefits arising from other assets acquired in a business combination that are not individually identified and separately recognized.</w:t>
      </w:r>
    </w:p>
    <w:p>
      <w:pPr>
        <w:spacing w:after="0" w:line="165" w:lineRule="exact"/>
        <w:rPr>
          <w:sz w:val="20"/>
          <w:szCs w:val="20"/>
          <w:color w:val="auto"/>
        </w:rPr>
      </w:pPr>
    </w:p>
    <w:p>
      <w:pPr>
        <w:ind w:right="60"/>
        <w:spacing w:after="0"/>
        <w:rPr>
          <w:sz w:val="20"/>
          <w:szCs w:val="20"/>
          <w:color w:val="auto"/>
        </w:rPr>
      </w:pPr>
      <w:r>
        <w:rPr>
          <w:rFonts w:ascii="Arial" w:cs="Arial" w:eastAsia="Arial" w:hAnsi="Arial"/>
          <w:sz w:val="13"/>
          <w:szCs w:val="13"/>
          <w:color w:val="auto"/>
        </w:rPr>
        <w:t>When determining the fair values of assets acquired and liabilities assumed, we make significant estimates and assumptions, especially with respect to intangible assets. Management's estimates of fair value are based upon assumptions believed to be reasonable, but which are inherently uncertain and unpredictable and, as a result, actual results may differ from estimates. Allocation of purchase consideration to identifiable assets and liabilities affects our amortization expense, as acquired definite-lived intangible assets are amortized over their useful lives, whereas any indefinite-lived intangible assets, as well as goodwill, are not amortized.</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color w:val="auto"/>
        </w:rPr>
        <w:t>We test goodwill for impairment on an annual basis in the fourth quarter of each year, on November 30th, or whenever events or changes in circumstances indicate that the goodwill may be impaired.</w:t>
      </w:r>
    </w:p>
    <w:p>
      <w:pPr>
        <w:spacing w:after="0" w:line="180"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Judgment in the assessment of qualitative factors of impairment include macroeconomic, industry and market conditions, cost considerations, our financial performance, events specific to our company, industry or reporting unit, and other relevant events. To the extent we determine that it is more likely than not that the fair value of a reporting unit is less than its carrying value, a quantitative test is then performed.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58</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85" w:right="319" w:bottom="1440" w:gutter="0" w:footer="0" w:header="0"/>
        </w:sectPr>
      </w:pPr>
    </w:p>
    <w:bookmarkStart w:id="61" w:name="page62"/>
    <w:bookmarkEnd w:id="61"/>
    <w:p>
      <w:pPr>
        <w:ind w:right="480"/>
        <w:spacing w:after="0" w:line="244" w:lineRule="auto"/>
        <w:rPr>
          <w:sz w:val="20"/>
          <w:szCs w:val="20"/>
          <w:color w:val="auto"/>
        </w:rPr>
      </w:pPr>
      <w:r>
        <w:rPr>
          <w:rFonts w:ascii="Arial" w:cs="Arial" w:eastAsia="Arial" w:hAnsi="Arial"/>
          <w:sz w:val="13"/>
          <w:szCs w:val="13"/>
          <w:color w:val="auto"/>
        </w:rPr>
        <w:t>Performing a quantitative impairment test for goodwill includes the determination of the fair value of a reporting unit, and involves significant estimates and assumptions. These level 3 fair value estimates and assumptions include, among others, cash flow projections and selecting an appropriate discount rate.</w:t>
      </w:r>
    </w:p>
    <w:p>
      <w:pPr>
        <w:spacing w:after="0" w:line="163" w:lineRule="exact"/>
        <w:rPr>
          <w:sz w:val="20"/>
          <w:szCs w:val="20"/>
          <w:color w:val="auto"/>
        </w:rPr>
      </w:pPr>
    </w:p>
    <w:p>
      <w:pPr>
        <w:ind w:right="120"/>
        <w:spacing w:after="0"/>
        <w:rPr>
          <w:sz w:val="20"/>
          <w:szCs w:val="20"/>
          <w:color w:val="auto"/>
        </w:rPr>
      </w:pPr>
      <w:r>
        <w:rPr>
          <w:rFonts w:ascii="Arial" w:cs="Arial" w:eastAsia="Arial" w:hAnsi="Arial"/>
          <w:sz w:val="13"/>
          <w:szCs w:val="13"/>
          <w:color w:val="auto"/>
        </w:rPr>
        <w:t>To estimate the fair value of the Medicare— Internal reporting unit, the Company relied on a combination of the income approach, utilizing the discounted cash flow method, and the market approach, utilizing the guideline company method, with a 75% weighting on the income approach and a 25% weighting on the market approach. To estimate the fair value of the Medicare— External reporting unit, the Company relied on the income approach, utilizing the discounted cash flow method. The Company considered but did not rely on the market approach for the Medicare— External reporting unit due to the lack of comparable companies.</w:t>
      </w:r>
    </w:p>
    <w:p>
      <w:pPr>
        <w:spacing w:after="0" w:line="166" w:lineRule="exact"/>
        <w:rPr>
          <w:sz w:val="20"/>
          <w:szCs w:val="20"/>
          <w:color w:val="auto"/>
        </w:rPr>
      </w:pPr>
    </w:p>
    <w:p>
      <w:pPr>
        <w:ind w:right="60"/>
        <w:spacing w:after="0" w:line="239" w:lineRule="auto"/>
        <w:rPr>
          <w:sz w:val="20"/>
          <w:szCs w:val="20"/>
          <w:color w:val="auto"/>
        </w:rPr>
      </w:pPr>
      <w:r>
        <w:rPr>
          <w:rFonts w:ascii="Arial" w:cs="Arial" w:eastAsia="Arial" w:hAnsi="Arial"/>
          <w:sz w:val="13"/>
          <w:szCs w:val="13"/>
          <w:color w:val="auto"/>
        </w:rPr>
        <w:t>In the income approach used to calculate the fair value of the reporting units, the Company utilized a discounted cash flow analysis, which involves estimating the expected after-tax cash flows that will be generated by the reporting unit and then discounting those cash flows to present value reflecting the relevant risks associated with the reporting unit and the time value of money. This approach requires the use of significant estimates and assumptions, including long-term projections of future cash flows, estimated revenues, operating margin, and discount rates reflecting the risk inherent in future cash flows for each reporting unit. In estimating future cash flows, the Company relied on internally generated forecasts for each reporting unit and assumed a long-term growth rate of 3%. The discounted cash flow analysis assumed a discount rate of 12.5% for the Medicare— Internal reporting unit and 17.0% for the Medicare— External reporting unit.</w:t>
      </w:r>
    </w:p>
    <w:p>
      <w:pPr>
        <w:spacing w:after="0" w:line="168" w:lineRule="exact"/>
        <w:rPr>
          <w:sz w:val="20"/>
          <w:szCs w:val="20"/>
          <w:color w:val="auto"/>
        </w:rPr>
      </w:pPr>
    </w:p>
    <w:p>
      <w:pPr>
        <w:ind w:right="160"/>
        <w:spacing w:after="0"/>
        <w:rPr>
          <w:sz w:val="20"/>
          <w:szCs w:val="20"/>
          <w:color w:val="auto"/>
        </w:rPr>
      </w:pPr>
      <w:r>
        <w:rPr>
          <w:rFonts w:ascii="Arial" w:cs="Arial" w:eastAsia="Arial" w:hAnsi="Arial"/>
          <w:sz w:val="13"/>
          <w:szCs w:val="13"/>
          <w:color w:val="auto"/>
        </w:rPr>
        <w:t>The guideline company method under the market approach, which was utilized for the Medicare— Internal reporting unit, involves calculating valuation multiples based on revenues and operating margins from guideline publicly traded companies. Multiples derived from guideline companies provide an indication of how much a knowledgeable investor in the marketplace would be willing to pay for a company. These multiples are evaluated and adjusted based on specific characteristics of the reporting unit relative to the selected guideline companies and applied to the reporting unit’s operating data to arrive at an indication of value.</w:t>
      </w:r>
    </w:p>
    <w:p>
      <w:pPr>
        <w:spacing w:after="0" w:line="166" w:lineRule="exact"/>
        <w:rPr>
          <w:sz w:val="20"/>
          <w:szCs w:val="20"/>
          <w:color w:val="auto"/>
        </w:rPr>
      </w:pPr>
    </w:p>
    <w:p>
      <w:pPr>
        <w:ind w:right="220"/>
        <w:spacing w:after="0" w:line="241" w:lineRule="auto"/>
        <w:rPr>
          <w:sz w:val="20"/>
          <w:szCs w:val="20"/>
          <w:color w:val="auto"/>
        </w:rPr>
      </w:pPr>
      <w:r>
        <w:rPr>
          <w:rFonts w:ascii="Arial" w:cs="Arial" w:eastAsia="Arial" w:hAnsi="Arial"/>
          <w:sz w:val="13"/>
          <w:szCs w:val="13"/>
          <w:color w:val="auto"/>
        </w:rPr>
        <w:t>Determining the fair value of a reporting unit requires the Company to make significant judgments, estimates and assumptions. While the Company believes that the estimates and assumptions underlying the valuation methodologies are reasonable, these estimates and assumptions could have a significant impact on whether or not a goodwill impairment charge is recognized and also the magnitude of any such charge.</w:t>
      </w:r>
    </w:p>
    <w:p>
      <w:pPr>
        <w:spacing w:after="0" w:line="165" w:lineRule="exact"/>
        <w:rPr>
          <w:sz w:val="20"/>
          <w:szCs w:val="20"/>
          <w:color w:val="auto"/>
        </w:rPr>
      </w:pPr>
    </w:p>
    <w:p>
      <w:pPr>
        <w:ind w:right="60"/>
        <w:spacing w:after="0" w:line="241" w:lineRule="auto"/>
        <w:rPr>
          <w:sz w:val="20"/>
          <w:szCs w:val="20"/>
          <w:color w:val="auto"/>
        </w:rPr>
      </w:pPr>
      <w:r>
        <w:rPr>
          <w:rFonts w:ascii="Arial" w:cs="Arial" w:eastAsia="Arial" w:hAnsi="Arial"/>
          <w:sz w:val="13"/>
          <w:szCs w:val="13"/>
          <w:color w:val="auto"/>
        </w:rPr>
        <w:t>As a result of the annual goodwill impairment test conducted as of November 30, 2021, during the fourth quarter of 2021 the Company recognized goodwill impairment charges of $386.6 million, within "Goodwill impairment charges" in the Consolidated Statement of Operations. See Note 4 "Goodwill and Intangibles Assets" for further discussion over the goodwill impairment charges. There was no impairment of goodwill for the twelve months ended December 31, 2020 and the Successor 2019 period.</w:t>
      </w:r>
    </w:p>
    <w:p>
      <w:pPr>
        <w:spacing w:after="0" w:line="165" w:lineRule="exact"/>
        <w:rPr>
          <w:sz w:val="20"/>
          <w:szCs w:val="20"/>
          <w:color w:val="auto"/>
        </w:rPr>
      </w:pPr>
    </w:p>
    <w:p>
      <w:pPr>
        <w:ind w:right="200"/>
        <w:spacing w:after="0" w:line="241" w:lineRule="auto"/>
        <w:rPr>
          <w:sz w:val="20"/>
          <w:szCs w:val="20"/>
          <w:color w:val="auto"/>
        </w:rPr>
      </w:pPr>
      <w:r>
        <w:rPr>
          <w:rFonts w:ascii="Arial" w:cs="Arial" w:eastAsia="Arial" w:hAnsi="Arial"/>
          <w:sz w:val="13"/>
          <w:szCs w:val="13"/>
          <w:color w:val="auto"/>
        </w:rPr>
        <w:t>Indefinite-lived intangible assets are tested for impairment on November 30th of each year or whenever events or changes in circumstances indicate that an impairment may exist. If the carrying amount of an indefinite-lived intangible asset exceeds its fair value, an impairment loss is recognized in an amount equal to that excess. Determination of fair value involves significant estimates and assumptions including, among others, cash flow projections and selecting appropriate royalty and discount rates.</w:t>
      </w:r>
    </w:p>
    <w:p>
      <w:pPr>
        <w:spacing w:after="0" w:line="165" w:lineRule="exact"/>
        <w:rPr>
          <w:sz w:val="20"/>
          <w:szCs w:val="20"/>
          <w:color w:val="auto"/>
        </w:rPr>
      </w:pPr>
    </w:p>
    <w:p>
      <w:pPr>
        <w:ind w:right="220"/>
        <w:spacing w:after="0" w:line="241" w:lineRule="auto"/>
        <w:rPr>
          <w:sz w:val="20"/>
          <w:szCs w:val="20"/>
          <w:color w:val="auto"/>
        </w:rPr>
      </w:pPr>
      <w:r>
        <w:rPr>
          <w:rFonts w:ascii="Arial" w:cs="Arial" w:eastAsia="Arial" w:hAnsi="Arial"/>
          <w:sz w:val="13"/>
          <w:szCs w:val="13"/>
          <w:color w:val="auto"/>
        </w:rPr>
        <w:t>Intangible assets subject to amortization are also evaluated for impairment when indicators of impairment are determined to exist. Recoverability of these assets is measured by a comparison of the carrying amounts to the future undiscounted cash flows the assets are expected to generate from their use and eventual disposition. If such review indicates that the carrying amount of intangible assets is not recoverable, the carrying amount of such assets is reduced to fair value.</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During the periods presented in this Annual Report on Form 10-K, no impairment has been recognized for either indefinite-lived or definite-lived intangible assets.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Income Taxes</w:t>
      </w:r>
    </w:p>
    <w:p>
      <w:pPr>
        <w:spacing w:after="0" w:line="181" w:lineRule="exact"/>
        <w:rPr>
          <w:sz w:val="20"/>
          <w:szCs w:val="20"/>
          <w:color w:val="auto"/>
        </w:rPr>
      </w:pPr>
    </w:p>
    <w:p>
      <w:pPr>
        <w:jc w:val="both"/>
        <w:ind w:right="160"/>
        <w:spacing w:after="0" w:line="241" w:lineRule="auto"/>
        <w:rPr>
          <w:sz w:val="20"/>
          <w:szCs w:val="20"/>
          <w:color w:val="auto"/>
        </w:rPr>
      </w:pPr>
      <w:r>
        <w:rPr>
          <w:rFonts w:ascii="Arial" w:cs="Arial" w:eastAsia="Arial" w:hAnsi="Arial"/>
          <w:sz w:val="13"/>
          <w:szCs w:val="13"/>
          <w:color w:val="auto"/>
        </w:rPr>
        <w:t>We account for income taxes using an asset and liability approach. Deferred income tax assets and liabilities result from temporary differences between the tax basis of assets and liabilities and their reported amounts in the Consolidated Financial Statements that will result in taxable or deductible amounts in future years. Valuation allowances are provided when necessary to reduce deferred tax assets to the amount expected to be realized.</w:t>
      </w:r>
    </w:p>
    <w:p>
      <w:pPr>
        <w:spacing w:after="0" w:line="165" w:lineRule="exact"/>
        <w:rPr>
          <w:sz w:val="20"/>
          <w:szCs w:val="20"/>
          <w:color w:val="auto"/>
        </w:rPr>
      </w:pPr>
    </w:p>
    <w:p>
      <w:pPr>
        <w:ind w:right="200"/>
        <w:spacing w:after="0"/>
        <w:rPr>
          <w:sz w:val="20"/>
          <w:szCs w:val="20"/>
          <w:color w:val="auto"/>
        </w:rPr>
      </w:pPr>
      <w:r>
        <w:rPr>
          <w:rFonts w:ascii="Arial" w:cs="Arial" w:eastAsia="Arial" w:hAnsi="Arial"/>
          <w:sz w:val="13"/>
          <w:szCs w:val="13"/>
          <w:color w:val="auto"/>
        </w:rPr>
        <w:t>The determination of our provision for income taxes requires management’s judgment in the use of estimates and the interpretation and application of complex tax laws. Judgment is also required in assessing the timing and amounts of deductible and taxable items. We establish liabilities for material, known tax exposures relating to deductions, transactions and other matters involving some uncertainty as to the proper tax treatment of the item. Our liabilities reflect our judgment as to the resolution of the issues involved if subject to judicial review. When facts and circumstances change (including a resolution of an issue or statute of limitations expiration), these liabilities are adjusted through the provision for income taxes in the period of change.</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59</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85" w:right="319" w:bottom="1440" w:gutter="0" w:footer="0" w:header="0"/>
        </w:sectPr>
      </w:pPr>
    </w:p>
    <w:bookmarkStart w:id="62" w:name="page63"/>
    <w:bookmarkEnd w:id="62"/>
    <w:p>
      <w:pPr>
        <w:spacing w:after="0"/>
        <w:rPr>
          <w:sz w:val="20"/>
          <w:szCs w:val="20"/>
          <w:color w:val="auto"/>
        </w:rPr>
      </w:pPr>
      <w:r>
        <w:rPr>
          <w:rFonts w:ascii="Arial" w:cs="Arial" w:eastAsia="Arial" w:hAnsi="Arial"/>
          <w:sz w:val="13"/>
          <w:szCs w:val="13"/>
          <w:i w:val="1"/>
          <w:iCs w:val="1"/>
          <w:color w:val="auto"/>
        </w:rPr>
        <w:t>Liabilities Pursuant to TRAs</w:t>
      </w:r>
    </w:p>
    <w:p>
      <w:pPr>
        <w:spacing w:after="0" w:line="181"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In connection with the IPO, the Company entered into the Tax Receivable Agreement with GHH, LLC, the Continuing Equity Owners and the Blocker Shareholders that will provide for the payment by the Company to the Continuing Equity Owners and the Blocker Shareholders of 85% of the amount of tax benefits, if any, that the Company actually realizes (or in some circumstances is deemed to realize) as a result of (1) the Company’s allocable share of existing tax basis acquired in connection with the Transactions (including the Blocker Company’s share of existing tax basis) and increases to such allocable share of existing tax basis; (2) increases in tax basis resulting from (a) the Company’s purchase of LLC Interests directly from GHH, LLC and the partial redemption of LLC Interests by GHH, LLC, (b) future redemptions or exchanges (or deemed exchanges in certain circumstances) of LLC Interests for Class A common stock or cash, and (c) certain distributions (or deemed distributions) by GHH, LLC; and (3) certain additional tax benefits arising from payments made under the Tax Receivable Agreement. The Company may benefit from the remaining 15% of any tax benefits that the Company actually realizes.</w:t>
      </w:r>
    </w:p>
    <w:p>
      <w:pPr>
        <w:spacing w:after="0" w:line="167" w:lineRule="exact"/>
        <w:rPr>
          <w:sz w:val="20"/>
          <w:szCs w:val="20"/>
          <w:color w:val="auto"/>
        </w:rPr>
      </w:pPr>
    </w:p>
    <w:p>
      <w:pPr>
        <w:ind w:right="60"/>
        <w:spacing w:after="0" w:line="239" w:lineRule="auto"/>
        <w:rPr>
          <w:sz w:val="20"/>
          <w:szCs w:val="20"/>
          <w:color w:val="auto"/>
        </w:rPr>
      </w:pPr>
      <w:r>
        <w:rPr>
          <w:rFonts w:ascii="Arial" w:cs="Arial" w:eastAsia="Arial" w:hAnsi="Arial"/>
          <w:sz w:val="13"/>
          <w:szCs w:val="13"/>
          <w:color w:val="auto"/>
        </w:rPr>
        <w:t>The amounts payable under the Tax Receivable Agreement will vary depending upon a number of factors, including the amount, character, and timing of the taxable income of the Company in the future. In projecting future taxable income, the Company considers its historical results and incorporates certain assumptions, including revenue growth and operating margins, among others. The projection of future taxable income involves judgement and actual taxable income may differ from our estimates, which could impact the timing of payments under the Tax Receivable Agreement. If the Company determines that it will not be able to fully utilize all or part of the related tax benefits, the Company would reduce the portion of the Tax Receivable Agreement liability related to the tax benefits not expected to be utilized through earnings at that time.</w:t>
      </w:r>
    </w:p>
    <w:p>
      <w:pPr>
        <w:spacing w:after="0" w:line="168" w:lineRule="exact"/>
        <w:rPr>
          <w:sz w:val="20"/>
          <w:szCs w:val="20"/>
          <w:color w:val="auto"/>
        </w:rPr>
      </w:pPr>
    </w:p>
    <w:p>
      <w:pPr>
        <w:ind w:right="200"/>
        <w:spacing w:after="0" w:line="244" w:lineRule="auto"/>
        <w:rPr>
          <w:sz w:val="20"/>
          <w:szCs w:val="20"/>
          <w:color w:val="auto"/>
        </w:rPr>
      </w:pPr>
      <w:r>
        <w:rPr>
          <w:rFonts w:ascii="Arial" w:cs="Arial" w:eastAsia="Arial" w:hAnsi="Arial"/>
          <w:sz w:val="13"/>
          <w:szCs w:val="13"/>
          <w:color w:val="auto"/>
        </w:rPr>
        <w:t>As of December 31, 2021, the Company has determined there is no resulting liability related to the Tax Receivable Agreement arising from the Transactions. Should the Company determine that the Tax Receivable Agreement liability is considered probable at a future date based on new information, any changes will be recorded within earnings at that time.</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color w:val="0A2299"/>
        </w:rPr>
        <w:t>ITEM 7A. QUANTITATIVE AND QUALITATIVE DISCLOSURES ABOUT MARKET RISK</w:t>
      </w:r>
    </w:p>
    <w:p>
      <w:pPr>
        <w:spacing w:after="0" w:line="185" w:lineRule="exact"/>
        <w:rPr>
          <w:sz w:val="20"/>
          <w:szCs w:val="20"/>
          <w:color w:val="auto"/>
        </w:rPr>
      </w:pPr>
    </w:p>
    <w:p>
      <w:pPr>
        <w:ind w:right="20"/>
        <w:spacing w:after="0" w:line="239" w:lineRule="auto"/>
        <w:rPr>
          <w:sz w:val="20"/>
          <w:szCs w:val="20"/>
          <w:color w:val="auto"/>
        </w:rPr>
      </w:pPr>
      <w:r>
        <w:rPr>
          <w:rFonts w:ascii="Arial" w:cs="Arial" w:eastAsia="Arial" w:hAnsi="Arial"/>
          <w:sz w:val="13"/>
          <w:szCs w:val="13"/>
          <w:color w:val="auto"/>
        </w:rPr>
        <w:t>In the normal course of business, we are subject to market risks. Market risk represents the risk of loss that may impact our financial position due to adverse changes in financial market prices and rates. Financial instruments that are exposed to concentrations of credit risk primarily consist of accounts and commissions receivable. We do not require collateral or other security for receivables, but believe the potential for collection issues with any customers was minimal as of December 31, 2021, based on the lack of collection issues in the past and the high financial standards we require of customers. As of December 31, 2021, three customers each represented 10% or more of our total accounts receivable and unbilled receivables and, in aggregate, represented 87%, or $28.7 million, of the combined total. As of December 31, 2020, four customers each represented 10% or more of our total accounts receivable and unbilled receivables and, in aggregate, represented 86%, or $23.2 million, of the combined total. No other customers represented 10% or more of our total accounts receivable at December 31, 2021 and 2020.</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Interest Rate Risk</w:t>
      </w:r>
    </w:p>
    <w:p>
      <w:pPr>
        <w:spacing w:after="0" w:line="185" w:lineRule="exact"/>
        <w:rPr>
          <w:sz w:val="20"/>
          <w:szCs w:val="20"/>
          <w:color w:val="auto"/>
        </w:rPr>
      </w:pPr>
    </w:p>
    <w:p>
      <w:pPr>
        <w:ind w:right="120"/>
        <w:spacing w:after="0" w:line="244" w:lineRule="auto"/>
        <w:rPr>
          <w:sz w:val="20"/>
          <w:szCs w:val="20"/>
          <w:color w:val="auto"/>
        </w:rPr>
      </w:pPr>
      <w:r>
        <w:rPr>
          <w:rFonts w:ascii="Arial" w:cs="Arial" w:eastAsia="Arial" w:hAnsi="Arial"/>
          <w:sz w:val="13"/>
          <w:szCs w:val="13"/>
          <w:color w:val="auto"/>
        </w:rPr>
        <w:t>As of December 31, 2021, we had cash of $84.4 million deposited in non-interest bearing accounts with major banks with limited to no-interest rate risk. We do not enter into investments for trading or speculative purposes and have not used any derivative financial instruments to manage interest rate risk exposure.</w:t>
      </w:r>
    </w:p>
    <w:p>
      <w:pPr>
        <w:spacing w:after="0" w:line="163" w:lineRule="exact"/>
        <w:rPr>
          <w:sz w:val="20"/>
          <w:szCs w:val="20"/>
          <w:color w:val="auto"/>
        </w:rPr>
      </w:pPr>
    </w:p>
    <w:p>
      <w:pPr>
        <w:ind w:right="140"/>
        <w:spacing w:after="0" w:line="239" w:lineRule="auto"/>
        <w:rPr>
          <w:sz w:val="20"/>
          <w:szCs w:val="20"/>
          <w:color w:val="auto"/>
        </w:rPr>
      </w:pPr>
      <w:r>
        <w:rPr>
          <w:rFonts w:ascii="Arial" w:cs="Arial" w:eastAsia="Arial" w:hAnsi="Arial"/>
          <w:sz w:val="13"/>
          <w:szCs w:val="13"/>
          <w:color w:val="auto"/>
        </w:rPr>
        <w:t>We have exposure to changes in interest rates associated with borrowings under our Credit Facilities, which have variable interest rates tied either to LIBOR or an alternate base rate (“ABR”), at our option. At December 31, 2021, we had variable rate borrowings outstanding under our Term Loans and Revolving Credit Facilities of $678.4 million, carrying a weighted-average effective interest rate of 6.1%. A hypothetical 100 basis point change in the interest rate would have had a $4.7 million effect on our income (loss) before income taxes. At December 31, 2020, we had variable rate borrowings outstanding under our Credit Facilities of $412.4 million, carrying a weighted-average effective interest rate of 7.5%. A hypothetical 100 basis point change in the interest rate would have had a $3.9 million effect on our income (loss) before income taxes</w:t>
      </w:r>
    </w:p>
    <w:p>
      <w:pPr>
        <w:spacing w:after="0" w:line="168" w:lineRule="exact"/>
        <w:rPr>
          <w:sz w:val="20"/>
          <w:szCs w:val="20"/>
          <w:color w:val="auto"/>
        </w:rPr>
      </w:pPr>
    </w:p>
    <w:p>
      <w:pPr>
        <w:ind w:right="120"/>
        <w:spacing w:after="0" w:line="244" w:lineRule="auto"/>
        <w:rPr>
          <w:sz w:val="20"/>
          <w:szCs w:val="20"/>
          <w:color w:val="auto"/>
        </w:rPr>
      </w:pPr>
      <w:r>
        <w:rPr>
          <w:rFonts w:ascii="Arial" w:cs="Arial" w:eastAsia="Arial" w:hAnsi="Arial"/>
          <w:sz w:val="13"/>
          <w:szCs w:val="13"/>
          <w:color w:val="auto"/>
        </w:rPr>
        <w:t>See “Risk Factors—Risks Related to Our Indebtedness—Developments with respect to LIBOR may affect our borrowings under our Credit Facilities” in this Annual Report on Form 10-K for additional information.</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60</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63" w:name="page64"/>
    <w:bookmarkEnd w:id="63"/>
    <w:p>
      <w:pPr>
        <w:spacing w:after="0"/>
        <w:rPr>
          <w:sz w:val="20"/>
          <w:szCs w:val="20"/>
          <w:color w:val="auto"/>
        </w:rPr>
      </w:pPr>
      <w:r>
        <w:rPr>
          <w:rFonts w:ascii="Arial" w:cs="Arial" w:eastAsia="Arial" w:hAnsi="Arial"/>
          <w:sz w:val="13"/>
          <w:szCs w:val="13"/>
          <w:b w:val="1"/>
          <w:bCs w:val="1"/>
          <w:color w:val="0A2299"/>
        </w:rPr>
        <w:t>ITEM 8. FINANCIAL STATEMENTS AND SUPPLEMENTARY DATA</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To the Shareholders and the Board of Directors of GoHealth, Inc.</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Opinion on the Financial Statements</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We have audited the accompanying consolidated balance sheets of GoHealth, Inc. (the Company) as of December 31, 2021 and 2020 (Successor), the related consolidated statements of operations, comprehensive income (loss), changes in stockholders' / members’ equity and cash flows for each of the two years in the period ended December 31, 2021 (Successor), the period from September 13, 2019 to December 31, 2019 (Successor), and the period from January 1, 2019 to September 12, 2019 (Predecessor), and the related notes (collectively referred to as the “consolidated financial statements”). In our opinion, the consolidated financial statements present fairly, in all material respects, the financial position of the Company at December 31, 2021 and 2020 (Successor), and the results of its operations and its cash flows for each of the two years in the period ended December 31, 2021 (Successor), the period from September 13, 2019 to December 31, 2019 (Successor) and the period from January 1, 2019 to September 12, 2019 (Predecessor), in conformity with U.S. generally accepted accounting principles.</w:t>
      </w:r>
    </w:p>
    <w:p>
      <w:pPr>
        <w:spacing w:after="0" w:line="168"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March 16, 2022 expressed an adverse opinion thereon.</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Basis for Opinion</w:t>
      </w:r>
    </w:p>
    <w:p>
      <w:pPr>
        <w:spacing w:after="0" w:line="183"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jc w:val="both"/>
        <w:spacing w:after="0" w:line="226" w:lineRule="auto"/>
        <w:rPr>
          <w:sz w:val="20"/>
          <w:szCs w:val="20"/>
          <w:color w:val="auto"/>
        </w:rPr>
      </w:pPr>
      <w:r>
        <w:rPr>
          <w:rFonts w:ascii="Arial" w:cs="Arial" w:eastAsia="Arial" w:hAnsi="Arial"/>
          <w:sz w:val="13"/>
          <w:szCs w:val="13"/>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4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Critical Audit Matter</w:t>
      </w:r>
    </w:p>
    <w:p>
      <w:pPr>
        <w:spacing w:after="0" w:line="193" w:lineRule="exact"/>
        <w:rPr>
          <w:sz w:val="20"/>
          <w:szCs w:val="20"/>
          <w:color w:val="auto"/>
        </w:rPr>
      </w:pPr>
    </w:p>
    <w:p>
      <w:pPr>
        <w:jc w:val="both"/>
        <w:spacing w:after="0" w:line="227" w:lineRule="auto"/>
        <w:rPr>
          <w:sz w:val="20"/>
          <w:szCs w:val="20"/>
          <w:color w:val="auto"/>
        </w:rPr>
      </w:pPr>
      <w:r>
        <w:rPr>
          <w:rFonts w:ascii="Arial" w:cs="Arial" w:eastAsia="Arial" w:hAnsi="Arial"/>
          <w:sz w:val="13"/>
          <w:szCs w:val="13"/>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61</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69" w:right="319" w:bottom="1440" w:gutter="0" w:footer="0" w:header="0"/>
        </w:sectPr>
      </w:pPr>
    </w:p>
    <w:bookmarkStart w:id="64" w:name="page65"/>
    <w:bookmarkEnd w:id="64"/>
    <w:p>
      <w:pPr>
        <w:spacing w:after="0" w:line="17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color w:val="auto"/>
        </w:rPr>
        <w:t>/s/ Ernst &amp; Young LLP</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color w:val="auto"/>
        </w:rPr>
        <w:t>We have served as the Company’s auditor since 2013.</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Chicago, Illinois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March 16, 2022</w:t>
      </w:r>
    </w:p>
    <w:p>
      <w:pPr>
        <w:spacing w:after="0" w:line="20" w:lineRule="exact"/>
        <w:rPr>
          <w:sz w:val="20"/>
          <w:szCs w:val="20"/>
          <w:color w:val="auto"/>
        </w:rPr>
      </w:pPr>
      <w:r>
        <w:rPr>
          <w:sz w:val="20"/>
          <w:szCs w:val="20"/>
          <w:color w:val="auto"/>
        </w:rPr>
        <w:br w:type="column"/>
      </w:r>
    </w:p>
    <w:p>
      <w:pPr>
        <w:ind w:left="720"/>
        <w:spacing w:after="0"/>
        <w:rPr>
          <w:sz w:val="20"/>
          <w:szCs w:val="20"/>
          <w:color w:val="auto"/>
        </w:rPr>
      </w:pPr>
      <w:r>
        <w:rPr>
          <w:rFonts w:ascii="Arial" w:cs="Arial" w:eastAsia="Arial" w:hAnsi="Arial"/>
          <w:sz w:val="13"/>
          <w:szCs w:val="13"/>
          <w:b w:val="1"/>
          <w:bCs w:val="1"/>
          <w:i w:val="1"/>
          <w:iCs w:val="1"/>
          <w:color w:val="auto"/>
        </w:rPr>
        <w:t>Revenue recognition: Estimated constrained lifetime value of commission revenue</w:t>
      </w:r>
    </w:p>
    <w:p>
      <w:pPr>
        <w:spacing w:after="0" w:line="34" w:lineRule="exact"/>
        <w:rPr>
          <w:sz w:val="20"/>
          <w:szCs w:val="20"/>
          <w:color w:val="auto"/>
        </w:rPr>
      </w:pPr>
    </w:p>
    <w:p>
      <w:pPr>
        <w:jc w:val="both"/>
        <w:ind w:left="720"/>
        <w:spacing w:after="0" w:line="211" w:lineRule="auto"/>
        <w:rPr>
          <w:sz w:val="20"/>
          <w:szCs w:val="20"/>
          <w:color w:val="auto"/>
        </w:rPr>
      </w:pPr>
      <w:r>
        <w:rPr>
          <w:rFonts w:ascii="Arial" w:cs="Arial" w:eastAsia="Arial" w:hAnsi="Arial"/>
          <w:sz w:val="13"/>
          <w:szCs w:val="13"/>
          <w:color w:val="auto"/>
        </w:rPr>
        <w:t>The Company recognized commission revenue of approximately $881.3 million in 2021 and the related commissions receivable was approximately $1,262.5 million at December 31, 2021. As described in Notes 1 and 10 to its consolidated financial statements, the Company’s commission revenue is recognized as the expected amount of commissions received from the insurance carriers and any renewal commissions to be paid on such placement as long as the policyholder remains with the same insurance product, also known as the constrained lifetime value (“LTV”) of the policy.</w:t>
      </w:r>
    </w:p>
    <w:p>
      <w:pPr>
        <w:spacing w:after="0" w:line="166" w:lineRule="exact"/>
        <w:rPr>
          <w:sz w:val="20"/>
          <w:szCs w:val="20"/>
          <w:color w:val="auto"/>
        </w:rPr>
      </w:pPr>
    </w:p>
    <w:p>
      <w:pPr>
        <w:jc w:val="both"/>
        <w:ind w:left="720"/>
        <w:spacing w:after="0" w:line="225" w:lineRule="auto"/>
        <w:rPr>
          <w:sz w:val="20"/>
          <w:szCs w:val="20"/>
          <w:color w:val="auto"/>
        </w:rPr>
      </w:pPr>
      <w:r>
        <w:rPr>
          <w:rFonts w:ascii="Arial" w:cs="Arial" w:eastAsia="Arial" w:hAnsi="Arial"/>
          <w:sz w:val="12"/>
          <w:szCs w:val="12"/>
          <w:color w:val="auto"/>
        </w:rPr>
        <w:t>Auditing management’s determination of the LTV of commission revenue was complex and highly judgmental due to the complexity of the models used and the subjectivity required by the Company to: i. estimate the amount and timing of future cash flows, ii. calculate the amount of commission revenue that is probable of not being reversed (the constraint), and iii. determine the timing and amount of any adjustment revenue that results from changes in the estimates of previously recorded LTV based on an assessment of qualitative and quantitative factors, including actual cash received versus estimated cash collections of previously recorded LTV. The Company’s estimate of constrained LTV of commission revenue for each product line is based on a number of assumptions, including estimating conversion of an approved applicant to a paying policyholder, forecasting persistency of a policyholder and forecasting the commission amounts likely to be received. These assumptions are based on historical experience, carrier experience, industry data and incorporate management’s judgment in interpreting those trends and in applying constraints.</w:t>
      </w:r>
    </w:p>
    <w:p>
      <w:pPr>
        <w:spacing w:after="0" w:line="22" w:lineRule="exact"/>
        <w:rPr>
          <w:sz w:val="20"/>
          <w:szCs w:val="20"/>
          <w:color w:val="auto"/>
        </w:rPr>
      </w:pPr>
    </w:p>
    <w:p>
      <w:pPr>
        <w:ind w:left="720"/>
        <w:spacing w:after="0" w:line="208" w:lineRule="auto"/>
        <w:rPr>
          <w:sz w:val="20"/>
          <w:szCs w:val="20"/>
          <w:color w:val="auto"/>
        </w:rPr>
      </w:pPr>
      <w:r>
        <w:rPr>
          <w:rFonts w:ascii="Arial" w:cs="Arial" w:eastAsia="Arial" w:hAnsi="Arial"/>
          <w:sz w:val="13"/>
          <w:szCs w:val="13"/>
          <w:color w:val="auto"/>
        </w:rPr>
        <w:t>Our audit procedures included, among others, evaluating the methodology used and significant assumptions discussed above, and testing the completeness and accuracy of the underlying data used by the Company. We involved our valuation specialists to assist in our testing of the estimated persistency of a policyholder, which includes policyholder attrition assumptions, used to develop the LTV, including performing certain corroborative calculations. We inspected and compared the results of the Company’s retrospective review analysis of historical estimates for certain plan effective years to historical cash collection experience, including reperforming the calculations and assessing the completeness and accuracy of the underlying data used. In addition, we performed inquiries of key personnel regarding their evaluation of changes to LTV and any decisions on the timing and amount of adjustment revenue recognized. We also reviewed analyst reports, press releases, and other relevant third-party and/or industry trends data for contrary evidence.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180" w:type="dxa"/>
            <w:vAlign w:val="bottom"/>
          </w:tcPr>
          <w:p>
            <w:pPr>
              <w:jc w:val="right"/>
              <w:spacing w:after="0"/>
              <w:rPr>
                <w:sz w:val="20"/>
                <w:szCs w:val="20"/>
                <w:color w:val="auto"/>
              </w:rPr>
            </w:pPr>
            <w:r>
              <w:rPr>
                <w:rFonts w:ascii="Arial" w:cs="Arial" w:eastAsia="Arial" w:hAnsi="Arial"/>
                <w:sz w:val="11"/>
                <w:szCs w:val="11"/>
                <w:color w:val="auto"/>
              </w:rPr>
              <w:t>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81915</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3080" w:space="660"/>
            <w:col w:w="7500"/>
          </w:cols>
          <w:pgMar w:left="320" w:top="933"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3"/>
          <w:szCs w:val="13"/>
          <w:b w:val="1"/>
          <w:bCs w:val="1"/>
          <w:color w:val="0A2299"/>
        </w:rPr>
        <w:t>CONSOLIDATED FINANCIAL STATEMENTS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A2299"/>
        </w:rPr>
        <w:t>GOHEALTH,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A2299"/>
        </w:rPr>
        <w:t>CONSOLIDATED STATEMENTS OF OPERATIONS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0A2299"/>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rPr>
              <w:t>Successor</w:t>
            </w: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ind w:right="43"/>
              <w:spacing w:after="0"/>
              <w:rPr>
                <w:sz w:val="20"/>
                <w:szCs w:val="20"/>
                <w:color w:val="auto"/>
              </w:rPr>
            </w:pPr>
            <w:r>
              <w:rPr>
                <w:rFonts w:ascii="Arial" w:cs="Arial" w:eastAsia="Arial" w:hAnsi="Arial"/>
                <w:sz w:val="11"/>
                <w:szCs w:val="11"/>
                <w:b w:val="1"/>
                <w:bCs w:val="1"/>
                <w:color w:val="auto"/>
              </w:rPr>
              <w:t>Predecessor</w:t>
            </w:r>
          </w:p>
        </w:tc>
        <w:tc>
          <w:tcPr>
            <w:tcW w:w="0" w:type="dxa"/>
            <w:vAlign w:val="bottom"/>
          </w:tcPr>
          <w:p>
            <w:pPr>
              <w:spacing w:after="0"/>
              <w:rPr>
                <w:sz w:val="1"/>
                <w:szCs w:val="1"/>
                <w:color w:val="auto"/>
              </w:rPr>
            </w:pPr>
          </w:p>
        </w:tc>
      </w:tr>
      <w:tr>
        <w:trPr>
          <w:trHeight w:val="107"/>
        </w:trPr>
        <w:tc>
          <w:tcPr>
            <w:tcW w:w="6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rPr>
              <w:t>Twelve months</w:t>
            </w:r>
          </w:p>
        </w:tc>
        <w:tc>
          <w:tcPr>
            <w:tcW w:w="140" w:type="dxa"/>
            <w:vAlign w:val="bottom"/>
          </w:tcPr>
          <w:p>
            <w:pPr>
              <w:spacing w:after="0"/>
              <w:rPr>
                <w:sz w:val="9"/>
                <w:szCs w:val="9"/>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rPr>
              <w:t>Twelve months</w:t>
            </w:r>
          </w:p>
        </w:tc>
        <w:tc>
          <w:tcPr>
            <w:tcW w:w="1300" w:type="dxa"/>
            <w:vAlign w:val="bottom"/>
            <w:tcBorders>
              <w:right w:val="single" w:sz="8" w:color="auto"/>
            </w:tcBorders>
            <w:gridSpan w:val="3"/>
          </w:tcPr>
          <w:p>
            <w:pPr>
              <w:ind w:left="60"/>
              <w:spacing w:after="0" w:line="107" w:lineRule="exact"/>
              <w:rPr>
                <w:sz w:val="20"/>
                <w:szCs w:val="20"/>
                <w:color w:val="auto"/>
              </w:rPr>
            </w:pPr>
            <w:r>
              <w:rPr>
                <w:rFonts w:ascii="Arial" w:cs="Arial" w:eastAsia="Arial" w:hAnsi="Arial"/>
                <w:sz w:val="11"/>
                <w:szCs w:val="11"/>
                <w:b w:val="1"/>
                <w:bCs w:val="1"/>
                <w:color w:val="auto"/>
              </w:rPr>
              <w:t>Period from Sep. 13,</w:t>
            </w:r>
          </w:p>
        </w:tc>
        <w:tc>
          <w:tcPr>
            <w:tcW w:w="80" w:type="dxa"/>
            <w:vAlign w:val="bottom"/>
          </w:tcPr>
          <w:p>
            <w:pPr>
              <w:spacing w:after="0"/>
              <w:rPr>
                <w:sz w:val="9"/>
                <w:szCs w:val="9"/>
                <w:color w:val="auto"/>
              </w:rPr>
            </w:pPr>
          </w:p>
        </w:tc>
        <w:tc>
          <w:tcPr>
            <w:tcW w:w="1100" w:type="dxa"/>
            <w:vAlign w:val="bottom"/>
          </w:tcPr>
          <w:p>
            <w:pPr>
              <w:jc w:val="center"/>
              <w:ind w:right="23"/>
              <w:spacing w:after="0" w:line="107" w:lineRule="exact"/>
              <w:rPr>
                <w:sz w:val="20"/>
                <w:szCs w:val="20"/>
                <w:color w:val="auto"/>
              </w:rPr>
            </w:pPr>
            <w:r>
              <w:rPr>
                <w:rFonts w:ascii="Arial" w:cs="Arial" w:eastAsia="Arial" w:hAnsi="Arial"/>
                <w:sz w:val="11"/>
                <w:szCs w:val="11"/>
                <w:b w:val="1"/>
                <w:bCs w:val="1"/>
                <w:color w:val="auto"/>
              </w:rPr>
              <w:t>Period from Jan. 1,</w:t>
            </w:r>
          </w:p>
        </w:tc>
        <w:tc>
          <w:tcPr>
            <w:tcW w:w="0" w:type="dxa"/>
            <w:vAlign w:val="bottom"/>
          </w:tcPr>
          <w:p>
            <w:pPr>
              <w:spacing w:after="0"/>
              <w:rPr>
                <w:sz w:val="1"/>
                <w:szCs w:val="1"/>
                <w:color w:val="auto"/>
              </w:rPr>
            </w:pPr>
          </w:p>
        </w:tc>
      </w:tr>
      <w:tr>
        <w:trPr>
          <w:trHeight w:val="106"/>
        </w:trPr>
        <w:tc>
          <w:tcPr>
            <w:tcW w:w="6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300" w:type="dxa"/>
            <w:vAlign w:val="bottom"/>
            <w:tcBorders>
              <w:right w:val="single" w:sz="8" w:color="auto"/>
            </w:tcBorders>
            <w:gridSpan w:val="3"/>
          </w:tcPr>
          <w:p>
            <w:pPr>
              <w:ind w:left="20"/>
              <w:spacing w:after="0" w:line="106" w:lineRule="exact"/>
              <w:rPr>
                <w:sz w:val="20"/>
                <w:szCs w:val="20"/>
                <w:color w:val="auto"/>
              </w:rPr>
            </w:pPr>
            <w:r>
              <w:rPr>
                <w:rFonts w:ascii="Arial" w:cs="Arial" w:eastAsia="Arial" w:hAnsi="Arial"/>
                <w:sz w:val="11"/>
                <w:szCs w:val="11"/>
                <w:b w:val="1"/>
                <w:bCs w:val="1"/>
                <w:color w:val="auto"/>
              </w:rPr>
              <w:t>2019 through Dec. 31,</w:t>
            </w:r>
          </w:p>
        </w:tc>
        <w:tc>
          <w:tcPr>
            <w:tcW w:w="80" w:type="dxa"/>
            <w:vAlign w:val="bottom"/>
          </w:tcPr>
          <w:p>
            <w:pPr>
              <w:spacing w:after="0"/>
              <w:rPr>
                <w:sz w:val="9"/>
                <w:szCs w:val="9"/>
                <w:color w:val="auto"/>
              </w:rPr>
            </w:pPr>
          </w:p>
        </w:tc>
        <w:tc>
          <w:tcPr>
            <w:tcW w:w="1100" w:type="dxa"/>
            <w:vAlign w:val="bottom"/>
          </w:tcPr>
          <w:p>
            <w:pPr>
              <w:jc w:val="center"/>
              <w:ind w:right="23"/>
              <w:spacing w:after="0" w:line="106" w:lineRule="exact"/>
              <w:rPr>
                <w:sz w:val="20"/>
                <w:szCs w:val="20"/>
                <w:color w:val="auto"/>
              </w:rPr>
            </w:pPr>
            <w:r>
              <w:rPr>
                <w:rFonts w:ascii="Arial" w:cs="Arial" w:eastAsia="Arial" w:hAnsi="Arial"/>
                <w:sz w:val="11"/>
                <w:szCs w:val="11"/>
                <w:b w:val="1"/>
                <w:bCs w:val="1"/>
                <w:color w:val="auto"/>
              </w:rPr>
              <w:t>2019 through Sep.</w:t>
            </w:r>
          </w:p>
        </w:tc>
        <w:tc>
          <w:tcPr>
            <w:tcW w:w="0" w:type="dxa"/>
            <w:vAlign w:val="bottom"/>
          </w:tcPr>
          <w:p>
            <w:pPr>
              <w:spacing w:after="0"/>
              <w:rPr>
                <w:sz w:val="1"/>
                <w:szCs w:val="1"/>
                <w:color w:val="auto"/>
              </w:rPr>
            </w:pPr>
          </w:p>
        </w:tc>
      </w:tr>
      <w:tr>
        <w:trPr>
          <w:trHeight w:val="138"/>
        </w:trPr>
        <w:tc>
          <w:tcPr>
            <w:tcW w:w="6240" w:type="dxa"/>
            <w:vAlign w:val="bottom"/>
            <w:tcBorders>
              <w:bottom w:val="single" w:sz="8" w:color="CCEEFF"/>
            </w:tcBorders>
          </w:tcPr>
          <w:p>
            <w:pPr>
              <w:spacing w:after="0"/>
              <w:rPr>
                <w:sz w:val="11"/>
                <w:szCs w:val="11"/>
                <w:color w:val="auto"/>
              </w:rPr>
            </w:pPr>
          </w:p>
        </w:tc>
        <w:tc>
          <w:tcPr>
            <w:tcW w:w="12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1"/>
                <w:szCs w:val="11"/>
                <w:b w:val="1"/>
                <w:bCs w:val="1"/>
                <w:color w:val="auto"/>
              </w:rPr>
              <w:t>ended Dec. 31, 2021</w:t>
            </w:r>
          </w:p>
        </w:tc>
        <w:tc>
          <w:tcPr>
            <w:tcW w:w="12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1"/>
                <w:szCs w:val="11"/>
                <w:b w:val="1"/>
                <w:bCs w:val="1"/>
                <w:color w:val="auto"/>
              </w:rPr>
              <w:t>ended Dec. 31, 2020</w:t>
            </w: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23"/>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CCEEFF"/>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center"/>
              <w:ind w:right="43"/>
              <w:spacing w:after="0"/>
              <w:rPr>
                <w:sz w:val="20"/>
                <w:szCs w:val="20"/>
                <w:color w:val="auto"/>
              </w:rPr>
            </w:pPr>
            <w:r>
              <w:rPr>
                <w:rFonts w:ascii="Arial" w:cs="Arial" w:eastAsia="Arial" w:hAnsi="Arial"/>
                <w:sz w:val="11"/>
                <w:szCs w:val="11"/>
                <w:b w:val="1"/>
                <w:bCs w:val="1"/>
                <w:color w:val="auto"/>
              </w:rPr>
              <w:t>12, 2019</w:t>
            </w:r>
          </w:p>
        </w:tc>
        <w:tc>
          <w:tcPr>
            <w:tcW w:w="0" w:type="dxa"/>
            <w:vAlign w:val="bottom"/>
          </w:tcPr>
          <w:p>
            <w:pPr>
              <w:spacing w:after="0"/>
              <w:rPr>
                <w:sz w:val="1"/>
                <w:szCs w:val="1"/>
                <w:color w:val="auto"/>
              </w:rPr>
            </w:pPr>
          </w:p>
        </w:tc>
      </w:tr>
      <w:tr>
        <w:trPr>
          <w:trHeight w:val="129"/>
        </w:trPr>
        <w:tc>
          <w:tcPr>
            <w:tcW w:w="6240" w:type="dxa"/>
            <w:vAlign w:val="bottom"/>
            <w:shd w:val="clear" w:color="auto" w:fill="CCEEFF"/>
          </w:tcPr>
          <w:p>
            <w:pPr>
              <w:ind w:left="20"/>
              <w:spacing w:after="0"/>
              <w:rPr>
                <w:sz w:val="20"/>
                <w:szCs w:val="20"/>
                <w:color w:val="auto"/>
              </w:rPr>
            </w:pPr>
            <w:r>
              <w:rPr>
                <w:rFonts w:ascii="Arial" w:cs="Arial" w:eastAsia="Arial" w:hAnsi="Arial"/>
                <w:sz w:val="11"/>
                <w:szCs w:val="11"/>
                <w:i w:val="1"/>
                <w:iCs w:val="1"/>
                <w:color w:val="auto"/>
              </w:rPr>
              <w:t>Net revenues:</w:t>
            </w: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40" w:type="dxa"/>
            <w:vAlign w:val="bottom"/>
          </w:tcPr>
          <w:p>
            <w:pPr>
              <w:ind w:left="180"/>
              <w:spacing w:after="0"/>
              <w:rPr>
                <w:sz w:val="20"/>
                <w:szCs w:val="20"/>
                <w:color w:val="auto"/>
              </w:rPr>
            </w:pPr>
            <w:r>
              <w:rPr>
                <w:rFonts w:ascii="Arial" w:cs="Arial" w:eastAsia="Arial" w:hAnsi="Arial"/>
                <w:sz w:val="11"/>
                <w:szCs w:val="11"/>
                <w:color w:val="auto"/>
              </w:rPr>
              <w:t>Commission</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ind w:right="3"/>
              <w:spacing w:after="0"/>
              <w:rPr>
                <w:sz w:val="20"/>
                <w:szCs w:val="20"/>
                <w:color w:val="auto"/>
              </w:rPr>
            </w:pPr>
            <w:r>
              <w:rPr>
                <w:rFonts w:ascii="Arial" w:cs="Arial" w:eastAsia="Arial" w:hAnsi="Arial"/>
                <w:sz w:val="11"/>
                <w:szCs w:val="11"/>
                <w:color w:val="auto"/>
              </w:rPr>
              <w:t>881,263</w:t>
            </w:r>
          </w:p>
        </w:tc>
        <w:tc>
          <w:tcPr>
            <w:tcW w:w="80" w:type="dxa"/>
            <w:vAlign w:val="bottom"/>
          </w:tcPr>
          <w:p>
            <w:pPr>
              <w:spacing w:after="0"/>
              <w:rPr>
                <w:sz w:val="12"/>
                <w:szCs w:val="12"/>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671,140</w:t>
            </w:r>
          </w:p>
        </w:tc>
        <w:tc>
          <w:tcPr>
            <w:tcW w:w="80" w:type="dxa"/>
            <w:vAlign w:val="bottom"/>
          </w:tcPr>
          <w:p>
            <w:pPr>
              <w:spacing w:after="0"/>
              <w:rPr>
                <w:sz w:val="12"/>
                <w:szCs w:val="12"/>
                <w:color w:val="auto"/>
              </w:rPr>
            </w:pPr>
          </w:p>
        </w:tc>
        <w:tc>
          <w:tcPr>
            <w:tcW w:w="280" w:type="dxa"/>
            <w:vAlign w:val="bottom"/>
          </w:tcPr>
          <w:p>
            <w:pPr>
              <w:ind w:left="20"/>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243,347</w:t>
            </w:r>
          </w:p>
        </w:tc>
        <w:tc>
          <w:tcPr>
            <w:tcW w:w="100" w:type="dxa"/>
            <w:vAlign w:val="bottom"/>
            <w:tcBorders>
              <w:right w:val="single" w:sz="8" w:color="auto"/>
            </w:tcBorders>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175,834</w:t>
            </w:r>
          </w:p>
        </w:tc>
        <w:tc>
          <w:tcPr>
            <w:tcW w:w="0" w:type="dxa"/>
            <w:vAlign w:val="bottom"/>
          </w:tcPr>
          <w:p>
            <w:pPr>
              <w:spacing w:after="0"/>
              <w:rPr>
                <w:sz w:val="1"/>
                <w:szCs w:val="1"/>
                <w:color w:val="auto"/>
              </w:rPr>
            </w:pPr>
          </w:p>
        </w:tc>
      </w:tr>
      <w:tr>
        <w:trPr>
          <w:trHeight w:val="149"/>
        </w:trPr>
        <w:tc>
          <w:tcPr>
            <w:tcW w:w="62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Enterprise</w:t>
            </w:r>
          </w:p>
        </w:tc>
        <w:tc>
          <w:tcPr>
            <w:tcW w:w="12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181,152</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206,210</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65,144</w:t>
            </w: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55,176</w:t>
            </w:r>
          </w:p>
        </w:tc>
        <w:tc>
          <w:tcPr>
            <w:tcW w:w="0" w:type="dxa"/>
            <w:vAlign w:val="bottom"/>
          </w:tcPr>
          <w:p>
            <w:pPr>
              <w:spacing w:after="0"/>
              <w:rPr>
                <w:sz w:val="1"/>
                <w:szCs w:val="1"/>
                <w:color w:val="auto"/>
              </w:rPr>
            </w:pPr>
          </w:p>
        </w:tc>
      </w:tr>
      <w:tr>
        <w:trPr>
          <w:trHeight w:val="139"/>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Net revenues</w:t>
            </w: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1,062,415</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877,350</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308,491</w:t>
            </w:r>
          </w:p>
        </w:tc>
        <w:tc>
          <w:tcPr>
            <w:tcW w:w="100" w:type="dxa"/>
            <w:vAlign w:val="bottom"/>
            <w:tcBorders>
              <w:bottom w:val="single" w:sz="8" w:color="CCEEFF"/>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231,010</w:t>
            </w:r>
          </w:p>
        </w:tc>
        <w:tc>
          <w:tcPr>
            <w:tcW w:w="0" w:type="dxa"/>
            <w:vAlign w:val="bottom"/>
          </w:tcPr>
          <w:p>
            <w:pPr>
              <w:spacing w:after="0"/>
              <w:rPr>
                <w:sz w:val="1"/>
                <w:szCs w:val="1"/>
                <w:color w:val="auto"/>
              </w:rPr>
            </w:pPr>
          </w:p>
        </w:tc>
      </w:tr>
      <w:tr>
        <w:trPr>
          <w:trHeight w:val="129"/>
        </w:trPr>
        <w:tc>
          <w:tcPr>
            <w:tcW w:w="6240" w:type="dxa"/>
            <w:vAlign w:val="bottom"/>
            <w:shd w:val="clear" w:color="auto" w:fill="CCEEFF"/>
          </w:tcPr>
          <w:p>
            <w:pPr>
              <w:ind w:left="20"/>
              <w:spacing w:after="0"/>
              <w:rPr>
                <w:sz w:val="20"/>
                <w:szCs w:val="20"/>
                <w:color w:val="auto"/>
              </w:rPr>
            </w:pPr>
            <w:r>
              <w:rPr>
                <w:rFonts w:ascii="Arial" w:cs="Arial" w:eastAsia="Arial" w:hAnsi="Arial"/>
                <w:sz w:val="11"/>
                <w:szCs w:val="11"/>
                <w:i w:val="1"/>
                <w:iCs w:val="1"/>
                <w:color w:val="auto"/>
              </w:rPr>
              <w:t>Operating expenses:</w:t>
            </w: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40" w:type="dxa"/>
            <w:vAlign w:val="bottom"/>
          </w:tcPr>
          <w:p>
            <w:pPr>
              <w:ind w:left="180"/>
              <w:spacing w:after="0"/>
              <w:rPr>
                <w:sz w:val="20"/>
                <w:szCs w:val="20"/>
                <w:color w:val="auto"/>
              </w:rPr>
            </w:pPr>
            <w:r>
              <w:rPr>
                <w:rFonts w:ascii="Arial" w:cs="Arial" w:eastAsia="Arial" w:hAnsi="Arial"/>
                <w:sz w:val="11"/>
                <w:szCs w:val="11"/>
                <w:color w:val="auto"/>
              </w:rPr>
              <w:t>Cost of revenue</w:t>
            </w:r>
          </w:p>
        </w:tc>
        <w:tc>
          <w:tcPr>
            <w:tcW w:w="120" w:type="dxa"/>
            <w:vAlign w:val="bottom"/>
          </w:tcPr>
          <w:p>
            <w:pPr>
              <w:spacing w:after="0"/>
              <w:rPr>
                <w:sz w:val="12"/>
                <w:szCs w:val="12"/>
                <w:color w:val="auto"/>
              </w:rPr>
            </w:pPr>
          </w:p>
        </w:tc>
        <w:tc>
          <w:tcPr>
            <w:tcW w:w="1080" w:type="dxa"/>
            <w:vAlign w:val="bottom"/>
          </w:tcPr>
          <w:p>
            <w:pPr>
              <w:jc w:val="right"/>
              <w:ind w:right="3"/>
              <w:spacing w:after="0"/>
              <w:rPr>
                <w:sz w:val="20"/>
                <w:szCs w:val="20"/>
                <w:color w:val="auto"/>
              </w:rPr>
            </w:pPr>
            <w:r>
              <w:rPr>
                <w:rFonts w:ascii="Arial" w:cs="Arial" w:eastAsia="Arial" w:hAnsi="Arial"/>
                <w:sz w:val="11"/>
                <w:szCs w:val="11"/>
                <w:color w:val="auto"/>
              </w:rPr>
              <w:t>239,335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199,202</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90,384</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79,169</w:t>
            </w:r>
          </w:p>
        </w:tc>
        <w:tc>
          <w:tcPr>
            <w:tcW w:w="0" w:type="dxa"/>
            <w:vAlign w:val="bottom"/>
          </w:tcPr>
          <w:p>
            <w:pPr>
              <w:spacing w:after="0"/>
              <w:rPr>
                <w:sz w:val="1"/>
                <w:szCs w:val="1"/>
                <w:color w:val="auto"/>
              </w:rPr>
            </w:pPr>
          </w:p>
        </w:tc>
      </w:tr>
      <w:tr>
        <w:trPr>
          <w:trHeight w:val="149"/>
        </w:trPr>
        <w:tc>
          <w:tcPr>
            <w:tcW w:w="62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Marketing and advertising</w:t>
            </w: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365,141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206,864</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24,811</w:t>
            </w: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37,769</w:t>
            </w:r>
          </w:p>
        </w:tc>
        <w:tc>
          <w:tcPr>
            <w:tcW w:w="0" w:type="dxa"/>
            <w:vAlign w:val="bottom"/>
          </w:tcPr>
          <w:p>
            <w:pPr>
              <w:spacing w:after="0"/>
              <w:rPr>
                <w:sz w:val="1"/>
                <w:szCs w:val="1"/>
                <w:color w:val="auto"/>
              </w:rPr>
            </w:pPr>
          </w:p>
        </w:tc>
      </w:tr>
      <w:tr>
        <w:trPr>
          <w:trHeight w:val="149"/>
        </w:trPr>
        <w:tc>
          <w:tcPr>
            <w:tcW w:w="6240" w:type="dxa"/>
            <w:vAlign w:val="bottom"/>
          </w:tcPr>
          <w:p>
            <w:pPr>
              <w:ind w:left="180"/>
              <w:spacing w:after="0"/>
              <w:rPr>
                <w:sz w:val="20"/>
                <w:szCs w:val="20"/>
                <w:color w:val="auto"/>
              </w:rPr>
            </w:pPr>
            <w:r>
              <w:rPr>
                <w:rFonts w:ascii="Arial" w:cs="Arial" w:eastAsia="Arial" w:hAnsi="Arial"/>
                <w:sz w:val="11"/>
                <w:szCs w:val="11"/>
                <w:color w:val="auto"/>
              </w:rPr>
              <w:t>Customer care and enrollment</w:t>
            </w:r>
          </w:p>
        </w:tc>
        <w:tc>
          <w:tcPr>
            <w:tcW w:w="120" w:type="dxa"/>
            <w:vAlign w:val="bottom"/>
          </w:tcPr>
          <w:p>
            <w:pPr>
              <w:spacing w:after="0"/>
              <w:rPr>
                <w:sz w:val="12"/>
                <w:szCs w:val="12"/>
                <w:color w:val="auto"/>
              </w:rPr>
            </w:pPr>
          </w:p>
        </w:tc>
        <w:tc>
          <w:tcPr>
            <w:tcW w:w="1080" w:type="dxa"/>
            <w:vAlign w:val="bottom"/>
          </w:tcPr>
          <w:p>
            <w:pPr>
              <w:jc w:val="right"/>
              <w:ind w:right="3"/>
              <w:spacing w:after="0"/>
              <w:rPr>
                <w:sz w:val="20"/>
                <w:szCs w:val="20"/>
                <w:color w:val="auto"/>
              </w:rPr>
            </w:pPr>
            <w:r>
              <w:rPr>
                <w:rFonts w:ascii="Arial" w:cs="Arial" w:eastAsia="Arial" w:hAnsi="Arial"/>
                <w:sz w:val="11"/>
                <w:szCs w:val="11"/>
                <w:color w:val="auto"/>
              </w:rPr>
              <w:t>320,165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165,497</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44,356</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49,149</w:t>
            </w:r>
          </w:p>
        </w:tc>
        <w:tc>
          <w:tcPr>
            <w:tcW w:w="0" w:type="dxa"/>
            <w:vAlign w:val="bottom"/>
          </w:tcPr>
          <w:p>
            <w:pPr>
              <w:spacing w:after="0"/>
              <w:rPr>
                <w:sz w:val="1"/>
                <w:szCs w:val="1"/>
                <w:color w:val="auto"/>
              </w:rPr>
            </w:pPr>
          </w:p>
        </w:tc>
      </w:tr>
      <w:tr>
        <w:trPr>
          <w:trHeight w:val="149"/>
        </w:trPr>
        <w:tc>
          <w:tcPr>
            <w:tcW w:w="62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Technology</w:t>
            </w: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48,429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59,348</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6,006</w:t>
            </w: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40,312</w:t>
            </w:r>
          </w:p>
        </w:tc>
        <w:tc>
          <w:tcPr>
            <w:tcW w:w="0" w:type="dxa"/>
            <w:vAlign w:val="bottom"/>
          </w:tcPr>
          <w:p>
            <w:pPr>
              <w:spacing w:after="0"/>
              <w:rPr>
                <w:sz w:val="1"/>
                <w:szCs w:val="1"/>
                <w:color w:val="auto"/>
              </w:rPr>
            </w:pPr>
          </w:p>
        </w:tc>
      </w:tr>
      <w:tr>
        <w:trPr>
          <w:trHeight w:val="149"/>
        </w:trPr>
        <w:tc>
          <w:tcPr>
            <w:tcW w:w="6240" w:type="dxa"/>
            <w:vAlign w:val="bottom"/>
          </w:tcPr>
          <w:p>
            <w:pPr>
              <w:ind w:left="180"/>
              <w:spacing w:after="0"/>
              <w:rPr>
                <w:sz w:val="20"/>
                <w:szCs w:val="20"/>
                <w:color w:val="auto"/>
              </w:rPr>
            </w:pPr>
            <w:r>
              <w:rPr>
                <w:rFonts w:ascii="Arial" w:cs="Arial" w:eastAsia="Arial" w:hAnsi="Arial"/>
                <w:sz w:val="11"/>
                <w:szCs w:val="11"/>
                <w:color w:val="auto"/>
              </w:rPr>
              <w:t>General and administrative</w:t>
            </w:r>
          </w:p>
        </w:tc>
        <w:tc>
          <w:tcPr>
            <w:tcW w:w="120" w:type="dxa"/>
            <w:vAlign w:val="bottom"/>
          </w:tcPr>
          <w:p>
            <w:pPr>
              <w:spacing w:after="0"/>
              <w:rPr>
                <w:sz w:val="12"/>
                <w:szCs w:val="12"/>
                <w:color w:val="auto"/>
              </w:rPr>
            </w:pPr>
          </w:p>
        </w:tc>
        <w:tc>
          <w:tcPr>
            <w:tcW w:w="1080" w:type="dxa"/>
            <w:vAlign w:val="bottom"/>
          </w:tcPr>
          <w:p>
            <w:pPr>
              <w:jc w:val="right"/>
              <w:ind w:right="3"/>
              <w:spacing w:after="0"/>
              <w:rPr>
                <w:sz w:val="20"/>
                <w:szCs w:val="20"/>
                <w:color w:val="auto"/>
              </w:rPr>
            </w:pPr>
            <w:r>
              <w:rPr>
                <w:rFonts w:ascii="Arial" w:cs="Arial" w:eastAsia="Arial" w:hAnsi="Arial"/>
                <w:sz w:val="11"/>
                <w:szCs w:val="11"/>
                <w:color w:val="auto"/>
              </w:rPr>
              <w:t>98,183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197,229</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13,674</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79,219</w:t>
            </w:r>
          </w:p>
        </w:tc>
        <w:tc>
          <w:tcPr>
            <w:tcW w:w="0" w:type="dxa"/>
            <w:vAlign w:val="bottom"/>
          </w:tcPr>
          <w:p>
            <w:pPr>
              <w:spacing w:after="0"/>
              <w:rPr>
                <w:sz w:val="1"/>
                <w:szCs w:val="1"/>
                <w:color w:val="auto"/>
              </w:rPr>
            </w:pPr>
          </w:p>
        </w:tc>
      </w:tr>
      <w:tr>
        <w:trPr>
          <w:trHeight w:val="149"/>
        </w:trPr>
        <w:tc>
          <w:tcPr>
            <w:tcW w:w="62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Change in fair value of contingent consideration liability</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19,700</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70,700</w:t>
            </w: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6240" w:type="dxa"/>
            <w:vAlign w:val="bottom"/>
          </w:tcPr>
          <w:p>
            <w:pPr>
              <w:ind w:left="180"/>
              <w:spacing w:after="0"/>
              <w:rPr>
                <w:sz w:val="20"/>
                <w:szCs w:val="20"/>
                <w:color w:val="auto"/>
              </w:rPr>
            </w:pPr>
            <w:r>
              <w:rPr>
                <w:rFonts w:ascii="Arial" w:cs="Arial" w:eastAsia="Arial" w:hAnsi="Arial"/>
                <w:sz w:val="11"/>
                <w:szCs w:val="11"/>
                <w:color w:val="auto"/>
              </w:rPr>
              <w:t>Amortization of intangible assets</w:t>
            </w:r>
          </w:p>
        </w:tc>
        <w:tc>
          <w:tcPr>
            <w:tcW w:w="120" w:type="dxa"/>
            <w:vAlign w:val="bottom"/>
          </w:tcPr>
          <w:p>
            <w:pPr>
              <w:spacing w:after="0"/>
              <w:rPr>
                <w:sz w:val="12"/>
                <w:szCs w:val="12"/>
                <w:color w:val="auto"/>
              </w:rPr>
            </w:pPr>
          </w:p>
        </w:tc>
        <w:tc>
          <w:tcPr>
            <w:tcW w:w="1080" w:type="dxa"/>
            <w:vAlign w:val="bottom"/>
          </w:tcPr>
          <w:p>
            <w:pPr>
              <w:jc w:val="right"/>
              <w:ind w:right="3"/>
              <w:spacing w:after="0"/>
              <w:rPr>
                <w:sz w:val="20"/>
                <w:szCs w:val="20"/>
                <w:color w:val="auto"/>
              </w:rPr>
            </w:pPr>
            <w:r>
              <w:rPr>
                <w:rFonts w:ascii="Arial" w:cs="Arial" w:eastAsia="Arial" w:hAnsi="Arial"/>
                <w:sz w:val="11"/>
                <w:szCs w:val="11"/>
                <w:color w:val="auto"/>
              </w:rPr>
              <w:t>94,056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94,056</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28,217</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62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Goodwill impairment charges</w:t>
            </w: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386,553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6240" w:type="dxa"/>
            <w:vAlign w:val="bottom"/>
          </w:tcPr>
          <w:p>
            <w:pPr>
              <w:ind w:left="180"/>
              <w:spacing w:after="0"/>
              <w:rPr>
                <w:sz w:val="20"/>
                <w:szCs w:val="20"/>
                <w:color w:val="auto"/>
              </w:rPr>
            </w:pPr>
            <w:r>
              <w:rPr>
                <w:rFonts w:ascii="Arial" w:cs="Arial" w:eastAsia="Arial" w:hAnsi="Arial"/>
                <w:sz w:val="11"/>
                <w:szCs w:val="11"/>
                <w:color w:val="auto"/>
              </w:rPr>
              <w:t>Acquisition related transaction costs</w:t>
            </w:r>
          </w:p>
        </w:tc>
        <w:tc>
          <w:tcPr>
            <w:tcW w:w="12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2"/>
                <w:szCs w:val="12"/>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6,245</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2,267</w:t>
            </w:r>
          </w:p>
        </w:tc>
        <w:tc>
          <w:tcPr>
            <w:tcW w:w="0" w:type="dxa"/>
            <w:vAlign w:val="bottom"/>
          </w:tcPr>
          <w:p>
            <w:pPr>
              <w:spacing w:after="0"/>
              <w:rPr>
                <w:sz w:val="1"/>
                <w:szCs w:val="1"/>
                <w:color w:val="auto"/>
              </w:rPr>
            </w:pPr>
          </w:p>
        </w:tc>
      </w:tr>
      <w:tr>
        <w:trPr>
          <w:trHeight w:val="139"/>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1,551,862</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0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941,896</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284,393</w:t>
            </w:r>
          </w:p>
        </w:tc>
        <w:tc>
          <w:tcPr>
            <w:tcW w:w="100" w:type="dxa"/>
            <w:vAlign w:val="bottom"/>
            <w:tcBorders>
              <w:top w:val="single" w:sz="8" w:color="CCEEFF"/>
              <w:right w:val="single" w:sz="8" w:color="auto"/>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287,885</w:t>
            </w:r>
          </w:p>
        </w:tc>
        <w:tc>
          <w:tcPr>
            <w:tcW w:w="0" w:type="dxa"/>
            <w:vAlign w:val="bottom"/>
          </w:tcPr>
          <w:p>
            <w:pPr>
              <w:spacing w:after="0"/>
              <w:rPr>
                <w:sz w:val="1"/>
                <w:szCs w:val="1"/>
                <w:color w:val="auto"/>
              </w:rPr>
            </w:pPr>
          </w:p>
        </w:tc>
      </w:tr>
      <w:tr>
        <w:trPr>
          <w:trHeight w:val="139"/>
        </w:trPr>
        <w:tc>
          <w:tcPr>
            <w:tcW w:w="6240" w:type="dxa"/>
            <w:vAlign w:val="bottom"/>
          </w:tcPr>
          <w:p>
            <w:pPr>
              <w:ind w:left="20"/>
              <w:spacing w:after="0"/>
              <w:rPr>
                <w:sz w:val="20"/>
                <w:szCs w:val="20"/>
                <w:color w:val="auto"/>
              </w:rPr>
            </w:pPr>
            <w:r>
              <w:rPr>
                <w:rFonts w:ascii="Arial" w:cs="Arial" w:eastAsia="Arial" w:hAnsi="Arial"/>
                <w:sz w:val="11"/>
                <w:szCs w:val="11"/>
                <w:color w:val="auto"/>
              </w:rPr>
              <w:t>Income (loss) from operations</w:t>
            </w:r>
          </w:p>
        </w:tc>
        <w:tc>
          <w:tcPr>
            <w:tcW w:w="1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(489,447)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(64,546)</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24,098</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(56,875)</w:t>
            </w:r>
          </w:p>
        </w:tc>
        <w:tc>
          <w:tcPr>
            <w:tcW w:w="0" w:type="dxa"/>
            <w:vAlign w:val="bottom"/>
          </w:tcPr>
          <w:p>
            <w:pPr>
              <w:spacing w:after="0"/>
              <w:rPr>
                <w:sz w:val="1"/>
                <w:szCs w:val="1"/>
                <w:color w:val="auto"/>
              </w:rPr>
            </w:pPr>
          </w:p>
        </w:tc>
      </w:tr>
      <w:tr>
        <w:trPr>
          <w:trHeight w:val="149"/>
        </w:trPr>
        <w:tc>
          <w:tcPr>
            <w:tcW w:w="6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 expense</w:t>
            </w: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33,505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32,969</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8,076</w:t>
            </w: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140</w:t>
            </w:r>
          </w:p>
        </w:tc>
        <w:tc>
          <w:tcPr>
            <w:tcW w:w="0" w:type="dxa"/>
            <w:vAlign w:val="bottom"/>
          </w:tcPr>
          <w:p>
            <w:pPr>
              <w:spacing w:after="0"/>
              <w:rPr>
                <w:sz w:val="1"/>
                <w:szCs w:val="1"/>
                <w:color w:val="auto"/>
              </w:rPr>
            </w:pPr>
          </w:p>
        </w:tc>
      </w:tr>
      <w:tr>
        <w:trPr>
          <w:trHeight w:val="149"/>
        </w:trPr>
        <w:tc>
          <w:tcPr>
            <w:tcW w:w="6240" w:type="dxa"/>
            <w:vAlign w:val="bottom"/>
          </w:tcPr>
          <w:p>
            <w:pPr>
              <w:ind w:left="20"/>
              <w:spacing w:after="0"/>
              <w:rPr>
                <w:sz w:val="20"/>
                <w:szCs w:val="20"/>
                <w:color w:val="auto"/>
              </w:rPr>
            </w:pPr>
            <w:r>
              <w:rPr>
                <w:rFonts w:ascii="Arial" w:cs="Arial" w:eastAsia="Arial" w:hAnsi="Arial"/>
                <w:sz w:val="11"/>
                <w:szCs w:val="11"/>
                <w:color w:val="auto"/>
              </w:rPr>
              <w:t>Loss on extinguishment of debt</w:t>
            </w:r>
          </w:p>
        </w:tc>
        <w:tc>
          <w:tcPr>
            <w:tcW w:w="120" w:type="dxa"/>
            <w:vAlign w:val="bottom"/>
          </w:tcPr>
          <w:p>
            <w:pPr>
              <w:spacing w:after="0"/>
              <w:rPr>
                <w:sz w:val="12"/>
                <w:szCs w:val="12"/>
                <w:color w:val="auto"/>
              </w:rPr>
            </w:pPr>
          </w:p>
        </w:tc>
        <w:tc>
          <w:tcPr>
            <w:tcW w:w="1080" w:type="dxa"/>
            <w:vAlign w:val="bottom"/>
          </w:tcPr>
          <w:p>
            <w:pPr>
              <w:jc w:val="right"/>
              <w:ind w:right="3"/>
              <w:spacing w:after="0"/>
              <w:rPr>
                <w:sz w:val="20"/>
                <w:szCs w:val="20"/>
                <w:color w:val="auto"/>
              </w:rPr>
            </w:pPr>
            <w:r>
              <w:rPr>
                <w:rFonts w:ascii="Arial" w:cs="Arial" w:eastAsia="Arial" w:hAnsi="Arial"/>
                <w:sz w:val="11"/>
                <w:szCs w:val="11"/>
                <w:color w:val="auto"/>
              </w:rPr>
              <w:t>11,935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6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expense (income), net</w:t>
            </w:r>
          </w:p>
        </w:tc>
        <w:tc>
          <w:tcPr>
            <w:tcW w:w="12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(669)</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(358)</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114</w:t>
            </w:r>
          </w:p>
        </w:tc>
        <w:tc>
          <w:tcPr>
            <w:tcW w:w="0" w:type="dxa"/>
            <w:vAlign w:val="bottom"/>
          </w:tcPr>
          <w:p>
            <w:pPr>
              <w:spacing w:after="0"/>
              <w:rPr>
                <w:sz w:val="1"/>
                <w:szCs w:val="1"/>
                <w:color w:val="auto"/>
              </w:rPr>
            </w:pPr>
          </w:p>
        </w:tc>
      </w:tr>
      <w:tr>
        <w:trPr>
          <w:trHeight w:val="139"/>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Income (loss) before income taxes</w:t>
            </w: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(534,218)</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(97,157)</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16,039</w:t>
            </w:r>
          </w:p>
        </w:tc>
        <w:tc>
          <w:tcPr>
            <w:tcW w:w="100" w:type="dxa"/>
            <w:vAlign w:val="bottom"/>
            <w:tcBorders>
              <w:bottom w:val="single" w:sz="8" w:color="CCEEFF"/>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(57,129)</w:t>
            </w:r>
          </w:p>
        </w:tc>
        <w:tc>
          <w:tcPr>
            <w:tcW w:w="0" w:type="dxa"/>
            <w:vAlign w:val="bottom"/>
          </w:tcPr>
          <w:p>
            <w:pPr>
              <w:spacing w:after="0"/>
              <w:rPr>
                <w:sz w:val="1"/>
                <w:szCs w:val="1"/>
                <w:color w:val="auto"/>
              </w:rPr>
            </w:pPr>
          </w:p>
        </w:tc>
      </w:tr>
      <w:tr>
        <w:trPr>
          <w:trHeight w:val="139"/>
        </w:trPr>
        <w:tc>
          <w:tcPr>
            <w:tcW w:w="6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Income tax (benefit) expense</w:t>
            </w:r>
          </w:p>
        </w:tc>
        <w:tc>
          <w:tcPr>
            <w:tcW w:w="12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43</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44</w:t>
            </w: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(66)</w:t>
            </w:r>
          </w:p>
        </w:tc>
        <w:tc>
          <w:tcPr>
            <w:tcW w:w="0" w:type="dxa"/>
            <w:vAlign w:val="bottom"/>
          </w:tcPr>
          <w:p>
            <w:pPr>
              <w:spacing w:after="0"/>
              <w:rPr>
                <w:sz w:val="1"/>
                <w:szCs w:val="1"/>
                <w:color w:val="auto"/>
              </w:rPr>
            </w:pPr>
          </w:p>
        </w:tc>
      </w:tr>
      <w:tr>
        <w:trPr>
          <w:trHeight w:val="139"/>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Net income (loss)</w:t>
            </w: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(534,194)</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(97,200)</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15,995</w:t>
            </w:r>
          </w:p>
        </w:tc>
        <w:tc>
          <w:tcPr>
            <w:tcW w:w="100" w:type="dxa"/>
            <w:vAlign w:val="bottom"/>
            <w:tcBorders>
              <w:bottom w:val="single" w:sz="8" w:color="CCEEFF"/>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(57,063)</w:t>
            </w:r>
          </w:p>
        </w:tc>
        <w:tc>
          <w:tcPr>
            <w:tcW w:w="0" w:type="dxa"/>
            <w:vAlign w:val="bottom"/>
          </w:tcPr>
          <w:p>
            <w:pPr>
              <w:spacing w:after="0"/>
              <w:rPr>
                <w:sz w:val="1"/>
                <w:szCs w:val="1"/>
                <w:color w:val="auto"/>
              </w:rPr>
            </w:pPr>
          </w:p>
        </w:tc>
      </w:tr>
      <w:tr>
        <w:trPr>
          <w:trHeight w:val="139"/>
        </w:trPr>
        <w:tc>
          <w:tcPr>
            <w:tcW w:w="6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loss attributable to non-controlling interests</w:t>
            </w: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(344,837)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(52,933)</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6240" w:type="dxa"/>
            <w:vAlign w:val="bottom"/>
          </w:tcPr>
          <w:p>
            <w:pPr>
              <w:ind w:left="20"/>
              <w:spacing w:after="0"/>
              <w:rPr>
                <w:sz w:val="20"/>
                <w:szCs w:val="20"/>
                <w:color w:val="auto"/>
              </w:rPr>
            </w:pPr>
            <w:r>
              <w:rPr>
                <w:rFonts w:ascii="Arial" w:cs="Arial" w:eastAsia="Arial" w:hAnsi="Arial"/>
                <w:sz w:val="11"/>
                <w:szCs w:val="11"/>
                <w:b w:val="1"/>
                <w:bCs w:val="1"/>
                <w:color w:val="auto"/>
              </w:rPr>
              <w:t>Net income (loss) attributable to GoHealth, Inc.</w:t>
            </w: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(189,357)</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(44,267)</w:t>
            </w:r>
          </w:p>
        </w:tc>
        <w:tc>
          <w:tcPr>
            <w:tcW w:w="80" w:type="dxa"/>
            <w:vAlign w:val="bottom"/>
          </w:tcPr>
          <w:p>
            <w:pPr>
              <w:spacing w:after="0"/>
              <w:rPr>
                <w:sz w:val="12"/>
                <w:szCs w:val="12"/>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9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15,995</w:t>
            </w:r>
          </w:p>
        </w:tc>
        <w:tc>
          <w:tcPr>
            <w:tcW w:w="100" w:type="dxa"/>
            <w:vAlign w:val="bottom"/>
            <w:tcBorders>
              <w:right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(57,063)</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6240" w:type="dxa"/>
            <w:vAlign w:val="bottom"/>
            <w:shd w:val="clear" w:color="auto" w:fill="CCEEFF"/>
          </w:tcPr>
          <w:p>
            <w:pPr>
              <w:ind w:left="20"/>
              <w:spacing w:after="0" w:line="110" w:lineRule="exact"/>
              <w:rPr>
                <w:sz w:val="20"/>
                <w:szCs w:val="20"/>
                <w:color w:val="auto"/>
              </w:rPr>
            </w:pPr>
            <w:r>
              <w:rPr>
                <w:rFonts w:ascii="Arial" w:cs="Arial" w:eastAsia="Arial" w:hAnsi="Arial"/>
                <w:sz w:val="11"/>
                <w:szCs w:val="11"/>
                <w:i w:val="1"/>
                <w:iCs w:val="1"/>
                <w:color w:val="auto"/>
              </w:rPr>
              <w:t>Net loss per share (Note 8):</w:t>
            </w:r>
          </w:p>
        </w:tc>
        <w:tc>
          <w:tcPr>
            <w:tcW w:w="12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6240" w:type="dxa"/>
            <w:vAlign w:val="bottom"/>
          </w:tcPr>
          <w:p>
            <w:pPr>
              <w:ind w:left="20"/>
              <w:spacing w:after="0"/>
              <w:rPr>
                <w:sz w:val="20"/>
                <w:szCs w:val="20"/>
                <w:color w:val="auto"/>
              </w:rPr>
            </w:pPr>
            <w:r>
              <w:rPr>
                <w:rFonts w:ascii="Arial" w:cs="Arial" w:eastAsia="Arial" w:hAnsi="Arial"/>
                <w:sz w:val="11"/>
                <w:szCs w:val="11"/>
                <w:color w:val="auto"/>
              </w:rPr>
              <w:t>Net loss per share of Class A common stock — basic and diluted (1)</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(1.79)</w:t>
            </w:r>
          </w:p>
        </w:tc>
        <w:tc>
          <w:tcPr>
            <w:tcW w:w="80" w:type="dxa"/>
            <w:vAlign w:val="bottom"/>
          </w:tcPr>
          <w:p>
            <w:pPr>
              <w:spacing w:after="0"/>
              <w:rPr>
                <w:sz w:val="12"/>
                <w:szCs w:val="12"/>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(0.22)</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Weighted-average shares of Class A common stock outstanding — basic and diluted</w:t>
            </w: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105,991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84,189</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500" w:hanging="240"/>
        <w:spacing w:after="0"/>
        <w:tabs>
          <w:tab w:leader="none" w:pos="500" w:val="left"/>
        </w:tabs>
        <w:numPr>
          <w:ilvl w:val="0"/>
          <w:numId w:val="32"/>
        </w:numPr>
        <w:rPr>
          <w:rFonts w:ascii="Arial" w:cs="Arial" w:eastAsia="Arial" w:hAnsi="Arial"/>
          <w:sz w:val="11"/>
          <w:szCs w:val="11"/>
          <w:i w:val="1"/>
          <w:iCs w:val="1"/>
          <w:color w:val="auto"/>
        </w:rPr>
      </w:pPr>
      <w:r>
        <w:rPr>
          <w:rFonts w:ascii="Arial" w:cs="Arial" w:eastAsia="Arial" w:hAnsi="Arial"/>
          <w:sz w:val="11"/>
          <w:szCs w:val="11"/>
          <w:i w:val="1"/>
          <w:iCs w:val="1"/>
          <w:color w:val="auto"/>
        </w:rPr>
        <w:t>Net loss per share of Class A common stock—basic and diluted for the twelve months ended December 31, 2020, is based on the post-IPO net loss from July 17, 2020 to December 31, 2020.</w:t>
      </w:r>
    </w:p>
    <w:p>
      <w:pPr>
        <w:spacing w:after="0" w:line="168" w:lineRule="exact"/>
        <w:rPr>
          <w:rFonts w:ascii="Arial" w:cs="Arial" w:eastAsia="Arial" w:hAnsi="Arial"/>
          <w:sz w:val="11"/>
          <w:szCs w:val="11"/>
          <w:i w:val="1"/>
          <w:iCs w:val="1"/>
          <w:color w:val="auto"/>
        </w:rPr>
      </w:pPr>
    </w:p>
    <w:p>
      <w:pPr>
        <w:ind w:left="3100"/>
        <w:spacing w:after="0"/>
        <w:rPr>
          <w:rFonts w:ascii="Arial" w:cs="Arial" w:eastAsia="Arial" w:hAnsi="Arial"/>
          <w:sz w:val="11"/>
          <w:szCs w:val="11"/>
          <w:i w:val="1"/>
          <w:iCs w:val="1"/>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63</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42" w:right="319" w:bottom="1440" w:gutter="0" w:footer="0" w:header="0"/>
        </w:sectPr>
      </w:pPr>
    </w:p>
    <w:bookmarkStart w:id="66" w:name="page67"/>
    <w:bookmarkEnd w:id="66"/>
    <w:p>
      <w:pPr>
        <w:jc w:val="center"/>
        <w:spacing w:after="0"/>
        <w:rPr>
          <w:sz w:val="20"/>
          <w:szCs w:val="20"/>
          <w:color w:val="auto"/>
        </w:rPr>
      </w:pPr>
      <w:r>
        <w:rPr>
          <w:rFonts w:ascii="Arial" w:cs="Arial" w:eastAsia="Arial" w:hAnsi="Arial"/>
          <w:sz w:val="13"/>
          <w:szCs w:val="13"/>
          <w:b w:val="1"/>
          <w:bCs w:val="1"/>
          <w:color w:val="0A2299"/>
        </w:rPr>
        <w:t>GOHEALTH,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A2299"/>
        </w:rPr>
        <w:t>CONSOLIDATED STATEMENTS OF COMPREHENSIVE INCOME (LOSS)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0A2299"/>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rPr>
              <w:t>Successor</w:t>
            </w: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ind w:right="43"/>
              <w:spacing w:after="0"/>
              <w:rPr>
                <w:sz w:val="20"/>
                <w:szCs w:val="20"/>
                <w:color w:val="auto"/>
              </w:rPr>
            </w:pPr>
            <w:r>
              <w:rPr>
                <w:rFonts w:ascii="Arial" w:cs="Arial" w:eastAsia="Arial" w:hAnsi="Arial"/>
                <w:sz w:val="11"/>
                <w:szCs w:val="11"/>
                <w:b w:val="1"/>
                <w:bCs w:val="1"/>
                <w:color w:val="auto"/>
              </w:rPr>
              <w:t>Predecessor</w:t>
            </w:r>
          </w:p>
        </w:tc>
        <w:tc>
          <w:tcPr>
            <w:tcW w:w="0" w:type="dxa"/>
            <w:vAlign w:val="bottom"/>
          </w:tcPr>
          <w:p>
            <w:pPr>
              <w:spacing w:after="0"/>
              <w:rPr>
                <w:sz w:val="1"/>
                <w:szCs w:val="1"/>
                <w:color w:val="auto"/>
              </w:rPr>
            </w:pPr>
          </w:p>
        </w:tc>
      </w:tr>
      <w:tr>
        <w:trPr>
          <w:trHeight w:val="107"/>
        </w:trPr>
        <w:tc>
          <w:tcPr>
            <w:tcW w:w="4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gridSpan w:val="3"/>
            <w:vMerge w:val="restart"/>
          </w:tcPr>
          <w:p>
            <w:pPr>
              <w:jc w:val="center"/>
              <w:ind w:right="220"/>
              <w:spacing w:after="0"/>
              <w:rPr>
                <w:sz w:val="20"/>
                <w:szCs w:val="20"/>
                <w:color w:val="auto"/>
              </w:rPr>
            </w:pPr>
            <w:r>
              <w:rPr>
                <w:rFonts w:ascii="Arial" w:cs="Arial" w:eastAsia="Arial" w:hAnsi="Arial"/>
                <w:sz w:val="11"/>
                <w:szCs w:val="11"/>
                <w:b w:val="1"/>
                <w:bCs w:val="1"/>
                <w:color w:val="auto"/>
              </w:rPr>
              <w:t>Twelve months</w:t>
            </w:r>
          </w:p>
        </w:tc>
        <w:tc>
          <w:tcPr>
            <w:tcW w:w="140" w:type="dxa"/>
            <w:vAlign w:val="bottom"/>
          </w:tcPr>
          <w:p>
            <w:pPr>
              <w:spacing w:after="0"/>
              <w:rPr>
                <w:sz w:val="9"/>
                <w:szCs w:val="9"/>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rPr>
              <w:t>Twelve months</w:t>
            </w:r>
          </w:p>
        </w:tc>
        <w:tc>
          <w:tcPr>
            <w:tcW w:w="1300" w:type="dxa"/>
            <w:vAlign w:val="bottom"/>
            <w:tcBorders>
              <w:right w:val="single" w:sz="8" w:color="auto"/>
            </w:tcBorders>
            <w:gridSpan w:val="3"/>
          </w:tcPr>
          <w:p>
            <w:pPr>
              <w:ind w:left="60"/>
              <w:spacing w:after="0" w:line="107" w:lineRule="exact"/>
              <w:rPr>
                <w:sz w:val="20"/>
                <w:szCs w:val="20"/>
                <w:color w:val="auto"/>
              </w:rPr>
            </w:pPr>
            <w:r>
              <w:rPr>
                <w:rFonts w:ascii="Arial" w:cs="Arial" w:eastAsia="Arial" w:hAnsi="Arial"/>
                <w:sz w:val="11"/>
                <w:szCs w:val="11"/>
                <w:b w:val="1"/>
                <w:bCs w:val="1"/>
                <w:color w:val="auto"/>
              </w:rPr>
              <w:t>Period from Sep. 13,</w:t>
            </w:r>
          </w:p>
        </w:tc>
        <w:tc>
          <w:tcPr>
            <w:tcW w:w="80" w:type="dxa"/>
            <w:vAlign w:val="bottom"/>
          </w:tcPr>
          <w:p>
            <w:pPr>
              <w:spacing w:after="0"/>
              <w:rPr>
                <w:sz w:val="9"/>
                <w:szCs w:val="9"/>
                <w:color w:val="auto"/>
              </w:rPr>
            </w:pPr>
          </w:p>
        </w:tc>
        <w:tc>
          <w:tcPr>
            <w:tcW w:w="1100" w:type="dxa"/>
            <w:vAlign w:val="bottom"/>
          </w:tcPr>
          <w:p>
            <w:pPr>
              <w:jc w:val="center"/>
              <w:ind w:right="23"/>
              <w:spacing w:after="0" w:line="107" w:lineRule="exact"/>
              <w:rPr>
                <w:sz w:val="20"/>
                <w:szCs w:val="20"/>
                <w:color w:val="auto"/>
              </w:rPr>
            </w:pPr>
            <w:r>
              <w:rPr>
                <w:rFonts w:ascii="Arial" w:cs="Arial" w:eastAsia="Arial" w:hAnsi="Arial"/>
                <w:sz w:val="11"/>
                <w:szCs w:val="11"/>
                <w:b w:val="1"/>
                <w:bCs w:val="1"/>
                <w:color w:val="auto"/>
              </w:rPr>
              <w:t>Period from Jan. 1,</w:t>
            </w:r>
          </w:p>
        </w:tc>
        <w:tc>
          <w:tcPr>
            <w:tcW w:w="0" w:type="dxa"/>
            <w:vAlign w:val="bottom"/>
          </w:tcPr>
          <w:p>
            <w:pPr>
              <w:spacing w:after="0"/>
              <w:rPr>
                <w:sz w:val="1"/>
                <w:szCs w:val="1"/>
                <w:color w:val="auto"/>
              </w:rPr>
            </w:pPr>
          </w:p>
        </w:tc>
      </w:tr>
      <w:tr>
        <w:trPr>
          <w:trHeight w:val="106"/>
        </w:trPr>
        <w:tc>
          <w:tcPr>
            <w:tcW w:w="4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300" w:type="dxa"/>
            <w:vAlign w:val="bottom"/>
            <w:tcBorders>
              <w:right w:val="single" w:sz="8" w:color="auto"/>
            </w:tcBorders>
            <w:gridSpan w:val="3"/>
          </w:tcPr>
          <w:p>
            <w:pPr>
              <w:ind w:left="20"/>
              <w:spacing w:after="0" w:line="106" w:lineRule="exact"/>
              <w:rPr>
                <w:sz w:val="20"/>
                <w:szCs w:val="20"/>
                <w:color w:val="auto"/>
              </w:rPr>
            </w:pPr>
            <w:r>
              <w:rPr>
                <w:rFonts w:ascii="Arial" w:cs="Arial" w:eastAsia="Arial" w:hAnsi="Arial"/>
                <w:sz w:val="11"/>
                <w:szCs w:val="11"/>
                <w:b w:val="1"/>
                <w:bCs w:val="1"/>
                <w:color w:val="auto"/>
              </w:rPr>
              <w:t>2019 through Dec. 31,</w:t>
            </w:r>
          </w:p>
        </w:tc>
        <w:tc>
          <w:tcPr>
            <w:tcW w:w="80" w:type="dxa"/>
            <w:vAlign w:val="bottom"/>
          </w:tcPr>
          <w:p>
            <w:pPr>
              <w:spacing w:after="0"/>
              <w:rPr>
                <w:sz w:val="9"/>
                <w:szCs w:val="9"/>
                <w:color w:val="auto"/>
              </w:rPr>
            </w:pPr>
          </w:p>
        </w:tc>
        <w:tc>
          <w:tcPr>
            <w:tcW w:w="1100" w:type="dxa"/>
            <w:vAlign w:val="bottom"/>
          </w:tcPr>
          <w:p>
            <w:pPr>
              <w:jc w:val="center"/>
              <w:ind w:right="23"/>
              <w:spacing w:after="0" w:line="106" w:lineRule="exact"/>
              <w:rPr>
                <w:sz w:val="20"/>
                <w:szCs w:val="20"/>
                <w:color w:val="auto"/>
              </w:rPr>
            </w:pPr>
            <w:r>
              <w:rPr>
                <w:rFonts w:ascii="Arial" w:cs="Arial" w:eastAsia="Arial" w:hAnsi="Arial"/>
                <w:sz w:val="11"/>
                <w:szCs w:val="11"/>
                <w:b w:val="1"/>
                <w:bCs w:val="1"/>
                <w:color w:val="auto"/>
              </w:rPr>
              <w:t>2019 through Sep.</w:t>
            </w:r>
          </w:p>
        </w:tc>
        <w:tc>
          <w:tcPr>
            <w:tcW w:w="0" w:type="dxa"/>
            <w:vAlign w:val="bottom"/>
          </w:tcPr>
          <w:p>
            <w:pPr>
              <w:spacing w:after="0"/>
              <w:rPr>
                <w:sz w:val="1"/>
                <w:szCs w:val="1"/>
                <w:color w:val="auto"/>
              </w:rPr>
            </w:pPr>
          </w:p>
        </w:tc>
      </w:tr>
      <w:tr>
        <w:trPr>
          <w:trHeight w:val="138"/>
        </w:trPr>
        <w:tc>
          <w:tcPr>
            <w:tcW w:w="48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360" w:type="dxa"/>
            <w:vAlign w:val="bottom"/>
            <w:tcBorders>
              <w:bottom w:val="single" w:sz="8" w:color="CCEEFF"/>
            </w:tcBorders>
          </w:tcPr>
          <w:p>
            <w:pPr>
              <w:spacing w:after="0"/>
              <w:rPr>
                <w:sz w:val="11"/>
                <w:szCs w:val="11"/>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rPr>
              <w:t>ended Dec. 31, 2021</w:t>
            </w:r>
          </w:p>
        </w:tc>
        <w:tc>
          <w:tcPr>
            <w:tcW w:w="80" w:type="dxa"/>
            <w:vAlign w:val="bottom"/>
            <w:tcBorders>
              <w:bottom w:val="single" w:sz="8" w:color="CCEEFF"/>
            </w:tcBorders>
          </w:tcPr>
          <w:p>
            <w:pPr>
              <w:spacing w:after="0"/>
              <w:rPr>
                <w:sz w:val="11"/>
                <w:szCs w:val="11"/>
                <w:color w:val="auto"/>
              </w:rPr>
            </w:pPr>
          </w:p>
        </w:tc>
        <w:tc>
          <w:tcPr>
            <w:tcW w:w="12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1"/>
                <w:szCs w:val="11"/>
                <w:b w:val="1"/>
                <w:bCs w:val="1"/>
                <w:color w:val="auto"/>
              </w:rPr>
              <w:t>ended Dec. 31, 2020</w:t>
            </w: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23"/>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CCEEFF"/>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center"/>
              <w:ind w:right="43"/>
              <w:spacing w:after="0"/>
              <w:rPr>
                <w:sz w:val="20"/>
                <w:szCs w:val="20"/>
                <w:color w:val="auto"/>
              </w:rPr>
            </w:pPr>
            <w:r>
              <w:rPr>
                <w:rFonts w:ascii="Arial" w:cs="Arial" w:eastAsia="Arial" w:hAnsi="Arial"/>
                <w:sz w:val="11"/>
                <w:szCs w:val="11"/>
                <w:b w:val="1"/>
                <w:bCs w:val="1"/>
                <w:color w:val="auto"/>
              </w:rPr>
              <w:t>12, 2019</w:t>
            </w:r>
          </w:p>
        </w:tc>
        <w:tc>
          <w:tcPr>
            <w:tcW w:w="0" w:type="dxa"/>
            <w:vAlign w:val="bottom"/>
          </w:tcPr>
          <w:p>
            <w:pPr>
              <w:spacing w:after="0"/>
              <w:rPr>
                <w:sz w:val="1"/>
                <w:szCs w:val="1"/>
                <w:color w:val="auto"/>
              </w:rPr>
            </w:pPr>
          </w:p>
        </w:tc>
      </w:tr>
      <w:tr>
        <w:trPr>
          <w:trHeight w:val="139"/>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 (loss)</w:t>
            </w:r>
          </w:p>
        </w:tc>
        <w:tc>
          <w:tcPr>
            <w:tcW w:w="1500" w:type="dxa"/>
            <w:vAlign w:val="bottom"/>
            <w:gridSpan w:val="3"/>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(534,194)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(97,200)</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15,995</w:t>
            </w: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(57,063)</w:t>
            </w:r>
          </w:p>
        </w:tc>
        <w:tc>
          <w:tcPr>
            <w:tcW w:w="0" w:type="dxa"/>
            <w:vAlign w:val="bottom"/>
          </w:tcPr>
          <w:p>
            <w:pPr>
              <w:spacing w:after="0"/>
              <w:rPr>
                <w:sz w:val="1"/>
                <w:szCs w:val="1"/>
                <w:color w:val="auto"/>
              </w:rPr>
            </w:pPr>
          </w:p>
        </w:tc>
      </w:tr>
      <w:tr>
        <w:trPr>
          <w:trHeight w:val="149"/>
        </w:trPr>
        <w:tc>
          <w:tcPr>
            <w:tcW w:w="4860" w:type="dxa"/>
            <w:vAlign w:val="bottom"/>
          </w:tcPr>
          <w:p>
            <w:pPr>
              <w:ind w:left="20"/>
              <w:spacing w:after="0"/>
              <w:rPr>
                <w:sz w:val="20"/>
                <w:szCs w:val="20"/>
                <w:color w:val="auto"/>
              </w:rPr>
            </w:pPr>
            <w:r>
              <w:rPr>
                <w:rFonts w:ascii="Arial" w:cs="Arial" w:eastAsia="Arial" w:hAnsi="Arial"/>
                <w:sz w:val="11"/>
                <w:szCs w:val="11"/>
                <w:i w:val="1"/>
                <w:iCs w:val="1"/>
                <w:color w:val="auto"/>
              </w:rPr>
              <w:t>Other comprehensive income (loss):</w:t>
            </w:r>
          </w:p>
        </w:tc>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Foreign currency translation adjustments</w:t>
            </w:r>
          </w:p>
        </w:tc>
        <w:tc>
          <w:tcPr>
            <w:tcW w:w="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(155)</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66</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139"/>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Comprehensive income (loss)</w:t>
            </w:r>
          </w:p>
        </w:tc>
        <w:tc>
          <w:tcPr>
            <w:tcW w:w="2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(534,349)</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(97,134)</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15,978</w:t>
            </w:r>
          </w:p>
        </w:tc>
        <w:tc>
          <w:tcPr>
            <w:tcW w:w="100" w:type="dxa"/>
            <w:vAlign w:val="bottom"/>
            <w:tcBorders>
              <w:bottom w:val="single" w:sz="8" w:color="CCEEFF"/>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(57,095)</w:t>
            </w:r>
          </w:p>
        </w:tc>
        <w:tc>
          <w:tcPr>
            <w:tcW w:w="0" w:type="dxa"/>
            <w:vAlign w:val="bottom"/>
          </w:tcPr>
          <w:p>
            <w:pPr>
              <w:spacing w:after="0"/>
              <w:rPr>
                <w:sz w:val="1"/>
                <w:szCs w:val="1"/>
                <w:color w:val="auto"/>
              </w:rPr>
            </w:pPr>
          </w:p>
        </w:tc>
      </w:tr>
      <w:tr>
        <w:trPr>
          <w:trHeight w:val="139"/>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Comprehensive loss attributable to non-controlling interests</w:t>
            </w:r>
          </w:p>
        </w:tc>
        <w:tc>
          <w:tcPr>
            <w:tcW w:w="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(344,916)</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(52,884)</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4860" w:type="dxa"/>
            <w:vAlign w:val="bottom"/>
          </w:tcPr>
          <w:p>
            <w:pPr>
              <w:ind w:left="20"/>
              <w:spacing w:after="0"/>
              <w:rPr>
                <w:sz w:val="20"/>
                <w:szCs w:val="20"/>
                <w:color w:val="auto"/>
              </w:rPr>
            </w:pPr>
            <w:r>
              <w:rPr>
                <w:rFonts w:ascii="Arial" w:cs="Arial" w:eastAsia="Arial" w:hAnsi="Arial"/>
                <w:sz w:val="11"/>
                <w:szCs w:val="11"/>
                <w:b w:val="1"/>
                <w:bCs w:val="1"/>
                <w:color w:val="auto"/>
              </w:rPr>
              <w:t>Comprehensive income (loss) attributable to GoHealth, Inc.</w:t>
            </w:r>
          </w:p>
        </w:tc>
        <w:tc>
          <w:tcPr>
            <w:tcW w:w="1380" w:type="dxa"/>
            <w:vAlign w:val="bottom"/>
            <w:gridSpan w:val="2"/>
          </w:tcPr>
          <w:p>
            <w:pPr>
              <w:spacing w:after="0"/>
              <w:rPr>
                <w:sz w:val="12"/>
                <w:szCs w:val="12"/>
                <w:color w:val="auto"/>
              </w:rPr>
            </w:pPr>
          </w:p>
        </w:tc>
        <w:tc>
          <w:tcPr>
            <w:tcW w:w="120" w:type="dxa"/>
            <w:vAlign w:val="bottom"/>
            <w:tcBorders>
              <w:bottom w:val="single" w:sz="8" w:color="auto"/>
            </w:tcBorders>
          </w:tcPr>
          <w:p>
            <w:pPr>
              <w:jc w:val="right"/>
              <w:ind w:right="6"/>
              <w:spacing w:after="0"/>
              <w:rPr>
                <w:sz w:val="20"/>
                <w:szCs w:val="20"/>
                <w:color w:val="auto"/>
              </w:rPr>
            </w:pPr>
            <w:r>
              <w:rPr>
                <w:rFonts w:ascii="Arial" w:cs="Arial" w:eastAsia="Arial" w:hAnsi="Arial"/>
                <w:sz w:val="10"/>
                <w:szCs w:val="10"/>
                <w:b w:val="1"/>
                <w:bCs w:val="1"/>
                <w:color w:val="auto"/>
                <w:w w:val="71"/>
              </w:rPr>
              <w:t>$</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(189,433)</w:t>
            </w:r>
          </w:p>
        </w:tc>
        <w:tc>
          <w:tcPr>
            <w:tcW w:w="80" w:type="dxa"/>
            <w:vAlign w:val="bottom"/>
          </w:tcPr>
          <w:p>
            <w:pPr>
              <w:spacing w:after="0"/>
              <w:rPr>
                <w:sz w:val="12"/>
                <w:szCs w:val="12"/>
                <w:color w:val="auto"/>
              </w:rPr>
            </w:pP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(44,250)</w:t>
            </w:r>
          </w:p>
        </w:tc>
        <w:tc>
          <w:tcPr>
            <w:tcW w:w="80" w:type="dxa"/>
            <w:vAlign w:val="bottom"/>
          </w:tcPr>
          <w:p>
            <w:pPr>
              <w:spacing w:after="0"/>
              <w:rPr>
                <w:sz w:val="12"/>
                <w:szCs w:val="12"/>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15,978</w:t>
            </w:r>
          </w:p>
        </w:tc>
        <w:tc>
          <w:tcPr>
            <w:tcW w:w="100" w:type="dxa"/>
            <w:vAlign w:val="bottom"/>
            <w:tcBorders>
              <w:right w:val="single" w:sz="8" w:color="auto"/>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(57,095)</w:t>
            </w:r>
          </w:p>
        </w:tc>
        <w:tc>
          <w:tcPr>
            <w:tcW w:w="0" w:type="dxa"/>
            <w:vAlign w:val="bottom"/>
          </w:tcPr>
          <w:p>
            <w:pPr>
              <w:spacing w:after="0"/>
              <w:rPr>
                <w:sz w:val="1"/>
                <w:szCs w:val="1"/>
                <w:color w:val="auto"/>
              </w:rPr>
            </w:pPr>
          </w:p>
        </w:tc>
      </w:tr>
      <w:tr>
        <w:trPr>
          <w:trHeight w:val="20"/>
        </w:trPr>
        <w:tc>
          <w:tcPr>
            <w:tcW w:w="48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8800" w:type="dxa"/>
            <w:vAlign w:val="bottom"/>
            <w:gridSpan w:val="10"/>
          </w:tcPr>
          <w:p>
            <w:pPr>
              <w:ind w:left="310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4860" w:type="dxa"/>
            <w:vAlign w:val="bottom"/>
            <w:vMerge w:val="restart"/>
          </w:tcPr>
          <w:p>
            <w:pPr>
              <w:ind w:left="3760"/>
              <w:spacing w:after="0"/>
              <w:rPr>
                <w:sz w:val="20"/>
                <w:szCs w:val="20"/>
                <w:color w:val="auto"/>
              </w:rPr>
            </w:pPr>
            <w:r>
              <w:rPr>
                <w:rFonts w:ascii="Arial" w:cs="Arial" w:eastAsia="Arial" w:hAnsi="Arial"/>
                <w:sz w:val="11"/>
                <w:szCs w:val="11"/>
                <w:color w:val="auto"/>
              </w:rPr>
              <w:t>GoHealth, Inc.</w:t>
            </w:r>
          </w:p>
        </w:tc>
        <w:tc>
          <w:tcPr>
            <w:tcW w:w="20" w:type="dxa"/>
            <w:vAlign w:val="bottom"/>
          </w:tcPr>
          <w:p>
            <w:pPr>
              <w:spacing w:after="0"/>
              <w:rPr>
                <w:sz w:val="24"/>
                <w:szCs w:val="24"/>
                <w:color w:val="auto"/>
              </w:rPr>
            </w:pPr>
          </w:p>
        </w:tc>
        <w:tc>
          <w:tcPr>
            <w:tcW w:w="1480" w:type="dxa"/>
            <w:vAlign w:val="bottom"/>
            <w:gridSpan w:val="2"/>
            <w:vMerge w:val="restart"/>
          </w:tcPr>
          <w:p>
            <w:pPr>
              <w:jc w:val="right"/>
              <w:ind w:right="246"/>
              <w:spacing w:after="0"/>
              <w:rPr>
                <w:sz w:val="20"/>
                <w:szCs w:val="20"/>
                <w:color w:val="auto"/>
              </w:rPr>
            </w:pPr>
            <w:r>
              <w:rPr>
                <w:rFonts w:ascii="Arial" w:cs="Arial" w:eastAsia="Arial" w:hAnsi="Arial"/>
                <w:sz w:val="11"/>
                <w:szCs w:val="11"/>
                <w:color w:val="auto"/>
              </w:rPr>
              <w:t>2021 Form 10-K</w:t>
            </w:r>
          </w:p>
        </w:tc>
        <w:tc>
          <w:tcPr>
            <w:tcW w:w="108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860" w:type="dxa"/>
            <w:vAlign w:val="bottom"/>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980" w:type="dxa"/>
            <w:vAlign w:val="bottom"/>
          </w:tcPr>
          <w:p>
            <w:pPr>
              <w:jc w:val="right"/>
              <w:ind w:right="743"/>
              <w:spacing w:after="0"/>
              <w:rPr>
                <w:sz w:val="20"/>
                <w:szCs w:val="20"/>
                <w:color w:val="auto"/>
              </w:rPr>
            </w:pPr>
            <w:r>
              <w:rPr>
                <w:rFonts w:ascii="Arial" w:cs="Arial" w:eastAsia="Arial" w:hAnsi="Arial"/>
                <w:sz w:val="11"/>
                <w:szCs w:val="11"/>
                <w:color w:val="auto"/>
              </w:rPr>
              <w:t>64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8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69" w:right="319" w:bottom="1440" w:gutter="0" w:footer="0" w:header="0"/>
        </w:sectPr>
      </w:pPr>
    </w:p>
    <w:bookmarkStart w:id="67" w:name="page68"/>
    <w:bookmarkEnd w:id="67"/>
    <w:p>
      <w:pPr>
        <w:jc w:val="center"/>
        <w:spacing w:after="0"/>
        <w:rPr>
          <w:sz w:val="20"/>
          <w:szCs w:val="20"/>
          <w:color w:val="auto"/>
        </w:rPr>
      </w:pPr>
      <w:r>
        <w:rPr>
          <w:rFonts w:ascii="Arial" w:cs="Arial" w:eastAsia="Arial" w:hAnsi="Arial"/>
          <w:sz w:val="13"/>
          <w:szCs w:val="13"/>
          <w:b w:val="1"/>
          <w:bCs w:val="1"/>
          <w:color w:val="0A2299"/>
        </w:rPr>
        <w:t>GOHEALTH,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A2299"/>
        </w:rPr>
        <w:t>CONSOLIDATED BALANCE SHEETS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0A2299"/>
        </w:rPr>
        <w:t>(in thousands, except per share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6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380" w:type="dxa"/>
            <w:vAlign w:val="bottom"/>
            <w:tcBorders>
              <w:bottom w:val="single" w:sz="8" w:color="CCEEFF"/>
            </w:tcBorders>
          </w:tcPr>
          <w:p>
            <w:pPr>
              <w:spacing w:after="0"/>
              <w:rPr>
                <w:sz w:val="13"/>
                <w:szCs w:val="13"/>
                <w:color w:val="auto"/>
              </w:rPr>
            </w:pPr>
          </w:p>
        </w:tc>
        <w:tc>
          <w:tcPr>
            <w:tcW w:w="1460" w:type="dxa"/>
            <w:vAlign w:val="bottom"/>
            <w:tcBorders>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423"/>
              <w:spacing w:after="0"/>
              <w:rPr>
                <w:sz w:val="20"/>
                <w:szCs w:val="20"/>
                <w:color w:val="auto"/>
              </w:rPr>
            </w:pPr>
            <w:r>
              <w:rPr>
                <w:rFonts w:ascii="Arial" w:cs="Arial" w:eastAsia="Arial" w:hAnsi="Arial"/>
                <w:sz w:val="11"/>
                <w:szCs w:val="11"/>
                <w:b w:val="1"/>
                <w:bCs w:val="1"/>
                <w:color w:val="auto"/>
              </w:rPr>
              <w:t>Dec. 31, 2021</w:t>
            </w:r>
          </w:p>
        </w:tc>
        <w:tc>
          <w:tcPr>
            <w:tcW w:w="8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Dec. 31, 2020</w:t>
            </w:r>
          </w:p>
        </w:tc>
        <w:tc>
          <w:tcPr>
            <w:tcW w:w="0" w:type="dxa"/>
            <w:vAlign w:val="bottom"/>
          </w:tcPr>
          <w:p>
            <w:pPr>
              <w:spacing w:after="0"/>
              <w:rPr>
                <w:sz w:val="1"/>
                <w:szCs w:val="1"/>
                <w:color w:val="auto"/>
              </w:rPr>
            </w:pPr>
          </w:p>
        </w:tc>
      </w:tr>
      <w:tr>
        <w:trPr>
          <w:trHeight w:val="129"/>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Assets</w:t>
            </w:r>
          </w:p>
        </w:tc>
        <w:tc>
          <w:tcPr>
            <w:tcW w:w="1380" w:type="dxa"/>
            <w:vAlign w:val="bottom"/>
            <w:shd w:val="clear" w:color="auto" w:fill="CCEEFF"/>
          </w:tcPr>
          <w:p>
            <w:pPr>
              <w:spacing w:after="0"/>
              <w:rPr>
                <w:sz w:val="11"/>
                <w:szCs w:val="11"/>
                <w:color w:val="auto"/>
              </w:rPr>
            </w:pPr>
          </w:p>
        </w:tc>
        <w:tc>
          <w:tcPr>
            <w:tcW w:w="1460" w:type="dxa"/>
            <w:vAlign w:val="bottom"/>
            <w:tcBorders>
              <w:left w:val="single" w:sz="8" w:color="CCEEFF"/>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60" w:type="dxa"/>
            <w:vAlign w:val="bottom"/>
            <w:gridSpan w:val="2"/>
          </w:tcPr>
          <w:p>
            <w:pPr>
              <w:ind w:left="20"/>
              <w:spacing w:after="0"/>
              <w:rPr>
                <w:sz w:val="20"/>
                <w:szCs w:val="20"/>
                <w:color w:val="auto"/>
              </w:rPr>
            </w:pPr>
            <w:r>
              <w:rPr>
                <w:rFonts w:ascii="Arial" w:cs="Arial" w:eastAsia="Arial" w:hAnsi="Arial"/>
                <w:sz w:val="11"/>
                <w:szCs w:val="11"/>
                <w:i w:val="1"/>
                <w:iCs w:val="1"/>
                <w:color w:val="auto"/>
              </w:rPr>
              <w:t>Current assets:</w:t>
            </w:r>
          </w:p>
        </w:tc>
        <w:tc>
          <w:tcPr>
            <w:tcW w:w="1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Cash and cash equivalents</w:t>
            </w:r>
          </w:p>
        </w:tc>
        <w:tc>
          <w:tcPr>
            <w:tcW w:w="1380" w:type="dxa"/>
            <w:vAlign w:val="bottom"/>
            <w:shd w:val="clear" w:color="auto" w:fill="CCEEFF"/>
          </w:tcPr>
          <w:p>
            <w:pPr>
              <w:spacing w:after="0"/>
              <w:rPr>
                <w:sz w:val="12"/>
                <w:szCs w:val="12"/>
                <w:color w:val="auto"/>
              </w:rPr>
            </w:pPr>
          </w:p>
        </w:tc>
        <w:tc>
          <w:tcPr>
            <w:tcW w:w="1840" w:type="dxa"/>
            <w:vAlign w:val="bottom"/>
            <w:tcBorders>
              <w:lef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84,361</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144,234</w:t>
            </w:r>
          </w:p>
        </w:tc>
        <w:tc>
          <w:tcPr>
            <w:tcW w:w="0" w:type="dxa"/>
            <w:vAlign w:val="bottom"/>
          </w:tcPr>
          <w:p>
            <w:pPr>
              <w:spacing w:after="0"/>
              <w:rPr>
                <w:sz w:val="1"/>
                <w:szCs w:val="1"/>
                <w:color w:val="auto"/>
              </w:rPr>
            </w:pPr>
          </w:p>
        </w:tc>
      </w:tr>
      <w:tr>
        <w:trPr>
          <w:trHeight w:val="149"/>
        </w:trPr>
        <w:tc>
          <w:tcPr>
            <w:tcW w:w="5060" w:type="dxa"/>
            <w:vAlign w:val="bottom"/>
            <w:gridSpan w:val="2"/>
          </w:tcPr>
          <w:p>
            <w:pPr>
              <w:ind w:left="180"/>
              <w:spacing w:after="0"/>
              <w:rPr>
                <w:sz w:val="20"/>
                <w:szCs w:val="20"/>
                <w:color w:val="auto"/>
              </w:rPr>
            </w:pPr>
            <w:r>
              <w:rPr>
                <w:rFonts w:ascii="Arial" w:cs="Arial" w:eastAsia="Arial" w:hAnsi="Arial"/>
                <w:sz w:val="11"/>
                <w:szCs w:val="11"/>
                <w:color w:val="auto"/>
              </w:rPr>
              <w:t>Accounts receivable, net of allowance for doubtful accounts of $558 in 2021 and $787 in 2020</w:t>
            </w:r>
          </w:p>
        </w:tc>
        <w:tc>
          <w:tcPr>
            <w:tcW w:w="1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jc w:val="right"/>
              <w:ind w:right="3"/>
              <w:spacing w:after="0"/>
              <w:rPr>
                <w:sz w:val="20"/>
                <w:szCs w:val="20"/>
                <w:color w:val="auto"/>
              </w:rPr>
            </w:pPr>
            <w:r>
              <w:rPr>
                <w:rFonts w:ascii="Arial" w:cs="Arial" w:eastAsia="Arial" w:hAnsi="Arial"/>
                <w:sz w:val="11"/>
                <w:szCs w:val="11"/>
                <w:color w:val="auto"/>
              </w:rPr>
              <w:t>17,276</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14,211</w:t>
            </w:r>
          </w:p>
        </w:tc>
        <w:tc>
          <w:tcPr>
            <w:tcW w:w="0" w:type="dxa"/>
            <w:vAlign w:val="bottom"/>
          </w:tcPr>
          <w:p>
            <w:pPr>
              <w:spacing w:after="0"/>
              <w:rPr>
                <w:sz w:val="1"/>
                <w:szCs w:val="1"/>
                <w:color w:val="auto"/>
              </w:rPr>
            </w:pPr>
          </w:p>
        </w:tc>
      </w:tr>
      <w:tr>
        <w:trPr>
          <w:trHeight w:val="149"/>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Receivable from NVX Holdings, Inc.</w:t>
            </w:r>
          </w:p>
        </w:tc>
        <w:tc>
          <w:tcPr>
            <w:tcW w:w="1380" w:type="dxa"/>
            <w:vAlign w:val="bottom"/>
            <w:shd w:val="clear" w:color="auto" w:fill="CCEEFF"/>
          </w:tcPr>
          <w:p>
            <w:pPr>
              <w:spacing w:after="0"/>
              <w:rPr>
                <w:sz w:val="12"/>
                <w:szCs w:val="12"/>
                <w:color w:val="auto"/>
              </w:rPr>
            </w:pPr>
          </w:p>
        </w:tc>
        <w:tc>
          <w:tcPr>
            <w:tcW w:w="1460" w:type="dxa"/>
            <w:vAlign w:val="bottom"/>
            <w:tcBorders>
              <w:lef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3,395</w:t>
            </w:r>
          </w:p>
        </w:tc>
        <w:tc>
          <w:tcPr>
            <w:tcW w:w="0" w:type="dxa"/>
            <w:vAlign w:val="bottom"/>
          </w:tcPr>
          <w:p>
            <w:pPr>
              <w:spacing w:after="0"/>
              <w:rPr>
                <w:sz w:val="1"/>
                <w:szCs w:val="1"/>
                <w:color w:val="auto"/>
              </w:rPr>
            </w:pPr>
          </w:p>
        </w:tc>
      </w:tr>
      <w:tr>
        <w:trPr>
          <w:trHeight w:val="149"/>
        </w:trPr>
        <w:tc>
          <w:tcPr>
            <w:tcW w:w="5060" w:type="dxa"/>
            <w:vAlign w:val="bottom"/>
            <w:gridSpan w:val="2"/>
          </w:tcPr>
          <w:p>
            <w:pPr>
              <w:ind w:left="180"/>
              <w:spacing w:after="0"/>
              <w:rPr>
                <w:sz w:val="20"/>
                <w:szCs w:val="20"/>
                <w:color w:val="auto"/>
              </w:rPr>
            </w:pPr>
            <w:r>
              <w:rPr>
                <w:rFonts w:ascii="Arial" w:cs="Arial" w:eastAsia="Arial" w:hAnsi="Arial"/>
                <w:sz w:val="11"/>
                <w:szCs w:val="11"/>
                <w:color w:val="auto"/>
              </w:rPr>
              <w:t>Commissions receivable - current</w:t>
            </w:r>
          </w:p>
        </w:tc>
        <w:tc>
          <w:tcPr>
            <w:tcW w:w="1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jc w:val="right"/>
              <w:ind w:right="3"/>
              <w:spacing w:after="0"/>
              <w:rPr>
                <w:sz w:val="20"/>
                <w:szCs w:val="20"/>
                <w:color w:val="auto"/>
              </w:rPr>
            </w:pPr>
            <w:r>
              <w:rPr>
                <w:rFonts w:ascii="Arial" w:cs="Arial" w:eastAsia="Arial" w:hAnsi="Arial"/>
                <w:sz w:val="11"/>
                <w:szCs w:val="11"/>
                <w:color w:val="auto"/>
              </w:rPr>
              <w:t>268,663</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188,128</w:t>
            </w:r>
          </w:p>
        </w:tc>
        <w:tc>
          <w:tcPr>
            <w:tcW w:w="0" w:type="dxa"/>
            <w:vAlign w:val="bottom"/>
          </w:tcPr>
          <w:p>
            <w:pPr>
              <w:spacing w:after="0"/>
              <w:rPr>
                <w:sz w:val="1"/>
                <w:szCs w:val="1"/>
                <w:color w:val="auto"/>
              </w:rPr>
            </w:pPr>
          </w:p>
        </w:tc>
      </w:tr>
      <w:tr>
        <w:trPr>
          <w:trHeight w:val="149"/>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Prepaid expense and other current assets</w:t>
            </w:r>
          </w:p>
        </w:tc>
        <w:tc>
          <w:tcPr>
            <w:tcW w:w="1380" w:type="dxa"/>
            <w:vAlign w:val="bottom"/>
            <w:shd w:val="clear" w:color="auto" w:fill="CCEEFF"/>
          </w:tcPr>
          <w:p>
            <w:pPr>
              <w:spacing w:after="0"/>
              <w:rPr>
                <w:sz w:val="12"/>
                <w:szCs w:val="12"/>
                <w:color w:val="auto"/>
              </w:rPr>
            </w:pPr>
          </w:p>
        </w:tc>
        <w:tc>
          <w:tcPr>
            <w:tcW w:w="1460" w:type="dxa"/>
            <w:vAlign w:val="bottom"/>
            <w:tcBorders>
              <w:left w:val="single" w:sz="8" w:color="CCEEFF"/>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58,695</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41,854</w:t>
            </w:r>
          </w:p>
        </w:tc>
        <w:tc>
          <w:tcPr>
            <w:tcW w:w="0" w:type="dxa"/>
            <w:vAlign w:val="bottom"/>
          </w:tcPr>
          <w:p>
            <w:pPr>
              <w:spacing w:after="0"/>
              <w:rPr>
                <w:sz w:val="1"/>
                <w:szCs w:val="1"/>
                <w:color w:val="auto"/>
              </w:rPr>
            </w:pPr>
          </w:p>
        </w:tc>
      </w:tr>
      <w:tr>
        <w:trPr>
          <w:trHeight w:val="139"/>
        </w:trPr>
        <w:tc>
          <w:tcPr>
            <w:tcW w:w="506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color w:val="auto"/>
              </w:rPr>
              <w:t>Total current assets</w:t>
            </w:r>
          </w:p>
        </w:tc>
        <w:tc>
          <w:tcPr>
            <w:tcW w:w="138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428,995</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391,822</w:t>
            </w:r>
          </w:p>
        </w:tc>
        <w:tc>
          <w:tcPr>
            <w:tcW w:w="0" w:type="dxa"/>
            <w:vAlign w:val="bottom"/>
          </w:tcPr>
          <w:p>
            <w:pPr>
              <w:spacing w:after="0"/>
              <w:rPr>
                <w:sz w:val="1"/>
                <w:szCs w:val="1"/>
                <w:color w:val="auto"/>
              </w:rPr>
            </w:pPr>
          </w:p>
        </w:tc>
      </w:tr>
      <w:tr>
        <w:trPr>
          <w:trHeight w:val="139"/>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Commissions receivable - non-current</w:t>
            </w:r>
          </w:p>
        </w:tc>
        <w:tc>
          <w:tcPr>
            <w:tcW w:w="1380" w:type="dxa"/>
            <w:vAlign w:val="bottom"/>
            <w:shd w:val="clear" w:color="auto" w:fill="CCEEFF"/>
          </w:tcPr>
          <w:p>
            <w:pPr>
              <w:spacing w:after="0"/>
              <w:rPr>
                <w:sz w:val="12"/>
                <w:szCs w:val="12"/>
                <w:color w:val="auto"/>
              </w:rPr>
            </w:pPr>
          </w:p>
        </w:tc>
        <w:tc>
          <w:tcPr>
            <w:tcW w:w="1460" w:type="dxa"/>
            <w:vAlign w:val="bottom"/>
            <w:tcBorders>
              <w:lef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993,844</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622,270</w:t>
            </w:r>
          </w:p>
        </w:tc>
        <w:tc>
          <w:tcPr>
            <w:tcW w:w="0" w:type="dxa"/>
            <w:vAlign w:val="bottom"/>
          </w:tcPr>
          <w:p>
            <w:pPr>
              <w:spacing w:after="0"/>
              <w:rPr>
                <w:sz w:val="1"/>
                <w:szCs w:val="1"/>
                <w:color w:val="auto"/>
              </w:rPr>
            </w:pPr>
          </w:p>
        </w:tc>
      </w:tr>
      <w:tr>
        <w:trPr>
          <w:trHeight w:val="149"/>
        </w:trPr>
        <w:tc>
          <w:tcPr>
            <w:tcW w:w="5060" w:type="dxa"/>
            <w:vAlign w:val="bottom"/>
            <w:gridSpan w:val="2"/>
          </w:tcPr>
          <w:p>
            <w:pPr>
              <w:ind w:left="20"/>
              <w:spacing w:after="0"/>
              <w:rPr>
                <w:sz w:val="20"/>
                <w:szCs w:val="20"/>
                <w:color w:val="auto"/>
              </w:rPr>
            </w:pPr>
            <w:r>
              <w:rPr>
                <w:rFonts w:ascii="Arial" w:cs="Arial" w:eastAsia="Arial" w:hAnsi="Arial"/>
                <w:sz w:val="11"/>
                <w:szCs w:val="11"/>
                <w:color w:val="auto"/>
              </w:rPr>
              <w:t>Operating lease ROU asset</w:t>
            </w:r>
          </w:p>
        </w:tc>
        <w:tc>
          <w:tcPr>
            <w:tcW w:w="1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jc w:val="right"/>
              <w:ind w:right="3"/>
              <w:spacing w:after="0"/>
              <w:rPr>
                <w:sz w:val="20"/>
                <w:szCs w:val="20"/>
                <w:color w:val="auto"/>
              </w:rPr>
            </w:pPr>
            <w:r>
              <w:rPr>
                <w:rFonts w:ascii="Arial" w:cs="Arial" w:eastAsia="Arial" w:hAnsi="Arial"/>
                <w:sz w:val="11"/>
                <w:szCs w:val="11"/>
                <w:color w:val="auto"/>
              </w:rPr>
              <w:t>23,462</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Other long-term assets</w:t>
            </w:r>
          </w:p>
        </w:tc>
        <w:tc>
          <w:tcPr>
            <w:tcW w:w="1380" w:type="dxa"/>
            <w:vAlign w:val="bottom"/>
            <w:shd w:val="clear" w:color="auto" w:fill="CCEEFF"/>
          </w:tcPr>
          <w:p>
            <w:pPr>
              <w:spacing w:after="0"/>
              <w:rPr>
                <w:sz w:val="12"/>
                <w:szCs w:val="12"/>
                <w:color w:val="auto"/>
              </w:rPr>
            </w:pPr>
          </w:p>
        </w:tc>
        <w:tc>
          <w:tcPr>
            <w:tcW w:w="1460" w:type="dxa"/>
            <w:vAlign w:val="bottom"/>
            <w:tcBorders>
              <w:lef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3,608</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2,072</w:t>
            </w:r>
          </w:p>
        </w:tc>
        <w:tc>
          <w:tcPr>
            <w:tcW w:w="0" w:type="dxa"/>
            <w:vAlign w:val="bottom"/>
          </w:tcPr>
          <w:p>
            <w:pPr>
              <w:spacing w:after="0"/>
              <w:rPr>
                <w:sz w:val="1"/>
                <w:szCs w:val="1"/>
                <w:color w:val="auto"/>
              </w:rPr>
            </w:pPr>
          </w:p>
        </w:tc>
      </w:tr>
      <w:tr>
        <w:trPr>
          <w:trHeight w:val="149"/>
        </w:trPr>
        <w:tc>
          <w:tcPr>
            <w:tcW w:w="5060" w:type="dxa"/>
            <w:vAlign w:val="bottom"/>
            <w:gridSpan w:val="2"/>
          </w:tcPr>
          <w:p>
            <w:pPr>
              <w:ind w:left="20"/>
              <w:spacing w:after="0"/>
              <w:rPr>
                <w:sz w:val="20"/>
                <w:szCs w:val="20"/>
                <w:color w:val="auto"/>
              </w:rPr>
            </w:pPr>
            <w:r>
              <w:rPr>
                <w:rFonts w:ascii="Arial" w:cs="Arial" w:eastAsia="Arial" w:hAnsi="Arial"/>
                <w:sz w:val="11"/>
                <w:szCs w:val="11"/>
                <w:color w:val="auto"/>
              </w:rPr>
              <w:t>Property, equipment, and capitalized software, net</w:t>
            </w:r>
          </w:p>
        </w:tc>
        <w:tc>
          <w:tcPr>
            <w:tcW w:w="1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jc w:val="right"/>
              <w:ind w:right="3"/>
              <w:spacing w:after="0"/>
              <w:rPr>
                <w:sz w:val="20"/>
                <w:szCs w:val="20"/>
                <w:color w:val="auto"/>
              </w:rPr>
            </w:pPr>
            <w:r>
              <w:rPr>
                <w:rFonts w:ascii="Arial" w:cs="Arial" w:eastAsia="Arial" w:hAnsi="Arial"/>
                <w:sz w:val="11"/>
                <w:szCs w:val="11"/>
                <w:color w:val="auto"/>
              </w:rPr>
              <w:t>24,273</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17,353</w:t>
            </w:r>
          </w:p>
        </w:tc>
        <w:tc>
          <w:tcPr>
            <w:tcW w:w="0" w:type="dxa"/>
            <w:vAlign w:val="bottom"/>
          </w:tcPr>
          <w:p>
            <w:pPr>
              <w:spacing w:after="0"/>
              <w:rPr>
                <w:sz w:val="1"/>
                <w:szCs w:val="1"/>
                <w:color w:val="auto"/>
              </w:rPr>
            </w:pPr>
          </w:p>
        </w:tc>
      </w:tr>
      <w:tr>
        <w:trPr>
          <w:trHeight w:val="149"/>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Intangible assets, net</w:t>
            </w:r>
          </w:p>
        </w:tc>
        <w:tc>
          <w:tcPr>
            <w:tcW w:w="1380" w:type="dxa"/>
            <w:vAlign w:val="bottom"/>
            <w:shd w:val="clear" w:color="auto" w:fill="CCEEFF"/>
          </w:tcPr>
          <w:p>
            <w:pPr>
              <w:spacing w:after="0"/>
              <w:rPr>
                <w:sz w:val="12"/>
                <w:szCs w:val="12"/>
                <w:color w:val="auto"/>
              </w:rPr>
            </w:pPr>
          </w:p>
        </w:tc>
        <w:tc>
          <w:tcPr>
            <w:tcW w:w="1460" w:type="dxa"/>
            <w:vAlign w:val="bottom"/>
            <w:tcBorders>
              <w:lef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594,669</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688,726</w:t>
            </w:r>
          </w:p>
        </w:tc>
        <w:tc>
          <w:tcPr>
            <w:tcW w:w="0" w:type="dxa"/>
            <w:vAlign w:val="bottom"/>
          </w:tcPr>
          <w:p>
            <w:pPr>
              <w:spacing w:after="0"/>
              <w:rPr>
                <w:sz w:val="1"/>
                <w:szCs w:val="1"/>
                <w:color w:val="auto"/>
              </w:rPr>
            </w:pPr>
          </w:p>
        </w:tc>
      </w:tr>
      <w:tr>
        <w:trPr>
          <w:trHeight w:val="149"/>
        </w:trPr>
        <w:tc>
          <w:tcPr>
            <w:tcW w:w="506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color w:val="auto"/>
              </w:rPr>
              <w:t>Goodwill</w:t>
            </w:r>
          </w:p>
        </w:tc>
        <w:tc>
          <w:tcPr>
            <w:tcW w:w="138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386,553</w:t>
            </w:r>
          </w:p>
        </w:tc>
        <w:tc>
          <w:tcPr>
            <w:tcW w:w="0" w:type="dxa"/>
            <w:vAlign w:val="bottom"/>
          </w:tcPr>
          <w:p>
            <w:pPr>
              <w:spacing w:after="0"/>
              <w:rPr>
                <w:sz w:val="1"/>
                <w:szCs w:val="1"/>
                <w:color w:val="auto"/>
              </w:rPr>
            </w:pPr>
          </w:p>
        </w:tc>
      </w:tr>
      <w:tr>
        <w:trPr>
          <w:trHeight w:val="159"/>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Total assets</w:t>
            </w:r>
          </w:p>
        </w:tc>
        <w:tc>
          <w:tcPr>
            <w:tcW w:w="1380" w:type="dxa"/>
            <w:vAlign w:val="bottom"/>
            <w:shd w:val="clear" w:color="auto" w:fill="CCEEFF"/>
          </w:tcPr>
          <w:p>
            <w:pPr>
              <w:spacing w:after="0"/>
              <w:rPr>
                <w:sz w:val="13"/>
                <w:szCs w:val="13"/>
                <w:color w:val="auto"/>
              </w:rPr>
            </w:pPr>
          </w:p>
        </w:tc>
        <w:tc>
          <w:tcPr>
            <w:tcW w:w="1840" w:type="dxa"/>
            <w:vAlign w:val="bottom"/>
            <w:tcBorders>
              <w:lef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1"/>
                <w:szCs w:val="11"/>
                <w:b w:val="1"/>
                <w:bCs w:val="1"/>
                <w:color w:val="auto"/>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2,068,851</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b w:val="1"/>
                <w:bCs w:val="1"/>
                <w:color w:val="auto"/>
                <w:w w:val="97"/>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2,108,796</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1"/>
                <w:szCs w:val="11"/>
                <w:b w:val="1"/>
                <w:bCs w:val="1"/>
                <w:color w:val="auto"/>
              </w:rPr>
              <w:t>Liabilities and Stockholders’ Equity</w:t>
            </w:r>
          </w:p>
        </w:tc>
        <w:tc>
          <w:tcPr>
            <w:tcW w:w="13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5060" w:type="dxa"/>
            <w:vAlign w:val="bottom"/>
            <w:gridSpan w:val="2"/>
            <w:vMerge w:val="continue"/>
          </w:tcPr>
          <w:p>
            <w:pPr>
              <w:spacing w:after="0"/>
              <w:rPr>
                <w:sz w:val="7"/>
                <w:szCs w:val="7"/>
                <w:color w:val="auto"/>
              </w:rPr>
            </w:pPr>
          </w:p>
        </w:tc>
        <w:tc>
          <w:tcPr>
            <w:tcW w:w="13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1"/>
                <w:szCs w:val="11"/>
                <w:i w:val="1"/>
                <w:iCs w:val="1"/>
                <w:color w:val="auto"/>
              </w:rPr>
              <w:t>Current liabilities:</w:t>
            </w:r>
          </w:p>
        </w:tc>
        <w:tc>
          <w:tcPr>
            <w:tcW w:w="1380" w:type="dxa"/>
            <w:vAlign w:val="bottom"/>
            <w:shd w:val="clear" w:color="auto" w:fill="CCEEFF"/>
          </w:tcPr>
          <w:p>
            <w:pPr>
              <w:spacing w:after="0"/>
              <w:rPr>
                <w:sz w:val="12"/>
                <w:szCs w:val="12"/>
                <w:color w:val="auto"/>
              </w:rPr>
            </w:pPr>
          </w:p>
        </w:tc>
        <w:tc>
          <w:tcPr>
            <w:tcW w:w="1460" w:type="dxa"/>
            <w:vAlign w:val="bottom"/>
            <w:tcBorders>
              <w:lef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gridSpan w:val="2"/>
          </w:tcPr>
          <w:p>
            <w:pPr>
              <w:ind w:left="180"/>
              <w:spacing w:after="0"/>
              <w:rPr>
                <w:sz w:val="20"/>
                <w:szCs w:val="20"/>
                <w:color w:val="auto"/>
              </w:rPr>
            </w:pPr>
            <w:r>
              <w:rPr>
                <w:rFonts w:ascii="Arial" w:cs="Arial" w:eastAsia="Arial" w:hAnsi="Arial"/>
                <w:sz w:val="11"/>
                <w:szCs w:val="11"/>
                <w:color w:val="auto"/>
              </w:rPr>
              <w:t>Accounts payable</w:t>
            </w:r>
          </w:p>
        </w:tc>
        <w:tc>
          <w:tcPr>
            <w:tcW w:w="1380" w:type="dxa"/>
            <w:vAlign w:val="bottom"/>
          </w:tcPr>
          <w:p>
            <w:pPr>
              <w:spacing w:after="0"/>
              <w:rPr>
                <w:sz w:val="12"/>
                <w:szCs w:val="12"/>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1280" w:type="dxa"/>
            <w:vAlign w:val="bottom"/>
          </w:tcPr>
          <w:p>
            <w:pPr>
              <w:jc w:val="right"/>
              <w:ind w:right="3"/>
              <w:spacing w:after="0"/>
              <w:rPr>
                <w:sz w:val="20"/>
                <w:szCs w:val="20"/>
                <w:color w:val="auto"/>
              </w:rPr>
            </w:pPr>
            <w:r>
              <w:rPr>
                <w:rFonts w:ascii="Arial" w:cs="Arial" w:eastAsia="Arial" w:hAnsi="Arial"/>
                <w:sz w:val="11"/>
                <w:szCs w:val="11"/>
                <w:color w:val="auto"/>
              </w:rPr>
              <w:t>39,843</w:t>
            </w:r>
          </w:p>
        </w:tc>
        <w:tc>
          <w:tcPr>
            <w:tcW w:w="80" w:type="dxa"/>
            <w:vAlign w:val="bottom"/>
          </w:tcPr>
          <w:p>
            <w:pPr>
              <w:spacing w:after="0"/>
              <w:rPr>
                <w:sz w:val="12"/>
                <w:szCs w:val="12"/>
                <w:color w:val="auto"/>
              </w:rPr>
            </w:pPr>
          </w:p>
        </w:tc>
        <w:tc>
          <w:tcPr>
            <w:tcW w:w="280" w:type="dxa"/>
            <w:vAlign w:val="bottom"/>
          </w:tcPr>
          <w:p>
            <w:pPr>
              <w:jc w:val="right"/>
              <w:ind w:right="143"/>
              <w:spacing w:after="0"/>
              <w:rPr>
                <w:sz w:val="20"/>
                <w:szCs w:val="20"/>
                <w:color w:val="auto"/>
              </w:rPr>
            </w:pPr>
            <w:r>
              <w:rPr>
                <w:rFonts w:ascii="Arial" w:cs="Arial" w:eastAsia="Arial" w:hAnsi="Arial"/>
                <w:sz w:val="11"/>
                <w:szCs w:val="11"/>
                <w:color w:val="auto"/>
                <w:w w:val="97"/>
              </w:rPr>
              <w:t>$</w:t>
            </w:r>
          </w:p>
        </w:tc>
        <w:tc>
          <w:tcPr>
            <w:tcW w:w="1360" w:type="dxa"/>
            <w:vAlign w:val="bottom"/>
          </w:tcPr>
          <w:p>
            <w:pPr>
              <w:jc w:val="right"/>
              <w:spacing w:after="0"/>
              <w:rPr>
                <w:sz w:val="20"/>
                <w:szCs w:val="20"/>
                <w:color w:val="auto"/>
              </w:rPr>
            </w:pPr>
            <w:r>
              <w:rPr>
                <w:rFonts w:ascii="Arial" w:cs="Arial" w:eastAsia="Arial" w:hAnsi="Arial"/>
                <w:sz w:val="11"/>
                <w:szCs w:val="11"/>
                <w:color w:val="auto"/>
              </w:rPr>
              <w:t>8,733</w:t>
            </w:r>
          </w:p>
        </w:tc>
        <w:tc>
          <w:tcPr>
            <w:tcW w:w="0" w:type="dxa"/>
            <w:vAlign w:val="bottom"/>
          </w:tcPr>
          <w:p>
            <w:pPr>
              <w:spacing w:after="0"/>
              <w:rPr>
                <w:sz w:val="1"/>
                <w:szCs w:val="1"/>
                <w:color w:val="auto"/>
              </w:rPr>
            </w:pPr>
          </w:p>
        </w:tc>
      </w:tr>
      <w:tr>
        <w:trPr>
          <w:trHeight w:val="149"/>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Accrued liabilities</w:t>
            </w:r>
          </w:p>
        </w:tc>
        <w:tc>
          <w:tcPr>
            <w:tcW w:w="1380" w:type="dxa"/>
            <w:vAlign w:val="bottom"/>
            <w:shd w:val="clear" w:color="auto" w:fill="CCEEFF"/>
          </w:tcPr>
          <w:p>
            <w:pPr>
              <w:spacing w:after="0"/>
              <w:rPr>
                <w:sz w:val="12"/>
                <w:szCs w:val="12"/>
                <w:color w:val="auto"/>
              </w:rPr>
            </w:pPr>
          </w:p>
        </w:tc>
        <w:tc>
          <w:tcPr>
            <w:tcW w:w="1460" w:type="dxa"/>
            <w:vAlign w:val="bottom"/>
            <w:tcBorders>
              <w:lef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52,788</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26,926</w:t>
            </w:r>
          </w:p>
        </w:tc>
        <w:tc>
          <w:tcPr>
            <w:tcW w:w="0" w:type="dxa"/>
            <w:vAlign w:val="bottom"/>
          </w:tcPr>
          <w:p>
            <w:pPr>
              <w:spacing w:after="0"/>
              <w:rPr>
                <w:sz w:val="1"/>
                <w:szCs w:val="1"/>
                <w:color w:val="auto"/>
              </w:rPr>
            </w:pPr>
          </w:p>
        </w:tc>
      </w:tr>
      <w:tr>
        <w:trPr>
          <w:trHeight w:val="149"/>
        </w:trPr>
        <w:tc>
          <w:tcPr>
            <w:tcW w:w="5060" w:type="dxa"/>
            <w:vAlign w:val="bottom"/>
            <w:gridSpan w:val="2"/>
          </w:tcPr>
          <w:p>
            <w:pPr>
              <w:ind w:left="180"/>
              <w:spacing w:after="0"/>
              <w:rPr>
                <w:sz w:val="20"/>
                <w:szCs w:val="20"/>
                <w:color w:val="auto"/>
              </w:rPr>
            </w:pPr>
            <w:r>
              <w:rPr>
                <w:rFonts w:ascii="Arial" w:cs="Arial" w:eastAsia="Arial" w:hAnsi="Arial"/>
                <w:sz w:val="11"/>
                <w:szCs w:val="11"/>
                <w:color w:val="auto"/>
              </w:rPr>
              <w:t>Commissions payable - current</w:t>
            </w:r>
          </w:p>
        </w:tc>
        <w:tc>
          <w:tcPr>
            <w:tcW w:w="1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jc w:val="right"/>
              <w:ind w:right="3"/>
              <w:spacing w:after="0"/>
              <w:rPr>
                <w:sz w:val="20"/>
                <w:szCs w:val="20"/>
                <w:color w:val="auto"/>
              </w:rPr>
            </w:pPr>
            <w:r>
              <w:rPr>
                <w:rFonts w:ascii="Arial" w:cs="Arial" w:eastAsia="Arial" w:hAnsi="Arial"/>
                <w:sz w:val="11"/>
                <w:szCs w:val="11"/>
                <w:color w:val="auto"/>
              </w:rPr>
              <w:t>104,160</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78,478</w:t>
            </w:r>
          </w:p>
        </w:tc>
        <w:tc>
          <w:tcPr>
            <w:tcW w:w="0" w:type="dxa"/>
            <w:vAlign w:val="bottom"/>
          </w:tcPr>
          <w:p>
            <w:pPr>
              <w:spacing w:after="0"/>
              <w:rPr>
                <w:sz w:val="1"/>
                <w:szCs w:val="1"/>
                <w:color w:val="auto"/>
              </w:rPr>
            </w:pPr>
          </w:p>
        </w:tc>
      </w:tr>
      <w:tr>
        <w:trPr>
          <w:trHeight w:val="149"/>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Short-term operating lease liability</w:t>
            </w:r>
          </w:p>
        </w:tc>
        <w:tc>
          <w:tcPr>
            <w:tcW w:w="1380" w:type="dxa"/>
            <w:vAlign w:val="bottom"/>
            <w:shd w:val="clear" w:color="auto" w:fill="CCEEFF"/>
          </w:tcPr>
          <w:p>
            <w:pPr>
              <w:spacing w:after="0"/>
              <w:rPr>
                <w:sz w:val="12"/>
                <w:szCs w:val="12"/>
                <w:color w:val="auto"/>
              </w:rPr>
            </w:pPr>
          </w:p>
        </w:tc>
        <w:tc>
          <w:tcPr>
            <w:tcW w:w="1460" w:type="dxa"/>
            <w:vAlign w:val="bottom"/>
            <w:tcBorders>
              <w:lef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6,126</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5060" w:type="dxa"/>
            <w:vAlign w:val="bottom"/>
            <w:gridSpan w:val="2"/>
          </w:tcPr>
          <w:p>
            <w:pPr>
              <w:ind w:left="180"/>
              <w:spacing w:after="0"/>
              <w:rPr>
                <w:sz w:val="20"/>
                <w:szCs w:val="20"/>
                <w:color w:val="auto"/>
              </w:rPr>
            </w:pPr>
            <w:r>
              <w:rPr>
                <w:rFonts w:ascii="Arial" w:cs="Arial" w:eastAsia="Arial" w:hAnsi="Arial"/>
                <w:sz w:val="11"/>
                <w:szCs w:val="11"/>
                <w:color w:val="auto"/>
              </w:rPr>
              <w:t>Deferred revenue</w:t>
            </w:r>
          </w:p>
        </w:tc>
        <w:tc>
          <w:tcPr>
            <w:tcW w:w="1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jc w:val="right"/>
              <w:ind w:right="3"/>
              <w:spacing w:after="0"/>
              <w:rPr>
                <w:sz w:val="20"/>
                <w:szCs w:val="20"/>
                <w:color w:val="auto"/>
              </w:rPr>
            </w:pPr>
            <w:r>
              <w:rPr>
                <w:rFonts w:ascii="Arial" w:cs="Arial" w:eastAsia="Arial" w:hAnsi="Arial"/>
                <w:sz w:val="11"/>
                <w:szCs w:val="11"/>
                <w:color w:val="auto"/>
              </w:rPr>
              <w:t>536</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736</w:t>
            </w:r>
          </w:p>
        </w:tc>
        <w:tc>
          <w:tcPr>
            <w:tcW w:w="0" w:type="dxa"/>
            <w:vAlign w:val="bottom"/>
          </w:tcPr>
          <w:p>
            <w:pPr>
              <w:spacing w:after="0"/>
              <w:rPr>
                <w:sz w:val="1"/>
                <w:szCs w:val="1"/>
                <w:color w:val="auto"/>
              </w:rPr>
            </w:pPr>
          </w:p>
        </w:tc>
      </w:tr>
      <w:tr>
        <w:trPr>
          <w:trHeight w:val="149"/>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Current portion of long-term debt</w:t>
            </w:r>
          </w:p>
        </w:tc>
        <w:tc>
          <w:tcPr>
            <w:tcW w:w="1380" w:type="dxa"/>
            <w:vAlign w:val="bottom"/>
            <w:shd w:val="clear" w:color="auto" w:fill="CCEEFF"/>
          </w:tcPr>
          <w:p>
            <w:pPr>
              <w:spacing w:after="0"/>
              <w:rPr>
                <w:sz w:val="12"/>
                <w:szCs w:val="12"/>
                <w:color w:val="auto"/>
              </w:rPr>
            </w:pPr>
          </w:p>
        </w:tc>
        <w:tc>
          <w:tcPr>
            <w:tcW w:w="1460" w:type="dxa"/>
            <w:vAlign w:val="bottom"/>
            <w:tcBorders>
              <w:lef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5,270</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4,170</w:t>
            </w:r>
          </w:p>
        </w:tc>
        <w:tc>
          <w:tcPr>
            <w:tcW w:w="0" w:type="dxa"/>
            <w:vAlign w:val="bottom"/>
          </w:tcPr>
          <w:p>
            <w:pPr>
              <w:spacing w:after="0"/>
              <w:rPr>
                <w:sz w:val="1"/>
                <w:szCs w:val="1"/>
                <w:color w:val="auto"/>
              </w:rPr>
            </w:pPr>
          </w:p>
        </w:tc>
      </w:tr>
      <w:tr>
        <w:trPr>
          <w:trHeight w:val="149"/>
        </w:trPr>
        <w:tc>
          <w:tcPr>
            <w:tcW w:w="5060" w:type="dxa"/>
            <w:vAlign w:val="bottom"/>
            <w:tcBorders>
              <w:bottom w:val="single" w:sz="8" w:color="CCEEFF"/>
            </w:tcBorders>
            <w:gridSpan w:val="2"/>
          </w:tcPr>
          <w:p>
            <w:pPr>
              <w:ind w:left="180"/>
              <w:spacing w:after="0"/>
              <w:rPr>
                <w:sz w:val="20"/>
                <w:szCs w:val="20"/>
                <w:color w:val="auto"/>
              </w:rPr>
            </w:pPr>
            <w:r>
              <w:rPr>
                <w:rFonts w:ascii="Arial" w:cs="Arial" w:eastAsia="Arial" w:hAnsi="Arial"/>
                <w:sz w:val="11"/>
                <w:szCs w:val="11"/>
                <w:color w:val="auto"/>
              </w:rPr>
              <w:t>Other current liabilities</w:t>
            </w:r>
          </w:p>
        </w:tc>
        <w:tc>
          <w:tcPr>
            <w:tcW w:w="138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8,344</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8,328</w:t>
            </w:r>
          </w:p>
        </w:tc>
        <w:tc>
          <w:tcPr>
            <w:tcW w:w="0" w:type="dxa"/>
            <w:vAlign w:val="bottom"/>
          </w:tcPr>
          <w:p>
            <w:pPr>
              <w:spacing w:after="0"/>
              <w:rPr>
                <w:sz w:val="1"/>
                <w:szCs w:val="1"/>
                <w:color w:val="auto"/>
              </w:rPr>
            </w:pPr>
          </w:p>
        </w:tc>
      </w:tr>
      <w:tr>
        <w:trPr>
          <w:trHeight w:val="139"/>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Total current liabilities</w:t>
            </w:r>
          </w:p>
        </w:tc>
        <w:tc>
          <w:tcPr>
            <w:tcW w:w="1380" w:type="dxa"/>
            <w:vAlign w:val="bottom"/>
            <w:shd w:val="clear" w:color="auto" w:fill="CCEEFF"/>
          </w:tcPr>
          <w:p>
            <w:pPr>
              <w:spacing w:after="0"/>
              <w:rPr>
                <w:sz w:val="12"/>
                <w:szCs w:val="12"/>
                <w:color w:val="auto"/>
              </w:rPr>
            </w:pPr>
          </w:p>
        </w:tc>
        <w:tc>
          <w:tcPr>
            <w:tcW w:w="1460" w:type="dxa"/>
            <w:vAlign w:val="bottom"/>
            <w:tcBorders>
              <w:left w:val="single" w:sz="8" w:color="CCEEFF"/>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217,067</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127,371</w:t>
            </w:r>
          </w:p>
        </w:tc>
        <w:tc>
          <w:tcPr>
            <w:tcW w:w="0" w:type="dxa"/>
            <w:vAlign w:val="bottom"/>
          </w:tcPr>
          <w:p>
            <w:pPr>
              <w:spacing w:after="0"/>
              <w:rPr>
                <w:sz w:val="1"/>
                <w:szCs w:val="1"/>
                <w:color w:val="auto"/>
              </w:rPr>
            </w:pPr>
          </w:p>
        </w:tc>
      </w:tr>
      <w:tr>
        <w:trPr>
          <w:trHeight w:val="129"/>
        </w:trPr>
        <w:tc>
          <w:tcPr>
            <w:tcW w:w="5060" w:type="dxa"/>
            <w:vAlign w:val="bottom"/>
            <w:gridSpan w:val="2"/>
          </w:tcPr>
          <w:p>
            <w:pPr>
              <w:ind w:left="20"/>
              <w:spacing w:after="0"/>
              <w:rPr>
                <w:sz w:val="20"/>
                <w:szCs w:val="20"/>
                <w:color w:val="auto"/>
              </w:rPr>
            </w:pPr>
            <w:r>
              <w:rPr>
                <w:rFonts w:ascii="Arial" w:cs="Arial" w:eastAsia="Arial" w:hAnsi="Arial"/>
                <w:sz w:val="11"/>
                <w:szCs w:val="11"/>
                <w:i w:val="1"/>
                <w:iCs w:val="1"/>
                <w:color w:val="auto"/>
              </w:rPr>
              <w:t>Non-current liabilities:</w:t>
            </w:r>
          </w:p>
        </w:tc>
        <w:tc>
          <w:tcPr>
            <w:tcW w:w="13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Commissions payable - non-current</w:t>
            </w:r>
          </w:p>
        </w:tc>
        <w:tc>
          <w:tcPr>
            <w:tcW w:w="1380" w:type="dxa"/>
            <w:vAlign w:val="bottom"/>
            <w:shd w:val="clear" w:color="auto" w:fill="CCEEFF"/>
          </w:tcPr>
          <w:p>
            <w:pPr>
              <w:spacing w:after="0"/>
              <w:rPr>
                <w:sz w:val="12"/>
                <w:szCs w:val="12"/>
                <w:color w:val="auto"/>
              </w:rPr>
            </w:pPr>
          </w:p>
        </w:tc>
        <w:tc>
          <w:tcPr>
            <w:tcW w:w="1460" w:type="dxa"/>
            <w:vAlign w:val="bottom"/>
            <w:tcBorders>
              <w:lef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274,403</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182,596</w:t>
            </w:r>
          </w:p>
        </w:tc>
        <w:tc>
          <w:tcPr>
            <w:tcW w:w="0" w:type="dxa"/>
            <w:vAlign w:val="bottom"/>
          </w:tcPr>
          <w:p>
            <w:pPr>
              <w:spacing w:after="0"/>
              <w:rPr>
                <w:sz w:val="1"/>
                <w:szCs w:val="1"/>
                <w:color w:val="auto"/>
              </w:rPr>
            </w:pPr>
          </w:p>
        </w:tc>
      </w:tr>
      <w:tr>
        <w:trPr>
          <w:trHeight w:val="149"/>
        </w:trPr>
        <w:tc>
          <w:tcPr>
            <w:tcW w:w="5060" w:type="dxa"/>
            <w:vAlign w:val="bottom"/>
            <w:gridSpan w:val="2"/>
          </w:tcPr>
          <w:p>
            <w:pPr>
              <w:ind w:left="180"/>
              <w:spacing w:after="0"/>
              <w:rPr>
                <w:sz w:val="20"/>
                <w:szCs w:val="20"/>
                <w:color w:val="auto"/>
              </w:rPr>
            </w:pPr>
            <w:r>
              <w:rPr>
                <w:rFonts w:ascii="Arial" w:cs="Arial" w:eastAsia="Arial" w:hAnsi="Arial"/>
                <w:sz w:val="11"/>
                <w:szCs w:val="11"/>
                <w:color w:val="auto"/>
              </w:rPr>
              <w:t>Long-term operating lease liability</w:t>
            </w:r>
          </w:p>
        </w:tc>
        <w:tc>
          <w:tcPr>
            <w:tcW w:w="1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jc w:val="right"/>
              <w:ind w:right="3"/>
              <w:spacing w:after="0"/>
              <w:rPr>
                <w:sz w:val="20"/>
                <w:szCs w:val="20"/>
                <w:color w:val="auto"/>
              </w:rPr>
            </w:pPr>
            <w:r>
              <w:rPr>
                <w:rFonts w:ascii="Arial" w:cs="Arial" w:eastAsia="Arial" w:hAnsi="Arial"/>
                <w:sz w:val="11"/>
                <w:szCs w:val="11"/>
                <w:color w:val="auto"/>
              </w:rPr>
              <w:t>19,776</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Long-term debt, net of current portion</w:t>
            </w:r>
          </w:p>
        </w:tc>
        <w:tc>
          <w:tcPr>
            <w:tcW w:w="1380" w:type="dxa"/>
            <w:vAlign w:val="bottom"/>
            <w:shd w:val="clear" w:color="auto" w:fill="CCEEFF"/>
          </w:tcPr>
          <w:p>
            <w:pPr>
              <w:spacing w:after="0"/>
              <w:rPr>
                <w:sz w:val="12"/>
                <w:szCs w:val="12"/>
                <w:color w:val="auto"/>
              </w:rPr>
            </w:pPr>
          </w:p>
        </w:tc>
        <w:tc>
          <w:tcPr>
            <w:tcW w:w="1460" w:type="dxa"/>
            <w:vAlign w:val="bottom"/>
            <w:tcBorders>
              <w:lef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665,115</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396,400</w:t>
            </w:r>
          </w:p>
        </w:tc>
        <w:tc>
          <w:tcPr>
            <w:tcW w:w="0" w:type="dxa"/>
            <w:vAlign w:val="bottom"/>
          </w:tcPr>
          <w:p>
            <w:pPr>
              <w:spacing w:after="0"/>
              <w:rPr>
                <w:sz w:val="1"/>
                <w:szCs w:val="1"/>
                <w:color w:val="auto"/>
              </w:rPr>
            </w:pPr>
          </w:p>
        </w:tc>
      </w:tr>
      <w:tr>
        <w:trPr>
          <w:trHeight w:val="149"/>
        </w:trPr>
        <w:tc>
          <w:tcPr>
            <w:tcW w:w="5060" w:type="dxa"/>
            <w:vAlign w:val="bottom"/>
            <w:gridSpan w:val="2"/>
          </w:tcPr>
          <w:p>
            <w:pPr>
              <w:ind w:left="180"/>
              <w:spacing w:after="0"/>
              <w:rPr>
                <w:sz w:val="20"/>
                <w:szCs w:val="20"/>
                <w:color w:val="auto"/>
              </w:rPr>
            </w:pPr>
            <w:r>
              <w:rPr>
                <w:rFonts w:ascii="Arial" w:cs="Arial" w:eastAsia="Arial" w:hAnsi="Arial"/>
                <w:sz w:val="11"/>
                <w:szCs w:val="11"/>
                <w:color w:val="auto"/>
              </w:rPr>
              <w:t>Other non-current liabilities</w:t>
            </w:r>
          </w:p>
        </w:tc>
        <w:tc>
          <w:tcPr>
            <w:tcW w:w="1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3,274</w:t>
            </w:r>
          </w:p>
        </w:tc>
        <w:tc>
          <w:tcPr>
            <w:tcW w:w="0" w:type="dxa"/>
            <w:vAlign w:val="bottom"/>
          </w:tcPr>
          <w:p>
            <w:pPr>
              <w:spacing w:after="0"/>
              <w:rPr>
                <w:sz w:val="1"/>
                <w:szCs w:val="1"/>
                <w:color w:val="auto"/>
              </w:rPr>
            </w:pPr>
          </w:p>
        </w:tc>
      </w:tr>
      <w:tr>
        <w:trPr>
          <w:trHeight w:val="139"/>
        </w:trPr>
        <w:tc>
          <w:tcPr>
            <w:tcW w:w="50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Total non-current liabilities</w:t>
            </w:r>
          </w:p>
        </w:tc>
        <w:tc>
          <w:tcPr>
            <w:tcW w:w="138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CCEEFF"/>
              <w:left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spacing w:after="0"/>
              <w:rPr>
                <w:sz w:val="12"/>
                <w:szCs w:val="12"/>
                <w:color w:val="auto"/>
              </w:rPr>
            </w:pPr>
          </w:p>
        </w:tc>
        <w:tc>
          <w:tcPr>
            <w:tcW w:w="12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959,294</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582,270</w:t>
            </w:r>
          </w:p>
        </w:tc>
        <w:tc>
          <w:tcPr>
            <w:tcW w:w="0" w:type="dxa"/>
            <w:vAlign w:val="bottom"/>
          </w:tcPr>
          <w:p>
            <w:pPr>
              <w:spacing w:after="0"/>
              <w:rPr>
                <w:sz w:val="1"/>
                <w:szCs w:val="1"/>
                <w:color w:val="auto"/>
              </w:rPr>
            </w:pPr>
          </w:p>
        </w:tc>
      </w:tr>
      <w:tr>
        <w:trPr>
          <w:trHeight w:val="129"/>
        </w:trPr>
        <w:tc>
          <w:tcPr>
            <w:tcW w:w="5060" w:type="dxa"/>
            <w:vAlign w:val="bottom"/>
            <w:gridSpan w:val="2"/>
          </w:tcPr>
          <w:p>
            <w:pPr>
              <w:ind w:left="20"/>
              <w:spacing w:after="0"/>
              <w:rPr>
                <w:sz w:val="20"/>
                <w:szCs w:val="20"/>
                <w:color w:val="auto"/>
              </w:rPr>
            </w:pPr>
            <w:r>
              <w:rPr>
                <w:rFonts w:ascii="Arial" w:cs="Arial" w:eastAsia="Arial" w:hAnsi="Arial"/>
                <w:sz w:val="11"/>
                <w:szCs w:val="11"/>
                <w:color w:val="auto"/>
              </w:rPr>
              <w:t>Commitments and Contingencies (Note 12)</w:t>
            </w:r>
          </w:p>
        </w:tc>
        <w:tc>
          <w:tcPr>
            <w:tcW w:w="13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1"/>
                <w:szCs w:val="11"/>
                <w:i w:val="1"/>
                <w:iCs w:val="1"/>
                <w:color w:val="auto"/>
              </w:rPr>
              <w:t>Stockholders’ equity:</w:t>
            </w:r>
          </w:p>
        </w:tc>
        <w:tc>
          <w:tcPr>
            <w:tcW w:w="1380" w:type="dxa"/>
            <w:vAlign w:val="bottom"/>
            <w:shd w:val="clear" w:color="auto" w:fill="CCEEFF"/>
          </w:tcPr>
          <w:p>
            <w:pPr>
              <w:spacing w:after="0"/>
              <w:rPr>
                <w:sz w:val="12"/>
                <w:szCs w:val="12"/>
                <w:color w:val="auto"/>
              </w:rPr>
            </w:pPr>
          </w:p>
        </w:tc>
        <w:tc>
          <w:tcPr>
            <w:tcW w:w="1460" w:type="dxa"/>
            <w:vAlign w:val="bottom"/>
            <w:tcBorders>
              <w:lef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8280" w:type="dxa"/>
            <w:vAlign w:val="bottom"/>
            <w:gridSpan w:val="5"/>
          </w:tcPr>
          <w:p>
            <w:pPr>
              <w:ind w:left="180"/>
              <w:spacing w:after="0" w:line="121" w:lineRule="exact"/>
              <w:rPr>
                <w:sz w:val="20"/>
                <w:szCs w:val="20"/>
                <w:color w:val="auto"/>
              </w:rPr>
            </w:pPr>
            <w:r>
              <w:rPr>
                <w:rFonts w:ascii="Arial" w:cs="Arial" w:eastAsia="Arial" w:hAnsi="Arial"/>
                <w:sz w:val="11"/>
                <w:szCs w:val="11"/>
                <w:color w:val="auto"/>
              </w:rPr>
              <w:t>Class A common stock – $0.0001 par value; 1,100,000 shares authorized; 115,487 and 84,196 shares issued and outstanding at December 31, 2021</w:t>
            </w:r>
          </w:p>
        </w:tc>
        <w:tc>
          <w:tcPr>
            <w:tcW w:w="1280" w:type="dxa"/>
            <w:vAlign w:val="bottom"/>
            <w:vMerge w:val="restart"/>
          </w:tcPr>
          <w:p>
            <w:pPr>
              <w:jc w:val="right"/>
              <w:ind w:right="3"/>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vMerge w:val="restart"/>
          </w:tcPr>
          <w:p>
            <w:pPr>
              <w:jc w:val="right"/>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34"/>
        </w:trPr>
        <w:tc>
          <w:tcPr>
            <w:tcW w:w="5060" w:type="dxa"/>
            <w:vAlign w:val="bottom"/>
            <w:gridSpan w:val="2"/>
          </w:tcPr>
          <w:p>
            <w:pPr>
              <w:ind w:left="180"/>
              <w:spacing w:after="0"/>
              <w:rPr>
                <w:sz w:val="20"/>
                <w:szCs w:val="20"/>
                <w:color w:val="auto"/>
              </w:rPr>
            </w:pPr>
            <w:r>
              <w:rPr>
                <w:rFonts w:ascii="Arial" w:cs="Arial" w:eastAsia="Arial" w:hAnsi="Arial"/>
                <w:sz w:val="11"/>
                <w:szCs w:val="11"/>
                <w:color w:val="auto"/>
              </w:rPr>
              <w:t>and December 31, 2020, respectively.</w:t>
            </w:r>
          </w:p>
        </w:tc>
        <w:tc>
          <w:tcPr>
            <w:tcW w:w="13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80" w:type="dxa"/>
            <w:vAlign w:val="bottom"/>
            <w:gridSpan w:val="5"/>
            <w:shd w:val="clear" w:color="auto" w:fill="CCEEFF"/>
          </w:tcPr>
          <w:p>
            <w:pPr>
              <w:ind w:left="180"/>
              <w:spacing w:after="0" w:line="121" w:lineRule="exact"/>
              <w:rPr>
                <w:sz w:val="20"/>
                <w:szCs w:val="20"/>
                <w:color w:val="auto"/>
              </w:rPr>
            </w:pPr>
            <w:r>
              <w:rPr>
                <w:rFonts w:ascii="Arial" w:cs="Arial" w:eastAsia="Arial" w:hAnsi="Arial"/>
                <w:sz w:val="11"/>
                <w:szCs w:val="11"/>
                <w:color w:val="auto"/>
              </w:rPr>
              <w:t>Class B common stock – $0.0001 par value; 587,360 and 619,004 shares authorized; 205,352 and 236,997 shares issued and outstanding at December</w:t>
            </w:r>
          </w:p>
        </w:tc>
        <w:tc>
          <w:tcPr>
            <w:tcW w:w="128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21</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34"/>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31, 2021 and December 31, 2020, respectively.</w:t>
            </w:r>
          </w:p>
        </w:tc>
        <w:tc>
          <w:tcPr>
            <w:tcW w:w="1380" w:type="dxa"/>
            <w:vAlign w:val="bottom"/>
            <w:shd w:val="clear" w:color="auto" w:fill="CCEEFF"/>
          </w:tcPr>
          <w:p>
            <w:pPr>
              <w:spacing w:after="0"/>
              <w:rPr>
                <w:sz w:val="11"/>
                <w:szCs w:val="11"/>
                <w:color w:val="auto"/>
              </w:rPr>
            </w:pPr>
          </w:p>
        </w:tc>
        <w:tc>
          <w:tcPr>
            <w:tcW w:w="1460" w:type="dxa"/>
            <w:vAlign w:val="bottom"/>
            <w:tcBorders>
              <w:left w:val="single" w:sz="8" w:color="CCEEFF"/>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280" w:type="dxa"/>
            <w:vAlign w:val="bottom"/>
            <w:gridSpan w:val="5"/>
          </w:tcPr>
          <w:p>
            <w:pPr>
              <w:ind w:left="180"/>
              <w:spacing w:after="0"/>
              <w:rPr>
                <w:sz w:val="20"/>
                <w:szCs w:val="20"/>
                <w:color w:val="auto"/>
              </w:rPr>
            </w:pPr>
            <w:r>
              <w:rPr>
                <w:rFonts w:ascii="Arial" w:cs="Arial" w:eastAsia="Arial" w:hAnsi="Arial"/>
                <w:sz w:val="11"/>
                <w:szCs w:val="11"/>
                <w:color w:val="auto"/>
              </w:rPr>
              <w:t>Preferred stock – $0.0001 par value; 20,000 shares authorized; no shares issued and outstanding at December 31, 2021 and December 31, 2020</w:t>
            </w:r>
          </w:p>
        </w:tc>
        <w:tc>
          <w:tcPr>
            <w:tcW w:w="13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Additional paid-in capital</w:t>
            </w:r>
          </w:p>
        </w:tc>
        <w:tc>
          <w:tcPr>
            <w:tcW w:w="1380" w:type="dxa"/>
            <w:vAlign w:val="bottom"/>
            <w:shd w:val="clear" w:color="auto" w:fill="CCEEFF"/>
          </w:tcPr>
          <w:p>
            <w:pPr>
              <w:spacing w:after="0"/>
              <w:rPr>
                <w:sz w:val="12"/>
                <w:szCs w:val="12"/>
                <w:color w:val="auto"/>
              </w:rPr>
            </w:pPr>
          </w:p>
        </w:tc>
        <w:tc>
          <w:tcPr>
            <w:tcW w:w="1460" w:type="dxa"/>
            <w:vAlign w:val="bottom"/>
            <w:tcBorders>
              <w:lef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561,447</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399,169</w:t>
            </w:r>
          </w:p>
        </w:tc>
        <w:tc>
          <w:tcPr>
            <w:tcW w:w="0" w:type="dxa"/>
            <w:vAlign w:val="bottom"/>
          </w:tcPr>
          <w:p>
            <w:pPr>
              <w:spacing w:after="0"/>
              <w:rPr>
                <w:sz w:val="1"/>
                <w:szCs w:val="1"/>
                <w:color w:val="auto"/>
              </w:rPr>
            </w:pPr>
          </w:p>
        </w:tc>
      </w:tr>
      <w:tr>
        <w:trPr>
          <w:trHeight w:val="149"/>
        </w:trPr>
        <w:tc>
          <w:tcPr>
            <w:tcW w:w="5060" w:type="dxa"/>
            <w:vAlign w:val="bottom"/>
            <w:gridSpan w:val="2"/>
          </w:tcPr>
          <w:p>
            <w:pPr>
              <w:ind w:left="180"/>
              <w:spacing w:after="0"/>
              <w:rPr>
                <w:sz w:val="20"/>
                <w:szCs w:val="20"/>
                <w:color w:val="auto"/>
              </w:rPr>
            </w:pPr>
            <w:r>
              <w:rPr>
                <w:rFonts w:ascii="Arial" w:cs="Arial" w:eastAsia="Arial" w:hAnsi="Arial"/>
                <w:sz w:val="11"/>
                <w:szCs w:val="11"/>
                <w:color w:val="auto"/>
              </w:rPr>
              <w:t>Accumulated other comprehensive income (loss)</w:t>
            </w:r>
          </w:p>
        </w:tc>
        <w:tc>
          <w:tcPr>
            <w:tcW w:w="1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(59)</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49"/>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Accumulated deficit</w:t>
            </w:r>
          </w:p>
        </w:tc>
        <w:tc>
          <w:tcPr>
            <w:tcW w:w="1380" w:type="dxa"/>
            <w:vAlign w:val="bottom"/>
            <w:shd w:val="clear" w:color="auto" w:fill="CCEEFF"/>
          </w:tcPr>
          <w:p>
            <w:pPr>
              <w:spacing w:after="0"/>
              <w:rPr>
                <w:sz w:val="12"/>
                <w:szCs w:val="12"/>
                <w:color w:val="auto"/>
              </w:rPr>
            </w:pPr>
          </w:p>
        </w:tc>
        <w:tc>
          <w:tcPr>
            <w:tcW w:w="1460" w:type="dxa"/>
            <w:vAlign w:val="bottom"/>
            <w:tcBorders>
              <w:left w:val="single" w:sz="8" w:color="CCEEFF"/>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(208,317)</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(18,802)</w:t>
            </w:r>
          </w:p>
        </w:tc>
        <w:tc>
          <w:tcPr>
            <w:tcW w:w="0" w:type="dxa"/>
            <w:vAlign w:val="bottom"/>
          </w:tcPr>
          <w:p>
            <w:pPr>
              <w:spacing w:after="0"/>
              <w:rPr>
                <w:sz w:val="1"/>
                <w:szCs w:val="1"/>
                <w:color w:val="auto"/>
              </w:rPr>
            </w:pPr>
          </w:p>
        </w:tc>
      </w:tr>
      <w:tr>
        <w:trPr>
          <w:trHeight w:val="139"/>
        </w:trPr>
        <w:tc>
          <w:tcPr>
            <w:tcW w:w="506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color w:val="auto"/>
              </w:rPr>
              <w:t>Total stockholders’ equity attributable to GoHealth, Inc.</w:t>
            </w:r>
          </w:p>
        </w:tc>
        <w:tc>
          <w:tcPr>
            <w:tcW w:w="138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353,103</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380,416</w:t>
            </w:r>
          </w:p>
        </w:tc>
        <w:tc>
          <w:tcPr>
            <w:tcW w:w="0" w:type="dxa"/>
            <w:vAlign w:val="bottom"/>
          </w:tcPr>
          <w:p>
            <w:pPr>
              <w:spacing w:after="0"/>
              <w:rPr>
                <w:sz w:val="1"/>
                <w:szCs w:val="1"/>
                <w:color w:val="auto"/>
              </w:rPr>
            </w:pPr>
          </w:p>
        </w:tc>
      </w:tr>
      <w:tr>
        <w:trPr>
          <w:trHeight w:val="139"/>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Non-controlling interests</w:t>
            </w:r>
          </w:p>
        </w:tc>
        <w:tc>
          <w:tcPr>
            <w:tcW w:w="1380" w:type="dxa"/>
            <w:vAlign w:val="bottom"/>
            <w:shd w:val="clear" w:color="auto" w:fill="CCEEFF"/>
          </w:tcPr>
          <w:p>
            <w:pPr>
              <w:spacing w:after="0"/>
              <w:rPr>
                <w:sz w:val="12"/>
                <w:szCs w:val="12"/>
                <w:color w:val="auto"/>
              </w:rPr>
            </w:pPr>
          </w:p>
        </w:tc>
        <w:tc>
          <w:tcPr>
            <w:tcW w:w="1460" w:type="dxa"/>
            <w:vAlign w:val="bottom"/>
            <w:tcBorders>
              <w:left w:val="single" w:sz="8" w:color="CCEEFF"/>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539,387</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1,018,739</w:t>
            </w:r>
          </w:p>
        </w:tc>
        <w:tc>
          <w:tcPr>
            <w:tcW w:w="0" w:type="dxa"/>
            <w:vAlign w:val="bottom"/>
          </w:tcPr>
          <w:p>
            <w:pPr>
              <w:spacing w:after="0"/>
              <w:rPr>
                <w:sz w:val="1"/>
                <w:szCs w:val="1"/>
                <w:color w:val="auto"/>
              </w:rPr>
            </w:pPr>
          </w:p>
        </w:tc>
      </w:tr>
      <w:tr>
        <w:trPr>
          <w:trHeight w:val="139"/>
        </w:trPr>
        <w:tc>
          <w:tcPr>
            <w:tcW w:w="506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color w:val="auto"/>
              </w:rPr>
              <w:t>Total stockholders’ equity</w:t>
            </w:r>
          </w:p>
        </w:tc>
        <w:tc>
          <w:tcPr>
            <w:tcW w:w="138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892,490</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1,399,155</w:t>
            </w:r>
          </w:p>
        </w:tc>
        <w:tc>
          <w:tcPr>
            <w:tcW w:w="0" w:type="dxa"/>
            <w:vAlign w:val="bottom"/>
          </w:tcPr>
          <w:p>
            <w:pPr>
              <w:spacing w:after="0"/>
              <w:rPr>
                <w:sz w:val="1"/>
                <w:szCs w:val="1"/>
                <w:color w:val="auto"/>
              </w:rPr>
            </w:pPr>
          </w:p>
        </w:tc>
      </w:tr>
      <w:tr>
        <w:trPr>
          <w:trHeight w:val="159"/>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Total liabilities and stockholders’ equity</w:t>
            </w:r>
          </w:p>
        </w:tc>
        <w:tc>
          <w:tcPr>
            <w:tcW w:w="1380" w:type="dxa"/>
            <w:vAlign w:val="bottom"/>
            <w:shd w:val="clear" w:color="auto" w:fill="CCEEFF"/>
          </w:tcPr>
          <w:p>
            <w:pPr>
              <w:spacing w:after="0"/>
              <w:rPr>
                <w:sz w:val="13"/>
                <w:szCs w:val="13"/>
                <w:color w:val="auto"/>
              </w:rPr>
            </w:pPr>
          </w:p>
        </w:tc>
        <w:tc>
          <w:tcPr>
            <w:tcW w:w="1840" w:type="dxa"/>
            <w:vAlign w:val="bottom"/>
            <w:tcBorders>
              <w:lef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1"/>
                <w:szCs w:val="11"/>
                <w:b w:val="1"/>
                <w:bCs w:val="1"/>
                <w:color w:val="auto"/>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2,068,851</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b w:val="1"/>
                <w:bCs w:val="1"/>
                <w:color w:val="auto"/>
                <w:w w:val="97"/>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2,108,796</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gridSpan w:val="2"/>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8280" w:type="dxa"/>
            <w:vAlign w:val="bottom"/>
            <w:gridSpan w:val="5"/>
          </w:tcPr>
          <w:p>
            <w:pPr>
              <w:jc w:val="center"/>
              <w:ind w:left="2943"/>
              <w:spacing w:after="0"/>
              <w:rPr>
                <w:sz w:val="20"/>
                <w:szCs w:val="20"/>
                <w:color w:val="auto"/>
              </w:rPr>
            </w:pPr>
            <w:r>
              <w:rPr>
                <w:rFonts w:ascii="Arial" w:cs="Arial" w:eastAsia="Arial" w:hAnsi="Arial"/>
                <w:sz w:val="13"/>
                <w:szCs w:val="13"/>
                <w:i w:val="1"/>
                <w:iCs w:val="1"/>
                <w:color w:val="auto"/>
                <w:w w:val="98"/>
              </w:rPr>
              <w:t>The accompanying Notes are an integral part of these Consolidated Financial Statements.</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4860" w:type="dxa"/>
            <w:vAlign w:val="bottom"/>
            <w:vMerge w:val="restart"/>
          </w:tcPr>
          <w:p>
            <w:pPr>
              <w:ind w:left="3760"/>
              <w:spacing w:after="0"/>
              <w:rPr>
                <w:sz w:val="20"/>
                <w:szCs w:val="20"/>
                <w:color w:val="auto"/>
              </w:rPr>
            </w:pPr>
            <w:r>
              <w:rPr>
                <w:rFonts w:ascii="Arial" w:cs="Arial" w:eastAsia="Arial" w:hAnsi="Arial"/>
                <w:sz w:val="11"/>
                <w:szCs w:val="11"/>
                <w:color w:val="auto"/>
              </w:rPr>
              <w:t>GoHealth, Inc.</w:t>
            </w:r>
          </w:p>
        </w:tc>
        <w:tc>
          <w:tcPr>
            <w:tcW w:w="200" w:type="dxa"/>
            <w:vAlign w:val="bottom"/>
          </w:tcPr>
          <w:p>
            <w:pPr>
              <w:spacing w:after="0"/>
              <w:rPr>
                <w:sz w:val="24"/>
                <w:szCs w:val="24"/>
                <w:color w:val="auto"/>
              </w:rPr>
            </w:pPr>
          </w:p>
        </w:tc>
        <w:tc>
          <w:tcPr>
            <w:tcW w:w="1380" w:type="dxa"/>
            <w:vAlign w:val="bottom"/>
            <w:vMerge w:val="restart"/>
          </w:tcPr>
          <w:p>
            <w:pPr>
              <w:jc w:val="center"/>
              <w:ind w:right="143"/>
              <w:spacing w:after="0"/>
              <w:rPr>
                <w:sz w:val="20"/>
                <w:szCs w:val="20"/>
                <w:color w:val="auto"/>
              </w:rPr>
            </w:pPr>
            <w:r>
              <w:rPr>
                <w:rFonts w:ascii="Arial" w:cs="Arial" w:eastAsia="Arial" w:hAnsi="Arial"/>
                <w:sz w:val="11"/>
                <w:szCs w:val="11"/>
                <w:color w:val="auto"/>
              </w:rPr>
              <w:t>2021 Form 10-K</w:t>
            </w: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860" w:type="dxa"/>
            <w:vAlign w:val="bottom"/>
            <w:vMerge w:val="continue"/>
          </w:tcPr>
          <w:p>
            <w:pPr>
              <w:spacing w:after="0"/>
              <w:rPr>
                <w:sz w:val="12"/>
                <w:szCs w:val="12"/>
                <w:color w:val="auto"/>
              </w:rPr>
            </w:pPr>
          </w:p>
        </w:tc>
        <w:tc>
          <w:tcPr>
            <w:tcW w:w="200" w:type="dxa"/>
            <w:vAlign w:val="bottom"/>
            <w:tcBorders>
              <w:left w:val="single" w:sz="8" w:color="auto"/>
            </w:tcBorders>
          </w:tcPr>
          <w:p>
            <w:pPr>
              <w:spacing w:after="0"/>
              <w:rPr>
                <w:sz w:val="12"/>
                <w:szCs w:val="12"/>
                <w:color w:val="auto"/>
              </w:rPr>
            </w:pPr>
          </w:p>
        </w:tc>
        <w:tc>
          <w:tcPr>
            <w:tcW w:w="1380" w:type="dxa"/>
            <w:vAlign w:val="bottom"/>
            <w:vMerge w:val="continue"/>
          </w:tcPr>
          <w:p>
            <w:pPr>
              <w:spacing w:after="0"/>
              <w:rPr>
                <w:sz w:val="12"/>
                <w:szCs w:val="12"/>
                <w:color w:val="auto"/>
              </w:rPr>
            </w:pPr>
          </w:p>
        </w:tc>
        <w:tc>
          <w:tcPr>
            <w:tcW w:w="1460" w:type="dxa"/>
            <w:vAlign w:val="bottom"/>
            <w:tcBorders>
              <w:left w:val="single" w:sz="8" w:color="auto"/>
            </w:tcBorders>
          </w:tcPr>
          <w:p>
            <w:pPr>
              <w:jc w:val="right"/>
              <w:ind w:right="1203"/>
              <w:spacing w:after="0"/>
              <w:rPr>
                <w:sz w:val="20"/>
                <w:szCs w:val="20"/>
                <w:color w:val="auto"/>
              </w:rPr>
            </w:pPr>
            <w:r>
              <w:rPr>
                <w:rFonts w:ascii="Arial" w:cs="Arial" w:eastAsia="Arial" w:hAnsi="Arial"/>
                <w:sz w:val="11"/>
                <w:szCs w:val="11"/>
                <w:color w:val="auto"/>
              </w:rPr>
              <w:t>65</w:t>
            </w:r>
          </w:p>
        </w:tc>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8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69" w:right="319" w:bottom="1440" w:gutter="0" w:footer="0" w:header="0"/>
        </w:sectPr>
      </w:pPr>
    </w:p>
    <w:bookmarkStart w:id="68" w:name="page69"/>
    <w:bookmarkEnd w:id="68"/>
    <w:p>
      <w:pPr>
        <w:jc w:val="center"/>
        <w:spacing w:after="0"/>
        <w:rPr>
          <w:sz w:val="20"/>
          <w:szCs w:val="20"/>
          <w:color w:val="auto"/>
        </w:rPr>
      </w:pPr>
      <w:r>
        <w:rPr>
          <w:rFonts w:ascii="Arial" w:cs="Arial" w:eastAsia="Arial" w:hAnsi="Arial"/>
          <w:sz w:val="13"/>
          <w:szCs w:val="13"/>
          <w:b w:val="1"/>
          <w:bCs w:val="1"/>
          <w:color w:val="0A2299"/>
        </w:rPr>
        <w:t>GOHEALTH,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A2299"/>
        </w:rPr>
        <w:t>CONSOLIDATED STATEMENTS OF CHANGES IN STOCKHOLDERS’ / MEMBERS’ EQUITY</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0A2299"/>
        </w:rPr>
        <w:t>(in thousands)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gridSpan w:val="6"/>
          </w:tcPr>
          <w:p>
            <w:pPr>
              <w:ind w:left="280"/>
              <w:spacing w:after="0"/>
              <w:rPr>
                <w:sz w:val="20"/>
                <w:szCs w:val="20"/>
                <w:color w:val="auto"/>
              </w:rPr>
            </w:pPr>
            <w:r>
              <w:rPr>
                <w:rFonts w:ascii="Arial" w:cs="Arial" w:eastAsia="Arial" w:hAnsi="Arial"/>
                <w:sz w:val="8"/>
                <w:szCs w:val="8"/>
                <w:b w:val="1"/>
                <w:bCs w:val="1"/>
                <w:color w:val="auto"/>
              </w:rPr>
              <w:t>Twelve months ended Dec. 31, 2021</w:t>
            </w:r>
          </w:p>
        </w:tc>
        <w:tc>
          <w:tcPr>
            <w:tcW w:w="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6"/>
          </w:tcPr>
          <w:p>
            <w:pPr>
              <w:ind w:left="180"/>
              <w:spacing w:after="0"/>
              <w:rPr>
                <w:sz w:val="20"/>
                <w:szCs w:val="20"/>
                <w:color w:val="auto"/>
              </w:rPr>
            </w:pPr>
            <w:r>
              <w:rPr>
                <w:rFonts w:ascii="Arial" w:cs="Arial" w:eastAsia="Arial" w:hAnsi="Arial"/>
                <w:sz w:val="8"/>
                <w:szCs w:val="8"/>
                <w:b w:val="1"/>
                <w:bCs w:val="1"/>
                <w:color w:val="auto"/>
              </w:rPr>
              <w:t>Class A Common Stock</w:t>
            </w:r>
          </w:p>
        </w:tc>
        <w:tc>
          <w:tcPr>
            <w:tcW w:w="100" w:type="dxa"/>
            <w:vAlign w:val="bottom"/>
            <w:gridSpan w:val="2"/>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6"/>
          </w:tcPr>
          <w:p>
            <w:pPr>
              <w:ind w:left="180"/>
              <w:spacing w:after="0"/>
              <w:rPr>
                <w:sz w:val="20"/>
                <w:szCs w:val="20"/>
                <w:color w:val="auto"/>
              </w:rPr>
            </w:pPr>
            <w:r>
              <w:rPr>
                <w:rFonts w:ascii="Arial" w:cs="Arial" w:eastAsia="Arial" w:hAnsi="Arial"/>
                <w:sz w:val="8"/>
                <w:szCs w:val="8"/>
                <w:b w:val="1"/>
                <w:bCs w:val="1"/>
                <w:color w:val="auto"/>
              </w:rPr>
              <w:t>Class B Common Stock</w:t>
            </w:r>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1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3"/>
            <w:vMerge w:val="restart"/>
          </w:tcPr>
          <w:p>
            <w:pPr>
              <w:ind w:left="140"/>
              <w:spacing w:after="0"/>
              <w:rPr>
                <w:sz w:val="20"/>
                <w:szCs w:val="20"/>
                <w:color w:val="auto"/>
              </w:rPr>
            </w:pPr>
            <w:r>
              <w:rPr>
                <w:rFonts w:ascii="Arial" w:cs="Arial" w:eastAsia="Arial" w:hAnsi="Arial"/>
                <w:sz w:val="8"/>
                <w:szCs w:val="8"/>
                <w:b w:val="1"/>
                <w:bCs w:val="1"/>
                <w:color w:val="auto"/>
              </w:rPr>
              <w:t>Shares</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gridSpan w:val="3"/>
            <w:vMerge w:val="restart"/>
          </w:tcPr>
          <w:p>
            <w:pPr>
              <w:ind w:left="20"/>
              <w:spacing w:after="0"/>
              <w:rPr>
                <w:sz w:val="20"/>
                <w:szCs w:val="20"/>
                <w:color w:val="auto"/>
              </w:rPr>
            </w:pPr>
            <w:r>
              <w:rPr>
                <w:rFonts w:ascii="Arial" w:cs="Arial" w:eastAsia="Arial" w:hAnsi="Arial"/>
                <w:sz w:val="8"/>
                <w:szCs w:val="8"/>
                <w:b w:val="1"/>
                <w:bCs w:val="1"/>
                <w:color w:val="auto"/>
              </w:rPr>
              <w:t>Amount</w:t>
            </w:r>
          </w:p>
        </w:tc>
        <w:tc>
          <w:tcPr>
            <w:tcW w:w="20" w:type="dxa"/>
            <w:vAlign w:val="bottom"/>
          </w:tcPr>
          <w:p>
            <w:pPr>
              <w:spacing w:after="0"/>
              <w:rPr>
                <w:sz w:val="6"/>
                <w:szCs w:val="6"/>
                <w:color w:val="auto"/>
              </w:rPr>
            </w:pPr>
          </w:p>
        </w:tc>
        <w:tc>
          <w:tcPr>
            <w:tcW w:w="700" w:type="dxa"/>
            <w:vAlign w:val="bottom"/>
            <w:gridSpan w:val="3"/>
            <w:vMerge w:val="restart"/>
          </w:tcPr>
          <w:p>
            <w:pPr>
              <w:ind w:left="140"/>
              <w:spacing w:after="0"/>
              <w:rPr>
                <w:sz w:val="20"/>
                <w:szCs w:val="20"/>
                <w:color w:val="auto"/>
              </w:rPr>
            </w:pPr>
            <w:r>
              <w:rPr>
                <w:rFonts w:ascii="Arial" w:cs="Arial" w:eastAsia="Arial" w:hAnsi="Arial"/>
                <w:sz w:val="8"/>
                <w:szCs w:val="8"/>
                <w:b w:val="1"/>
                <w:bCs w:val="1"/>
                <w:color w:val="auto"/>
              </w:rPr>
              <w:t>Shares</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gridSpan w:val="3"/>
            <w:vMerge w:val="restart"/>
          </w:tcPr>
          <w:p>
            <w:pPr>
              <w:ind w:left="40"/>
              <w:spacing w:after="0"/>
              <w:rPr>
                <w:sz w:val="20"/>
                <w:szCs w:val="20"/>
                <w:color w:val="auto"/>
              </w:rPr>
            </w:pPr>
            <w:r>
              <w:rPr>
                <w:rFonts w:ascii="Arial" w:cs="Arial" w:eastAsia="Arial" w:hAnsi="Arial"/>
                <w:sz w:val="8"/>
                <w:szCs w:val="8"/>
                <w:b w:val="1"/>
                <w:bCs w:val="1"/>
                <w:color w:val="auto"/>
              </w:rPr>
              <w:t>Amount</w:t>
            </w:r>
          </w:p>
        </w:tc>
        <w:tc>
          <w:tcPr>
            <w:tcW w:w="20" w:type="dxa"/>
            <w:vAlign w:val="bottom"/>
          </w:tcPr>
          <w:p>
            <w:pPr>
              <w:spacing w:after="0"/>
              <w:rPr>
                <w:sz w:val="6"/>
                <w:szCs w:val="6"/>
                <w:color w:val="auto"/>
              </w:rPr>
            </w:pPr>
          </w:p>
        </w:tc>
        <w:tc>
          <w:tcPr>
            <w:tcW w:w="900" w:type="dxa"/>
            <w:vAlign w:val="bottom"/>
            <w:gridSpan w:val="3"/>
          </w:tcPr>
          <w:p>
            <w:pPr>
              <w:jc w:val="center"/>
              <w:ind w:right="100"/>
              <w:spacing w:after="0" w:line="74" w:lineRule="exact"/>
              <w:rPr>
                <w:sz w:val="20"/>
                <w:szCs w:val="20"/>
                <w:color w:val="auto"/>
              </w:rPr>
            </w:pPr>
            <w:r>
              <w:rPr>
                <w:rFonts w:ascii="Arial" w:cs="Arial" w:eastAsia="Arial" w:hAnsi="Arial"/>
                <w:sz w:val="8"/>
                <w:szCs w:val="8"/>
                <w:b w:val="1"/>
                <w:bCs w:val="1"/>
                <w:color w:val="auto"/>
              </w:rPr>
              <w:t>Additional Paid-In</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960" w:type="dxa"/>
            <w:vAlign w:val="bottom"/>
            <w:gridSpan w:val="2"/>
            <w:vMerge w:val="restart"/>
          </w:tcPr>
          <w:p>
            <w:pPr>
              <w:spacing w:after="0"/>
              <w:rPr>
                <w:sz w:val="20"/>
                <w:szCs w:val="20"/>
                <w:color w:val="auto"/>
              </w:rPr>
            </w:pPr>
            <w:r>
              <w:rPr>
                <w:rFonts w:ascii="Arial" w:cs="Arial" w:eastAsia="Arial" w:hAnsi="Arial"/>
                <w:sz w:val="8"/>
                <w:szCs w:val="8"/>
                <w:b w:val="1"/>
                <w:bCs w:val="1"/>
                <w:color w:val="auto"/>
              </w:rPr>
              <w:t>Accumulated Deficit</w:t>
            </w:r>
          </w:p>
        </w:tc>
        <w:tc>
          <w:tcPr>
            <w:tcW w:w="80" w:type="dxa"/>
            <w:vAlign w:val="bottom"/>
          </w:tcPr>
          <w:p>
            <w:pPr>
              <w:spacing w:after="0"/>
              <w:rPr>
                <w:sz w:val="6"/>
                <w:szCs w:val="6"/>
                <w:color w:val="auto"/>
              </w:rPr>
            </w:pPr>
          </w:p>
        </w:tc>
        <w:tc>
          <w:tcPr>
            <w:tcW w:w="1380" w:type="dxa"/>
            <w:vAlign w:val="bottom"/>
            <w:gridSpan w:val="2"/>
          </w:tcPr>
          <w:p>
            <w:pPr>
              <w:jc w:val="center"/>
              <w:ind w:right="160"/>
              <w:spacing w:after="0" w:line="74" w:lineRule="exact"/>
              <w:rPr>
                <w:sz w:val="20"/>
                <w:szCs w:val="20"/>
                <w:color w:val="auto"/>
              </w:rPr>
            </w:pPr>
            <w:r>
              <w:rPr>
                <w:rFonts w:ascii="Arial" w:cs="Arial" w:eastAsia="Arial" w:hAnsi="Arial"/>
                <w:sz w:val="8"/>
                <w:szCs w:val="8"/>
                <w:b w:val="1"/>
                <w:bCs w:val="1"/>
                <w:color w:val="auto"/>
              </w:rPr>
              <w:t>Accumulated Other</w:t>
            </w:r>
          </w:p>
        </w:tc>
        <w:tc>
          <w:tcPr>
            <w:tcW w:w="80" w:type="dxa"/>
            <w:vAlign w:val="bottom"/>
          </w:tcPr>
          <w:p>
            <w:pPr>
              <w:spacing w:after="0"/>
              <w:rPr>
                <w:sz w:val="6"/>
                <w:szCs w:val="6"/>
                <w:color w:val="auto"/>
              </w:rPr>
            </w:pPr>
          </w:p>
        </w:tc>
        <w:tc>
          <w:tcPr>
            <w:tcW w:w="840" w:type="dxa"/>
            <w:vAlign w:val="bottom"/>
            <w:gridSpan w:val="2"/>
          </w:tcPr>
          <w:p>
            <w:pPr>
              <w:jc w:val="center"/>
              <w:ind w:right="180"/>
              <w:spacing w:after="0" w:line="74" w:lineRule="exact"/>
              <w:rPr>
                <w:sz w:val="20"/>
                <w:szCs w:val="20"/>
                <w:color w:val="auto"/>
              </w:rPr>
            </w:pPr>
            <w:r>
              <w:rPr>
                <w:rFonts w:ascii="Arial" w:cs="Arial" w:eastAsia="Arial" w:hAnsi="Arial"/>
                <w:sz w:val="8"/>
                <w:szCs w:val="8"/>
                <w:b w:val="1"/>
                <w:bCs w:val="1"/>
                <w:color w:val="auto"/>
              </w:rPr>
              <w:t>Non-Controlling</w:t>
            </w:r>
          </w:p>
        </w:tc>
        <w:tc>
          <w:tcPr>
            <w:tcW w:w="80" w:type="dxa"/>
            <w:vAlign w:val="bottom"/>
          </w:tcPr>
          <w:p>
            <w:pPr>
              <w:spacing w:after="0"/>
              <w:rPr>
                <w:sz w:val="6"/>
                <w:szCs w:val="6"/>
                <w:color w:val="auto"/>
              </w:rPr>
            </w:pPr>
          </w:p>
        </w:tc>
        <w:tc>
          <w:tcPr>
            <w:tcW w:w="920" w:type="dxa"/>
            <w:vAlign w:val="bottom"/>
            <w:vMerge w:val="restart"/>
          </w:tcPr>
          <w:p>
            <w:pPr>
              <w:jc w:val="center"/>
              <w:ind w:right="58"/>
              <w:spacing w:after="0"/>
              <w:rPr>
                <w:sz w:val="20"/>
                <w:szCs w:val="20"/>
                <w:color w:val="auto"/>
              </w:rPr>
            </w:pPr>
            <w:r>
              <w:rPr>
                <w:rFonts w:ascii="Arial" w:cs="Arial" w:eastAsia="Arial" w:hAnsi="Arial"/>
                <w:sz w:val="8"/>
                <w:szCs w:val="8"/>
                <w:b w:val="1"/>
                <w:bCs w:val="1"/>
                <w:color w:val="auto"/>
              </w:rPr>
              <w:t>Stockholders’Equity</w:t>
            </w:r>
          </w:p>
        </w:tc>
        <w:tc>
          <w:tcPr>
            <w:tcW w:w="0" w:type="dxa"/>
            <w:vAlign w:val="bottom"/>
          </w:tcPr>
          <w:p>
            <w:pPr>
              <w:spacing w:after="0"/>
              <w:rPr>
                <w:sz w:val="1"/>
                <w:szCs w:val="1"/>
                <w:color w:val="auto"/>
              </w:rPr>
            </w:pPr>
          </w:p>
        </w:tc>
      </w:tr>
      <w:tr>
        <w:trPr>
          <w:trHeight w:val="119"/>
        </w:trPr>
        <w:tc>
          <w:tcPr>
            <w:tcW w:w="2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rPr>
              <w:t>Capital</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8"/>
                <w:szCs w:val="8"/>
                <w:b w:val="1"/>
                <w:bCs w:val="1"/>
                <w:color w:val="auto"/>
              </w:rPr>
              <w:t>Comprehensive Income (Loss)</w:t>
            </w:r>
          </w:p>
        </w:tc>
        <w:tc>
          <w:tcPr>
            <w:tcW w:w="80" w:type="dxa"/>
            <w:vAlign w:val="bottom"/>
          </w:tcPr>
          <w:p>
            <w:pPr>
              <w:spacing w:after="0"/>
              <w:rPr>
                <w:sz w:val="10"/>
                <w:szCs w:val="10"/>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rPr>
              <w:t>Interests</w:t>
            </w:r>
          </w:p>
        </w:tc>
        <w:tc>
          <w:tcPr>
            <w:tcW w:w="8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8"/>
                <w:szCs w:val="8"/>
                <w:b w:val="1"/>
                <w:bCs w:val="1"/>
                <w:color w:val="auto"/>
              </w:rPr>
              <w:t>Successor:</w:t>
            </w:r>
          </w:p>
        </w:tc>
        <w:tc>
          <w:tcPr>
            <w:tcW w:w="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bottom w:val="single" w:sz="8" w:color="auto"/>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500" w:type="dxa"/>
            <w:vAlign w:val="bottom"/>
            <w:tcBorders>
              <w:top w:val="single" w:sz="8" w:color="auto"/>
              <w:bottom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bottom w:val="single" w:sz="8" w:color="auto"/>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520" w:type="dxa"/>
            <w:vAlign w:val="bottom"/>
            <w:tcBorders>
              <w:top w:val="single" w:sz="8" w:color="auto"/>
              <w:bottom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bottom w:val="single" w:sz="8" w:color="auto"/>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bottom w:val="single" w:sz="8" w:color="auto"/>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880" w:type="dxa"/>
            <w:vAlign w:val="bottom"/>
            <w:tcBorders>
              <w:top w:val="single" w:sz="8" w:color="auto"/>
              <w:bottom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128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760" w:type="dxa"/>
            <w:vAlign w:val="bottom"/>
            <w:tcBorders>
              <w:top w:val="single" w:sz="8" w:color="auto"/>
              <w:bottom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920" w:type="dxa"/>
            <w:vAlign w:val="bottom"/>
            <w:tcBorders>
              <w:top w:val="single" w:sz="8" w:color="auto"/>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8"/>
                <w:szCs w:val="8"/>
                <w:b w:val="1"/>
                <w:bCs w:val="1"/>
                <w:color w:val="auto"/>
              </w:rPr>
              <w:t>Balance at Jan. 1, 2021</w:t>
            </w:r>
          </w:p>
        </w:tc>
        <w:tc>
          <w:tcPr>
            <w:tcW w:w="80" w:type="dxa"/>
            <w:vAlign w:val="bottom"/>
            <w:tcBorders>
              <w:bottom w:val="single" w:sz="8" w:color="CCEEFF"/>
            </w:tcBorders>
          </w:tcPr>
          <w:p>
            <w:pPr>
              <w:spacing w:after="0"/>
              <w:rPr>
                <w:sz w:val="9"/>
                <w:szCs w:val="9"/>
                <w:color w:val="auto"/>
              </w:rPr>
            </w:pPr>
          </w:p>
        </w:tc>
        <w:tc>
          <w:tcPr>
            <w:tcW w:w="720" w:type="dxa"/>
            <w:vAlign w:val="bottom"/>
            <w:tcBorders>
              <w:bottom w:val="single" w:sz="8" w:color="CCEEFF"/>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8"/>
                <w:szCs w:val="8"/>
                <w:b w:val="1"/>
                <w:bCs w:val="1"/>
                <w:color w:val="auto"/>
              </w:rPr>
              <w:t>84,196</w:t>
            </w:r>
          </w:p>
        </w:tc>
        <w:tc>
          <w:tcPr>
            <w:tcW w:w="2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gridSpan w:val="2"/>
          </w:tcPr>
          <w:p>
            <w:pPr>
              <w:jc w:val="right"/>
              <w:ind w:right="18"/>
              <w:spacing w:after="0"/>
              <w:rPr>
                <w:sz w:val="20"/>
                <w:szCs w:val="20"/>
                <w:color w:val="auto"/>
              </w:rPr>
            </w:pPr>
            <w:r>
              <w:rPr>
                <w:rFonts w:ascii="Arial" w:cs="Arial" w:eastAsia="Arial" w:hAnsi="Arial"/>
                <w:sz w:val="8"/>
                <w:szCs w:val="8"/>
                <w:b w:val="1"/>
                <w:bCs w:val="1"/>
                <w:color w:val="auto"/>
                <w:w w:val="88"/>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8</w:t>
            </w:r>
          </w:p>
        </w:tc>
        <w:tc>
          <w:tcPr>
            <w:tcW w:w="2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8"/>
                <w:szCs w:val="8"/>
                <w:b w:val="1"/>
                <w:bCs w:val="1"/>
                <w:color w:val="auto"/>
              </w:rPr>
              <w:t>236,997</w:t>
            </w:r>
          </w:p>
        </w:tc>
        <w:tc>
          <w:tcPr>
            <w:tcW w:w="4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gridSpan w:val="2"/>
          </w:tcPr>
          <w:p>
            <w:pPr>
              <w:jc w:val="right"/>
              <w:ind w:right="18"/>
              <w:spacing w:after="0"/>
              <w:rPr>
                <w:sz w:val="20"/>
                <w:szCs w:val="20"/>
                <w:color w:val="auto"/>
              </w:rPr>
            </w:pPr>
            <w:r>
              <w:rPr>
                <w:rFonts w:ascii="Arial" w:cs="Arial" w:eastAsia="Arial" w:hAnsi="Arial"/>
                <w:sz w:val="8"/>
                <w:szCs w:val="8"/>
                <w:b w:val="1"/>
                <w:bCs w:val="1"/>
                <w:color w:val="auto"/>
                <w:w w:val="88"/>
              </w:rPr>
              <w:t>$</w:t>
            </w:r>
          </w:p>
        </w:tc>
        <w:tc>
          <w:tcPr>
            <w:tcW w:w="52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b w:val="1"/>
                <w:bCs w:val="1"/>
                <w:color w:val="auto"/>
              </w:rPr>
              <w:t>24</w:t>
            </w:r>
          </w:p>
        </w:tc>
        <w:tc>
          <w:tcPr>
            <w:tcW w:w="2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gridSpan w:val="2"/>
          </w:tcPr>
          <w:p>
            <w:pPr>
              <w:jc w:val="right"/>
              <w:ind w:right="78"/>
              <w:spacing w:after="0"/>
              <w:rPr>
                <w:sz w:val="20"/>
                <w:szCs w:val="20"/>
                <w:color w:val="auto"/>
              </w:rPr>
            </w:pPr>
            <w:r>
              <w:rPr>
                <w:rFonts w:ascii="Arial" w:cs="Arial" w:eastAsia="Arial" w:hAnsi="Arial"/>
                <w:sz w:val="8"/>
                <w:szCs w:val="8"/>
                <w:b w:val="1"/>
                <w:bCs w:val="1"/>
                <w:color w:val="auto"/>
                <w:w w:val="88"/>
              </w:rPr>
              <w:t>$</w:t>
            </w:r>
          </w:p>
        </w:tc>
        <w:tc>
          <w:tcPr>
            <w:tcW w:w="66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b w:val="1"/>
                <w:bCs w:val="1"/>
                <w:color w:val="auto"/>
              </w:rPr>
              <w:t>399,169</w:t>
            </w:r>
          </w:p>
        </w:tc>
        <w:tc>
          <w:tcPr>
            <w:tcW w:w="8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gridSpan w:val="2"/>
          </w:tcPr>
          <w:p>
            <w:pPr>
              <w:jc w:val="right"/>
              <w:spacing w:after="0"/>
              <w:rPr>
                <w:sz w:val="20"/>
                <w:szCs w:val="20"/>
                <w:color w:val="auto"/>
              </w:rPr>
            </w:pPr>
            <w:r>
              <w:rPr>
                <w:rFonts w:ascii="Arial" w:cs="Arial" w:eastAsia="Arial" w:hAnsi="Arial"/>
                <w:sz w:val="8"/>
                <w:szCs w:val="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(18,802)</w:t>
            </w:r>
          </w:p>
        </w:tc>
        <w:tc>
          <w:tcPr>
            <w:tcW w:w="8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17</w:t>
            </w:r>
          </w:p>
        </w:tc>
        <w:tc>
          <w:tcPr>
            <w:tcW w:w="10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w w:val="88"/>
              </w:rPr>
              <w:t>$</w:t>
            </w:r>
          </w:p>
        </w:tc>
        <w:tc>
          <w:tcPr>
            <w:tcW w:w="76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b w:val="1"/>
                <w:bCs w:val="1"/>
                <w:color w:val="auto"/>
              </w:rPr>
              <w:t>1,018,739</w:t>
            </w:r>
          </w:p>
        </w:tc>
        <w:tc>
          <w:tcPr>
            <w:tcW w:w="8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1,399,155</w:t>
            </w:r>
          </w:p>
        </w:tc>
        <w:tc>
          <w:tcPr>
            <w:tcW w:w="0" w:type="dxa"/>
            <w:vAlign w:val="bottom"/>
          </w:tcPr>
          <w:p>
            <w:pPr>
              <w:spacing w:after="0"/>
              <w:rPr>
                <w:sz w:val="1"/>
                <w:szCs w:val="1"/>
                <w:color w:val="auto"/>
              </w:rPr>
            </w:pPr>
          </w:p>
        </w:tc>
      </w:tr>
      <w:tr>
        <w:trPr>
          <w:trHeight w:val="126"/>
        </w:trPr>
        <w:tc>
          <w:tcPr>
            <w:tcW w:w="2160" w:type="dxa"/>
            <w:vAlign w:val="bottom"/>
            <w:shd w:val="clear" w:color="auto" w:fill="CCEEFF"/>
          </w:tcPr>
          <w:p>
            <w:pPr>
              <w:ind w:left="20"/>
              <w:spacing w:after="0"/>
              <w:rPr>
                <w:sz w:val="20"/>
                <w:szCs w:val="20"/>
                <w:color w:val="auto"/>
              </w:rPr>
            </w:pPr>
            <w:r>
              <w:rPr>
                <w:rFonts w:ascii="Arial" w:cs="Arial" w:eastAsia="Arial" w:hAnsi="Arial"/>
                <w:sz w:val="8"/>
                <w:szCs w:val="8"/>
                <w:color w:val="auto"/>
              </w:rPr>
              <w:t>Cumulative impact of Topic 842</w:t>
            </w: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8"/>
                <w:szCs w:val="8"/>
                <w:color w:val="auto"/>
              </w:rPr>
              <w:t>(17)</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8"/>
                <w:szCs w:val="8"/>
                <w:color w:val="auto"/>
              </w:rPr>
              <w:t>(46)</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8"/>
                <w:szCs w:val="8"/>
                <w:color w:val="auto"/>
              </w:rPr>
              <w:t>(63)</w:t>
            </w:r>
          </w:p>
        </w:tc>
        <w:tc>
          <w:tcPr>
            <w:tcW w:w="0" w:type="dxa"/>
            <w:vAlign w:val="bottom"/>
          </w:tcPr>
          <w:p>
            <w:pPr>
              <w:spacing w:after="0"/>
              <w:rPr>
                <w:sz w:val="1"/>
                <w:szCs w:val="1"/>
                <w:color w:val="auto"/>
              </w:rPr>
            </w:pPr>
          </w:p>
        </w:tc>
      </w:tr>
      <w:tr>
        <w:trPr>
          <w:trHeight w:val="118"/>
        </w:trPr>
        <w:tc>
          <w:tcPr>
            <w:tcW w:w="2160" w:type="dxa"/>
            <w:vAlign w:val="bottom"/>
          </w:tcPr>
          <w:p>
            <w:pPr>
              <w:ind w:left="20"/>
              <w:spacing w:after="0"/>
              <w:rPr>
                <w:sz w:val="20"/>
                <w:szCs w:val="20"/>
                <w:color w:val="auto"/>
              </w:rPr>
            </w:pPr>
            <w:r>
              <w:rPr>
                <w:rFonts w:ascii="Arial" w:cs="Arial" w:eastAsia="Arial" w:hAnsi="Arial"/>
                <w:sz w:val="8"/>
                <w:szCs w:val="8"/>
                <w:color w:val="auto"/>
              </w:rPr>
              <w:t>Cumulative impact of Topic 326</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8"/>
                <w:szCs w:val="8"/>
                <w:color w:val="auto"/>
              </w:rPr>
              <w:t>(141)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8"/>
                <w:szCs w:val="8"/>
                <w:color w:val="auto"/>
              </w:rPr>
              <w:t>(398)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(539)</w:t>
            </w:r>
          </w:p>
        </w:tc>
        <w:tc>
          <w:tcPr>
            <w:tcW w:w="0" w:type="dxa"/>
            <w:vAlign w:val="bottom"/>
          </w:tcPr>
          <w:p>
            <w:pPr>
              <w:spacing w:after="0"/>
              <w:rPr>
                <w:sz w:val="1"/>
                <w:szCs w:val="1"/>
                <w:color w:val="auto"/>
              </w:rPr>
            </w:pPr>
          </w:p>
        </w:tc>
      </w:tr>
      <w:tr>
        <w:trPr>
          <w:trHeight w:val="137"/>
        </w:trPr>
        <w:tc>
          <w:tcPr>
            <w:tcW w:w="2160" w:type="dxa"/>
            <w:vAlign w:val="bottom"/>
            <w:shd w:val="clear" w:color="auto" w:fill="CCEEFF"/>
          </w:tcPr>
          <w:p>
            <w:pPr>
              <w:ind w:left="20"/>
              <w:spacing w:after="0"/>
              <w:rPr>
                <w:sz w:val="20"/>
                <w:szCs w:val="20"/>
                <w:color w:val="auto"/>
              </w:rPr>
            </w:pPr>
            <w:r>
              <w:rPr>
                <w:rFonts w:ascii="Arial" w:cs="Arial" w:eastAsia="Arial" w:hAnsi="Arial"/>
                <w:sz w:val="8"/>
                <w:szCs w:val="8"/>
                <w:color w:val="auto"/>
              </w:rPr>
              <w:t>Net loss</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8"/>
                <w:szCs w:val="8"/>
                <w:color w:val="auto"/>
              </w:rPr>
              <w:t>(189,357)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8"/>
                <w:szCs w:val="8"/>
                <w:color w:val="auto"/>
              </w:rPr>
              <w:t>(344,837)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8"/>
                <w:szCs w:val="8"/>
                <w:color w:val="auto"/>
              </w:rPr>
              <w:t>(534,194)</w:t>
            </w:r>
          </w:p>
        </w:tc>
        <w:tc>
          <w:tcPr>
            <w:tcW w:w="0" w:type="dxa"/>
            <w:vAlign w:val="bottom"/>
          </w:tcPr>
          <w:p>
            <w:pPr>
              <w:spacing w:after="0"/>
              <w:rPr>
                <w:sz w:val="1"/>
                <w:szCs w:val="1"/>
                <w:color w:val="auto"/>
              </w:rPr>
            </w:pPr>
          </w:p>
        </w:tc>
      </w:tr>
      <w:tr>
        <w:trPr>
          <w:trHeight w:val="93"/>
        </w:trPr>
        <w:tc>
          <w:tcPr>
            <w:tcW w:w="3040" w:type="dxa"/>
            <w:vAlign w:val="bottom"/>
            <w:gridSpan w:val="5"/>
          </w:tcPr>
          <w:p>
            <w:pPr>
              <w:ind w:left="20"/>
              <w:spacing w:after="0"/>
              <w:rPr>
                <w:sz w:val="20"/>
                <w:szCs w:val="20"/>
                <w:color w:val="auto"/>
              </w:rPr>
            </w:pPr>
            <w:r>
              <w:rPr>
                <w:rFonts w:ascii="Arial" w:cs="Arial" w:eastAsia="Arial" w:hAnsi="Arial"/>
                <w:sz w:val="8"/>
                <w:szCs w:val="8"/>
                <w:color w:val="auto"/>
              </w:rPr>
              <w:t>Issuance of Class A common shares related to share-based compensation</w:t>
            </w: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160" w:type="dxa"/>
            <w:vAlign w:val="bottom"/>
          </w:tcPr>
          <w:p>
            <w:pPr>
              <w:ind w:left="20"/>
              <w:spacing w:after="0"/>
              <w:rPr>
                <w:sz w:val="20"/>
                <w:szCs w:val="20"/>
                <w:color w:val="auto"/>
              </w:rPr>
            </w:pPr>
            <w:r>
              <w:rPr>
                <w:rFonts w:ascii="Arial" w:cs="Arial" w:eastAsia="Arial" w:hAnsi="Arial"/>
                <w:sz w:val="8"/>
                <w:szCs w:val="8"/>
                <w:color w:val="auto"/>
              </w:rPr>
              <w:t>plans</w:t>
            </w: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gridSpan w:val="2"/>
          </w:tcPr>
          <w:p>
            <w:pPr>
              <w:jc w:val="right"/>
              <w:spacing w:after="0"/>
              <w:rPr>
                <w:sz w:val="20"/>
                <w:szCs w:val="20"/>
                <w:color w:val="auto"/>
              </w:rPr>
            </w:pPr>
            <w:r>
              <w:rPr>
                <w:rFonts w:ascii="Arial" w:cs="Arial" w:eastAsia="Arial" w:hAnsi="Arial"/>
                <w:sz w:val="8"/>
                <w:szCs w:val="8"/>
                <w:color w:val="auto"/>
              </w:rPr>
              <w:t>262</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8"/>
                <w:szCs w:val="8"/>
                <w:color w:val="auto"/>
              </w:rPr>
              <w:t>—</w:t>
            </w: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jc w:val="right"/>
              <w:ind w:right="18"/>
              <w:spacing w:after="0"/>
              <w:rPr>
                <w:sz w:val="20"/>
                <w:szCs w:val="20"/>
                <w:color w:val="auto"/>
              </w:rPr>
            </w:pPr>
            <w:r>
              <w:rPr>
                <w:rFonts w:ascii="Arial" w:cs="Arial" w:eastAsia="Arial" w:hAnsi="Arial"/>
                <w:sz w:val="8"/>
                <w:szCs w:val="8"/>
                <w:color w:val="auto"/>
              </w:rPr>
              <w:t>989</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989</w:t>
            </w:r>
          </w:p>
        </w:tc>
        <w:tc>
          <w:tcPr>
            <w:tcW w:w="0" w:type="dxa"/>
            <w:vAlign w:val="bottom"/>
          </w:tcPr>
          <w:p>
            <w:pPr>
              <w:spacing w:after="0"/>
              <w:rPr>
                <w:sz w:val="1"/>
                <w:szCs w:val="1"/>
                <w:color w:val="auto"/>
              </w:rPr>
            </w:pPr>
          </w:p>
        </w:tc>
      </w:tr>
      <w:tr>
        <w:trPr>
          <w:trHeight w:val="137"/>
        </w:trPr>
        <w:tc>
          <w:tcPr>
            <w:tcW w:w="2160" w:type="dxa"/>
            <w:vAlign w:val="bottom"/>
            <w:shd w:val="clear" w:color="auto" w:fill="CCEEFF"/>
          </w:tcPr>
          <w:p>
            <w:pPr>
              <w:ind w:left="20"/>
              <w:spacing w:after="0"/>
              <w:rPr>
                <w:sz w:val="20"/>
                <w:szCs w:val="20"/>
                <w:color w:val="auto"/>
              </w:rPr>
            </w:pPr>
            <w:r>
              <w:rPr>
                <w:rFonts w:ascii="Arial" w:cs="Arial" w:eastAsia="Arial" w:hAnsi="Arial"/>
                <w:sz w:val="8"/>
                <w:szCs w:val="8"/>
                <w:color w:val="auto"/>
              </w:rPr>
              <w:t>Share-based compensation expense</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27,297</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8"/>
                <w:szCs w:val="8"/>
                <w:color w:val="auto"/>
              </w:rPr>
              <w:t>27,297</w:t>
            </w:r>
          </w:p>
        </w:tc>
        <w:tc>
          <w:tcPr>
            <w:tcW w:w="0" w:type="dxa"/>
            <w:vAlign w:val="bottom"/>
          </w:tcPr>
          <w:p>
            <w:pPr>
              <w:spacing w:after="0"/>
              <w:rPr>
                <w:sz w:val="1"/>
                <w:szCs w:val="1"/>
                <w:color w:val="auto"/>
              </w:rPr>
            </w:pPr>
          </w:p>
        </w:tc>
      </w:tr>
      <w:tr>
        <w:trPr>
          <w:trHeight w:val="118"/>
        </w:trPr>
        <w:tc>
          <w:tcPr>
            <w:tcW w:w="2160" w:type="dxa"/>
            <w:vAlign w:val="bottom"/>
          </w:tcPr>
          <w:p>
            <w:pPr>
              <w:ind w:left="20"/>
              <w:spacing w:after="0"/>
              <w:rPr>
                <w:sz w:val="20"/>
                <w:szCs w:val="20"/>
                <w:color w:val="auto"/>
              </w:rPr>
            </w:pPr>
            <w:r>
              <w:rPr>
                <w:rFonts w:ascii="Arial" w:cs="Arial" w:eastAsia="Arial" w:hAnsi="Arial"/>
                <w:sz w:val="8"/>
                <w:szCs w:val="8"/>
                <w:color w:val="auto"/>
              </w:rPr>
              <w:t>Foreign currency translation adjustment</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Arial" w:cs="Arial" w:eastAsia="Arial" w:hAnsi="Arial"/>
                <w:sz w:val="8"/>
                <w:szCs w:val="8"/>
                <w:color w:val="auto"/>
              </w:rPr>
              <w:t>(76)</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8"/>
                <w:szCs w:val="8"/>
                <w:color w:val="auto"/>
              </w:rPr>
              <w:t>(79)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(155)</w:t>
            </w:r>
          </w:p>
        </w:tc>
        <w:tc>
          <w:tcPr>
            <w:tcW w:w="0" w:type="dxa"/>
            <w:vAlign w:val="bottom"/>
          </w:tcPr>
          <w:p>
            <w:pPr>
              <w:spacing w:after="0"/>
              <w:rPr>
                <w:sz w:val="1"/>
                <w:szCs w:val="1"/>
                <w:color w:val="auto"/>
              </w:rPr>
            </w:pPr>
          </w:p>
        </w:tc>
      </w:tr>
      <w:tr>
        <w:trPr>
          <w:trHeight w:val="137"/>
        </w:trPr>
        <w:tc>
          <w:tcPr>
            <w:tcW w:w="2160" w:type="dxa"/>
            <w:vAlign w:val="bottom"/>
            <w:shd w:val="clear" w:color="auto" w:fill="CCEEFF"/>
          </w:tcPr>
          <w:p>
            <w:pPr>
              <w:ind w:left="20"/>
              <w:spacing w:after="0"/>
              <w:rPr>
                <w:sz w:val="20"/>
                <w:szCs w:val="20"/>
                <w:color w:val="auto"/>
              </w:rPr>
            </w:pPr>
            <w:r>
              <w:rPr>
                <w:rFonts w:ascii="Arial" w:cs="Arial" w:eastAsia="Arial" w:hAnsi="Arial"/>
                <w:sz w:val="8"/>
                <w:szCs w:val="8"/>
                <w:color w:val="auto"/>
              </w:rPr>
              <w:t>Forfeitures of Time-Vesting Units</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8"/>
                <w:szCs w:val="8"/>
                <w:color w:val="auto"/>
              </w:rPr>
              <w:t>(616)</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18"/>
        </w:trPr>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8"/>
                <w:szCs w:val="8"/>
                <w:color w:val="auto"/>
              </w:rPr>
              <w:t>Redemption of LLC Interests and other</w:t>
            </w:r>
          </w:p>
        </w:tc>
        <w:tc>
          <w:tcPr>
            <w:tcW w:w="80" w:type="dxa"/>
            <w:vAlign w:val="bottom"/>
            <w:tcBorders>
              <w:bottom w:val="single" w:sz="8" w:color="CCEEFF"/>
            </w:tcBorders>
          </w:tcPr>
          <w:p>
            <w:pPr>
              <w:spacing w:after="0"/>
              <w:rPr>
                <w:sz w:val="10"/>
                <w:szCs w:val="10"/>
                <w:color w:val="auto"/>
              </w:rPr>
            </w:pPr>
          </w:p>
        </w:tc>
        <w:tc>
          <w:tcPr>
            <w:tcW w:w="72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8"/>
                <w:szCs w:val="8"/>
                <w:color w:val="auto"/>
              </w:rPr>
              <w:t>31,029</w:t>
            </w: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w:t>
            </w: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8"/>
                <w:szCs w:val="8"/>
                <w:color w:val="auto"/>
              </w:rPr>
              <w:t>(31,029)</w:t>
            </w:r>
          </w:p>
        </w:tc>
        <w:tc>
          <w:tcPr>
            <w:tcW w:w="4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w:t>
            </w: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133,992</w:t>
            </w: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(133,992)</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52"/>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8"/>
                <w:szCs w:val="8"/>
                <w:b w:val="1"/>
                <w:bCs w:val="1"/>
                <w:color w:val="auto"/>
              </w:rPr>
              <w:t>Balance at Dec. 31, 2021</w:t>
            </w: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8"/>
                <w:szCs w:val="8"/>
                <w:b w:val="1"/>
                <w:bCs w:val="1"/>
                <w:color w:val="auto"/>
              </w:rPr>
              <w:t>115,487</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gridSpan w:val="2"/>
            <w:shd w:val="clear" w:color="auto" w:fill="CCEEFF"/>
          </w:tcPr>
          <w:p>
            <w:pPr>
              <w:jc w:val="right"/>
              <w:ind w:right="18"/>
              <w:spacing w:after="0"/>
              <w:rPr>
                <w:sz w:val="20"/>
                <w:szCs w:val="20"/>
                <w:color w:val="auto"/>
              </w:rPr>
            </w:pPr>
            <w:r>
              <w:rPr>
                <w:rFonts w:ascii="Arial" w:cs="Arial" w:eastAsia="Arial" w:hAnsi="Arial"/>
                <w:sz w:val="8"/>
                <w:szCs w:val="8"/>
                <w:b w:val="1"/>
                <w:bCs w:val="1"/>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11</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8"/>
                <w:szCs w:val="8"/>
                <w:b w:val="1"/>
                <w:bCs w:val="1"/>
                <w:color w:val="auto"/>
              </w:rPr>
              <w:t>205,352</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gridSpan w:val="2"/>
            <w:shd w:val="clear" w:color="auto" w:fill="CCEEFF"/>
          </w:tcPr>
          <w:p>
            <w:pPr>
              <w:jc w:val="right"/>
              <w:ind w:right="18"/>
              <w:spacing w:after="0"/>
              <w:rPr>
                <w:sz w:val="20"/>
                <w:szCs w:val="20"/>
                <w:color w:val="auto"/>
              </w:rPr>
            </w:pPr>
            <w:r>
              <w:rPr>
                <w:rFonts w:ascii="Arial" w:cs="Arial" w:eastAsia="Arial" w:hAnsi="Arial"/>
                <w:sz w:val="8"/>
                <w:szCs w:val="8"/>
                <w:b w:val="1"/>
                <w:bCs w:val="1"/>
                <w:color w:val="auto"/>
                <w:w w:val="88"/>
              </w:rPr>
              <w:t>$</w:t>
            </w:r>
          </w:p>
        </w:tc>
        <w:tc>
          <w:tcPr>
            <w:tcW w:w="5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8"/>
                <w:szCs w:val="8"/>
                <w:b w:val="1"/>
                <w:bCs w:val="1"/>
                <w:color w:val="auto"/>
              </w:rPr>
              <w:t>21</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gridSpan w:val="2"/>
            <w:shd w:val="clear" w:color="auto" w:fill="CCEEFF"/>
          </w:tcPr>
          <w:p>
            <w:pPr>
              <w:jc w:val="right"/>
              <w:ind w:right="78"/>
              <w:spacing w:after="0"/>
              <w:rPr>
                <w:sz w:val="20"/>
                <w:szCs w:val="20"/>
                <w:color w:val="auto"/>
              </w:rPr>
            </w:pPr>
            <w:r>
              <w:rPr>
                <w:rFonts w:ascii="Arial" w:cs="Arial" w:eastAsia="Arial" w:hAnsi="Arial"/>
                <w:sz w:val="8"/>
                <w:szCs w:val="8"/>
                <w:b w:val="1"/>
                <w:bCs w:val="1"/>
                <w:color w:val="auto"/>
                <w:w w:val="88"/>
              </w:rPr>
              <w:t>$</w:t>
            </w:r>
          </w:p>
        </w:tc>
        <w:tc>
          <w:tcPr>
            <w:tcW w:w="6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8"/>
                <w:szCs w:val="8"/>
                <w:b w:val="1"/>
                <w:bCs w:val="1"/>
                <w:color w:val="auto"/>
              </w:rPr>
              <w:t>561,447</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8"/>
                <w:szCs w:val="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(208,317)</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(59)</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w w:val="88"/>
              </w:rPr>
              <w:t>$</w:t>
            </w:r>
          </w:p>
        </w:tc>
        <w:tc>
          <w:tcPr>
            <w:tcW w:w="7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8"/>
                <w:szCs w:val="8"/>
                <w:b w:val="1"/>
                <w:bCs w:val="1"/>
                <w:color w:val="auto"/>
              </w:rPr>
              <w:t>539,387</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892,490</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7"/>
          </w:tcPr>
          <w:p>
            <w:pPr>
              <w:ind w:left="40"/>
              <w:spacing w:after="0"/>
              <w:rPr>
                <w:sz w:val="20"/>
                <w:szCs w:val="20"/>
                <w:color w:val="auto"/>
              </w:rPr>
            </w:pPr>
            <w:r>
              <w:rPr>
                <w:rFonts w:ascii="Arial" w:cs="Arial" w:eastAsia="Arial" w:hAnsi="Arial"/>
                <w:sz w:val="8"/>
                <w:szCs w:val="8"/>
                <w:b w:val="1"/>
                <w:bCs w:val="1"/>
                <w:color w:val="auto"/>
              </w:rPr>
              <w:t>Twelve months ended Dec. 31, 2020</w:t>
            </w: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40" w:type="dxa"/>
            <w:vAlign w:val="bottom"/>
            <w:tcBorders>
              <w:bottom w:val="single" w:sz="8" w:color="auto"/>
            </w:tcBorders>
            <w:gridSpan w:val="7"/>
          </w:tcPr>
          <w:p>
            <w:pPr>
              <w:ind w:left="200"/>
              <w:spacing w:after="0"/>
              <w:rPr>
                <w:sz w:val="20"/>
                <w:szCs w:val="20"/>
                <w:color w:val="auto"/>
              </w:rPr>
            </w:pPr>
            <w:r>
              <w:rPr>
                <w:rFonts w:ascii="Arial" w:cs="Arial" w:eastAsia="Arial" w:hAnsi="Arial"/>
                <w:sz w:val="8"/>
                <w:szCs w:val="8"/>
                <w:b w:val="1"/>
                <w:bCs w:val="1"/>
                <w:color w:val="auto"/>
              </w:rPr>
              <w:t>Class A Common Stock</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60" w:type="dxa"/>
            <w:vAlign w:val="bottom"/>
            <w:tcBorders>
              <w:bottom w:val="single" w:sz="8" w:color="auto"/>
            </w:tcBorders>
            <w:gridSpan w:val="7"/>
          </w:tcPr>
          <w:p>
            <w:pPr>
              <w:ind w:left="200"/>
              <w:spacing w:after="0"/>
              <w:rPr>
                <w:sz w:val="20"/>
                <w:szCs w:val="20"/>
                <w:color w:val="auto"/>
              </w:rPr>
            </w:pPr>
            <w:r>
              <w:rPr>
                <w:rFonts w:ascii="Arial" w:cs="Arial" w:eastAsia="Arial" w:hAnsi="Arial"/>
                <w:sz w:val="8"/>
                <w:szCs w:val="8"/>
                <w:b w:val="1"/>
                <w:bCs w:val="1"/>
                <w:color w:val="auto"/>
              </w:rPr>
              <w:t>Class B Common Stock</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3"/>
            <w:vMerge w:val="restart"/>
          </w:tcPr>
          <w:p>
            <w:pPr>
              <w:spacing w:after="0"/>
              <w:rPr>
                <w:sz w:val="20"/>
                <w:szCs w:val="20"/>
                <w:color w:val="auto"/>
              </w:rPr>
            </w:pPr>
            <w:r>
              <w:rPr>
                <w:rFonts w:ascii="Arial" w:cs="Arial" w:eastAsia="Arial" w:hAnsi="Arial"/>
                <w:sz w:val="8"/>
                <w:szCs w:val="8"/>
                <w:b w:val="1"/>
                <w:bCs w:val="1"/>
                <w:color w:val="auto"/>
              </w:rPr>
              <w:t>Members’ Equity</w:t>
            </w:r>
          </w:p>
        </w:tc>
        <w:tc>
          <w:tcPr>
            <w:tcW w:w="40" w:type="dxa"/>
            <w:vAlign w:val="bottom"/>
          </w:tcPr>
          <w:p>
            <w:pPr>
              <w:spacing w:after="0"/>
              <w:rPr>
                <w:sz w:val="6"/>
                <w:szCs w:val="6"/>
                <w:color w:val="auto"/>
              </w:rPr>
            </w:pPr>
          </w:p>
        </w:tc>
        <w:tc>
          <w:tcPr>
            <w:tcW w:w="700" w:type="dxa"/>
            <w:vAlign w:val="bottom"/>
            <w:gridSpan w:val="3"/>
            <w:vMerge w:val="restart"/>
          </w:tcPr>
          <w:p>
            <w:pPr>
              <w:ind w:left="180"/>
              <w:spacing w:after="0"/>
              <w:rPr>
                <w:sz w:val="20"/>
                <w:szCs w:val="20"/>
                <w:color w:val="auto"/>
              </w:rPr>
            </w:pPr>
            <w:r>
              <w:rPr>
                <w:rFonts w:ascii="Arial" w:cs="Arial" w:eastAsia="Arial" w:hAnsi="Arial"/>
                <w:sz w:val="8"/>
                <w:szCs w:val="8"/>
                <w:b w:val="1"/>
                <w:bCs w:val="1"/>
                <w:color w:val="auto"/>
              </w:rPr>
              <w:t>Shares</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gridSpan w:val="3"/>
            <w:vMerge w:val="restart"/>
          </w:tcPr>
          <w:p>
            <w:pPr>
              <w:ind w:left="60"/>
              <w:spacing w:after="0"/>
              <w:rPr>
                <w:sz w:val="20"/>
                <w:szCs w:val="20"/>
                <w:color w:val="auto"/>
              </w:rPr>
            </w:pPr>
            <w:r>
              <w:rPr>
                <w:rFonts w:ascii="Arial" w:cs="Arial" w:eastAsia="Arial" w:hAnsi="Arial"/>
                <w:sz w:val="8"/>
                <w:szCs w:val="8"/>
                <w:b w:val="1"/>
                <w:bCs w:val="1"/>
                <w:color w:val="auto"/>
              </w:rPr>
              <w:t>Amount</w:t>
            </w:r>
          </w:p>
        </w:tc>
        <w:tc>
          <w:tcPr>
            <w:tcW w:w="20" w:type="dxa"/>
            <w:vAlign w:val="bottom"/>
          </w:tcPr>
          <w:p>
            <w:pPr>
              <w:spacing w:after="0"/>
              <w:rPr>
                <w:sz w:val="6"/>
                <w:szCs w:val="6"/>
                <w:color w:val="auto"/>
              </w:rPr>
            </w:pPr>
          </w:p>
        </w:tc>
        <w:tc>
          <w:tcPr>
            <w:tcW w:w="700" w:type="dxa"/>
            <w:vAlign w:val="bottom"/>
            <w:gridSpan w:val="3"/>
            <w:vMerge w:val="restart"/>
          </w:tcPr>
          <w:p>
            <w:pPr>
              <w:ind w:left="180"/>
              <w:spacing w:after="0"/>
              <w:rPr>
                <w:sz w:val="20"/>
                <w:szCs w:val="20"/>
                <w:color w:val="auto"/>
              </w:rPr>
            </w:pPr>
            <w:r>
              <w:rPr>
                <w:rFonts w:ascii="Arial" w:cs="Arial" w:eastAsia="Arial" w:hAnsi="Arial"/>
                <w:sz w:val="8"/>
                <w:szCs w:val="8"/>
                <w:b w:val="1"/>
                <w:bCs w:val="1"/>
                <w:color w:val="auto"/>
              </w:rPr>
              <w:t>Shares</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gridSpan w:val="3"/>
            <w:vMerge w:val="restart"/>
          </w:tcPr>
          <w:p>
            <w:pPr>
              <w:ind w:left="60"/>
              <w:spacing w:after="0"/>
              <w:rPr>
                <w:sz w:val="20"/>
                <w:szCs w:val="20"/>
                <w:color w:val="auto"/>
              </w:rPr>
            </w:pPr>
            <w:r>
              <w:rPr>
                <w:rFonts w:ascii="Arial" w:cs="Arial" w:eastAsia="Arial" w:hAnsi="Arial"/>
                <w:sz w:val="8"/>
                <w:szCs w:val="8"/>
                <w:b w:val="1"/>
                <w:bCs w:val="1"/>
                <w:color w:val="auto"/>
              </w:rPr>
              <w:t>Amount</w:t>
            </w:r>
          </w:p>
        </w:tc>
        <w:tc>
          <w:tcPr>
            <w:tcW w:w="20" w:type="dxa"/>
            <w:vAlign w:val="bottom"/>
          </w:tcPr>
          <w:p>
            <w:pPr>
              <w:spacing w:after="0"/>
              <w:rPr>
                <w:sz w:val="6"/>
                <w:szCs w:val="6"/>
                <w:color w:val="auto"/>
              </w:rPr>
            </w:pPr>
          </w:p>
        </w:tc>
        <w:tc>
          <w:tcPr>
            <w:tcW w:w="90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Additional Paid-In</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960" w:type="dxa"/>
            <w:vAlign w:val="bottom"/>
            <w:gridSpan w:val="2"/>
            <w:vMerge w:val="restart"/>
          </w:tcPr>
          <w:p>
            <w:pPr>
              <w:spacing w:after="0"/>
              <w:rPr>
                <w:sz w:val="20"/>
                <w:szCs w:val="20"/>
                <w:color w:val="auto"/>
              </w:rPr>
            </w:pPr>
            <w:r>
              <w:rPr>
                <w:rFonts w:ascii="Arial" w:cs="Arial" w:eastAsia="Arial" w:hAnsi="Arial"/>
                <w:sz w:val="8"/>
                <w:szCs w:val="8"/>
                <w:b w:val="1"/>
                <w:bCs w:val="1"/>
                <w:color w:val="auto"/>
              </w:rPr>
              <w:t>Accumulated Deficit</w:t>
            </w:r>
          </w:p>
        </w:tc>
        <w:tc>
          <w:tcPr>
            <w:tcW w:w="80" w:type="dxa"/>
            <w:vAlign w:val="bottom"/>
          </w:tcPr>
          <w:p>
            <w:pPr>
              <w:spacing w:after="0"/>
              <w:rPr>
                <w:sz w:val="6"/>
                <w:szCs w:val="6"/>
                <w:color w:val="auto"/>
              </w:rPr>
            </w:pPr>
          </w:p>
        </w:tc>
        <w:tc>
          <w:tcPr>
            <w:tcW w:w="1380" w:type="dxa"/>
            <w:vAlign w:val="bottom"/>
            <w:gridSpan w:val="2"/>
          </w:tcPr>
          <w:p>
            <w:pPr>
              <w:jc w:val="center"/>
              <w:ind w:right="160"/>
              <w:spacing w:after="0" w:line="74" w:lineRule="exact"/>
              <w:rPr>
                <w:sz w:val="20"/>
                <w:szCs w:val="20"/>
                <w:color w:val="auto"/>
              </w:rPr>
            </w:pPr>
            <w:r>
              <w:rPr>
                <w:rFonts w:ascii="Arial" w:cs="Arial" w:eastAsia="Arial" w:hAnsi="Arial"/>
                <w:sz w:val="8"/>
                <w:szCs w:val="8"/>
                <w:b w:val="1"/>
                <w:bCs w:val="1"/>
                <w:color w:val="auto"/>
              </w:rPr>
              <w:t>Accumulated Other</w:t>
            </w:r>
          </w:p>
        </w:tc>
        <w:tc>
          <w:tcPr>
            <w:tcW w:w="80" w:type="dxa"/>
            <w:vAlign w:val="bottom"/>
          </w:tcPr>
          <w:p>
            <w:pPr>
              <w:spacing w:after="0"/>
              <w:rPr>
                <w:sz w:val="6"/>
                <w:szCs w:val="6"/>
                <w:color w:val="auto"/>
              </w:rPr>
            </w:pPr>
          </w:p>
        </w:tc>
        <w:tc>
          <w:tcPr>
            <w:tcW w:w="840" w:type="dxa"/>
            <w:vAlign w:val="bottom"/>
            <w:gridSpan w:val="2"/>
          </w:tcPr>
          <w:p>
            <w:pPr>
              <w:jc w:val="center"/>
              <w:ind w:right="180"/>
              <w:spacing w:after="0" w:line="74" w:lineRule="exact"/>
              <w:rPr>
                <w:sz w:val="20"/>
                <w:szCs w:val="20"/>
                <w:color w:val="auto"/>
              </w:rPr>
            </w:pPr>
            <w:r>
              <w:rPr>
                <w:rFonts w:ascii="Arial" w:cs="Arial" w:eastAsia="Arial" w:hAnsi="Arial"/>
                <w:sz w:val="8"/>
                <w:szCs w:val="8"/>
                <w:b w:val="1"/>
                <w:bCs w:val="1"/>
                <w:color w:val="auto"/>
              </w:rPr>
              <w:t>Non-Controlling</w:t>
            </w:r>
          </w:p>
        </w:tc>
        <w:tc>
          <w:tcPr>
            <w:tcW w:w="80" w:type="dxa"/>
            <w:vAlign w:val="bottom"/>
          </w:tcPr>
          <w:p>
            <w:pPr>
              <w:spacing w:after="0"/>
              <w:rPr>
                <w:sz w:val="6"/>
                <w:szCs w:val="6"/>
                <w:color w:val="auto"/>
              </w:rPr>
            </w:pPr>
          </w:p>
        </w:tc>
        <w:tc>
          <w:tcPr>
            <w:tcW w:w="920" w:type="dxa"/>
            <w:vAlign w:val="bottom"/>
          </w:tcPr>
          <w:p>
            <w:pPr>
              <w:jc w:val="center"/>
              <w:ind w:right="38"/>
              <w:spacing w:after="0" w:line="74" w:lineRule="exact"/>
              <w:rPr>
                <w:sz w:val="20"/>
                <w:szCs w:val="20"/>
                <w:color w:val="auto"/>
              </w:rPr>
            </w:pPr>
            <w:r>
              <w:rPr>
                <w:rFonts w:ascii="Arial" w:cs="Arial" w:eastAsia="Arial" w:hAnsi="Arial"/>
                <w:sz w:val="8"/>
                <w:szCs w:val="8"/>
                <w:b w:val="1"/>
                <w:bCs w:val="1"/>
                <w:color w:val="auto"/>
              </w:rPr>
              <w:t>Stockholders’ /</w:t>
            </w:r>
          </w:p>
        </w:tc>
        <w:tc>
          <w:tcPr>
            <w:tcW w:w="0" w:type="dxa"/>
            <w:vAlign w:val="bottom"/>
          </w:tcPr>
          <w:p>
            <w:pPr>
              <w:spacing w:after="0"/>
              <w:rPr>
                <w:sz w:val="1"/>
                <w:szCs w:val="1"/>
                <w:color w:val="auto"/>
              </w:rPr>
            </w:pPr>
          </w:p>
        </w:tc>
      </w:tr>
      <w:tr>
        <w:trPr>
          <w:trHeight w:val="119"/>
        </w:trPr>
        <w:tc>
          <w:tcPr>
            <w:tcW w:w="2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tcPr>
          <w:p>
            <w:pPr>
              <w:ind w:left="100"/>
              <w:spacing w:after="0"/>
              <w:rPr>
                <w:sz w:val="20"/>
                <w:szCs w:val="20"/>
                <w:color w:val="auto"/>
              </w:rPr>
            </w:pPr>
            <w:r>
              <w:rPr>
                <w:rFonts w:ascii="Arial" w:cs="Arial" w:eastAsia="Arial" w:hAnsi="Arial"/>
                <w:sz w:val="8"/>
                <w:szCs w:val="8"/>
                <w:b w:val="1"/>
                <w:bCs w:val="1"/>
                <w:color w:val="auto"/>
              </w:rPr>
              <w:t>Capital</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8"/>
                <w:szCs w:val="8"/>
                <w:b w:val="1"/>
                <w:bCs w:val="1"/>
                <w:color w:val="auto"/>
              </w:rPr>
              <w:t>Comprehensive Income (Loss)</w:t>
            </w:r>
          </w:p>
        </w:tc>
        <w:tc>
          <w:tcPr>
            <w:tcW w:w="80" w:type="dxa"/>
            <w:vAlign w:val="bottom"/>
          </w:tcPr>
          <w:p>
            <w:pPr>
              <w:spacing w:after="0"/>
              <w:rPr>
                <w:sz w:val="10"/>
                <w:szCs w:val="10"/>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rPr>
              <w:t>Interests</w:t>
            </w:r>
          </w:p>
        </w:tc>
        <w:tc>
          <w:tcPr>
            <w:tcW w:w="80" w:type="dxa"/>
            <w:vAlign w:val="bottom"/>
          </w:tcPr>
          <w:p>
            <w:pPr>
              <w:spacing w:after="0"/>
              <w:rPr>
                <w:sz w:val="10"/>
                <w:szCs w:val="10"/>
                <w:color w:val="auto"/>
              </w:rPr>
            </w:pPr>
          </w:p>
        </w:tc>
        <w:tc>
          <w:tcPr>
            <w:tcW w:w="920" w:type="dxa"/>
            <w:vAlign w:val="bottom"/>
          </w:tcPr>
          <w:p>
            <w:pPr>
              <w:jc w:val="center"/>
              <w:ind w:right="38"/>
              <w:spacing w:after="0"/>
              <w:rPr>
                <w:sz w:val="20"/>
                <w:szCs w:val="20"/>
                <w:color w:val="auto"/>
              </w:rPr>
            </w:pPr>
            <w:r>
              <w:rPr>
                <w:rFonts w:ascii="Arial" w:cs="Arial" w:eastAsia="Arial" w:hAnsi="Arial"/>
                <w:sz w:val="8"/>
                <w:szCs w:val="8"/>
                <w:b w:val="1"/>
                <w:bCs w:val="1"/>
                <w:color w:val="auto"/>
              </w:rPr>
              <w:t>Members’ Equity</w:t>
            </w:r>
          </w:p>
        </w:tc>
        <w:tc>
          <w:tcPr>
            <w:tcW w:w="0" w:type="dxa"/>
            <w:vAlign w:val="bottom"/>
          </w:tcPr>
          <w:p>
            <w:pPr>
              <w:spacing w:after="0"/>
              <w:rPr>
                <w:sz w:val="1"/>
                <w:szCs w:val="1"/>
                <w:color w:val="auto"/>
              </w:rPr>
            </w:pPr>
          </w:p>
        </w:tc>
      </w:tr>
      <w:tr>
        <w:trPr>
          <w:trHeight w:val="11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8"/>
                <w:szCs w:val="8"/>
                <w:b w:val="1"/>
                <w:bCs w:val="1"/>
                <w:color w:val="auto"/>
              </w:rPr>
              <w:t>Successor:</w:t>
            </w: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720" w:type="dxa"/>
            <w:vAlign w:val="bottom"/>
            <w:tcBorders>
              <w:top w:val="single" w:sz="8" w:color="auto"/>
              <w:bottom w:val="single" w:sz="8" w:color="auto"/>
            </w:tcBorders>
            <w:shd w:val="clear" w:color="auto" w:fill="CCEEFF"/>
          </w:tcPr>
          <w:p>
            <w:pPr>
              <w:spacing w:after="0"/>
              <w:rPr>
                <w:sz w:val="10"/>
                <w:szCs w:val="10"/>
                <w:color w:val="auto"/>
              </w:rPr>
            </w:pPr>
          </w:p>
        </w:tc>
        <w:tc>
          <w:tcPr>
            <w:tcW w:w="40" w:type="dxa"/>
            <w:vAlign w:val="bottom"/>
            <w:tcBorders>
              <w:top w:val="single" w:sz="8" w:color="auto"/>
              <w:bottom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spacing w:after="0"/>
              <w:rPr>
                <w:sz w:val="10"/>
                <w:szCs w:val="10"/>
                <w:color w:val="auto"/>
              </w:rPr>
            </w:pPr>
          </w:p>
        </w:tc>
        <w:tc>
          <w:tcPr>
            <w:tcW w:w="20" w:type="dxa"/>
            <w:vAlign w:val="bottom"/>
            <w:tcBorders>
              <w:top w:val="single" w:sz="8" w:color="auto"/>
              <w:bottom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500" w:type="dxa"/>
            <w:vAlign w:val="bottom"/>
            <w:tcBorders>
              <w:top w:val="single" w:sz="8" w:color="auto"/>
              <w:bottom w:val="single" w:sz="8" w:color="auto"/>
            </w:tcBorders>
            <w:shd w:val="clear" w:color="auto" w:fill="CCEEFF"/>
          </w:tcPr>
          <w:p>
            <w:pPr>
              <w:spacing w:after="0"/>
              <w:rPr>
                <w:sz w:val="10"/>
                <w:szCs w:val="10"/>
                <w:color w:val="auto"/>
              </w:rPr>
            </w:pPr>
          </w:p>
        </w:tc>
        <w:tc>
          <w:tcPr>
            <w:tcW w:w="20" w:type="dxa"/>
            <w:vAlign w:val="bottom"/>
            <w:tcBorders>
              <w:top w:val="single" w:sz="8" w:color="auto"/>
              <w:bottom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spacing w:after="0"/>
              <w:rPr>
                <w:sz w:val="10"/>
                <w:szCs w:val="10"/>
                <w:color w:val="auto"/>
              </w:rPr>
            </w:pPr>
          </w:p>
        </w:tc>
        <w:tc>
          <w:tcPr>
            <w:tcW w:w="40" w:type="dxa"/>
            <w:vAlign w:val="bottom"/>
            <w:tcBorders>
              <w:top w:val="single" w:sz="8" w:color="auto"/>
              <w:bottom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520" w:type="dxa"/>
            <w:vAlign w:val="bottom"/>
            <w:tcBorders>
              <w:top w:val="single" w:sz="8" w:color="auto"/>
              <w:bottom w:val="single" w:sz="8" w:color="auto"/>
            </w:tcBorders>
            <w:shd w:val="clear" w:color="auto" w:fill="CCEEFF"/>
          </w:tcPr>
          <w:p>
            <w:pPr>
              <w:spacing w:after="0"/>
              <w:rPr>
                <w:sz w:val="10"/>
                <w:szCs w:val="10"/>
                <w:color w:val="auto"/>
              </w:rPr>
            </w:pPr>
          </w:p>
        </w:tc>
        <w:tc>
          <w:tcPr>
            <w:tcW w:w="20" w:type="dxa"/>
            <w:vAlign w:val="bottom"/>
            <w:tcBorders>
              <w:top w:val="single" w:sz="8" w:color="auto"/>
              <w:bottom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880" w:type="dxa"/>
            <w:vAlign w:val="bottom"/>
            <w:tcBorders>
              <w:top w:val="single" w:sz="8" w:color="auto"/>
              <w:bottom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128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760" w:type="dxa"/>
            <w:vAlign w:val="bottom"/>
            <w:tcBorders>
              <w:top w:val="single" w:sz="8" w:color="auto"/>
              <w:bottom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920" w:type="dxa"/>
            <w:vAlign w:val="bottom"/>
            <w:tcBorders>
              <w:top w:val="single" w:sz="8" w:color="auto"/>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8"/>
                <w:szCs w:val="8"/>
                <w:b w:val="1"/>
                <w:bCs w:val="1"/>
                <w:color w:val="auto"/>
              </w:rPr>
              <w:t>Balance at Jan. 1, 2020</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860,144</w:t>
            </w: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8"/>
                <w:szCs w:val="8"/>
                <w:b w:val="1"/>
                <w:bCs w:val="1"/>
                <w:color w:val="auto"/>
              </w:rPr>
              <w:t>—</w:t>
            </w:r>
          </w:p>
        </w:tc>
        <w:tc>
          <w:tcPr>
            <w:tcW w:w="8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w w:val="88"/>
              </w:rPr>
              <w:t>$</w:t>
            </w:r>
          </w:p>
        </w:tc>
        <w:tc>
          <w:tcPr>
            <w:tcW w:w="5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8"/>
                <w:szCs w:val="8"/>
                <w:b w:val="1"/>
                <w:bCs w:val="1"/>
                <w:color w:val="auto"/>
              </w:rPr>
              <w:t>—</w:t>
            </w:r>
          </w:p>
        </w:tc>
        <w:tc>
          <w:tcPr>
            <w:tcW w:w="8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8"/>
                <w:szCs w:val="8"/>
                <w:b w:val="1"/>
                <w:bCs w:val="1"/>
                <w:color w:val="auto"/>
              </w:rPr>
              <w:t>—</w:t>
            </w:r>
          </w:p>
        </w:tc>
        <w:tc>
          <w:tcPr>
            <w:tcW w:w="6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w w:val="88"/>
              </w:rPr>
              <w:t>$</w:t>
            </w:r>
          </w:p>
        </w:tc>
        <w:tc>
          <w:tcPr>
            <w:tcW w:w="5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8"/>
                <w:szCs w:val="8"/>
                <w:b w:val="1"/>
                <w:bCs w:val="1"/>
                <w:color w:val="auto"/>
              </w:rPr>
              <w:t>—</w:t>
            </w:r>
          </w:p>
        </w:tc>
        <w:tc>
          <w:tcPr>
            <w:tcW w:w="6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jc w:val="right"/>
              <w:ind w:right="58"/>
              <w:spacing w:after="0"/>
              <w:rPr>
                <w:sz w:val="20"/>
                <w:szCs w:val="20"/>
                <w:color w:val="auto"/>
              </w:rPr>
            </w:pPr>
            <w:r>
              <w:rPr>
                <w:rFonts w:ascii="Arial" w:cs="Arial" w:eastAsia="Arial" w:hAnsi="Arial"/>
                <w:sz w:val="8"/>
                <w:szCs w:val="8"/>
                <w:b w:val="1"/>
                <w:bCs w:val="1"/>
                <w:color w:val="auto"/>
                <w:w w:val="88"/>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w:t>
            </w:r>
          </w:p>
        </w:tc>
        <w:tc>
          <w:tcPr>
            <w:tcW w:w="8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w:t>
            </w:r>
          </w:p>
        </w:tc>
        <w:tc>
          <w:tcPr>
            <w:tcW w:w="8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w:t>
            </w:r>
          </w:p>
        </w:tc>
        <w:tc>
          <w:tcPr>
            <w:tcW w:w="10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w w:val="88"/>
              </w:rPr>
              <w:t>$</w:t>
            </w:r>
          </w:p>
        </w:tc>
        <w:tc>
          <w:tcPr>
            <w:tcW w:w="76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b w:val="1"/>
                <w:bCs w:val="1"/>
                <w:color w:val="auto"/>
              </w:rPr>
              <w:t>—</w:t>
            </w:r>
          </w:p>
        </w:tc>
        <w:tc>
          <w:tcPr>
            <w:tcW w:w="8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w:t>
            </w:r>
          </w:p>
        </w:tc>
        <w:tc>
          <w:tcPr>
            <w:tcW w:w="0" w:type="dxa"/>
            <w:vAlign w:val="bottom"/>
          </w:tcPr>
          <w:p>
            <w:pPr>
              <w:spacing w:after="0"/>
              <w:rPr>
                <w:sz w:val="1"/>
                <w:szCs w:val="1"/>
                <w:color w:val="auto"/>
              </w:rPr>
            </w:pPr>
          </w:p>
        </w:tc>
      </w:tr>
      <w:tr>
        <w:trPr>
          <w:trHeight w:val="126"/>
        </w:trPr>
        <w:tc>
          <w:tcPr>
            <w:tcW w:w="2160" w:type="dxa"/>
            <w:vAlign w:val="bottom"/>
            <w:shd w:val="clear" w:color="auto" w:fill="CCEEFF"/>
          </w:tcPr>
          <w:p>
            <w:pPr>
              <w:ind w:left="20"/>
              <w:spacing w:after="0"/>
              <w:rPr>
                <w:sz w:val="20"/>
                <w:szCs w:val="20"/>
                <w:color w:val="auto"/>
              </w:rPr>
            </w:pPr>
            <w:r>
              <w:rPr>
                <w:rFonts w:ascii="Arial" w:cs="Arial" w:eastAsia="Arial" w:hAnsi="Arial"/>
                <w:sz w:val="8"/>
                <w:szCs w:val="8"/>
                <w:color w:val="auto"/>
              </w:rPr>
              <w:t>Issuance of Senior Preferred Earnout units</w:t>
            </w: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8"/>
                <w:szCs w:val="8"/>
                <w:color w:val="auto"/>
              </w:rPr>
              <w:t>100,000</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18"/>
        </w:trPr>
        <w:tc>
          <w:tcPr>
            <w:tcW w:w="2160" w:type="dxa"/>
            <w:vAlign w:val="bottom"/>
          </w:tcPr>
          <w:p>
            <w:pPr>
              <w:ind w:left="20"/>
              <w:spacing w:after="0"/>
              <w:rPr>
                <w:sz w:val="20"/>
                <w:szCs w:val="20"/>
                <w:color w:val="auto"/>
              </w:rPr>
            </w:pPr>
            <w:r>
              <w:rPr>
                <w:rFonts w:ascii="Arial" w:cs="Arial" w:eastAsia="Arial" w:hAnsi="Arial"/>
                <w:sz w:val="8"/>
                <w:szCs w:val="8"/>
                <w:color w:val="auto"/>
              </w:rPr>
              <w:t>Issuance of Common Earnout Units</w:t>
            </w:r>
          </w:p>
        </w:tc>
        <w:tc>
          <w:tcPr>
            <w:tcW w:w="8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100,000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37"/>
        </w:trPr>
        <w:tc>
          <w:tcPr>
            <w:tcW w:w="2160" w:type="dxa"/>
            <w:vAlign w:val="bottom"/>
            <w:shd w:val="clear" w:color="auto" w:fill="CCEEFF"/>
          </w:tcPr>
          <w:p>
            <w:pPr>
              <w:ind w:left="20"/>
              <w:spacing w:after="0"/>
              <w:rPr>
                <w:sz w:val="20"/>
                <w:szCs w:val="20"/>
                <w:color w:val="auto"/>
              </w:rPr>
            </w:pPr>
            <w:r>
              <w:rPr>
                <w:rFonts w:ascii="Arial" w:cs="Arial" w:eastAsia="Arial" w:hAnsi="Arial"/>
                <w:sz w:val="8"/>
                <w:szCs w:val="8"/>
                <w:color w:val="auto"/>
              </w:rPr>
              <w:t>Issuance of common units</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8"/>
                <w:szCs w:val="8"/>
                <w:color w:val="auto"/>
              </w:rPr>
              <w:t>10,000</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18"/>
        </w:trPr>
        <w:tc>
          <w:tcPr>
            <w:tcW w:w="2160" w:type="dxa"/>
            <w:vAlign w:val="bottom"/>
          </w:tcPr>
          <w:p>
            <w:pPr>
              <w:ind w:left="20"/>
              <w:spacing w:after="0"/>
              <w:rPr>
                <w:sz w:val="20"/>
                <w:szCs w:val="20"/>
                <w:color w:val="auto"/>
              </w:rPr>
            </w:pPr>
            <w:r>
              <w:rPr>
                <w:rFonts w:ascii="Arial" w:cs="Arial" w:eastAsia="Arial" w:hAnsi="Arial"/>
                <w:sz w:val="8"/>
                <w:szCs w:val="8"/>
                <w:color w:val="auto"/>
              </w:rPr>
              <w:t>Net loss prior to the Transactions</w:t>
            </w:r>
          </w:p>
        </w:tc>
        <w:tc>
          <w:tcPr>
            <w:tcW w:w="80" w:type="dxa"/>
            <w:vAlign w:val="bottom"/>
          </w:tcPr>
          <w:p>
            <w:pPr>
              <w:spacing w:after="0"/>
              <w:rPr>
                <w:sz w:val="10"/>
                <w:szCs w:val="1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8"/>
                <w:szCs w:val="8"/>
                <w:color w:val="auto"/>
              </w:rPr>
              <w:t>(25,465)</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02"/>
        </w:trPr>
        <w:tc>
          <w:tcPr>
            <w:tcW w:w="2160" w:type="dxa"/>
            <w:vAlign w:val="bottom"/>
            <w:shd w:val="clear" w:color="auto" w:fill="CCEEFF"/>
          </w:tcPr>
          <w:p>
            <w:pPr>
              <w:ind w:left="20"/>
              <w:spacing w:after="0"/>
              <w:rPr>
                <w:sz w:val="20"/>
                <w:szCs w:val="20"/>
                <w:color w:val="auto"/>
              </w:rPr>
            </w:pPr>
            <w:r>
              <w:rPr>
                <w:rFonts w:ascii="Arial" w:cs="Arial" w:eastAsia="Arial" w:hAnsi="Arial"/>
                <w:sz w:val="8"/>
                <w:szCs w:val="8"/>
                <w:color w:val="auto"/>
              </w:rPr>
              <w:t>Share-based compensation expense prior to the</w:t>
            </w: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160" w:type="dxa"/>
            <w:vAlign w:val="bottom"/>
            <w:shd w:val="clear" w:color="auto" w:fill="CCEEFF"/>
          </w:tcPr>
          <w:p>
            <w:pPr>
              <w:ind w:left="20"/>
              <w:spacing w:after="0"/>
              <w:rPr>
                <w:sz w:val="20"/>
                <w:szCs w:val="20"/>
                <w:color w:val="auto"/>
              </w:rPr>
            </w:pPr>
            <w:r>
              <w:rPr>
                <w:rFonts w:ascii="Arial" w:cs="Arial" w:eastAsia="Arial" w:hAnsi="Arial"/>
                <w:sz w:val="8"/>
                <w:szCs w:val="8"/>
                <w:color w:val="auto"/>
              </w:rPr>
              <w:t>Transactions</w:t>
            </w: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8"/>
                <w:szCs w:val="8"/>
                <w:color w:val="auto"/>
              </w:rPr>
              <w:t>1,182</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3"/>
        </w:trPr>
        <w:tc>
          <w:tcPr>
            <w:tcW w:w="2160" w:type="dxa"/>
            <w:vAlign w:val="bottom"/>
          </w:tcPr>
          <w:p>
            <w:pPr>
              <w:ind w:left="20"/>
              <w:spacing w:after="0"/>
              <w:rPr>
                <w:sz w:val="20"/>
                <w:szCs w:val="20"/>
                <w:color w:val="auto"/>
              </w:rPr>
            </w:pPr>
            <w:r>
              <w:rPr>
                <w:rFonts w:ascii="Arial" w:cs="Arial" w:eastAsia="Arial" w:hAnsi="Arial"/>
                <w:sz w:val="8"/>
                <w:szCs w:val="8"/>
                <w:color w:val="auto"/>
              </w:rPr>
              <w:t>Foreign currency translation adjustment prior to the</w:t>
            </w: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160" w:type="dxa"/>
            <w:vAlign w:val="bottom"/>
          </w:tcPr>
          <w:p>
            <w:pPr>
              <w:ind w:left="20"/>
              <w:spacing w:after="0"/>
              <w:rPr>
                <w:sz w:val="20"/>
                <w:szCs w:val="20"/>
                <w:color w:val="auto"/>
              </w:rPr>
            </w:pPr>
            <w:r>
              <w:rPr>
                <w:rFonts w:ascii="Arial" w:cs="Arial" w:eastAsia="Arial" w:hAnsi="Arial"/>
                <w:sz w:val="8"/>
                <w:szCs w:val="8"/>
                <w:color w:val="auto"/>
              </w:rPr>
              <w:t>Transactions</w:t>
            </w:r>
          </w:p>
        </w:tc>
        <w:tc>
          <w:tcPr>
            <w:tcW w:w="80" w:type="dxa"/>
            <w:vAlign w:val="bottom"/>
          </w:tcPr>
          <w:p>
            <w:pPr>
              <w:spacing w:after="0"/>
              <w:rPr>
                <w:sz w:val="9"/>
                <w:szCs w:val="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8"/>
                <w:szCs w:val="8"/>
                <w:color w:val="auto"/>
              </w:rPr>
              <w:t>(59)</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37"/>
        </w:trPr>
        <w:tc>
          <w:tcPr>
            <w:tcW w:w="2160" w:type="dxa"/>
            <w:vAlign w:val="bottom"/>
            <w:shd w:val="clear" w:color="auto" w:fill="CCEEFF"/>
          </w:tcPr>
          <w:p>
            <w:pPr>
              <w:ind w:left="20"/>
              <w:spacing w:after="0"/>
              <w:rPr>
                <w:sz w:val="20"/>
                <w:szCs w:val="20"/>
                <w:color w:val="auto"/>
              </w:rPr>
            </w:pPr>
            <w:r>
              <w:rPr>
                <w:rFonts w:ascii="Arial" w:cs="Arial" w:eastAsia="Arial" w:hAnsi="Arial"/>
                <w:sz w:val="8"/>
                <w:szCs w:val="8"/>
                <w:color w:val="auto"/>
              </w:rPr>
              <w:t>Effect of the Transactions</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8"/>
                <w:szCs w:val="8"/>
                <w:color w:val="auto"/>
              </w:rPr>
              <w:t>(1,045,802)</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8"/>
                <w:szCs w:val="8"/>
                <w:color w:val="auto"/>
              </w:rPr>
              <w:t>307,980</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8"/>
                <w:szCs w:val="8"/>
                <w:color w:val="auto"/>
              </w:rPr>
              <w:t>31</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8"/>
                <w:szCs w:val="8"/>
                <w:color w:val="auto"/>
              </w:rPr>
              <w:t>(524,977)</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1,570,748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8"/>
                <w:szCs w:val="8"/>
                <w:color w:val="auto"/>
              </w:rPr>
              <w:t>1,045,802</w:t>
            </w:r>
          </w:p>
        </w:tc>
        <w:tc>
          <w:tcPr>
            <w:tcW w:w="0" w:type="dxa"/>
            <w:vAlign w:val="bottom"/>
          </w:tcPr>
          <w:p>
            <w:pPr>
              <w:spacing w:after="0"/>
              <w:rPr>
                <w:sz w:val="1"/>
                <w:szCs w:val="1"/>
                <w:color w:val="auto"/>
              </w:rPr>
            </w:pPr>
          </w:p>
        </w:tc>
      </w:tr>
      <w:tr>
        <w:trPr>
          <w:trHeight w:val="93"/>
        </w:trPr>
        <w:tc>
          <w:tcPr>
            <w:tcW w:w="2160" w:type="dxa"/>
            <w:vAlign w:val="bottom"/>
          </w:tcPr>
          <w:p>
            <w:pPr>
              <w:ind w:left="20"/>
              <w:spacing w:after="0"/>
              <w:rPr>
                <w:sz w:val="20"/>
                <w:szCs w:val="20"/>
                <w:color w:val="auto"/>
              </w:rPr>
            </w:pPr>
            <w:r>
              <w:rPr>
                <w:rFonts w:ascii="Arial" w:cs="Arial" w:eastAsia="Arial" w:hAnsi="Arial"/>
                <w:sz w:val="8"/>
                <w:szCs w:val="8"/>
                <w:color w:val="auto"/>
              </w:rPr>
              <w:t>Issuance of common stock sold in IPO, net of offering</w:t>
            </w: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160" w:type="dxa"/>
            <w:vAlign w:val="bottom"/>
          </w:tcPr>
          <w:p>
            <w:pPr>
              <w:ind w:left="20"/>
              <w:spacing w:after="0"/>
              <w:rPr>
                <w:sz w:val="20"/>
                <w:szCs w:val="20"/>
                <w:color w:val="auto"/>
              </w:rPr>
            </w:pPr>
            <w:r>
              <w:rPr>
                <w:rFonts w:ascii="Arial" w:cs="Arial" w:eastAsia="Arial" w:hAnsi="Arial"/>
                <w:sz w:val="8"/>
                <w:szCs w:val="8"/>
                <w:color w:val="auto"/>
              </w:rPr>
              <w:t>costs</w:t>
            </w: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gridSpan w:val="2"/>
          </w:tcPr>
          <w:p>
            <w:pPr>
              <w:jc w:val="right"/>
              <w:spacing w:after="0"/>
              <w:rPr>
                <w:sz w:val="20"/>
                <w:szCs w:val="20"/>
                <w:color w:val="auto"/>
              </w:rPr>
            </w:pPr>
            <w:r>
              <w:rPr>
                <w:rFonts w:ascii="Arial" w:cs="Arial" w:eastAsia="Arial" w:hAnsi="Arial"/>
                <w:sz w:val="8"/>
                <w:szCs w:val="8"/>
                <w:color w:val="auto"/>
              </w:rPr>
              <w:t>43,500</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8"/>
                <w:szCs w:val="8"/>
                <w:color w:val="auto"/>
              </w:rPr>
              <w:t>4</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852,403</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852,407</w:t>
            </w:r>
          </w:p>
        </w:tc>
        <w:tc>
          <w:tcPr>
            <w:tcW w:w="0" w:type="dxa"/>
            <w:vAlign w:val="bottom"/>
          </w:tcPr>
          <w:p>
            <w:pPr>
              <w:spacing w:after="0"/>
              <w:rPr>
                <w:sz w:val="1"/>
                <w:szCs w:val="1"/>
                <w:color w:val="auto"/>
              </w:rPr>
            </w:pPr>
          </w:p>
        </w:tc>
      </w:tr>
      <w:tr>
        <w:trPr>
          <w:trHeight w:val="137"/>
        </w:trPr>
        <w:tc>
          <w:tcPr>
            <w:tcW w:w="2160" w:type="dxa"/>
            <w:vAlign w:val="bottom"/>
            <w:shd w:val="clear" w:color="auto" w:fill="CCEEFF"/>
          </w:tcPr>
          <w:p>
            <w:pPr>
              <w:ind w:left="20"/>
              <w:spacing w:after="0"/>
              <w:rPr>
                <w:sz w:val="20"/>
                <w:szCs w:val="20"/>
                <w:color w:val="auto"/>
              </w:rPr>
            </w:pPr>
            <w:r>
              <w:rPr>
                <w:rFonts w:ascii="Arial" w:cs="Arial" w:eastAsia="Arial" w:hAnsi="Arial"/>
                <w:sz w:val="8"/>
                <w:szCs w:val="8"/>
                <w:color w:val="auto"/>
              </w:rPr>
              <w:t>Effect of the Blocker Merger</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8"/>
                <w:szCs w:val="8"/>
                <w:color w:val="auto"/>
              </w:rPr>
              <w:t>40,683</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8"/>
                <w:szCs w:val="8"/>
                <w:color w:val="auto"/>
              </w:rPr>
              <w:t>4</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8"/>
                <w:szCs w:val="8"/>
                <w:color w:val="auto"/>
              </w:rPr>
              <w:t>(45,503)</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8"/>
                <w:szCs w:val="8"/>
                <w:color w:val="auto"/>
              </w:rPr>
              <w:t>(5)</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8"/>
                <w:szCs w:val="8"/>
                <w:color w:val="auto"/>
              </w:rPr>
              <w:t>(96,164)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8"/>
                <w:szCs w:val="8"/>
                <w:color w:val="auto"/>
              </w:rPr>
              <w:t>(96,165)</w:t>
            </w:r>
          </w:p>
        </w:tc>
        <w:tc>
          <w:tcPr>
            <w:tcW w:w="0" w:type="dxa"/>
            <w:vAlign w:val="bottom"/>
          </w:tcPr>
          <w:p>
            <w:pPr>
              <w:spacing w:after="0"/>
              <w:rPr>
                <w:sz w:val="1"/>
                <w:szCs w:val="1"/>
                <w:color w:val="auto"/>
              </w:rPr>
            </w:pPr>
          </w:p>
        </w:tc>
      </w:tr>
      <w:tr>
        <w:trPr>
          <w:trHeight w:val="118"/>
        </w:trPr>
        <w:tc>
          <w:tcPr>
            <w:tcW w:w="2160" w:type="dxa"/>
            <w:vAlign w:val="bottom"/>
          </w:tcPr>
          <w:p>
            <w:pPr>
              <w:ind w:left="20"/>
              <w:spacing w:after="0"/>
              <w:rPr>
                <w:sz w:val="20"/>
                <w:szCs w:val="20"/>
                <w:color w:val="auto"/>
              </w:rPr>
            </w:pPr>
            <w:r>
              <w:rPr>
                <w:rFonts w:ascii="Arial" w:cs="Arial" w:eastAsia="Arial" w:hAnsi="Arial"/>
                <w:sz w:val="8"/>
                <w:szCs w:val="8"/>
                <w:color w:val="auto"/>
              </w:rPr>
              <w:t>Effect of purchase of LLC Interests</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right"/>
              <w:spacing w:after="0"/>
              <w:rPr>
                <w:sz w:val="20"/>
                <w:szCs w:val="20"/>
                <w:color w:val="auto"/>
              </w:rPr>
            </w:pPr>
            <w:r>
              <w:rPr>
                <w:rFonts w:ascii="Arial" w:cs="Arial" w:eastAsia="Arial" w:hAnsi="Arial"/>
                <w:sz w:val="8"/>
                <w:szCs w:val="8"/>
                <w:color w:val="auto"/>
              </w:rPr>
              <w:t>(25,480)</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8"/>
                <w:szCs w:val="8"/>
                <w:color w:val="auto"/>
              </w:rPr>
              <w:t>(2)</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8"/>
                <w:szCs w:val="8"/>
                <w:color w:val="auto"/>
              </w:rPr>
              <w:t>(508,318)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(508,320)</w:t>
            </w:r>
          </w:p>
        </w:tc>
        <w:tc>
          <w:tcPr>
            <w:tcW w:w="0" w:type="dxa"/>
            <w:vAlign w:val="bottom"/>
          </w:tcPr>
          <w:p>
            <w:pPr>
              <w:spacing w:after="0"/>
              <w:rPr>
                <w:sz w:val="1"/>
                <w:szCs w:val="1"/>
                <w:color w:val="auto"/>
              </w:rPr>
            </w:pPr>
          </w:p>
        </w:tc>
      </w:tr>
      <w:tr>
        <w:trPr>
          <w:trHeight w:val="137"/>
        </w:trPr>
        <w:tc>
          <w:tcPr>
            <w:tcW w:w="2160" w:type="dxa"/>
            <w:vAlign w:val="bottom"/>
            <w:shd w:val="clear" w:color="auto" w:fill="CCEEFF"/>
          </w:tcPr>
          <w:p>
            <w:pPr>
              <w:ind w:left="20"/>
              <w:spacing w:after="0"/>
              <w:rPr>
                <w:sz w:val="20"/>
                <w:szCs w:val="20"/>
                <w:color w:val="auto"/>
              </w:rPr>
            </w:pPr>
            <w:r>
              <w:rPr>
                <w:rFonts w:ascii="Arial" w:cs="Arial" w:eastAsia="Arial" w:hAnsi="Arial"/>
                <w:sz w:val="8"/>
                <w:szCs w:val="8"/>
                <w:color w:val="auto"/>
              </w:rPr>
              <w:t>Settlement of Senior Preferred Earnout Units</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8"/>
                <w:szCs w:val="8"/>
                <w:color w:val="auto"/>
              </w:rPr>
              <w:t>(100,000)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8"/>
                <w:szCs w:val="8"/>
                <w:color w:val="auto"/>
              </w:rPr>
              <w:t>(100,000)</w:t>
            </w:r>
          </w:p>
        </w:tc>
        <w:tc>
          <w:tcPr>
            <w:tcW w:w="0" w:type="dxa"/>
            <w:vAlign w:val="bottom"/>
          </w:tcPr>
          <w:p>
            <w:pPr>
              <w:spacing w:after="0"/>
              <w:rPr>
                <w:sz w:val="1"/>
                <w:szCs w:val="1"/>
                <w:color w:val="auto"/>
              </w:rPr>
            </w:pPr>
          </w:p>
        </w:tc>
      </w:tr>
      <w:tr>
        <w:trPr>
          <w:trHeight w:val="93"/>
        </w:trPr>
        <w:tc>
          <w:tcPr>
            <w:tcW w:w="2160" w:type="dxa"/>
            <w:vAlign w:val="bottom"/>
          </w:tcPr>
          <w:p>
            <w:pPr>
              <w:ind w:left="20"/>
              <w:spacing w:after="0"/>
              <w:rPr>
                <w:sz w:val="20"/>
                <w:szCs w:val="20"/>
                <w:color w:val="auto"/>
              </w:rPr>
            </w:pPr>
            <w:r>
              <w:rPr>
                <w:rFonts w:ascii="Arial" w:cs="Arial" w:eastAsia="Arial" w:hAnsi="Arial"/>
                <w:sz w:val="8"/>
                <w:szCs w:val="8"/>
                <w:color w:val="auto"/>
              </w:rPr>
              <w:t>Assumption of contingent consideration liability by</w:t>
            </w: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160" w:type="dxa"/>
            <w:vAlign w:val="bottom"/>
          </w:tcPr>
          <w:p>
            <w:pPr>
              <w:ind w:left="20"/>
              <w:spacing w:after="0"/>
              <w:rPr>
                <w:sz w:val="20"/>
                <w:szCs w:val="20"/>
                <w:color w:val="auto"/>
              </w:rPr>
            </w:pPr>
            <w:r>
              <w:rPr>
                <w:rFonts w:ascii="Arial" w:cs="Arial" w:eastAsia="Arial" w:hAnsi="Arial"/>
                <w:sz w:val="8"/>
                <w:szCs w:val="8"/>
                <w:color w:val="auto"/>
              </w:rPr>
              <w:t>significant shareholder</w:t>
            </w: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62,400</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62,400</w:t>
            </w:r>
          </w:p>
        </w:tc>
        <w:tc>
          <w:tcPr>
            <w:tcW w:w="0" w:type="dxa"/>
            <w:vAlign w:val="bottom"/>
          </w:tcPr>
          <w:p>
            <w:pPr>
              <w:spacing w:after="0"/>
              <w:rPr>
                <w:sz w:val="1"/>
                <w:szCs w:val="1"/>
                <w:color w:val="auto"/>
              </w:rPr>
            </w:pPr>
          </w:p>
        </w:tc>
      </w:tr>
      <w:tr>
        <w:trPr>
          <w:trHeight w:val="102"/>
        </w:trPr>
        <w:tc>
          <w:tcPr>
            <w:tcW w:w="2160" w:type="dxa"/>
            <w:vAlign w:val="bottom"/>
            <w:shd w:val="clear" w:color="auto" w:fill="CCEEFF"/>
          </w:tcPr>
          <w:p>
            <w:pPr>
              <w:ind w:left="20"/>
              <w:spacing w:after="0"/>
              <w:rPr>
                <w:sz w:val="20"/>
                <w:szCs w:val="20"/>
                <w:color w:val="auto"/>
              </w:rPr>
            </w:pPr>
            <w:r>
              <w:rPr>
                <w:rFonts w:ascii="Arial" w:cs="Arial" w:eastAsia="Arial" w:hAnsi="Arial"/>
                <w:sz w:val="8"/>
                <w:szCs w:val="8"/>
                <w:color w:val="auto"/>
              </w:rPr>
              <w:t>Share-based compensation expense upon vesting of</w:t>
            </w: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160" w:type="dxa"/>
            <w:vAlign w:val="bottom"/>
            <w:shd w:val="clear" w:color="auto" w:fill="CCEEFF"/>
          </w:tcPr>
          <w:p>
            <w:pPr>
              <w:ind w:left="20"/>
              <w:spacing w:after="0"/>
              <w:rPr>
                <w:sz w:val="20"/>
                <w:szCs w:val="20"/>
                <w:color w:val="auto"/>
              </w:rPr>
            </w:pPr>
            <w:r>
              <w:rPr>
                <w:rFonts w:ascii="Arial" w:cs="Arial" w:eastAsia="Arial" w:hAnsi="Arial"/>
                <w:sz w:val="8"/>
                <w:szCs w:val="8"/>
                <w:color w:val="auto"/>
              </w:rPr>
              <w:t>performance-based profit units</w:t>
            </w: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209,300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8"/>
                <w:szCs w:val="8"/>
                <w:color w:val="auto"/>
              </w:rPr>
              <w:t>209,300</w:t>
            </w:r>
          </w:p>
        </w:tc>
        <w:tc>
          <w:tcPr>
            <w:tcW w:w="0" w:type="dxa"/>
            <w:vAlign w:val="bottom"/>
          </w:tcPr>
          <w:p>
            <w:pPr>
              <w:spacing w:after="0"/>
              <w:rPr>
                <w:sz w:val="1"/>
                <w:szCs w:val="1"/>
                <w:color w:val="auto"/>
              </w:rPr>
            </w:pPr>
          </w:p>
        </w:tc>
      </w:tr>
      <w:tr>
        <w:trPr>
          <w:trHeight w:val="93"/>
        </w:trPr>
        <w:tc>
          <w:tcPr>
            <w:tcW w:w="2160" w:type="dxa"/>
            <w:vAlign w:val="bottom"/>
          </w:tcPr>
          <w:p>
            <w:pPr>
              <w:ind w:left="20"/>
              <w:spacing w:after="0"/>
              <w:rPr>
                <w:sz w:val="20"/>
                <w:szCs w:val="20"/>
                <w:color w:val="auto"/>
              </w:rPr>
            </w:pPr>
            <w:r>
              <w:rPr>
                <w:rFonts w:ascii="Arial" w:cs="Arial" w:eastAsia="Arial" w:hAnsi="Arial"/>
                <w:sz w:val="8"/>
                <w:szCs w:val="8"/>
                <w:color w:val="auto"/>
              </w:rPr>
              <w:t>Issuance of Class A common shares upon vesting of</w:t>
            </w: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160" w:type="dxa"/>
            <w:vAlign w:val="bottom"/>
          </w:tcPr>
          <w:p>
            <w:pPr>
              <w:ind w:left="20"/>
              <w:spacing w:after="0"/>
              <w:rPr>
                <w:sz w:val="20"/>
                <w:szCs w:val="20"/>
                <w:color w:val="auto"/>
              </w:rPr>
            </w:pPr>
            <w:r>
              <w:rPr>
                <w:rFonts w:ascii="Arial" w:cs="Arial" w:eastAsia="Arial" w:hAnsi="Arial"/>
                <w:sz w:val="8"/>
                <w:szCs w:val="8"/>
                <w:color w:val="auto"/>
              </w:rPr>
              <w:t>restricted stock units</w:t>
            </w: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gridSpan w:val="2"/>
          </w:tcPr>
          <w:p>
            <w:pPr>
              <w:jc w:val="right"/>
              <w:spacing w:after="0"/>
              <w:rPr>
                <w:sz w:val="20"/>
                <w:szCs w:val="20"/>
                <w:color w:val="auto"/>
              </w:rPr>
            </w:pPr>
            <w:r>
              <w:rPr>
                <w:rFonts w:ascii="Arial" w:cs="Arial" w:eastAsia="Arial" w:hAnsi="Arial"/>
                <w:sz w:val="8"/>
                <w:szCs w:val="8"/>
                <w:color w:val="auto"/>
              </w:rPr>
              <w:t>13</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3"/>
          </w:tcPr>
          <w:p>
            <w:pPr>
              <w:jc w:val="right"/>
              <w:ind w:right="120"/>
              <w:spacing w:after="0"/>
              <w:rPr>
                <w:sz w:val="20"/>
                <w:szCs w:val="20"/>
                <w:color w:val="auto"/>
              </w:rPr>
            </w:pPr>
            <w:r>
              <w:rPr>
                <w:rFonts w:ascii="Arial" w:cs="Arial" w:eastAsia="Arial" w:hAnsi="Arial"/>
                <w:sz w:val="8"/>
                <w:szCs w:val="8"/>
                <w:color w:val="auto"/>
              </w:rPr>
              <w:t>—</w:t>
            </w: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37"/>
        </w:trPr>
        <w:tc>
          <w:tcPr>
            <w:tcW w:w="2160" w:type="dxa"/>
            <w:vAlign w:val="bottom"/>
            <w:shd w:val="clear" w:color="auto" w:fill="CCEEFF"/>
          </w:tcPr>
          <w:p>
            <w:pPr>
              <w:ind w:left="20"/>
              <w:spacing w:after="0"/>
              <w:rPr>
                <w:sz w:val="20"/>
                <w:szCs w:val="20"/>
                <w:color w:val="auto"/>
              </w:rPr>
            </w:pPr>
            <w:r>
              <w:rPr>
                <w:rFonts w:ascii="Arial" w:cs="Arial" w:eastAsia="Arial" w:hAnsi="Arial"/>
                <w:sz w:val="8"/>
                <w:szCs w:val="8"/>
                <w:color w:val="auto"/>
              </w:rPr>
              <w:t>Net loss subsequent to the Transactions</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8"/>
                <w:szCs w:val="8"/>
                <w:color w:val="auto"/>
              </w:rPr>
              <w:t>(18,802)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8"/>
                <w:szCs w:val="8"/>
                <w:color w:val="auto"/>
              </w:rPr>
              <w:t>(52,933)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8"/>
                <w:szCs w:val="8"/>
                <w:color w:val="auto"/>
              </w:rPr>
              <w:t>(71,735)</w:t>
            </w:r>
          </w:p>
        </w:tc>
        <w:tc>
          <w:tcPr>
            <w:tcW w:w="0" w:type="dxa"/>
            <w:vAlign w:val="bottom"/>
          </w:tcPr>
          <w:p>
            <w:pPr>
              <w:spacing w:after="0"/>
              <w:rPr>
                <w:sz w:val="1"/>
                <w:szCs w:val="1"/>
                <w:color w:val="auto"/>
              </w:rPr>
            </w:pPr>
          </w:p>
        </w:tc>
      </w:tr>
      <w:tr>
        <w:trPr>
          <w:trHeight w:val="93"/>
        </w:trPr>
        <w:tc>
          <w:tcPr>
            <w:tcW w:w="2160" w:type="dxa"/>
            <w:vAlign w:val="bottom"/>
          </w:tcPr>
          <w:p>
            <w:pPr>
              <w:ind w:left="20"/>
              <w:spacing w:after="0"/>
              <w:rPr>
                <w:sz w:val="20"/>
                <w:szCs w:val="20"/>
                <w:color w:val="auto"/>
              </w:rPr>
            </w:pPr>
            <w:r>
              <w:rPr>
                <w:rFonts w:ascii="Arial" w:cs="Arial" w:eastAsia="Arial" w:hAnsi="Arial"/>
                <w:sz w:val="8"/>
                <w:szCs w:val="8"/>
                <w:color w:val="auto"/>
              </w:rPr>
              <w:t>Share-based compensation expense subsequent to</w:t>
            </w: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160" w:type="dxa"/>
            <w:vAlign w:val="bottom"/>
          </w:tcPr>
          <w:p>
            <w:pPr>
              <w:ind w:left="20"/>
              <w:spacing w:after="0"/>
              <w:rPr>
                <w:sz w:val="20"/>
                <w:szCs w:val="20"/>
                <w:color w:val="auto"/>
              </w:rPr>
            </w:pPr>
            <w:r>
              <w:rPr>
                <w:rFonts w:ascii="Arial" w:cs="Arial" w:eastAsia="Arial" w:hAnsi="Arial"/>
                <w:sz w:val="8"/>
                <w:szCs w:val="8"/>
                <w:color w:val="auto"/>
              </w:rPr>
              <w:t>the Transactions</w:t>
            </w: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9,290</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Arial" w:cs="Arial" w:eastAsia="Arial" w:hAnsi="Arial"/>
                <w:sz w:val="8"/>
                <w:szCs w:val="8"/>
                <w:color w:val="auto"/>
              </w:rPr>
              <w:t>(3,543)</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jc w:val="right"/>
              <w:spacing w:after="0"/>
              <w:rPr>
                <w:sz w:val="20"/>
                <w:szCs w:val="20"/>
                <w:color w:val="auto"/>
              </w:rPr>
            </w:pPr>
            <w:r>
              <w:rPr>
                <w:rFonts w:ascii="Arial" w:cs="Arial" w:eastAsia="Arial" w:hAnsi="Arial"/>
                <w:sz w:val="8"/>
                <w:szCs w:val="8"/>
                <w:color w:val="auto"/>
              </w:rPr>
              <w:t>5,747</w:t>
            </w:r>
          </w:p>
        </w:tc>
        <w:tc>
          <w:tcPr>
            <w:tcW w:w="0" w:type="dxa"/>
            <w:vAlign w:val="bottom"/>
          </w:tcPr>
          <w:p>
            <w:pPr>
              <w:spacing w:after="0"/>
              <w:rPr>
                <w:sz w:val="1"/>
                <w:szCs w:val="1"/>
                <w:color w:val="auto"/>
              </w:rPr>
            </w:pPr>
          </w:p>
        </w:tc>
      </w:tr>
      <w:tr>
        <w:trPr>
          <w:trHeight w:val="137"/>
        </w:trPr>
        <w:tc>
          <w:tcPr>
            <w:tcW w:w="2160" w:type="dxa"/>
            <w:vAlign w:val="bottom"/>
            <w:shd w:val="clear" w:color="auto" w:fill="CCEEFF"/>
          </w:tcPr>
          <w:p>
            <w:pPr>
              <w:ind w:left="20"/>
              <w:spacing w:after="0"/>
              <w:rPr>
                <w:sz w:val="20"/>
                <w:szCs w:val="20"/>
                <w:color w:val="auto"/>
              </w:rPr>
            </w:pPr>
            <w:r>
              <w:rPr>
                <w:rFonts w:ascii="Arial" w:cs="Arial" w:eastAsia="Arial" w:hAnsi="Arial"/>
                <w:sz w:val="8"/>
                <w:szCs w:val="8"/>
                <w:color w:val="auto"/>
              </w:rPr>
              <w:t>Partner distributions and other</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8"/>
                <w:szCs w:val="8"/>
                <w:color w:val="auto"/>
              </w:rPr>
              <w:t>53</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8"/>
                <w:szCs w:val="8"/>
                <w:color w:val="auto"/>
              </w:rPr>
              <w:t>(400)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8"/>
                <w:szCs w:val="8"/>
                <w:color w:val="auto"/>
              </w:rPr>
              <w:t>(347)</w:t>
            </w:r>
          </w:p>
        </w:tc>
        <w:tc>
          <w:tcPr>
            <w:tcW w:w="0" w:type="dxa"/>
            <w:vAlign w:val="bottom"/>
          </w:tcPr>
          <w:p>
            <w:pPr>
              <w:spacing w:after="0"/>
              <w:rPr>
                <w:sz w:val="1"/>
                <w:szCs w:val="1"/>
                <w:color w:val="auto"/>
              </w:rPr>
            </w:pPr>
          </w:p>
        </w:tc>
      </w:tr>
      <w:tr>
        <w:trPr>
          <w:trHeight w:val="93"/>
        </w:trPr>
        <w:tc>
          <w:tcPr>
            <w:tcW w:w="2160" w:type="dxa"/>
            <w:vAlign w:val="bottom"/>
          </w:tcPr>
          <w:p>
            <w:pPr>
              <w:ind w:left="20"/>
              <w:spacing w:after="0"/>
              <w:rPr>
                <w:sz w:val="20"/>
                <w:szCs w:val="20"/>
                <w:color w:val="auto"/>
              </w:rPr>
            </w:pPr>
            <w:r>
              <w:rPr>
                <w:rFonts w:ascii="Arial" w:cs="Arial" w:eastAsia="Arial" w:hAnsi="Arial"/>
                <w:sz w:val="8"/>
                <w:szCs w:val="8"/>
                <w:color w:val="auto"/>
              </w:rPr>
              <w:t>Foreign currency translation adjustment subsequent to</w:t>
            </w: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8"/>
                <w:szCs w:val="8"/>
                <w:color w:val="auto"/>
              </w:rPr>
              <w:t>the Transactions</w:t>
            </w: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17</w:t>
            </w:r>
          </w:p>
        </w:tc>
        <w:tc>
          <w:tcPr>
            <w:tcW w:w="10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color w:val="auto"/>
              </w:rPr>
              <w:t>49</w:t>
            </w:r>
          </w:p>
        </w:tc>
        <w:tc>
          <w:tcPr>
            <w:tcW w:w="8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66</w:t>
            </w:r>
          </w:p>
        </w:tc>
        <w:tc>
          <w:tcPr>
            <w:tcW w:w="0" w:type="dxa"/>
            <w:vAlign w:val="bottom"/>
          </w:tcPr>
          <w:p>
            <w:pPr>
              <w:spacing w:after="0"/>
              <w:rPr>
                <w:sz w:val="1"/>
                <w:szCs w:val="1"/>
                <w:color w:val="auto"/>
              </w:rPr>
            </w:pPr>
          </w:p>
        </w:tc>
      </w:tr>
      <w:tr>
        <w:trPr>
          <w:trHeight w:val="152"/>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8"/>
                <w:szCs w:val="8"/>
                <w:b w:val="1"/>
                <w:bCs w:val="1"/>
                <w:color w:val="auto"/>
              </w:rPr>
              <w:t>Balance at Dec. 31, 2020</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w:t>
            </w:r>
          </w:p>
        </w:tc>
        <w:tc>
          <w:tcPr>
            <w:tcW w:w="7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8"/>
                <w:szCs w:val="8"/>
                <w:b w:val="1"/>
                <w:bCs w:val="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84,196</w:t>
            </w: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8</w:t>
            </w: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236,997</w:t>
            </w:r>
          </w:p>
        </w:tc>
        <w:tc>
          <w:tcPr>
            <w:tcW w:w="4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24</w:t>
            </w: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8"/>
                <w:szCs w:val="8"/>
                <w:b w:val="1"/>
                <w:bCs w:val="1"/>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399,169</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(18,802)</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17</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w w:val="88"/>
              </w:rPr>
              <w:t>$</w:t>
            </w:r>
          </w:p>
        </w:tc>
        <w:tc>
          <w:tcPr>
            <w:tcW w:w="7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8"/>
                <w:szCs w:val="8"/>
                <w:b w:val="1"/>
                <w:bCs w:val="1"/>
                <w:color w:val="auto"/>
              </w:rPr>
              <w:t>1,018,739</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1,399,155</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66</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69" w:right="31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20"/>
        </w:trPr>
        <w:tc>
          <w:tcPr>
            <w:tcW w:w="21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gridSpan w:val="8"/>
          </w:tcPr>
          <w:p>
            <w:pPr>
              <w:ind w:left="40"/>
              <w:spacing w:after="0"/>
              <w:rPr>
                <w:sz w:val="20"/>
                <w:szCs w:val="20"/>
                <w:color w:val="auto"/>
              </w:rPr>
            </w:pPr>
            <w:r>
              <w:rPr>
                <w:rFonts w:ascii="Arial" w:cs="Arial" w:eastAsia="Arial" w:hAnsi="Arial"/>
                <w:sz w:val="8"/>
                <w:szCs w:val="8"/>
                <w:b w:val="1"/>
                <w:bCs w:val="1"/>
                <w:color w:val="auto"/>
              </w:rPr>
              <w:t>Period from Sep. 13, 2019 through Dec. 31, 2019</w:t>
            </w:r>
          </w:p>
        </w:tc>
        <w:tc>
          <w:tcPr>
            <w:tcW w:w="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Borders>
              <w:bottom w:val="single" w:sz="8" w:color="auto"/>
            </w:tcBorders>
            <w:gridSpan w:val="4"/>
          </w:tcPr>
          <w:p>
            <w:pPr>
              <w:ind w:left="200"/>
              <w:spacing w:after="0"/>
              <w:rPr>
                <w:sz w:val="20"/>
                <w:szCs w:val="20"/>
                <w:color w:val="auto"/>
              </w:rPr>
            </w:pPr>
            <w:r>
              <w:rPr>
                <w:rFonts w:ascii="Arial" w:cs="Arial" w:eastAsia="Arial" w:hAnsi="Arial"/>
                <w:sz w:val="8"/>
                <w:szCs w:val="8"/>
                <w:b w:val="1"/>
                <w:bCs w:val="1"/>
                <w:color w:val="auto"/>
              </w:rPr>
              <w:t>Class A Common Stock</w:t>
            </w:r>
          </w:p>
        </w:tc>
        <w:tc>
          <w:tcPr>
            <w:tcW w:w="100" w:type="dxa"/>
            <w:vAlign w:val="bottom"/>
          </w:tcPr>
          <w:p>
            <w:pPr>
              <w:spacing w:after="0"/>
              <w:rPr>
                <w:sz w:val="10"/>
                <w:szCs w:val="1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8"/>
                <w:szCs w:val="8"/>
                <w:b w:val="1"/>
                <w:bCs w:val="1"/>
                <w:color w:val="auto"/>
              </w:rPr>
              <w:t>Class B Common Stock</w:t>
            </w:r>
          </w:p>
        </w:tc>
        <w:tc>
          <w:tcPr>
            <w:tcW w:w="1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gridSpan w:val="2"/>
            <w:vMerge w:val="restart"/>
          </w:tcPr>
          <w:p>
            <w:pPr>
              <w:spacing w:after="0"/>
              <w:rPr>
                <w:sz w:val="20"/>
                <w:szCs w:val="20"/>
                <w:color w:val="auto"/>
              </w:rPr>
            </w:pPr>
            <w:r>
              <w:rPr>
                <w:rFonts w:ascii="Arial" w:cs="Arial" w:eastAsia="Arial" w:hAnsi="Arial"/>
                <w:sz w:val="8"/>
                <w:szCs w:val="8"/>
                <w:b w:val="1"/>
                <w:bCs w:val="1"/>
                <w:color w:val="auto"/>
              </w:rPr>
              <w:t>Members’ Equity</w:t>
            </w:r>
          </w:p>
        </w:tc>
        <w:tc>
          <w:tcPr>
            <w:tcW w:w="720" w:type="dxa"/>
            <w:vAlign w:val="bottom"/>
            <w:gridSpan w:val="2"/>
            <w:vMerge w:val="restart"/>
          </w:tcPr>
          <w:p>
            <w:pPr>
              <w:ind w:left="180"/>
              <w:spacing w:after="0"/>
              <w:rPr>
                <w:sz w:val="20"/>
                <w:szCs w:val="20"/>
                <w:color w:val="auto"/>
              </w:rPr>
            </w:pPr>
            <w:r>
              <w:rPr>
                <w:rFonts w:ascii="Arial" w:cs="Arial" w:eastAsia="Arial" w:hAnsi="Arial"/>
                <w:sz w:val="8"/>
                <w:szCs w:val="8"/>
                <w:b w:val="1"/>
                <w:bCs w:val="1"/>
                <w:color w:val="auto"/>
              </w:rPr>
              <w:t>Shares</w:t>
            </w:r>
          </w:p>
        </w:tc>
        <w:tc>
          <w:tcPr>
            <w:tcW w:w="100" w:type="dxa"/>
            <w:vAlign w:val="bottom"/>
          </w:tcPr>
          <w:p>
            <w:pPr>
              <w:spacing w:after="0"/>
              <w:rPr>
                <w:sz w:val="6"/>
                <w:szCs w:val="6"/>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Amount</w:t>
            </w:r>
          </w:p>
        </w:tc>
        <w:tc>
          <w:tcPr>
            <w:tcW w:w="720" w:type="dxa"/>
            <w:vAlign w:val="bottom"/>
            <w:gridSpan w:val="2"/>
            <w:vMerge w:val="restart"/>
          </w:tcPr>
          <w:p>
            <w:pPr>
              <w:ind w:left="180"/>
              <w:spacing w:after="0"/>
              <w:rPr>
                <w:sz w:val="20"/>
                <w:szCs w:val="20"/>
                <w:color w:val="auto"/>
              </w:rPr>
            </w:pPr>
            <w:r>
              <w:rPr>
                <w:rFonts w:ascii="Arial" w:cs="Arial" w:eastAsia="Arial" w:hAnsi="Arial"/>
                <w:sz w:val="8"/>
                <w:szCs w:val="8"/>
                <w:b w:val="1"/>
                <w:bCs w:val="1"/>
                <w:color w:val="auto"/>
              </w:rPr>
              <w:t>Shares</w:t>
            </w:r>
          </w:p>
        </w:tc>
        <w:tc>
          <w:tcPr>
            <w:tcW w:w="480" w:type="dxa"/>
            <w:vAlign w:val="bottom"/>
            <w:vMerge w:val="restart"/>
          </w:tcPr>
          <w:p>
            <w:pPr>
              <w:jc w:val="right"/>
              <w:spacing w:after="0"/>
              <w:rPr>
                <w:sz w:val="20"/>
                <w:szCs w:val="20"/>
                <w:color w:val="auto"/>
              </w:rPr>
            </w:pPr>
            <w:r>
              <w:rPr>
                <w:rFonts w:ascii="Arial" w:cs="Arial" w:eastAsia="Arial" w:hAnsi="Arial"/>
                <w:sz w:val="8"/>
                <w:szCs w:val="8"/>
                <w:b w:val="1"/>
                <w:bCs w:val="1"/>
                <w:color w:val="auto"/>
              </w:rPr>
              <w:t>Amount</w:t>
            </w: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gridSpan w:val="3"/>
          </w:tcPr>
          <w:p>
            <w:pPr>
              <w:jc w:val="center"/>
              <w:ind w:right="60"/>
              <w:spacing w:after="0" w:line="74" w:lineRule="exact"/>
              <w:rPr>
                <w:sz w:val="20"/>
                <w:szCs w:val="20"/>
                <w:color w:val="auto"/>
              </w:rPr>
            </w:pPr>
            <w:r>
              <w:rPr>
                <w:rFonts w:ascii="Arial" w:cs="Arial" w:eastAsia="Arial" w:hAnsi="Arial"/>
                <w:sz w:val="8"/>
                <w:szCs w:val="8"/>
                <w:b w:val="1"/>
                <w:bCs w:val="1"/>
                <w:color w:val="auto"/>
              </w:rPr>
              <w:t>Additional Paid-In</w:t>
            </w:r>
          </w:p>
        </w:tc>
        <w:tc>
          <w:tcPr>
            <w:tcW w:w="80" w:type="dxa"/>
            <w:vAlign w:val="bottom"/>
          </w:tcPr>
          <w:p>
            <w:pPr>
              <w:spacing w:after="0"/>
              <w:rPr>
                <w:sz w:val="6"/>
                <w:szCs w:val="6"/>
                <w:color w:val="auto"/>
              </w:rPr>
            </w:pPr>
          </w:p>
        </w:tc>
        <w:tc>
          <w:tcPr>
            <w:tcW w:w="960" w:type="dxa"/>
            <w:vAlign w:val="bottom"/>
            <w:gridSpan w:val="2"/>
            <w:vMerge w:val="restart"/>
          </w:tcPr>
          <w:p>
            <w:pPr>
              <w:spacing w:after="0"/>
              <w:rPr>
                <w:sz w:val="20"/>
                <w:szCs w:val="20"/>
                <w:color w:val="auto"/>
              </w:rPr>
            </w:pPr>
            <w:r>
              <w:rPr>
                <w:rFonts w:ascii="Arial" w:cs="Arial" w:eastAsia="Arial" w:hAnsi="Arial"/>
                <w:sz w:val="8"/>
                <w:szCs w:val="8"/>
                <w:b w:val="1"/>
                <w:bCs w:val="1"/>
                <w:color w:val="auto"/>
              </w:rPr>
              <w:t>Accumulated Deficit</w:t>
            </w:r>
          </w:p>
        </w:tc>
        <w:tc>
          <w:tcPr>
            <w:tcW w:w="80" w:type="dxa"/>
            <w:vAlign w:val="bottom"/>
          </w:tcPr>
          <w:p>
            <w:pPr>
              <w:spacing w:after="0"/>
              <w:rPr>
                <w:sz w:val="6"/>
                <w:szCs w:val="6"/>
                <w:color w:val="auto"/>
              </w:rPr>
            </w:pPr>
          </w:p>
        </w:tc>
        <w:tc>
          <w:tcPr>
            <w:tcW w:w="1380" w:type="dxa"/>
            <w:vAlign w:val="bottom"/>
            <w:gridSpan w:val="2"/>
          </w:tcPr>
          <w:p>
            <w:pPr>
              <w:jc w:val="center"/>
              <w:ind w:right="160"/>
              <w:spacing w:after="0" w:line="74" w:lineRule="exact"/>
              <w:rPr>
                <w:sz w:val="20"/>
                <w:szCs w:val="20"/>
                <w:color w:val="auto"/>
              </w:rPr>
            </w:pPr>
            <w:r>
              <w:rPr>
                <w:rFonts w:ascii="Arial" w:cs="Arial" w:eastAsia="Arial" w:hAnsi="Arial"/>
                <w:sz w:val="8"/>
                <w:szCs w:val="8"/>
                <w:b w:val="1"/>
                <w:bCs w:val="1"/>
                <w:color w:val="auto"/>
              </w:rPr>
              <w:t>Accumulated Other</w:t>
            </w:r>
          </w:p>
        </w:tc>
        <w:tc>
          <w:tcPr>
            <w:tcW w:w="80" w:type="dxa"/>
            <w:vAlign w:val="bottom"/>
          </w:tcPr>
          <w:p>
            <w:pPr>
              <w:spacing w:after="0"/>
              <w:rPr>
                <w:sz w:val="6"/>
                <w:szCs w:val="6"/>
                <w:color w:val="auto"/>
              </w:rPr>
            </w:pPr>
          </w:p>
        </w:tc>
        <w:tc>
          <w:tcPr>
            <w:tcW w:w="840" w:type="dxa"/>
            <w:vAlign w:val="bottom"/>
            <w:gridSpan w:val="2"/>
          </w:tcPr>
          <w:p>
            <w:pPr>
              <w:jc w:val="center"/>
              <w:ind w:right="180"/>
              <w:spacing w:after="0" w:line="74" w:lineRule="exact"/>
              <w:rPr>
                <w:sz w:val="20"/>
                <w:szCs w:val="20"/>
                <w:color w:val="auto"/>
              </w:rPr>
            </w:pPr>
            <w:r>
              <w:rPr>
                <w:rFonts w:ascii="Arial" w:cs="Arial" w:eastAsia="Arial" w:hAnsi="Arial"/>
                <w:sz w:val="8"/>
                <w:szCs w:val="8"/>
                <w:b w:val="1"/>
                <w:bCs w:val="1"/>
                <w:color w:val="auto"/>
              </w:rPr>
              <w:t>Non-Controlling</w:t>
            </w:r>
          </w:p>
        </w:tc>
        <w:tc>
          <w:tcPr>
            <w:tcW w:w="100" w:type="dxa"/>
            <w:vAlign w:val="bottom"/>
          </w:tcPr>
          <w:p>
            <w:pPr>
              <w:spacing w:after="0"/>
              <w:rPr>
                <w:sz w:val="6"/>
                <w:szCs w:val="6"/>
                <w:color w:val="auto"/>
              </w:rPr>
            </w:pPr>
          </w:p>
        </w:tc>
        <w:tc>
          <w:tcPr>
            <w:tcW w:w="900" w:type="dxa"/>
            <w:vAlign w:val="bottom"/>
          </w:tcPr>
          <w:p>
            <w:pPr>
              <w:jc w:val="center"/>
              <w:ind w:right="58"/>
              <w:spacing w:after="0" w:line="74" w:lineRule="exact"/>
              <w:rPr>
                <w:sz w:val="20"/>
                <w:szCs w:val="20"/>
                <w:color w:val="auto"/>
              </w:rPr>
            </w:pPr>
            <w:r>
              <w:rPr>
                <w:rFonts w:ascii="Arial" w:cs="Arial" w:eastAsia="Arial" w:hAnsi="Arial"/>
                <w:sz w:val="8"/>
                <w:szCs w:val="8"/>
                <w:b w:val="1"/>
                <w:bCs w:val="1"/>
                <w:color w:val="auto"/>
              </w:rPr>
              <w:t>Stockholders’ /</w:t>
            </w:r>
          </w:p>
        </w:tc>
        <w:tc>
          <w:tcPr>
            <w:tcW w:w="0" w:type="dxa"/>
            <w:vAlign w:val="bottom"/>
          </w:tcPr>
          <w:p>
            <w:pPr>
              <w:spacing w:after="0"/>
              <w:rPr>
                <w:sz w:val="1"/>
                <w:szCs w:val="1"/>
                <w:color w:val="auto"/>
              </w:rPr>
            </w:pPr>
          </w:p>
        </w:tc>
      </w:tr>
      <w:tr>
        <w:trPr>
          <w:trHeight w:val="119"/>
        </w:trPr>
        <w:tc>
          <w:tcPr>
            <w:tcW w:w="2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Capital</w:t>
            </w:r>
          </w:p>
        </w:tc>
        <w:tc>
          <w:tcPr>
            <w:tcW w:w="8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8"/>
                <w:szCs w:val="8"/>
                <w:b w:val="1"/>
                <w:bCs w:val="1"/>
                <w:color w:val="auto"/>
              </w:rPr>
              <w:t>Comprehensive Income (Loss)</w:t>
            </w:r>
          </w:p>
        </w:tc>
        <w:tc>
          <w:tcPr>
            <w:tcW w:w="80" w:type="dxa"/>
            <w:vAlign w:val="bottom"/>
          </w:tcPr>
          <w:p>
            <w:pPr>
              <w:spacing w:after="0"/>
              <w:rPr>
                <w:sz w:val="10"/>
                <w:szCs w:val="10"/>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rPr>
              <w:t>Interests</w:t>
            </w:r>
          </w:p>
        </w:tc>
        <w:tc>
          <w:tcPr>
            <w:tcW w:w="100" w:type="dxa"/>
            <w:vAlign w:val="bottom"/>
          </w:tcPr>
          <w:p>
            <w:pPr>
              <w:spacing w:after="0"/>
              <w:rPr>
                <w:sz w:val="10"/>
                <w:szCs w:val="10"/>
                <w:color w:val="auto"/>
              </w:rPr>
            </w:pPr>
          </w:p>
        </w:tc>
        <w:tc>
          <w:tcPr>
            <w:tcW w:w="900" w:type="dxa"/>
            <w:vAlign w:val="bottom"/>
          </w:tcPr>
          <w:p>
            <w:pPr>
              <w:jc w:val="center"/>
              <w:ind w:right="58"/>
              <w:spacing w:after="0"/>
              <w:rPr>
                <w:sz w:val="20"/>
                <w:szCs w:val="20"/>
                <w:color w:val="auto"/>
              </w:rPr>
            </w:pPr>
            <w:r>
              <w:rPr>
                <w:rFonts w:ascii="Arial" w:cs="Arial" w:eastAsia="Arial" w:hAnsi="Arial"/>
                <w:sz w:val="8"/>
                <w:szCs w:val="8"/>
                <w:b w:val="1"/>
                <w:bCs w:val="1"/>
                <w:color w:val="auto"/>
              </w:rPr>
              <w:t>Members’ Equity</w:t>
            </w:r>
          </w:p>
        </w:tc>
        <w:tc>
          <w:tcPr>
            <w:tcW w:w="0" w:type="dxa"/>
            <w:vAlign w:val="bottom"/>
          </w:tcPr>
          <w:p>
            <w:pPr>
              <w:spacing w:after="0"/>
              <w:rPr>
                <w:sz w:val="1"/>
                <w:szCs w:val="1"/>
                <w:color w:val="auto"/>
              </w:rPr>
            </w:pPr>
          </w:p>
        </w:tc>
      </w:tr>
      <w:tr>
        <w:trPr>
          <w:trHeight w:val="11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8"/>
                <w:szCs w:val="8"/>
                <w:b w:val="1"/>
                <w:bCs w:val="1"/>
                <w:color w:val="auto"/>
              </w:rPr>
              <w:t>Successor:</w:t>
            </w: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760" w:type="dxa"/>
            <w:vAlign w:val="bottom"/>
            <w:tcBorders>
              <w:top w:val="single" w:sz="8" w:color="auto"/>
              <w:bottom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52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bottom w:val="single" w:sz="8" w:color="auto"/>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880" w:type="dxa"/>
            <w:vAlign w:val="bottom"/>
            <w:tcBorders>
              <w:top w:val="single" w:sz="8" w:color="auto"/>
              <w:bottom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128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760" w:type="dxa"/>
            <w:vAlign w:val="bottom"/>
            <w:tcBorders>
              <w:top w:val="single" w:sz="8" w:color="auto"/>
              <w:bottom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900" w:type="dxa"/>
            <w:vAlign w:val="bottom"/>
            <w:tcBorders>
              <w:top w:val="single" w:sz="8" w:color="auto"/>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8"/>
                <w:szCs w:val="8"/>
                <w:b w:val="1"/>
                <w:bCs w:val="1"/>
                <w:color w:val="auto"/>
              </w:rPr>
              <w:t>Balance at Sep. 13, 2019</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847,263</w:t>
            </w:r>
          </w:p>
        </w:tc>
        <w:tc>
          <w:tcPr>
            <w:tcW w:w="80" w:type="dxa"/>
            <w:vAlign w:val="bottom"/>
            <w:tcBorders>
              <w:bottom w:val="single" w:sz="8" w:color="CCEEFF"/>
            </w:tcBorders>
          </w:tcPr>
          <w:p>
            <w:pPr>
              <w:spacing w:after="0"/>
              <w:rPr>
                <w:sz w:val="9"/>
                <w:szCs w:val="9"/>
                <w:color w:val="auto"/>
              </w:rPr>
            </w:pPr>
          </w:p>
        </w:tc>
        <w:tc>
          <w:tcPr>
            <w:tcW w:w="620" w:type="dxa"/>
            <w:vAlign w:val="bottom"/>
            <w:tcBorders>
              <w:bottom w:val="single" w:sz="8" w:color="auto"/>
            </w:tcBorders>
          </w:tcPr>
          <w:p>
            <w:pPr>
              <w:ind w:left="500"/>
              <w:spacing w:after="0"/>
              <w:rPr>
                <w:sz w:val="20"/>
                <w:szCs w:val="20"/>
                <w:color w:val="auto"/>
              </w:rPr>
            </w:pPr>
            <w:r>
              <w:rPr>
                <w:rFonts w:ascii="Arial" w:cs="Arial" w:eastAsia="Arial" w:hAnsi="Arial"/>
                <w:sz w:val="8"/>
                <w:szCs w:val="8"/>
                <w:b w:val="1"/>
                <w:bCs w:val="1"/>
                <w:color w:val="auto"/>
              </w:rPr>
              <w:t>—</w:t>
            </w:r>
          </w:p>
        </w:tc>
        <w:tc>
          <w:tcPr>
            <w:tcW w:w="10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w w:val="88"/>
              </w:rPr>
              <w:t>$</w:t>
            </w:r>
          </w:p>
        </w:tc>
        <w:tc>
          <w:tcPr>
            <w:tcW w:w="520" w:type="dxa"/>
            <w:vAlign w:val="bottom"/>
            <w:tcBorders>
              <w:bottom w:val="single" w:sz="8" w:color="auto"/>
            </w:tcBorders>
          </w:tcPr>
          <w:p>
            <w:pPr>
              <w:ind w:left="400"/>
              <w:spacing w:after="0"/>
              <w:rPr>
                <w:sz w:val="20"/>
                <w:szCs w:val="20"/>
                <w:color w:val="auto"/>
              </w:rPr>
            </w:pPr>
            <w:r>
              <w:rPr>
                <w:rFonts w:ascii="Arial" w:cs="Arial" w:eastAsia="Arial" w:hAnsi="Arial"/>
                <w:sz w:val="8"/>
                <w:szCs w:val="8"/>
                <w:b w:val="1"/>
                <w:bCs w:val="1"/>
                <w:color w:val="auto"/>
              </w:rPr>
              <w:t>—</w:t>
            </w:r>
          </w:p>
        </w:tc>
        <w:tc>
          <w:tcPr>
            <w:tcW w:w="100" w:type="dxa"/>
            <w:vAlign w:val="bottom"/>
            <w:tcBorders>
              <w:bottom w:val="single" w:sz="8" w:color="CCEEFF"/>
            </w:tcBorders>
          </w:tcPr>
          <w:p>
            <w:pPr>
              <w:spacing w:after="0"/>
              <w:rPr>
                <w:sz w:val="9"/>
                <w:szCs w:val="9"/>
                <w:color w:val="auto"/>
              </w:rPr>
            </w:pPr>
          </w:p>
        </w:tc>
        <w:tc>
          <w:tcPr>
            <w:tcW w:w="640" w:type="dxa"/>
            <w:vAlign w:val="bottom"/>
            <w:tcBorders>
              <w:bottom w:val="single" w:sz="8" w:color="auto"/>
            </w:tcBorders>
          </w:tcPr>
          <w:p>
            <w:pPr>
              <w:ind w:left="500"/>
              <w:spacing w:after="0"/>
              <w:rPr>
                <w:sz w:val="20"/>
                <w:szCs w:val="20"/>
                <w:color w:val="auto"/>
              </w:rPr>
            </w:pPr>
            <w:r>
              <w:rPr>
                <w:rFonts w:ascii="Arial" w:cs="Arial" w:eastAsia="Arial" w:hAnsi="Arial"/>
                <w:sz w:val="8"/>
                <w:szCs w:val="8"/>
                <w:b w:val="1"/>
                <w:bCs w:val="1"/>
                <w:color w:val="auto"/>
              </w:rPr>
              <w:t>—</w:t>
            </w:r>
          </w:p>
        </w:tc>
        <w:tc>
          <w:tcPr>
            <w:tcW w:w="80" w:type="dxa"/>
            <w:vAlign w:val="bottom"/>
            <w:tcBorders>
              <w:bottom w:val="single" w:sz="8" w:color="CCEEFF"/>
            </w:tcBorders>
          </w:tcPr>
          <w:p>
            <w:pPr>
              <w:spacing w:after="0"/>
              <w:rPr>
                <w:sz w:val="9"/>
                <w:szCs w:val="9"/>
                <w:color w:val="auto"/>
              </w:rPr>
            </w:pPr>
          </w:p>
        </w:tc>
        <w:tc>
          <w:tcPr>
            <w:tcW w:w="480" w:type="dxa"/>
            <w:vAlign w:val="bottom"/>
            <w:tcBorders>
              <w:bottom w:val="single" w:sz="8" w:color="auto"/>
            </w:tcBorders>
          </w:tcPr>
          <w:p>
            <w:pPr>
              <w:jc w:val="right"/>
              <w:ind w:right="378"/>
              <w:spacing w:after="0"/>
              <w:rPr>
                <w:sz w:val="20"/>
                <w:szCs w:val="20"/>
                <w:color w:val="auto"/>
              </w:rPr>
            </w:pPr>
            <w:r>
              <w:rPr>
                <w:rFonts w:ascii="Arial" w:cs="Arial" w:eastAsia="Arial" w:hAnsi="Arial"/>
                <w:sz w:val="8"/>
                <w:szCs w:val="8"/>
                <w:b w:val="1"/>
                <w:bCs w:val="1"/>
                <w:color w:val="auto"/>
                <w:w w:val="88"/>
              </w:rPr>
              <w:t>$</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8"/>
                <w:szCs w:val="8"/>
                <w:b w:val="1"/>
                <w:bCs w:val="1"/>
                <w:color w:val="auto"/>
              </w:rPr>
              <w:t>—</w:t>
            </w:r>
          </w:p>
        </w:tc>
        <w:tc>
          <w:tcPr>
            <w:tcW w:w="8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jc w:val="right"/>
              <w:ind w:right="58"/>
              <w:spacing w:after="0"/>
              <w:rPr>
                <w:sz w:val="20"/>
                <w:szCs w:val="20"/>
                <w:color w:val="auto"/>
              </w:rPr>
            </w:pPr>
            <w:r>
              <w:rPr>
                <w:rFonts w:ascii="Arial" w:cs="Arial" w:eastAsia="Arial" w:hAnsi="Arial"/>
                <w:sz w:val="8"/>
                <w:szCs w:val="8"/>
                <w:b w:val="1"/>
                <w:bCs w:val="1"/>
                <w:color w:val="auto"/>
                <w:w w:val="88"/>
              </w:rPr>
              <w:t>$</w:t>
            </w:r>
          </w:p>
        </w:tc>
        <w:tc>
          <w:tcPr>
            <w:tcW w:w="660" w:type="dxa"/>
            <w:vAlign w:val="bottom"/>
            <w:tcBorders>
              <w:bottom w:val="single" w:sz="8" w:color="auto"/>
            </w:tcBorders>
          </w:tcPr>
          <w:p>
            <w:pPr>
              <w:ind w:left="540"/>
              <w:spacing w:after="0"/>
              <w:rPr>
                <w:sz w:val="20"/>
                <w:szCs w:val="20"/>
                <w:color w:val="auto"/>
              </w:rPr>
            </w:pPr>
            <w:r>
              <w:rPr>
                <w:rFonts w:ascii="Arial" w:cs="Arial" w:eastAsia="Arial" w:hAnsi="Arial"/>
                <w:sz w:val="8"/>
                <w:szCs w:val="8"/>
                <w:b w:val="1"/>
                <w:bCs w:val="1"/>
                <w:color w:val="auto"/>
              </w:rPr>
              <w:t>—</w:t>
            </w:r>
          </w:p>
        </w:tc>
        <w:tc>
          <w:tcPr>
            <w:tcW w:w="8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w:t>
            </w:r>
          </w:p>
        </w:tc>
        <w:tc>
          <w:tcPr>
            <w:tcW w:w="8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w:t>
            </w:r>
          </w:p>
        </w:tc>
        <w:tc>
          <w:tcPr>
            <w:tcW w:w="10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w w:val="88"/>
              </w:rPr>
              <w:t>$</w:t>
            </w:r>
          </w:p>
        </w:tc>
        <w:tc>
          <w:tcPr>
            <w:tcW w:w="760" w:type="dxa"/>
            <w:vAlign w:val="bottom"/>
            <w:tcBorders>
              <w:bottom w:val="single" w:sz="8" w:color="auto"/>
            </w:tcBorders>
          </w:tcPr>
          <w:p>
            <w:pPr>
              <w:ind w:left="620"/>
              <w:spacing w:after="0"/>
              <w:rPr>
                <w:sz w:val="20"/>
                <w:szCs w:val="20"/>
                <w:color w:val="auto"/>
              </w:rPr>
            </w:pPr>
            <w:r>
              <w:rPr>
                <w:rFonts w:ascii="Arial" w:cs="Arial" w:eastAsia="Arial" w:hAnsi="Arial"/>
                <w:sz w:val="8"/>
                <w:szCs w:val="8"/>
                <w:b w:val="1"/>
                <w:bCs w:val="1"/>
                <w:color w:val="auto"/>
              </w:rPr>
              <w:t>—</w:t>
            </w:r>
          </w:p>
        </w:tc>
        <w:tc>
          <w:tcPr>
            <w:tcW w:w="8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847,263</w:t>
            </w:r>
          </w:p>
        </w:tc>
        <w:tc>
          <w:tcPr>
            <w:tcW w:w="0" w:type="dxa"/>
            <w:vAlign w:val="bottom"/>
          </w:tcPr>
          <w:p>
            <w:pPr>
              <w:spacing w:after="0"/>
              <w:rPr>
                <w:sz w:val="1"/>
                <w:szCs w:val="1"/>
                <w:color w:val="auto"/>
              </w:rPr>
            </w:pPr>
          </w:p>
        </w:tc>
      </w:tr>
      <w:tr>
        <w:trPr>
          <w:trHeight w:val="126"/>
        </w:trPr>
        <w:tc>
          <w:tcPr>
            <w:tcW w:w="2160" w:type="dxa"/>
            <w:vAlign w:val="bottom"/>
            <w:shd w:val="clear" w:color="auto" w:fill="CCEEFF"/>
          </w:tcPr>
          <w:p>
            <w:pPr>
              <w:ind w:left="20"/>
              <w:spacing w:after="0"/>
              <w:rPr>
                <w:sz w:val="20"/>
                <w:szCs w:val="20"/>
                <w:color w:val="auto"/>
              </w:rPr>
            </w:pPr>
            <w:r>
              <w:rPr>
                <w:rFonts w:ascii="Arial" w:cs="Arial" w:eastAsia="Arial" w:hAnsi="Arial"/>
                <w:sz w:val="8"/>
                <w:szCs w:val="8"/>
                <w:color w:val="auto"/>
              </w:rPr>
              <w:t>Other</w:t>
            </w: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8"/>
                <w:szCs w:val="8"/>
                <w:color w:val="auto"/>
              </w:rPr>
              <w:t>(3,545)</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8"/>
                <w:szCs w:val="8"/>
                <w:color w:val="auto"/>
              </w:rPr>
              <w:t>(3,545)</w:t>
            </w:r>
          </w:p>
        </w:tc>
        <w:tc>
          <w:tcPr>
            <w:tcW w:w="0" w:type="dxa"/>
            <w:vAlign w:val="bottom"/>
          </w:tcPr>
          <w:p>
            <w:pPr>
              <w:spacing w:after="0"/>
              <w:rPr>
                <w:sz w:val="1"/>
                <w:szCs w:val="1"/>
                <w:color w:val="auto"/>
              </w:rPr>
            </w:pPr>
          </w:p>
        </w:tc>
      </w:tr>
      <w:tr>
        <w:trPr>
          <w:trHeight w:val="118"/>
        </w:trPr>
        <w:tc>
          <w:tcPr>
            <w:tcW w:w="2160" w:type="dxa"/>
            <w:vAlign w:val="bottom"/>
          </w:tcPr>
          <w:p>
            <w:pPr>
              <w:ind w:left="20"/>
              <w:spacing w:after="0"/>
              <w:rPr>
                <w:sz w:val="20"/>
                <w:szCs w:val="20"/>
                <w:color w:val="auto"/>
              </w:rPr>
            </w:pPr>
            <w:r>
              <w:rPr>
                <w:rFonts w:ascii="Arial" w:cs="Arial" w:eastAsia="Arial" w:hAnsi="Arial"/>
                <w:sz w:val="8"/>
                <w:szCs w:val="8"/>
                <w:color w:val="auto"/>
              </w:rPr>
              <w:t>Share-based compensation expense</w:t>
            </w:r>
          </w:p>
        </w:tc>
        <w:tc>
          <w:tcPr>
            <w:tcW w:w="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8"/>
                <w:szCs w:val="8"/>
                <w:color w:val="auto"/>
              </w:rPr>
              <w:t>448</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8"/>
                <w:szCs w:val="8"/>
                <w:color w:val="auto"/>
              </w:rPr>
              <w:t>448</w:t>
            </w:r>
          </w:p>
        </w:tc>
        <w:tc>
          <w:tcPr>
            <w:tcW w:w="0" w:type="dxa"/>
            <w:vAlign w:val="bottom"/>
          </w:tcPr>
          <w:p>
            <w:pPr>
              <w:spacing w:after="0"/>
              <w:rPr>
                <w:sz w:val="1"/>
                <w:szCs w:val="1"/>
                <w:color w:val="auto"/>
              </w:rPr>
            </w:pPr>
          </w:p>
        </w:tc>
      </w:tr>
      <w:tr>
        <w:trPr>
          <w:trHeight w:val="137"/>
        </w:trPr>
        <w:tc>
          <w:tcPr>
            <w:tcW w:w="2160" w:type="dxa"/>
            <w:vAlign w:val="bottom"/>
            <w:shd w:val="clear" w:color="auto" w:fill="CCEEFF"/>
          </w:tcPr>
          <w:p>
            <w:pPr>
              <w:ind w:left="20"/>
              <w:spacing w:after="0"/>
              <w:rPr>
                <w:sz w:val="20"/>
                <w:szCs w:val="20"/>
                <w:color w:val="auto"/>
              </w:rPr>
            </w:pPr>
            <w:r>
              <w:rPr>
                <w:rFonts w:ascii="Arial" w:cs="Arial" w:eastAsia="Arial" w:hAnsi="Arial"/>
                <w:sz w:val="8"/>
                <w:szCs w:val="8"/>
                <w:color w:val="auto"/>
              </w:rPr>
              <w:t>Foreign currency translation adjustment</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8"/>
                <w:szCs w:val="8"/>
                <w:color w:val="auto"/>
              </w:rPr>
              <w:t>(17)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8"/>
                <w:szCs w:val="8"/>
                <w:color w:val="auto"/>
              </w:rPr>
              <w:t>(17)</w:t>
            </w:r>
          </w:p>
        </w:tc>
        <w:tc>
          <w:tcPr>
            <w:tcW w:w="0" w:type="dxa"/>
            <w:vAlign w:val="bottom"/>
          </w:tcPr>
          <w:p>
            <w:pPr>
              <w:spacing w:after="0"/>
              <w:rPr>
                <w:sz w:val="1"/>
                <w:szCs w:val="1"/>
                <w:color w:val="auto"/>
              </w:rPr>
            </w:pPr>
          </w:p>
        </w:tc>
      </w:tr>
      <w:tr>
        <w:trPr>
          <w:trHeight w:val="118"/>
        </w:trPr>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8"/>
                <w:szCs w:val="8"/>
                <w:color w:val="auto"/>
              </w:rPr>
              <w:t>Net income</w:t>
            </w: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15,995</w:t>
            </w:r>
          </w:p>
        </w:tc>
        <w:tc>
          <w:tcPr>
            <w:tcW w:w="8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15,995</w:t>
            </w:r>
          </w:p>
        </w:tc>
        <w:tc>
          <w:tcPr>
            <w:tcW w:w="0" w:type="dxa"/>
            <w:vAlign w:val="bottom"/>
          </w:tcPr>
          <w:p>
            <w:pPr>
              <w:spacing w:after="0"/>
              <w:rPr>
                <w:sz w:val="1"/>
                <w:szCs w:val="1"/>
                <w:color w:val="auto"/>
              </w:rPr>
            </w:pPr>
          </w:p>
        </w:tc>
      </w:tr>
      <w:tr>
        <w:trPr>
          <w:trHeight w:val="152"/>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8"/>
                <w:szCs w:val="8"/>
                <w:b w:val="1"/>
                <w:bCs w:val="1"/>
                <w:color w:val="auto"/>
              </w:rPr>
              <w:t>Balance at Dec. 31, 2019</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860,161</w:t>
            </w: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8"/>
                <w:szCs w:val="8"/>
                <w:b w:val="1"/>
                <w:bCs w:val="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w w:val="88"/>
              </w:rPr>
              <w:t>$</w:t>
            </w:r>
          </w:p>
        </w:tc>
        <w:tc>
          <w:tcPr>
            <w:tcW w:w="5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8"/>
                <w:szCs w:val="8"/>
                <w:b w:val="1"/>
                <w:bCs w:val="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8"/>
                <w:szCs w:val="8"/>
                <w:b w:val="1"/>
                <w:bCs w:val="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378"/>
              <w:spacing w:after="0"/>
              <w:rPr>
                <w:sz w:val="20"/>
                <w:szCs w:val="20"/>
                <w:color w:val="auto"/>
              </w:rPr>
            </w:pPr>
            <w:r>
              <w:rPr>
                <w:rFonts w:ascii="Arial" w:cs="Arial" w:eastAsia="Arial" w:hAnsi="Arial"/>
                <w:sz w:val="8"/>
                <w:szCs w:val="8"/>
                <w:b w:val="1"/>
                <w:bCs w:val="1"/>
                <w:color w:val="auto"/>
                <w:w w:val="88"/>
              </w:rPr>
              <w:t>$</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8"/>
                <w:szCs w:val="8"/>
                <w:b w:val="1"/>
                <w:bCs w:val="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8"/>
                <w:szCs w:val="8"/>
                <w:b w:val="1"/>
                <w:bCs w:val="1"/>
                <w:color w:val="auto"/>
                <w:w w:val="88"/>
              </w:rPr>
              <w:t>$</w:t>
            </w:r>
          </w:p>
        </w:tc>
        <w:tc>
          <w:tcPr>
            <w:tcW w:w="6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8"/>
                <w:szCs w:val="8"/>
                <w:b w:val="1"/>
                <w:bCs w:val="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(17)</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w w:val="88"/>
              </w:rPr>
              <w:t>$</w:t>
            </w:r>
          </w:p>
        </w:tc>
        <w:tc>
          <w:tcPr>
            <w:tcW w:w="76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8"/>
                <w:szCs w:val="8"/>
                <w:b w:val="1"/>
                <w:bCs w:val="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860,144</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8"/>
          </w:tcPr>
          <w:p>
            <w:pPr>
              <w:ind w:left="60"/>
              <w:spacing w:after="0"/>
              <w:rPr>
                <w:sz w:val="20"/>
                <w:szCs w:val="20"/>
                <w:color w:val="auto"/>
              </w:rPr>
            </w:pPr>
            <w:r>
              <w:rPr>
                <w:rFonts w:ascii="Arial" w:cs="Arial" w:eastAsia="Arial" w:hAnsi="Arial"/>
                <w:sz w:val="8"/>
                <w:szCs w:val="8"/>
                <w:b w:val="1"/>
                <w:bCs w:val="1"/>
                <w:color w:val="auto"/>
              </w:rPr>
              <w:t>Period from Jan. 1, 2019 through Sep. 12, 2019</w:t>
            </w: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Borders>
              <w:bottom w:val="single" w:sz="8" w:color="auto"/>
            </w:tcBorders>
            <w:gridSpan w:val="4"/>
          </w:tcPr>
          <w:p>
            <w:pPr>
              <w:ind w:left="200"/>
              <w:spacing w:after="0"/>
              <w:rPr>
                <w:sz w:val="20"/>
                <w:szCs w:val="20"/>
                <w:color w:val="auto"/>
              </w:rPr>
            </w:pPr>
            <w:r>
              <w:rPr>
                <w:rFonts w:ascii="Arial" w:cs="Arial" w:eastAsia="Arial" w:hAnsi="Arial"/>
                <w:sz w:val="8"/>
                <w:szCs w:val="8"/>
                <w:b w:val="1"/>
                <w:bCs w:val="1"/>
                <w:color w:val="auto"/>
              </w:rPr>
              <w:t>Class A Common Stock</w:t>
            </w:r>
          </w:p>
        </w:tc>
        <w:tc>
          <w:tcPr>
            <w:tcW w:w="100" w:type="dxa"/>
            <w:vAlign w:val="bottom"/>
          </w:tcPr>
          <w:p>
            <w:pPr>
              <w:spacing w:after="0"/>
              <w:rPr>
                <w:sz w:val="10"/>
                <w:szCs w:val="1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8"/>
                <w:szCs w:val="8"/>
                <w:b w:val="1"/>
                <w:bCs w:val="1"/>
                <w:color w:val="auto"/>
              </w:rPr>
              <w:t>Class B Common Stock</w:t>
            </w:r>
          </w:p>
        </w:tc>
        <w:tc>
          <w:tcPr>
            <w:tcW w:w="1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gridSpan w:val="2"/>
            <w:vMerge w:val="restart"/>
          </w:tcPr>
          <w:p>
            <w:pPr>
              <w:spacing w:after="0"/>
              <w:rPr>
                <w:sz w:val="20"/>
                <w:szCs w:val="20"/>
                <w:color w:val="auto"/>
              </w:rPr>
            </w:pPr>
            <w:r>
              <w:rPr>
                <w:rFonts w:ascii="Arial" w:cs="Arial" w:eastAsia="Arial" w:hAnsi="Arial"/>
                <w:sz w:val="8"/>
                <w:szCs w:val="8"/>
                <w:b w:val="1"/>
                <w:bCs w:val="1"/>
                <w:color w:val="auto"/>
              </w:rPr>
              <w:t>Members’ Equity</w:t>
            </w:r>
          </w:p>
        </w:tc>
        <w:tc>
          <w:tcPr>
            <w:tcW w:w="720" w:type="dxa"/>
            <w:vAlign w:val="bottom"/>
            <w:gridSpan w:val="2"/>
            <w:vMerge w:val="restart"/>
          </w:tcPr>
          <w:p>
            <w:pPr>
              <w:ind w:left="180"/>
              <w:spacing w:after="0"/>
              <w:rPr>
                <w:sz w:val="20"/>
                <w:szCs w:val="20"/>
                <w:color w:val="auto"/>
              </w:rPr>
            </w:pPr>
            <w:r>
              <w:rPr>
                <w:rFonts w:ascii="Arial" w:cs="Arial" w:eastAsia="Arial" w:hAnsi="Arial"/>
                <w:sz w:val="8"/>
                <w:szCs w:val="8"/>
                <w:b w:val="1"/>
                <w:bCs w:val="1"/>
                <w:color w:val="auto"/>
              </w:rPr>
              <w:t>Shares</w:t>
            </w:r>
          </w:p>
        </w:tc>
        <w:tc>
          <w:tcPr>
            <w:tcW w:w="100" w:type="dxa"/>
            <w:vAlign w:val="bottom"/>
          </w:tcPr>
          <w:p>
            <w:pPr>
              <w:spacing w:after="0"/>
              <w:rPr>
                <w:sz w:val="6"/>
                <w:szCs w:val="6"/>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Amount</w:t>
            </w:r>
          </w:p>
        </w:tc>
        <w:tc>
          <w:tcPr>
            <w:tcW w:w="720" w:type="dxa"/>
            <w:vAlign w:val="bottom"/>
            <w:gridSpan w:val="2"/>
            <w:vMerge w:val="restart"/>
          </w:tcPr>
          <w:p>
            <w:pPr>
              <w:ind w:left="180"/>
              <w:spacing w:after="0"/>
              <w:rPr>
                <w:sz w:val="20"/>
                <w:szCs w:val="20"/>
                <w:color w:val="auto"/>
              </w:rPr>
            </w:pPr>
            <w:r>
              <w:rPr>
                <w:rFonts w:ascii="Arial" w:cs="Arial" w:eastAsia="Arial" w:hAnsi="Arial"/>
                <w:sz w:val="8"/>
                <w:szCs w:val="8"/>
                <w:b w:val="1"/>
                <w:bCs w:val="1"/>
                <w:color w:val="auto"/>
              </w:rPr>
              <w:t>Shares</w:t>
            </w:r>
          </w:p>
        </w:tc>
        <w:tc>
          <w:tcPr>
            <w:tcW w:w="480" w:type="dxa"/>
            <w:vAlign w:val="bottom"/>
            <w:vMerge w:val="restart"/>
          </w:tcPr>
          <w:p>
            <w:pPr>
              <w:jc w:val="right"/>
              <w:spacing w:after="0"/>
              <w:rPr>
                <w:sz w:val="20"/>
                <w:szCs w:val="20"/>
                <w:color w:val="auto"/>
              </w:rPr>
            </w:pPr>
            <w:r>
              <w:rPr>
                <w:rFonts w:ascii="Arial" w:cs="Arial" w:eastAsia="Arial" w:hAnsi="Arial"/>
                <w:sz w:val="8"/>
                <w:szCs w:val="8"/>
                <w:b w:val="1"/>
                <w:bCs w:val="1"/>
                <w:color w:val="auto"/>
              </w:rPr>
              <w:t>Amount</w:t>
            </w: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gridSpan w:val="3"/>
          </w:tcPr>
          <w:p>
            <w:pPr>
              <w:jc w:val="center"/>
              <w:ind w:right="60"/>
              <w:spacing w:after="0" w:line="74" w:lineRule="exact"/>
              <w:rPr>
                <w:sz w:val="20"/>
                <w:szCs w:val="20"/>
                <w:color w:val="auto"/>
              </w:rPr>
            </w:pPr>
            <w:r>
              <w:rPr>
                <w:rFonts w:ascii="Arial" w:cs="Arial" w:eastAsia="Arial" w:hAnsi="Arial"/>
                <w:sz w:val="8"/>
                <w:szCs w:val="8"/>
                <w:b w:val="1"/>
                <w:bCs w:val="1"/>
                <w:color w:val="auto"/>
              </w:rPr>
              <w:t>Additional Paid-In</w:t>
            </w:r>
          </w:p>
        </w:tc>
        <w:tc>
          <w:tcPr>
            <w:tcW w:w="80" w:type="dxa"/>
            <w:vAlign w:val="bottom"/>
          </w:tcPr>
          <w:p>
            <w:pPr>
              <w:spacing w:after="0"/>
              <w:rPr>
                <w:sz w:val="6"/>
                <w:szCs w:val="6"/>
                <w:color w:val="auto"/>
              </w:rPr>
            </w:pPr>
          </w:p>
        </w:tc>
        <w:tc>
          <w:tcPr>
            <w:tcW w:w="960" w:type="dxa"/>
            <w:vAlign w:val="bottom"/>
            <w:gridSpan w:val="2"/>
            <w:vMerge w:val="restart"/>
          </w:tcPr>
          <w:p>
            <w:pPr>
              <w:spacing w:after="0"/>
              <w:rPr>
                <w:sz w:val="20"/>
                <w:szCs w:val="20"/>
                <w:color w:val="auto"/>
              </w:rPr>
            </w:pPr>
            <w:r>
              <w:rPr>
                <w:rFonts w:ascii="Arial" w:cs="Arial" w:eastAsia="Arial" w:hAnsi="Arial"/>
                <w:sz w:val="8"/>
                <w:szCs w:val="8"/>
                <w:b w:val="1"/>
                <w:bCs w:val="1"/>
                <w:color w:val="auto"/>
              </w:rPr>
              <w:t>Accumulated Deficit</w:t>
            </w:r>
          </w:p>
        </w:tc>
        <w:tc>
          <w:tcPr>
            <w:tcW w:w="80" w:type="dxa"/>
            <w:vAlign w:val="bottom"/>
          </w:tcPr>
          <w:p>
            <w:pPr>
              <w:spacing w:after="0"/>
              <w:rPr>
                <w:sz w:val="6"/>
                <w:szCs w:val="6"/>
                <w:color w:val="auto"/>
              </w:rPr>
            </w:pPr>
          </w:p>
        </w:tc>
        <w:tc>
          <w:tcPr>
            <w:tcW w:w="1380" w:type="dxa"/>
            <w:vAlign w:val="bottom"/>
            <w:gridSpan w:val="2"/>
          </w:tcPr>
          <w:p>
            <w:pPr>
              <w:jc w:val="center"/>
              <w:ind w:right="160"/>
              <w:spacing w:after="0" w:line="74" w:lineRule="exact"/>
              <w:rPr>
                <w:sz w:val="20"/>
                <w:szCs w:val="20"/>
                <w:color w:val="auto"/>
              </w:rPr>
            </w:pPr>
            <w:r>
              <w:rPr>
                <w:rFonts w:ascii="Arial" w:cs="Arial" w:eastAsia="Arial" w:hAnsi="Arial"/>
                <w:sz w:val="8"/>
                <w:szCs w:val="8"/>
                <w:b w:val="1"/>
                <w:bCs w:val="1"/>
                <w:color w:val="auto"/>
              </w:rPr>
              <w:t>Accumulated Other</w:t>
            </w:r>
          </w:p>
        </w:tc>
        <w:tc>
          <w:tcPr>
            <w:tcW w:w="80" w:type="dxa"/>
            <w:vAlign w:val="bottom"/>
          </w:tcPr>
          <w:p>
            <w:pPr>
              <w:spacing w:after="0"/>
              <w:rPr>
                <w:sz w:val="6"/>
                <w:szCs w:val="6"/>
                <w:color w:val="auto"/>
              </w:rPr>
            </w:pPr>
          </w:p>
        </w:tc>
        <w:tc>
          <w:tcPr>
            <w:tcW w:w="840" w:type="dxa"/>
            <w:vAlign w:val="bottom"/>
            <w:gridSpan w:val="2"/>
          </w:tcPr>
          <w:p>
            <w:pPr>
              <w:jc w:val="center"/>
              <w:ind w:right="180"/>
              <w:spacing w:after="0" w:line="74" w:lineRule="exact"/>
              <w:rPr>
                <w:sz w:val="20"/>
                <w:szCs w:val="20"/>
                <w:color w:val="auto"/>
              </w:rPr>
            </w:pPr>
            <w:r>
              <w:rPr>
                <w:rFonts w:ascii="Arial" w:cs="Arial" w:eastAsia="Arial" w:hAnsi="Arial"/>
                <w:sz w:val="8"/>
                <w:szCs w:val="8"/>
                <w:b w:val="1"/>
                <w:bCs w:val="1"/>
                <w:color w:val="auto"/>
              </w:rPr>
              <w:t>Non-Controlling</w:t>
            </w:r>
          </w:p>
        </w:tc>
        <w:tc>
          <w:tcPr>
            <w:tcW w:w="100" w:type="dxa"/>
            <w:vAlign w:val="bottom"/>
          </w:tcPr>
          <w:p>
            <w:pPr>
              <w:spacing w:after="0"/>
              <w:rPr>
                <w:sz w:val="6"/>
                <w:szCs w:val="6"/>
                <w:color w:val="auto"/>
              </w:rPr>
            </w:pPr>
          </w:p>
        </w:tc>
        <w:tc>
          <w:tcPr>
            <w:tcW w:w="900" w:type="dxa"/>
            <w:vAlign w:val="bottom"/>
          </w:tcPr>
          <w:p>
            <w:pPr>
              <w:jc w:val="center"/>
              <w:ind w:right="58"/>
              <w:spacing w:after="0" w:line="74" w:lineRule="exact"/>
              <w:rPr>
                <w:sz w:val="20"/>
                <w:szCs w:val="20"/>
                <w:color w:val="auto"/>
              </w:rPr>
            </w:pPr>
            <w:r>
              <w:rPr>
                <w:rFonts w:ascii="Arial" w:cs="Arial" w:eastAsia="Arial" w:hAnsi="Arial"/>
                <w:sz w:val="8"/>
                <w:szCs w:val="8"/>
                <w:b w:val="1"/>
                <w:bCs w:val="1"/>
                <w:color w:val="auto"/>
              </w:rPr>
              <w:t>Stockholders’ /</w:t>
            </w:r>
          </w:p>
        </w:tc>
        <w:tc>
          <w:tcPr>
            <w:tcW w:w="0" w:type="dxa"/>
            <w:vAlign w:val="bottom"/>
          </w:tcPr>
          <w:p>
            <w:pPr>
              <w:spacing w:after="0"/>
              <w:rPr>
                <w:sz w:val="1"/>
                <w:szCs w:val="1"/>
                <w:color w:val="auto"/>
              </w:rPr>
            </w:pPr>
          </w:p>
        </w:tc>
      </w:tr>
      <w:tr>
        <w:trPr>
          <w:trHeight w:val="119"/>
        </w:trPr>
        <w:tc>
          <w:tcPr>
            <w:tcW w:w="2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Capital</w:t>
            </w:r>
          </w:p>
        </w:tc>
        <w:tc>
          <w:tcPr>
            <w:tcW w:w="8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8"/>
                <w:szCs w:val="8"/>
                <w:b w:val="1"/>
                <w:bCs w:val="1"/>
                <w:color w:val="auto"/>
              </w:rPr>
              <w:t>Comprehensive Income (Loss)</w:t>
            </w:r>
          </w:p>
        </w:tc>
        <w:tc>
          <w:tcPr>
            <w:tcW w:w="80" w:type="dxa"/>
            <w:vAlign w:val="bottom"/>
          </w:tcPr>
          <w:p>
            <w:pPr>
              <w:spacing w:after="0"/>
              <w:rPr>
                <w:sz w:val="10"/>
                <w:szCs w:val="10"/>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rPr>
              <w:t>Interests</w:t>
            </w:r>
          </w:p>
        </w:tc>
        <w:tc>
          <w:tcPr>
            <w:tcW w:w="100" w:type="dxa"/>
            <w:vAlign w:val="bottom"/>
          </w:tcPr>
          <w:p>
            <w:pPr>
              <w:spacing w:after="0"/>
              <w:rPr>
                <w:sz w:val="10"/>
                <w:szCs w:val="10"/>
                <w:color w:val="auto"/>
              </w:rPr>
            </w:pPr>
          </w:p>
        </w:tc>
        <w:tc>
          <w:tcPr>
            <w:tcW w:w="900" w:type="dxa"/>
            <w:vAlign w:val="bottom"/>
          </w:tcPr>
          <w:p>
            <w:pPr>
              <w:jc w:val="center"/>
              <w:ind w:right="58"/>
              <w:spacing w:after="0"/>
              <w:rPr>
                <w:sz w:val="20"/>
                <w:szCs w:val="20"/>
                <w:color w:val="auto"/>
              </w:rPr>
            </w:pPr>
            <w:r>
              <w:rPr>
                <w:rFonts w:ascii="Arial" w:cs="Arial" w:eastAsia="Arial" w:hAnsi="Arial"/>
                <w:sz w:val="8"/>
                <w:szCs w:val="8"/>
                <w:b w:val="1"/>
                <w:bCs w:val="1"/>
                <w:color w:val="auto"/>
              </w:rPr>
              <w:t>Members’ Equity</w:t>
            </w:r>
          </w:p>
        </w:tc>
        <w:tc>
          <w:tcPr>
            <w:tcW w:w="0" w:type="dxa"/>
            <w:vAlign w:val="bottom"/>
          </w:tcPr>
          <w:p>
            <w:pPr>
              <w:spacing w:after="0"/>
              <w:rPr>
                <w:sz w:val="1"/>
                <w:szCs w:val="1"/>
                <w:color w:val="auto"/>
              </w:rPr>
            </w:pPr>
          </w:p>
        </w:tc>
      </w:tr>
      <w:tr>
        <w:trPr>
          <w:trHeight w:val="158"/>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8"/>
                <w:szCs w:val="8"/>
                <w:b w:val="1"/>
                <w:bCs w:val="1"/>
                <w:color w:val="auto"/>
              </w:rPr>
              <w:t>Predecessor</w:t>
            </w:r>
            <w:r>
              <w:rPr>
                <w:rFonts w:ascii="Arial" w:cs="Arial" w:eastAsia="Arial" w:hAnsi="Arial"/>
                <w:sz w:val="12"/>
                <w:szCs w:val="12"/>
                <w:b w:val="1"/>
                <w:bCs w:val="1"/>
                <w:color w:val="auto"/>
              </w:rPr>
              <w:t>:</w:t>
            </w: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1280" w:type="dxa"/>
            <w:vAlign w:val="bottom"/>
            <w:tcBorders>
              <w:top w:val="single" w:sz="8" w:color="auto"/>
              <w:bottom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8"/>
                <w:szCs w:val="8"/>
                <w:b w:val="1"/>
                <w:bCs w:val="1"/>
                <w:color w:val="auto"/>
              </w:rPr>
              <w:t>Balance at Jan. 1, 2019</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2,435</w:t>
            </w:r>
          </w:p>
        </w:tc>
        <w:tc>
          <w:tcPr>
            <w:tcW w:w="80" w:type="dxa"/>
            <w:vAlign w:val="bottom"/>
            <w:tcBorders>
              <w:bottom w:val="single" w:sz="8" w:color="CCEEFF"/>
            </w:tcBorders>
          </w:tcPr>
          <w:p>
            <w:pPr>
              <w:spacing w:after="0"/>
              <w:rPr>
                <w:sz w:val="9"/>
                <w:szCs w:val="9"/>
                <w:color w:val="auto"/>
              </w:rPr>
            </w:pPr>
          </w:p>
        </w:tc>
        <w:tc>
          <w:tcPr>
            <w:tcW w:w="620" w:type="dxa"/>
            <w:vAlign w:val="bottom"/>
            <w:tcBorders>
              <w:bottom w:val="single" w:sz="8" w:color="auto"/>
            </w:tcBorders>
          </w:tcPr>
          <w:p>
            <w:pPr>
              <w:ind w:left="500"/>
              <w:spacing w:after="0"/>
              <w:rPr>
                <w:sz w:val="20"/>
                <w:szCs w:val="20"/>
                <w:color w:val="auto"/>
              </w:rPr>
            </w:pPr>
            <w:r>
              <w:rPr>
                <w:rFonts w:ascii="Arial" w:cs="Arial" w:eastAsia="Arial" w:hAnsi="Arial"/>
                <w:sz w:val="8"/>
                <w:szCs w:val="8"/>
                <w:b w:val="1"/>
                <w:bCs w:val="1"/>
                <w:color w:val="auto"/>
              </w:rPr>
              <w:t>—</w:t>
            </w:r>
          </w:p>
        </w:tc>
        <w:tc>
          <w:tcPr>
            <w:tcW w:w="10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w w:val="88"/>
              </w:rPr>
              <w:t>$</w:t>
            </w:r>
          </w:p>
        </w:tc>
        <w:tc>
          <w:tcPr>
            <w:tcW w:w="520" w:type="dxa"/>
            <w:vAlign w:val="bottom"/>
            <w:tcBorders>
              <w:bottom w:val="single" w:sz="8" w:color="auto"/>
            </w:tcBorders>
          </w:tcPr>
          <w:p>
            <w:pPr>
              <w:ind w:left="400"/>
              <w:spacing w:after="0"/>
              <w:rPr>
                <w:sz w:val="20"/>
                <w:szCs w:val="20"/>
                <w:color w:val="auto"/>
              </w:rPr>
            </w:pPr>
            <w:r>
              <w:rPr>
                <w:rFonts w:ascii="Arial" w:cs="Arial" w:eastAsia="Arial" w:hAnsi="Arial"/>
                <w:sz w:val="8"/>
                <w:szCs w:val="8"/>
                <w:b w:val="1"/>
                <w:bCs w:val="1"/>
                <w:color w:val="auto"/>
              </w:rPr>
              <w:t>—</w:t>
            </w:r>
          </w:p>
        </w:tc>
        <w:tc>
          <w:tcPr>
            <w:tcW w:w="100" w:type="dxa"/>
            <w:vAlign w:val="bottom"/>
            <w:tcBorders>
              <w:bottom w:val="single" w:sz="8" w:color="CCEEFF"/>
            </w:tcBorders>
          </w:tcPr>
          <w:p>
            <w:pPr>
              <w:spacing w:after="0"/>
              <w:rPr>
                <w:sz w:val="9"/>
                <w:szCs w:val="9"/>
                <w:color w:val="auto"/>
              </w:rPr>
            </w:pPr>
          </w:p>
        </w:tc>
        <w:tc>
          <w:tcPr>
            <w:tcW w:w="640" w:type="dxa"/>
            <w:vAlign w:val="bottom"/>
            <w:tcBorders>
              <w:bottom w:val="single" w:sz="8" w:color="auto"/>
            </w:tcBorders>
          </w:tcPr>
          <w:p>
            <w:pPr>
              <w:ind w:left="500"/>
              <w:spacing w:after="0"/>
              <w:rPr>
                <w:sz w:val="20"/>
                <w:szCs w:val="20"/>
                <w:color w:val="auto"/>
              </w:rPr>
            </w:pPr>
            <w:r>
              <w:rPr>
                <w:rFonts w:ascii="Arial" w:cs="Arial" w:eastAsia="Arial" w:hAnsi="Arial"/>
                <w:sz w:val="8"/>
                <w:szCs w:val="8"/>
                <w:b w:val="1"/>
                <w:bCs w:val="1"/>
                <w:color w:val="auto"/>
              </w:rPr>
              <w:t>—</w:t>
            </w:r>
          </w:p>
        </w:tc>
        <w:tc>
          <w:tcPr>
            <w:tcW w:w="80" w:type="dxa"/>
            <w:vAlign w:val="bottom"/>
            <w:tcBorders>
              <w:bottom w:val="single" w:sz="8" w:color="CCEEFF"/>
            </w:tcBorders>
          </w:tcPr>
          <w:p>
            <w:pPr>
              <w:spacing w:after="0"/>
              <w:rPr>
                <w:sz w:val="9"/>
                <w:szCs w:val="9"/>
                <w:color w:val="auto"/>
              </w:rPr>
            </w:pPr>
          </w:p>
        </w:tc>
        <w:tc>
          <w:tcPr>
            <w:tcW w:w="480" w:type="dxa"/>
            <w:vAlign w:val="bottom"/>
            <w:tcBorders>
              <w:bottom w:val="single" w:sz="8" w:color="auto"/>
            </w:tcBorders>
          </w:tcPr>
          <w:p>
            <w:pPr>
              <w:jc w:val="right"/>
              <w:ind w:right="378"/>
              <w:spacing w:after="0"/>
              <w:rPr>
                <w:sz w:val="20"/>
                <w:szCs w:val="20"/>
                <w:color w:val="auto"/>
              </w:rPr>
            </w:pPr>
            <w:r>
              <w:rPr>
                <w:rFonts w:ascii="Arial" w:cs="Arial" w:eastAsia="Arial" w:hAnsi="Arial"/>
                <w:sz w:val="8"/>
                <w:szCs w:val="8"/>
                <w:b w:val="1"/>
                <w:bCs w:val="1"/>
                <w:color w:val="auto"/>
                <w:w w:val="88"/>
              </w:rPr>
              <w:t>$</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8"/>
                <w:szCs w:val="8"/>
                <w:b w:val="1"/>
                <w:bCs w:val="1"/>
                <w:color w:val="auto"/>
              </w:rPr>
              <w:t>—</w:t>
            </w:r>
          </w:p>
        </w:tc>
        <w:tc>
          <w:tcPr>
            <w:tcW w:w="8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jc w:val="right"/>
              <w:ind w:right="58"/>
              <w:spacing w:after="0"/>
              <w:rPr>
                <w:sz w:val="20"/>
                <w:szCs w:val="20"/>
                <w:color w:val="auto"/>
              </w:rPr>
            </w:pPr>
            <w:r>
              <w:rPr>
                <w:rFonts w:ascii="Arial" w:cs="Arial" w:eastAsia="Arial" w:hAnsi="Arial"/>
                <w:sz w:val="8"/>
                <w:szCs w:val="8"/>
                <w:b w:val="1"/>
                <w:bCs w:val="1"/>
                <w:color w:val="auto"/>
                <w:w w:val="88"/>
              </w:rPr>
              <w:t>$</w:t>
            </w:r>
          </w:p>
        </w:tc>
        <w:tc>
          <w:tcPr>
            <w:tcW w:w="660" w:type="dxa"/>
            <w:vAlign w:val="bottom"/>
            <w:tcBorders>
              <w:bottom w:val="single" w:sz="8" w:color="auto"/>
            </w:tcBorders>
          </w:tcPr>
          <w:p>
            <w:pPr>
              <w:ind w:left="540"/>
              <w:spacing w:after="0"/>
              <w:rPr>
                <w:sz w:val="20"/>
                <w:szCs w:val="20"/>
                <w:color w:val="auto"/>
              </w:rPr>
            </w:pPr>
            <w:r>
              <w:rPr>
                <w:rFonts w:ascii="Arial" w:cs="Arial" w:eastAsia="Arial" w:hAnsi="Arial"/>
                <w:sz w:val="8"/>
                <w:szCs w:val="8"/>
                <w:b w:val="1"/>
                <w:bCs w:val="1"/>
                <w:color w:val="auto"/>
              </w:rPr>
              <w:t>—</w:t>
            </w:r>
          </w:p>
        </w:tc>
        <w:tc>
          <w:tcPr>
            <w:tcW w:w="8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(189,102)</w:t>
            </w:r>
          </w:p>
        </w:tc>
        <w:tc>
          <w:tcPr>
            <w:tcW w:w="8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14</w:t>
            </w:r>
          </w:p>
        </w:tc>
        <w:tc>
          <w:tcPr>
            <w:tcW w:w="10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w w:val="88"/>
              </w:rPr>
              <w:t>$</w:t>
            </w:r>
          </w:p>
        </w:tc>
        <w:tc>
          <w:tcPr>
            <w:tcW w:w="760" w:type="dxa"/>
            <w:vAlign w:val="bottom"/>
            <w:tcBorders>
              <w:bottom w:val="single" w:sz="8" w:color="auto"/>
            </w:tcBorders>
          </w:tcPr>
          <w:p>
            <w:pPr>
              <w:ind w:left="620"/>
              <w:spacing w:after="0"/>
              <w:rPr>
                <w:sz w:val="20"/>
                <w:szCs w:val="20"/>
                <w:color w:val="auto"/>
              </w:rPr>
            </w:pPr>
            <w:r>
              <w:rPr>
                <w:rFonts w:ascii="Arial" w:cs="Arial" w:eastAsia="Arial" w:hAnsi="Arial"/>
                <w:sz w:val="8"/>
                <w:szCs w:val="8"/>
                <w:b w:val="1"/>
                <w:bCs w:val="1"/>
                <w:color w:val="auto"/>
              </w:rPr>
              <w:t>—</w:t>
            </w:r>
          </w:p>
        </w:tc>
        <w:tc>
          <w:tcPr>
            <w:tcW w:w="8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(186,653)</w:t>
            </w:r>
          </w:p>
        </w:tc>
        <w:tc>
          <w:tcPr>
            <w:tcW w:w="0" w:type="dxa"/>
            <w:vAlign w:val="bottom"/>
          </w:tcPr>
          <w:p>
            <w:pPr>
              <w:spacing w:after="0"/>
              <w:rPr>
                <w:sz w:val="1"/>
                <w:szCs w:val="1"/>
                <w:color w:val="auto"/>
              </w:rPr>
            </w:pPr>
          </w:p>
        </w:tc>
      </w:tr>
      <w:tr>
        <w:trPr>
          <w:trHeight w:val="126"/>
        </w:trPr>
        <w:tc>
          <w:tcPr>
            <w:tcW w:w="2160" w:type="dxa"/>
            <w:vAlign w:val="bottom"/>
            <w:shd w:val="clear" w:color="auto" w:fill="CCEEFF"/>
          </w:tcPr>
          <w:p>
            <w:pPr>
              <w:ind w:left="20"/>
              <w:spacing w:after="0"/>
              <w:rPr>
                <w:sz w:val="20"/>
                <w:szCs w:val="20"/>
                <w:color w:val="auto"/>
              </w:rPr>
            </w:pPr>
            <w:r>
              <w:rPr>
                <w:rFonts w:ascii="Arial" w:cs="Arial" w:eastAsia="Arial" w:hAnsi="Arial"/>
                <w:sz w:val="8"/>
                <w:szCs w:val="8"/>
                <w:color w:val="auto"/>
              </w:rPr>
              <w:t>Redeemable Class B unit accretion</w:t>
            </w: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8"/>
                <w:szCs w:val="8"/>
                <w:color w:val="auto"/>
              </w:rPr>
              <w:t>(138,404)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8"/>
                <w:szCs w:val="8"/>
                <w:color w:val="auto"/>
              </w:rPr>
              <w:t>(138,404)</w:t>
            </w:r>
          </w:p>
        </w:tc>
        <w:tc>
          <w:tcPr>
            <w:tcW w:w="0" w:type="dxa"/>
            <w:vAlign w:val="bottom"/>
          </w:tcPr>
          <w:p>
            <w:pPr>
              <w:spacing w:after="0"/>
              <w:rPr>
                <w:sz w:val="1"/>
                <w:szCs w:val="1"/>
                <w:color w:val="auto"/>
              </w:rPr>
            </w:pPr>
          </w:p>
        </w:tc>
      </w:tr>
      <w:tr>
        <w:trPr>
          <w:trHeight w:val="118"/>
        </w:trPr>
        <w:tc>
          <w:tcPr>
            <w:tcW w:w="2160" w:type="dxa"/>
            <w:vAlign w:val="bottom"/>
          </w:tcPr>
          <w:p>
            <w:pPr>
              <w:ind w:left="20"/>
              <w:spacing w:after="0"/>
              <w:rPr>
                <w:sz w:val="20"/>
                <w:szCs w:val="20"/>
                <w:color w:val="auto"/>
              </w:rPr>
            </w:pPr>
            <w:r>
              <w:rPr>
                <w:rFonts w:ascii="Arial" w:cs="Arial" w:eastAsia="Arial" w:hAnsi="Arial"/>
                <w:sz w:val="8"/>
                <w:szCs w:val="8"/>
                <w:color w:val="auto"/>
              </w:rPr>
              <w:t>Conversion of Redeemable Class B Units</w:t>
            </w:r>
          </w:p>
        </w:tc>
        <w:tc>
          <w:tcPr>
            <w:tcW w:w="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8"/>
                <w:szCs w:val="8"/>
                <w:color w:val="auto"/>
              </w:rPr>
              <w:t>384,404</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8"/>
                <w:szCs w:val="8"/>
                <w:color w:val="auto"/>
              </w:rPr>
              <w:t>384,404</w:t>
            </w:r>
          </w:p>
        </w:tc>
        <w:tc>
          <w:tcPr>
            <w:tcW w:w="0" w:type="dxa"/>
            <w:vAlign w:val="bottom"/>
          </w:tcPr>
          <w:p>
            <w:pPr>
              <w:spacing w:after="0"/>
              <w:rPr>
                <w:sz w:val="1"/>
                <w:szCs w:val="1"/>
                <w:color w:val="auto"/>
              </w:rPr>
            </w:pPr>
          </w:p>
        </w:tc>
      </w:tr>
      <w:tr>
        <w:trPr>
          <w:trHeight w:val="137"/>
        </w:trPr>
        <w:tc>
          <w:tcPr>
            <w:tcW w:w="2160" w:type="dxa"/>
            <w:vAlign w:val="bottom"/>
            <w:shd w:val="clear" w:color="auto" w:fill="CCEEFF"/>
          </w:tcPr>
          <w:p>
            <w:pPr>
              <w:ind w:left="20"/>
              <w:spacing w:after="0"/>
              <w:rPr>
                <w:sz w:val="20"/>
                <w:szCs w:val="20"/>
                <w:color w:val="auto"/>
              </w:rPr>
            </w:pPr>
            <w:r>
              <w:rPr>
                <w:rFonts w:ascii="Arial" w:cs="Arial" w:eastAsia="Arial" w:hAnsi="Arial"/>
                <w:sz w:val="8"/>
                <w:szCs w:val="8"/>
                <w:color w:val="auto"/>
              </w:rPr>
              <w:t>Foreign currency translation adjustment</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8"/>
                <w:szCs w:val="8"/>
                <w:color w:val="auto"/>
              </w:rPr>
              <w:t>(32)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8"/>
                <w:szCs w:val="8"/>
                <w:color w:val="auto"/>
              </w:rPr>
              <w:t>(32)</w:t>
            </w:r>
          </w:p>
        </w:tc>
        <w:tc>
          <w:tcPr>
            <w:tcW w:w="0" w:type="dxa"/>
            <w:vAlign w:val="bottom"/>
          </w:tcPr>
          <w:p>
            <w:pPr>
              <w:spacing w:after="0"/>
              <w:rPr>
                <w:sz w:val="1"/>
                <w:szCs w:val="1"/>
                <w:color w:val="auto"/>
              </w:rPr>
            </w:pPr>
          </w:p>
        </w:tc>
      </w:tr>
      <w:tr>
        <w:trPr>
          <w:trHeight w:val="118"/>
        </w:trPr>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8"/>
                <w:szCs w:val="8"/>
                <w:color w:val="auto"/>
              </w:rPr>
              <w:t>Net loss</w:t>
            </w: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(57,063)</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(57,063)</w:t>
            </w:r>
          </w:p>
        </w:tc>
        <w:tc>
          <w:tcPr>
            <w:tcW w:w="0" w:type="dxa"/>
            <w:vAlign w:val="bottom"/>
          </w:tcPr>
          <w:p>
            <w:pPr>
              <w:spacing w:after="0"/>
              <w:rPr>
                <w:sz w:val="1"/>
                <w:szCs w:val="1"/>
                <w:color w:val="auto"/>
              </w:rPr>
            </w:pPr>
          </w:p>
        </w:tc>
      </w:tr>
      <w:tr>
        <w:trPr>
          <w:trHeight w:val="152"/>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8"/>
                <w:szCs w:val="8"/>
                <w:b w:val="1"/>
                <w:bCs w:val="1"/>
                <w:color w:val="auto"/>
              </w:rPr>
              <w:t>Balance at Sep. 12, 2019</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386,839</w:t>
            </w: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8"/>
                <w:szCs w:val="8"/>
                <w:b w:val="1"/>
                <w:bCs w:val="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w w:val="88"/>
              </w:rPr>
              <w:t>$</w:t>
            </w:r>
          </w:p>
        </w:tc>
        <w:tc>
          <w:tcPr>
            <w:tcW w:w="5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8"/>
                <w:szCs w:val="8"/>
                <w:b w:val="1"/>
                <w:bCs w:val="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8"/>
                <w:szCs w:val="8"/>
                <w:b w:val="1"/>
                <w:bCs w:val="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378"/>
              <w:spacing w:after="0"/>
              <w:rPr>
                <w:sz w:val="20"/>
                <w:szCs w:val="20"/>
                <w:color w:val="auto"/>
              </w:rPr>
            </w:pPr>
            <w:r>
              <w:rPr>
                <w:rFonts w:ascii="Arial" w:cs="Arial" w:eastAsia="Arial" w:hAnsi="Arial"/>
                <w:sz w:val="8"/>
                <w:szCs w:val="8"/>
                <w:b w:val="1"/>
                <w:bCs w:val="1"/>
                <w:color w:val="auto"/>
                <w:w w:val="88"/>
              </w:rPr>
              <w:t>$</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8"/>
                <w:szCs w:val="8"/>
                <w:b w:val="1"/>
                <w:bCs w:val="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8"/>
                <w:szCs w:val="8"/>
                <w:b w:val="1"/>
                <w:bCs w:val="1"/>
                <w:color w:val="auto"/>
                <w:w w:val="88"/>
              </w:rPr>
              <w:t>$</w:t>
            </w:r>
          </w:p>
        </w:tc>
        <w:tc>
          <w:tcPr>
            <w:tcW w:w="6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8"/>
                <w:szCs w:val="8"/>
                <w:b w:val="1"/>
                <w:bCs w:val="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(384,569)</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(18)</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w w:val="88"/>
              </w:rPr>
              <w:t>$</w:t>
            </w:r>
          </w:p>
        </w:tc>
        <w:tc>
          <w:tcPr>
            <w:tcW w:w="76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8"/>
                <w:szCs w:val="8"/>
                <w:b w:val="1"/>
                <w:bCs w:val="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b w:val="1"/>
                <w:bCs w:val="1"/>
                <w:color w:val="auto"/>
              </w:rPr>
              <w:t>2,252</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67</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03" w:right="319" w:bottom="1440" w:gutter="0" w:footer="0" w:header="0"/>
        </w:sectPr>
      </w:pPr>
    </w:p>
    <w:bookmarkStart w:id="70" w:name="page71"/>
    <w:bookmarkEnd w:id="70"/>
    <w:p>
      <w:pPr>
        <w:ind w:left="5380"/>
        <w:spacing w:after="0"/>
        <w:rPr>
          <w:sz w:val="20"/>
          <w:szCs w:val="20"/>
          <w:color w:val="auto"/>
        </w:rPr>
      </w:pPr>
      <w:r>
        <w:rPr>
          <w:rFonts w:ascii="Arial" w:cs="Arial" w:eastAsia="Arial" w:hAnsi="Arial"/>
          <w:sz w:val="13"/>
          <w:szCs w:val="13"/>
          <w:b w:val="1"/>
          <w:bCs w:val="1"/>
          <w:color w:val="0A2299"/>
        </w:rPr>
        <w:t>GOHEALTH, INC.</w:t>
      </w:r>
    </w:p>
    <w:p>
      <w:pPr>
        <w:spacing w:after="0" w:line="4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0A2299"/>
        </w:rPr>
        <w:t>CONSOLIDATED STATEMENTS OF CASH FLOWS</w:t>
      </w:r>
    </w:p>
    <w:p>
      <w:pPr>
        <w:spacing w:after="0" w:line="45" w:lineRule="exact"/>
        <w:rPr>
          <w:sz w:val="20"/>
          <w:szCs w:val="20"/>
          <w:color w:val="auto"/>
        </w:rPr>
      </w:pPr>
    </w:p>
    <w:p>
      <w:pPr>
        <w:ind w:left="5240"/>
        <w:spacing w:after="0"/>
        <w:rPr>
          <w:sz w:val="20"/>
          <w:szCs w:val="20"/>
          <w:color w:val="auto"/>
        </w:rPr>
      </w:pPr>
      <w:r>
        <w:rPr>
          <w:rFonts w:ascii="Arial" w:cs="Arial" w:eastAsia="Arial" w:hAnsi="Arial"/>
          <w:sz w:val="13"/>
          <w:szCs w:val="13"/>
          <w:i w:val="1"/>
          <w:iCs w:val="1"/>
          <w:color w:val="0A2299"/>
        </w:rPr>
        <w:t>(in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0"/>
                <w:szCs w:val="10"/>
                <w:b w:val="1"/>
                <w:bCs w:val="1"/>
                <w:color w:val="auto"/>
                <w:w w:val="98"/>
              </w:rPr>
              <w:t>Successor</w:t>
            </w:r>
          </w:p>
        </w:tc>
        <w:tc>
          <w:tcPr>
            <w:tcW w:w="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251"/>
              <w:spacing w:after="0"/>
              <w:rPr>
                <w:sz w:val="20"/>
                <w:szCs w:val="20"/>
                <w:color w:val="auto"/>
              </w:rPr>
            </w:pPr>
            <w:r>
              <w:rPr>
                <w:rFonts w:ascii="Arial" w:cs="Arial" w:eastAsia="Arial" w:hAnsi="Arial"/>
                <w:sz w:val="10"/>
                <w:szCs w:val="10"/>
                <w:b w:val="1"/>
                <w:bCs w:val="1"/>
                <w:color w:val="auto"/>
              </w:rPr>
              <w:t>Predecessor</w:t>
            </w:r>
          </w:p>
        </w:tc>
        <w:tc>
          <w:tcPr>
            <w:tcW w:w="0" w:type="dxa"/>
            <w:vAlign w:val="bottom"/>
          </w:tcPr>
          <w:p>
            <w:pPr>
              <w:spacing w:after="0"/>
              <w:rPr>
                <w:sz w:val="1"/>
                <w:szCs w:val="1"/>
                <w:color w:val="auto"/>
              </w:rPr>
            </w:pPr>
          </w:p>
        </w:tc>
      </w:tr>
      <w:tr>
        <w:trPr>
          <w:trHeight w:val="86"/>
        </w:trPr>
        <w:tc>
          <w:tcPr>
            <w:tcW w:w="6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7"/>
              </w:rPr>
              <w:t>Twelve months ended</w:t>
            </w:r>
          </w:p>
        </w:tc>
        <w:tc>
          <w:tcPr>
            <w:tcW w:w="80" w:type="dxa"/>
            <w:vAlign w:val="bottom"/>
          </w:tcPr>
          <w:p>
            <w:pPr>
              <w:spacing w:after="0"/>
              <w:rPr>
                <w:sz w:val="7"/>
                <w:szCs w:val="7"/>
                <w:color w:val="auto"/>
              </w:rPr>
            </w:pPr>
          </w:p>
        </w:tc>
        <w:tc>
          <w:tcPr>
            <w:tcW w:w="120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7"/>
              </w:rPr>
              <w:t>Twelve months ended</w:t>
            </w:r>
          </w:p>
        </w:tc>
        <w:tc>
          <w:tcPr>
            <w:tcW w:w="80" w:type="dxa"/>
            <w:vAlign w:val="bottom"/>
          </w:tcPr>
          <w:p>
            <w:pPr>
              <w:spacing w:after="0"/>
              <w:rPr>
                <w:sz w:val="7"/>
                <w:szCs w:val="7"/>
                <w:color w:val="auto"/>
              </w:rPr>
            </w:pPr>
          </w:p>
        </w:tc>
        <w:tc>
          <w:tcPr>
            <w:tcW w:w="1120" w:type="dxa"/>
            <w:vAlign w:val="bottom"/>
          </w:tcPr>
          <w:p>
            <w:pPr>
              <w:jc w:val="center"/>
              <w:ind w:right="31"/>
              <w:spacing w:after="0" w:line="86" w:lineRule="exact"/>
              <w:rPr>
                <w:sz w:val="20"/>
                <w:szCs w:val="20"/>
                <w:color w:val="auto"/>
              </w:rPr>
            </w:pPr>
            <w:r>
              <w:rPr>
                <w:rFonts w:ascii="Arial" w:cs="Arial" w:eastAsia="Arial" w:hAnsi="Arial"/>
                <w:sz w:val="9"/>
                <w:szCs w:val="9"/>
                <w:b w:val="1"/>
                <w:bCs w:val="1"/>
                <w:color w:val="auto"/>
              </w:rPr>
              <w:t>Period from Sep. 13,</w:t>
            </w:r>
          </w:p>
        </w:tc>
        <w:tc>
          <w:tcPr>
            <w:tcW w:w="120" w:type="dxa"/>
            <w:vAlign w:val="bottom"/>
            <w:tcBorders>
              <w:right w:val="single" w:sz="8" w:color="auto"/>
            </w:tcBorders>
          </w:tcPr>
          <w:p>
            <w:pPr>
              <w:spacing w:after="0"/>
              <w:rPr>
                <w:sz w:val="7"/>
                <w:szCs w:val="7"/>
                <w:color w:val="auto"/>
              </w:rPr>
            </w:pPr>
          </w:p>
        </w:tc>
        <w:tc>
          <w:tcPr>
            <w:tcW w:w="1160" w:type="dxa"/>
            <w:vAlign w:val="bottom"/>
            <w:gridSpan w:val="2"/>
            <w:vMerge w:val="restart"/>
          </w:tcPr>
          <w:p>
            <w:pPr>
              <w:spacing w:after="0"/>
              <w:rPr>
                <w:sz w:val="20"/>
                <w:szCs w:val="20"/>
                <w:color w:val="auto"/>
              </w:rPr>
            </w:pPr>
            <w:r>
              <w:rPr>
                <w:rFonts w:ascii="Arial" w:cs="Arial" w:eastAsia="Arial" w:hAnsi="Arial"/>
                <w:sz w:val="10"/>
                <w:szCs w:val="10"/>
                <w:b w:val="1"/>
                <w:bCs w:val="1"/>
                <w:color w:val="auto"/>
                <w:w w:val="99"/>
              </w:rPr>
              <w:t>Period from Jan. 1, 2019</w:t>
            </w:r>
          </w:p>
        </w:tc>
        <w:tc>
          <w:tcPr>
            <w:tcW w:w="0" w:type="dxa"/>
            <w:vAlign w:val="bottom"/>
          </w:tcPr>
          <w:p>
            <w:pPr>
              <w:spacing w:after="0"/>
              <w:rPr>
                <w:sz w:val="1"/>
                <w:szCs w:val="1"/>
                <w:color w:val="auto"/>
              </w:rPr>
            </w:pPr>
          </w:p>
        </w:tc>
      </w:tr>
      <w:tr>
        <w:trPr>
          <w:trHeight w:val="95"/>
        </w:trPr>
        <w:tc>
          <w:tcPr>
            <w:tcW w:w="6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Borders>
              <w:right w:val="single" w:sz="8" w:color="auto"/>
            </w:tcBorders>
            <w:gridSpan w:val="2"/>
          </w:tcPr>
          <w:p>
            <w:pPr>
              <w:jc w:val="center"/>
              <w:ind w:right="200"/>
              <w:spacing w:after="0" w:line="96" w:lineRule="exact"/>
              <w:rPr>
                <w:sz w:val="20"/>
                <w:szCs w:val="20"/>
                <w:color w:val="auto"/>
              </w:rPr>
            </w:pPr>
            <w:r>
              <w:rPr>
                <w:rFonts w:ascii="Arial" w:cs="Arial" w:eastAsia="Arial" w:hAnsi="Arial"/>
                <w:sz w:val="10"/>
                <w:szCs w:val="10"/>
                <w:b w:val="1"/>
                <w:bCs w:val="1"/>
                <w:color w:val="auto"/>
              </w:rPr>
              <w:t>2019 through Dec. 31,</w:t>
            </w:r>
          </w:p>
        </w:tc>
        <w:tc>
          <w:tcPr>
            <w:tcW w:w="11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6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8"/>
              </w:rPr>
              <w:t>Dec. 31, 2021</w:t>
            </w:r>
          </w:p>
        </w:tc>
        <w:tc>
          <w:tcPr>
            <w:tcW w:w="80" w:type="dxa"/>
            <w:vAlign w:val="bottom"/>
          </w:tcPr>
          <w:p>
            <w:pPr>
              <w:spacing w:after="0"/>
              <w:rPr>
                <w:sz w:val="11"/>
                <w:szCs w:val="11"/>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8"/>
              </w:rPr>
              <w:t>Dec. 31, 2020</w:t>
            </w:r>
          </w:p>
        </w:tc>
        <w:tc>
          <w:tcPr>
            <w:tcW w:w="80" w:type="dxa"/>
            <w:vAlign w:val="bottom"/>
          </w:tcPr>
          <w:p>
            <w:pPr>
              <w:spacing w:after="0"/>
              <w:rPr>
                <w:sz w:val="11"/>
                <w:szCs w:val="11"/>
                <w:color w:val="auto"/>
              </w:rPr>
            </w:pPr>
          </w:p>
        </w:tc>
        <w:tc>
          <w:tcPr>
            <w:tcW w:w="1120" w:type="dxa"/>
            <w:vAlign w:val="bottom"/>
          </w:tcPr>
          <w:p>
            <w:pPr>
              <w:jc w:val="center"/>
              <w:ind w:right="31"/>
              <w:spacing w:after="0"/>
              <w:rPr>
                <w:sz w:val="20"/>
                <w:szCs w:val="20"/>
                <w:color w:val="auto"/>
              </w:rPr>
            </w:pPr>
            <w:r>
              <w:rPr>
                <w:rFonts w:ascii="Arial" w:cs="Arial" w:eastAsia="Arial" w:hAnsi="Arial"/>
                <w:sz w:val="10"/>
                <w:szCs w:val="10"/>
                <w:b w:val="1"/>
                <w:bCs w:val="1"/>
                <w:color w:val="auto"/>
              </w:rPr>
              <w:t>2019</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jc w:val="right"/>
              <w:ind w:right="31"/>
              <w:spacing w:after="0"/>
              <w:rPr>
                <w:sz w:val="20"/>
                <w:szCs w:val="20"/>
                <w:color w:val="auto"/>
              </w:rPr>
            </w:pPr>
            <w:r>
              <w:rPr>
                <w:rFonts w:ascii="Arial" w:cs="Arial" w:eastAsia="Arial" w:hAnsi="Arial"/>
                <w:sz w:val="10"/>
                <w:szCs w:val="10"/>
                <w:b w:val="1"/>
                <w:bCs w:val="1"/>
                <w:color w:val="auto"/>
                <w:w w:val="96"/>
              </w:rPr>
              <w:t>through Sep. 12, 2019</w:t>
            </w:r>
          </w:p>
        </w:tc>
        <w:tc>
          <w:tcPr>
            <w:tcW w:w="0" w:type="dxa"/>
            <w:vAlign w:val="bottom"/>
          </w:tcPr>
          <w:p>
            <w:pPr>
              <w:spacing w:after="0"/>
              <w:rPr>
                <w:sz w:val="1"/>
                <w:szCs w:val="1"/>
                <w:color w:val="auto"/>
              </w:rPr>
            </w:pPr>
          </w:p>
        </w:tc>
      </w:tr>
      <w:tr>
        <w:trPr>
          <w:trHeight w:val="122"/>
        </w:trPr>
        <w:tc>
          <w:tcPr>
            <w:tcW w:w="6240" w:type="dxa"/>
            <w:vAlign w:val="bottom"/>
            <w:tcBorders>
              <w:top w:val="single" w:sz="8" w:color="CCEEFF"/>
            </w:tcBorders>
            <w:shd w:val="clear" w:color="auto" w:fill="CCEEFF"/>
          </w:tcPr>
          <w:p>
            <w:pPr>
              <w:ind w:left="20"/>
              <w:spacing w:after="0" w:line="114" w:lineRule="exact"/>
              <w:rPr>
                <w:sz w:val="20"/>
                <w:szCs w:val="20"/>
                <w:color w:val="auto"/>
              </w:rPr>
            </w:pPr>
            <w:r>
              <w:rPr>
                <w:rFonts w:ascii="Arial" w:cs="Arial" w:eastAsia="Arial" w:hAnsi="Arial"/>
                <w:sz w:val="10"/>
                <w:szCs w:val="10"/>
                <w:b w:val="1"/>
                <w:bCs w:val="1"/>
                <w:color w:val="auto"/>
              </w:rPr>
              <w:t>Operating Activities</w:t>
            </w:r>
          </w:p>
        </w:tc>
        <w:tc>
          <w:tcPr>
            <w:tcW w:w="80" w:type="dxa"/>
            <w:vAlign w:val="bottom"/>
            <w:tcBorders>
              <w:top w:val="single" w:sz="8" w:color="auto"/>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right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240" w:type="dxa"/>
            <w:vAlign w:val="bottom"/>
          </w:tcPr>
          <w:p>
            <w:pPr>
              <w:ind w:left="20"/>
              <w:spacing w:after="0"/>
              <w:rPr>
                <w:sz w:val="20"/>
                <w:szCs w:val="20"/>
                <w:color w:val="auto"/>
              </w:rPr>
            </w:pPr>
            <w:r>
              <w:rPr>
                <w:rFonts w:ascii="Arial" w:cs="Arial" w:eastAsia="Arial" w:hAnsi="Arial"/>
                <w:sz w:val="10"/>
                <w:szCs w:val="10"/>
                <w:color w:val="auto"/>
              </w:rPr>
              <w:t>Net income (loss)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0"/>
                <w:szCs w:val="10"/>
                <w:color w:val="auto"/>
              </w:rPr>
              <w:t>(534,194)</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0"/>
                <w:szCs w:val="10"/>
                <w:color w:val="auto"/>
              </w:rPr>
              <w:t>(97,200)</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0"/>
                <w:szCs w:val="10"/>
                <w:color w:val="auto"/>
              </w:rPr>
              <w:t>15,995</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0"/>
                <w:szCs w:val="10"/>
                <w:color w:val="auto"/>
              </w:rPr>
              <w:t>(57,063)</w:t>
            </w:r>
          </w:p>
        </w:tc>
        <w:tc>
          <w:tcPr>
            <w:tcW w:w="0" w:type="dxa"/>
            <w:vAlign w:val="bottom"/>
          </w:tcPr>
          <w:p>
            <w:pPr>
              <w:spacing w:after="0"/>
              <w:rPr>
                <w:sz w:val="1"/>
                <w:szCs w:val="1"/>
                <w:color w:val="auto"/>
              </w:rPr>
            </w:pPr>
          </w:p>
        </w:tc>
      </w:tr>
      <w:tr>
        <w:trPr>
          <w:trHeight w:val="145"/>
        </w:trPr>
        <w:tc>
          <w:tcPr>
            <w:tcW w:w="6240" w:type="dxa"/>
            <w:vAlign w:val="bottom"/>
            <w:shd w:val="clear" w:color="auto" w:fill="CCEEFF"/>
          </w:tcPr>
          <w:p>
            <w:pPr>
              <w:ind w:left="20"/>
              <w:spacing w:after="0"/>
              <w:rPr>
                <w:sz w:val="20"/>
                <w:szCs w:val="20"/>
                <w:color w:val="auto"/>
              </w:rPr>
            </w:pPr>
            <w:r>
              <w:rPr>
                <w:rFonts w:ascii="Arial" w:cs="Arial" w:eastAsia="Arial" w:hAnsi="Arial"/>
                <w:sz w:val="10"/>
                <w:szCs w:val="10"/>
                <w:i w:val="1"/>
                <w:iCs w:val="1"/>
                <w:color w:val="auto"/>
              </w:rPr>
              <w:t>Adjustments to reconcile net income (loss) to net cash provided by (used in) operating activities:</w:t>
            </w: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6240" w:type="dxa"/>
            <w:vAlign w:val="bottom"/>
          </w:tcPr>
          <w:p>
            <w:pPr>
              <w:ind w:left="180"/>
              <w:spacing w:after="0"/>
              <w:rPr>
                <w:sz w:val="20"/>
                <w:szCs w:val="20"/>
                <w:color w:val="auto"/>
              </w:rPr>
            </w:pPr>
            <w:r>
              <w:rPr>
                <w:rFonts w:ascii="Arial" w:cs="Arial" w:eastAsia="Arial" w:hAnsi="Arial"/>
                <w:sz w:val="10"/>
                <w:szCs w:val="10"/>
                <w:color w:val="auto"/>
              </w:rPr>
              <w:t>Share-based compensation</w:t>
            </w:r>
          </w:p>
        </w:tc>
        <w:tc>
          <w:tcPr>
            <w:tcW w:w="80" w:type="dxa"/>
            <w:vAlign w:val="bottom"/>
          </w:tcPr>
          <w:p>
            <w:pPr>
              <w:spacing w:after="0"/>
              <w:rPr>
                <w:sz w:val="11"/>
                <w:szCs w:val="11"/>
                <w:color w:val="auto"/>
              </w:rPr>
            </w:pPr>
          </w:p>
        </w:tc>
        <w:tc>
          <w:tcPr>
            <w:tcW w:w="1120" w:type="dxa"/>
            <w:vAlign w:val="bottom"/>
          </w:tcPr>
          <w:p>
            <w:pPr>
              <w:jc w:val="right"/>
              <w:ind w:right="11"/>
              <w:spacing w:after="0"/>
              <w:rPr>
                <w:sz w:val="20"/>
                <w:szCs w:val="20"/>
                <w:color w:val="auto"/>
              </w:rPr>
            </w:pPr>
            <w:r>
              <w:rPr>
                <w:rFonts w:ascii="Arial" w:cs="Arial" w:eastAsia="Arial" w:hAnsi="Arial"/>
                <w:sz w:val="10"/>
                <w:szCs w:val="10"/>
                <w:color w:val="auto"/>
              </w:rPr>
              <w:t>27,297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right"/>
              <w:ind w:right="11"/>
              <w:spacing w:after="0"/>
              <w:rPr>
                <w:sz w:val="20"/>
                <w:szCs w:val="20"/>
                <w:color w:val="auto"/>
              </w:rPr>
            </w:pPr>
            <w:r>
              <w:rPr>
                <w:rFonts w:ascii="Arial" w:cs="Arial" w:eastAsia="Arial" w:hAnsi="Arial"/>
                <w:sz w:val="10"/>
                <w:szCs w:val="10"/>
                <w:color w:val="auto"/>
              </w:rPr>
              <w:t>216,229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448</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87,060</w:t>
            </w:r>
          </w:p>
        </w:tc>
        <w:tc>
          <w:tcPr>
            <w:tcW w:w="0" w:type="dxa"/>
            <w:vAlign w:val="bottom"/>
          </w:tcPr>
          <w:p>
            <w:pPr>
              <w:spacing w:after="0"/>
              <w:rPr>
                <w:sz w:val="1"/>
                <w:szCs w:val="1"/>
                <w:color w:val="auto"/>
              </w:rPr>
            </w:pPr>
          </w:p>
        </w:tc>
      </w:tr>
      <w:tr>
        <w:trPr>
          <w:trHeight w:val="145"/>
        </w:trPr>
        <w:tc>
          <w:tcPr>
            <w:tcW w:w="6240" w:type="dxa"/>
            <w:vAlign w:val="bottom"/>
            <w:shd w:val="clear" w:color="auto" w:fill="CCEEFF"/>
          </w:tcPr>
          <w:p>
            <w:pPr>
              <w:ind w:left="180"/>
              <w:spacing w:after="0"/>
              <w:rPr>
                <w:sz w:val="20"/>
                <w:szCs w:val="20"/>
                <w:color w:val="auto"/>
              </w:rPr>
            </w:pPr>
            <w:r>
              <w:rPr>
                <w:rFonts w:ascii="Arial" w:cs="Arial" w:eastAsia="Arial" w:hAnsi="Arial"/>
                <w:sz w:val="10"/>
                <w:szCs w:val="10"/>
                <w:color w:val="auto"/>
              </w:rPr>
              <w:t>Depreciation and amortization</w:t>
            </w: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13,451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4,496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521</w:t>
            </w: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4,247</w:t>
            </w:r>
          </w:p>
        </w:tc>
        <w:tc>
          <w:tcPr>
            <w:tcW w:w="0" w:type="dxa"/>
            <w:vAlign w:val="bottom"/>
          </w:tcPr>
          <w:p>
            <w:pPr>
              <w:spacing w:after="0"/>
              <w:rPr>
                <w:sz w:val="1"/>
                <w:szCs w:val="1"/>
                <w:color w:val="auto"/>
              </w:rPr>
            </w:pPr>
          </w:p>
        </w:tc>
      </w:tr>
      <w:tr>
        <w:trPr>
          <w:trHeight w:val="131"/>
        </w:trPr>
        <w:tc>
          <w:tcPr>
            <w:tcW w:w="6240" w:type="dxa"/>
            <w:vAlign w:val="bottom"/>
          </w:tcPr>
          <w:p>
            <w:pPr>
              <w:ind w:left="180"/>
              <w:spacing w:after="0"/>
              <w:rPr>
                <w:sz w:val="20"/>
                <w:szCs w:val="20"/>
                <w:color w:val="auto"/>
              </w:rPr>
            </w:pPr>
            <w:r>
              <w:rPr>
                <w:rFonts w:ascii="Arial" w:cs="Arial" w:eastAsia="Arial" w:hAnsi="Arial"/>
                <w:sz w:val="10"/>
                <w:szCs w:val="10"/>
                <w:color w:val="auto"/>
              </w:rPr>
              <w:t>Amortization of intangible assets</w:t>
            </w:r>
          </w:p>
        </w:tc>
        <w:tc>
          <w:tcPr>
            <w:tcW w:w="80" w:type="dxa"/>
            <w:vAlign w:val="bottom"/>
          </w:tcPr>
          <w:p>
            <w:pPr>
              <w:spacing w:after="0"/>
              <w:rPr>
                <w:sz w:val="11"/>
                <w:szCs w:val="11"/>
                <w:color w:val="auto"/>
              </w:rPr>
            </w:pPr>
          </w:p>
        </w:tc>
        <w:tc>
          <w:tcPr>
            <w:tcW w:w="1120" w:type="dxa"/>
            <w:vAlign w:val="bottom"/>
          </w:tcPr>
          <w:p>
            <w:pPr>
              <w:jc w:val="right"/>
              <w:ind w:right="11"/>
              <w:spacing w:after="0"/>
              <w:rPr>
                <w:sz w:val="20"/>
                <w:szCs w:val="20"/>
                <w:color w:val="auto"/>
              </w:rPr>
            </w:pPr>
            <w:r>
              <w:rPr>
                <w:rFonts w:ascii="Arial" w:cs="Arial" w:eastAsia="Arial" w:hAnsi="Arial"/>
                <w:sz w:val="10"/>
                <w:szCs w:val="10"/>
                <w:color w:val="auto"/>
              </w:rPr>
              <w:t>94,056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right"/>
              <w:ind w:right="11"/>
              <w:spacing w:after="0"/>
              <w:rPr>
                <w:sz w:val="20"/>
                <w:szCs w:val="20"/>
                <w:color w:val="auto"/>
              </w:rPr>
            </w:pPr>
            <w:r>
              <w:rPr>
                <w:rFonts w:ascii="Arial" w:cs="Arial" w:eastAsia="Arial" w:hAnsi="Arial"/>
                <w:sz w:val="10"/>
                <w:szCs w:val="10"/>
                <w:color w:val="auto"/>
              </w:rPr>
              <w:t>94,056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28,217</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5"/>
        </w:trPr>
        <w:tc>
          <w:tcPr>
            <w:tcW w:w="6240" w:type="dxa"/>
            <w:vAlign w:val="bottom"/>
            <w:shd w:val="clear" w:color="auto" w:fill="CCEEFF"/>
          </w:tcPr>
          <w:p>
            <w:pPr>
              <w:ind w:left="180"/>
              <w:spacing w:after="0"/>
              <w:rPr>
                <w:sz w:val="20"/>
                <w:szCs w:val="20"/>
                <w:color w:val="auto"/>
              </w:rPr>
            </w:pPr>
            <w:r>
              <w:rPr>
                <w:rFonts w:ascii="Arial" w:cs="Arial" w:eastAsia="Arial" w:hAnsi="Arial"/>
                <w:sz w:val="10"/>
                <w:szCs w:val="10"/>
                <w:color w:val="auto"/>
              </w:rPr>
              <w:t>Amortization of debt discount and issuance costs</w:t>
            </w: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2,222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2,430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472</w:t>
            </w: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1"/>
        </w:trPr>
        <w:tc>
          <w:tcPr>
            <w:tcW w:w="6240" w:type="dxa"/>
            <w:vAlign w:val="bottom"/>
          </w:tcPr>
          <w:p>
            <w:pPr>
              <w:ind w:left="180"/>
              <w:spacing w:after="0"/>
              <w:rPr>
                <w:sz w:val="20"/>
                <w:szCs w:val="20"/>
                <w:color w:val="auto"/>
              </w:rPr>
            </w:pPr>
            <w:r>
              <w:rPr>
                <w:rFonts w:ascii="Arial" w:cs="Arial" w:eastAsia="Arial" w:hAnsi="Arial"/>
                <w:sz w:val="10"/>
                <w:szCs w:val="10"/>
                <w:color w:val="auto"/>
              </w:rPr>
              <w:t>Loss on extinguishment of debt</w:t>
            </w:r>
          </w:p>
        </w:tc>
        <w:tc>
          <w:tcPr>
            <w:tcW w:w="80" w:type="dxa"/>
            <w:vAlign w:val="bottom"/>
          </w:tcPr>
          <w:p>
            <w:pPr>
              <w:spacing w:after="0"/>
              <w:rPr>
                <w:sz w:val="11"/>
                <w:szCs w:val="11"/>
                <w:color w:val="auto"/>
              </w:rPr>
            </w:pPr>
          </w:p>
        </w:tc>
        <w:tc>
          <w:tcPr>
            <w:tcW w:w="1120" w:type="dxa"/>
            <w:vAlign w:val="bottom"/>
          </w:tcPr>
          <w:p>
            <w:pPr>
              <w:jc w:val="right"/>
              <w:ind w:right="11"/>
              <w:spacing w:after="0"/>
              <w:rPr>
                <w:sz w:val="20"/>
                <w:szCs w:val="20"/>
                <w:color w:val="auto"/>
              </w:rPr>
            </w:pPr>
            <w:r>
              <w:rPr>
                <w:rFonts w:ascii="Arial" w:cs="Arial" w:eastAsia="Arial" w:hAnsi="Arial"/>
                <w:sz w:val="10"/>
                <w:szCs w:val="10"/>
                <w:color w:val="auto"/>
              </w:rPr>
              <w:t>11,935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2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5"/>
        </w:trPr>
        <w:tc>
          <w:tcPr>
            <w:tcW w:w="6240" w:type="dxa"/>
            <w:vAlign w:val="bottom"/>
            <w:shd w:val="clear" w:color="auto" w:fill="CCEEFF"/>
          </w:tcPr>
          <w:p>
            <w:pPr>
              <w:ind w:left="180"/>
              <w:spacing w:after="0"/>
              <w:rPr>
                <w:sz w:val="20"/>
                <w:szCs w:val="20"/>
                <w:color w:val="auto"/>
              </w:rPr>
            </w:pPr>
            <w:r>
              <w:rPr>
                <w:rFonts w:ascii="Arial" w:cs="Arial" w:eastAsia="Arial" w:hAnsi="Arial"/>
                <w:sz w:val="10"/>
                <w:szCs w:val="10"/>
                <w:color w:val="auto"/>
              </w:rPr>
              <w:t>Loss on sublease</w:t>
            </w: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1,062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2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1"/>
        </w:trPr>
        <w:tc>
          <w:tcPr>
            <w:tcW w:w="6240" w:type="dxa"/>
            <w:vAlign w:val="bottom"/>
          </w:tcPr>
          <w:p>
            <w:pPr>
              <w:ind w:left="180"/>
              <w:spacing w:after="0"/>
              <w:rPr>
                <w:sz w:val="20"/>
                <w:szCs w:val="20"/>
                <w:color w:val="auto"/>
              </w:rPr>
            </w:pPr>
            <w:r>
              <w:rPr>
                <w:rFonts w:ascii="Arial" w:cs="Arial" w:eastAsia="Arial" w:hAnsi="Arial"/>
                <w:sz w:val="10"/>
                <w:szCs w:val="10"/>
                <w:color w:val="auto"/>
              </w:rPr>
              <w:t>Change in fair value of contingent consideration</w:t>
            </w:r>
          </w:p>
        </w:tc>
        <w:tc>
          <w:tcPr>
            <w:tcW w:w="80" w:type="dxa"/>
            <w:vAlign w:val="bottom"/>
          </w:tcPr>
          <w:p>
            <w:pPr>
              <w:spacing w:after="0"/>
              <w:rPr>
                <w:sz w:val="11"/>
                <w:szCs w:val="1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120" w:type="dxa"/>
            <w:vAlign w:val="bottom"/>
          </w:tcPr>
          <w:p>
            <w:pPr>
              <w:jc w:val="right"/>
              <w:ind w:right="11"/>
              <w:spacing w:after="0"/>
              <w:rPr>
                <w:sz w:val="20"/>
                <w:szCs w:val="20"/>
                <w:color w:val="auto"/>
              </w:rPr>
            </w:pPr>
            <w:r>
              <w:rPr>
                <w:rFonts w:ascii="Arial" w:cs="Arial" w:eastAsia="Arial" w:hAnsi="Arial"/>
                <w:sz w:val="10"/>
                <w:szCs w:val="10"/>
                <w:color w:val="auto"/>
              </w:rPr>
              <w:t>19,700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70,700</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5"/>
        </w:trPr>
        <w:tc>
          <w:tcPr>
            <w:tcW w:w="6240" w:type="dxa"/>
            <w:vAlign w:val="bottom"/>
            <w:shd w:val="clear" w:color="auto" w:fill="CCEEFF"/>
          </w:tcPr>
          <w:p>
            <w:pPr>
              <w:ind w:left="180"/>
              <w:spacing w:after="0"/>
              <w:rPr>
                <w:sz w:val="20"/>
                <w:szCs w:val="20"/>
                <w:color w:val="auto"/>
              </w:rPr>
            </w:pPr>
            <w:r>
              <w:rPr>
                <w:rFonts w:ascii="Arial" w:cs="Arial" w:eastAsia="Arial" w:hAnsi="Arial"/>
                <w:sz w:val="10"/>
                <w:szCs w:val="10"/>
                <w:color w:val="auto"/>
              </w:rPr>
              <w:t>Goodwill impairment charges</w:t>
            </w: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386,553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2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1"/>
        </w:trPr>
        <w:tc>
          <w:tcPr>
            <w:tcW w:w="6240" w:type="dxa"/>
            <w:vAlign w:val="bottom"/>
          </w:tcPr>
          <w:p>
            <w:pPr>
              <w:ind w:left="180"/>
              <w:spacing w:after="0"/>
              <w:rPr>
                <w:sz w:val="20"/>
                <w:szCs w:val="20"/>
                <w:color w:val="auto"/>
              </w:rPr>
            </w:pPr>
            <w:r>
              <w:rPr>
                <w:rFonts w:ascii="Arial" w:cs="Arial" w:eastAsia="Arial" w:hAnsi="Arial"/>
                <w:sz w:val="10"/>
                <w:szCs w:val="10"/>
                <w:color w:val="auto"/>
              </w:rPr>
              <w:t>Non-cash lease expense</w:t>
            </w:r>
          </w:p>
        </w:tc>
        <w:tc>
          <w:tcPr>
            <w:tcW w:w="80" w:type="dxa"/>
            <w:vAlign w:val="bottom"/>
          </w:tcPr>
          <w:p>
            <w:pPr>
              <w:spacing w:after="0"/>
              <w:rPr>
                <w:sz w:val="11"/>
                <w:szCs w:val="11"/>
                <w:color w:val="auto"/>
              </w:rPr>
            </w:pPr>
          </w:p>
        </w:tc>
        <w:tc>
          <w:tcPr>
            <w:tcW w:w="1120" w:type="dxa"/>
            <w:vAlign w:val="bottom"/>
          </w:tcPr>
          <w:p>
            <w:pPr>
              <w:jc w:val="right"/>
              <w:ind w:right="11"/>
              <w:spacing w:after="0"/>
              <w:rPr>
                <w:sz w:val="20"/>
                <w:szCs w:val="20"/>
                <w:color w:val="auto"/>
              </w:rPr>
            </w:pPr>
            <w:r>
              <w:rPr>
                <w:rFonts w:ascii="Arial" w:cs="Arial" w:eastAsia="Arial" w:hAnsi="Arial"/>
                <w:sz w:val="10"/>
                <w:szCs w:val="10"/>
                <w:color w:val="auto"/>
              </w:rPr>
              <w:t>5,033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6240" w:type="dxa"/>
            <w:vAlign w:val="bottom"/>
            <w:shd w:val="clear" w:color="auto" w:fill="CCEEFF"/>
          </w:tcPr>
          <w:p>
            <w:pPr>
              <w:ind w:left="180"/>
              <w:spacing w:after="0"/>
              <w:rPr>
                <w:sz w:val="20"/>
                <w:szCs w:val="20"/>
                <w:color w:val="auto"/>
              </w:rPr>
            </w:pPr>
            <w:r>
              <w:rPr>
                <w:rFonts w:ascii="Arial" w:cs="Arial" w:eastAsia="Arial" w:hAnsi="Arial"/>
                <w:sz w:val="10"/>
                <w:szCs w:val="10"/>
                <w:color w:val="auto"/>
              </w:rPr>
              <w:t>Other non-cash items, net</w:t>
            </w: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(1,691)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417</w:t>
            </w: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150</w:t>
            </w:r>
          </w:p>
        </w:tc>
        <w:tc>
          <w:tcPr>
            <w:tcW w:w="0" w:type="dxa"/>
            <w:vAlign w:val="bottom"/>
          </w:tcPr>
          <w:p>
            <w:pPr>
              <w:spacing w:after="0"/>
              <w:rPr>
                <w:sz w:val="1"/>
                <w:szCs w:val="1"/>
                <w:color w:val="auto"/>
              </w:rPr>
            </w:pPr>
          </w:p>
        </w:tc>
      </w:tr>
      <w:tr>
        <w:trPr>
          <w:trHeight w:val="133"/>
        </w:trPr>
        <w:tc>
          <w:tcPr>
            <w:tcW w:w="6240" w:type="dxa"/>
            <w:vAlign w:val="bottom"/>
          </w:tcPr>
          <w:p>
            <w:pPr>
              <w:ind w:left="180"/>
              <w:spacing w:after="0"/>
              <w:rPr>
                <w:sz w:val="20"/>
                <w:szCs w:val="20"/>
                <w:color w:val="auto"/>
              </w:rPr>
            </w:pPr>
            <w:r>
              <w:rPr>
                <w:rFonts w:ascii="Arial" w:cs="Arial" w:eastAsia="Arial" w:hAnsi="Arial"/>
                <w:sz w:val="10"/>
                <w:szCs w:val="10"/>
                <w:i w:val="1"/>
                <w:iCs w:val="1"/>
                <w:color w:val="auto"/>
              </w:rPr>
              <w:t>Changes in assets and liabilities, net of acquisition:</w:t>
            </w: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6240" w:type="dxa"/>
            <w:vAlign w:val="bottom"/>
            <w:shd w:val="clear" w:color="auto" w:fill="CCEEFF"/>
          </w:tcPr>
          <w:p>
            <w:pPr>
              <w:ind w:left="360"/>
              <w:spacing w:after="0"/>
              <w:rPr>
                <w:sz w:val="20"/>
                <w:szCs w:val="20"/>
                <w:color w:val="auto"/>
              </w:rPr>
            </w:pPr>
            <w:r>
              <w:rPr>
                <w:rFonts w:ascii="Arial" w:cs="Arial" w:eastAsia="Arial" w:hAnsi="Arial"/>
                <w:sz w:val="10"/>
                <w:szCs w:val="10"/>
                <w:color w:val="auto"/>
              </w:rPr>
              <w:t>Accounts receivable</w:t>
            </w: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(2,758)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4,526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(11,644)</w:t>
            </w: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w:t>
            </w:r>
          </w:p>
        </w:tc>
        <w:tc>
          <w:tcPr>
            <w:tcW w:w="0" w:type="dxa"/>
            <w:vAlign w:val="bottom"/>
          </w:tcPr>
          <w:p>
            <w:pPr>
              <w:spacing w:after="0"/>
              <w:rPr>
                <w:sz w:val="1"/>
                <w:szCs w:val="1"/>
                <w:color w:val="auto"/>
              </w:rPr>
            </w:pPr>
          </w:p>
        </w:tc>
      </w:tr>
      <w:tr>
        <w:trPr>
          <w:trHeight w:val="131"/>
        </w:trPr>
        <w:tc>
          <w:tcPr>
            <w:tcW w:w="6240" w:type="dxa"/>
            <w:vAlign w:val="bottom"/>
          </w:tcPr>
          <w:p>
            <w:pPr>
              <w:ind w:left="360"/>
              <w:spacing w:after="0"/>
              <w:rPr>
                <w:sz w:val="20"/>
                <w:szCs w:val="20"/>
                <w:color w:val="auto"/>
              </w:rPr>
            </w:pPr>
            <w:r>
              <w:rPr>
                <w:rFonts w:ascii="Arial" w:cs="Arial" w:eastAsia="Arial" w:hAnsi="Arial"/>
                <w:sz w:val="10"/>
                <w:szCs w:val="10"/>
                <w:color w:val="auto"/>
              </w:rPr>
              <w:t>Commissions receivable</w:t>
            </w:r>
          </w:p>
        </w:tc>
        <w:tc>
          <w:tcPr>
            <w:tcW w:w="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(452,950)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(427,467)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(203,956)</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(63,448)</w:t>
            </w:r>
          </w:p>
        </w:tc>
        <w:tc>
          <w:tcPr>
            <w:tcW w:w="0" w:type="dxa"/>
            <w:vAlign w:val="bottom"/>
          </w:tcPr>
          <w:p>
            <w:pPr>
              <w:spacing w:after="0"/>
              <w:rPr>
                <w:sz w:val="1"/>
                <w:szCs w:val="1"/>
                <w:color w:val="auto"/>
              </w:rPr>
            </w:pPr>
          </w:p>
        </w:tc>
      </w:tr>
      <w:tr>
        <w:trPr>
          <w:trHeight w:val="145"/>
        </w:trPr>
        <w:tc>
          <w:tcPr>
            <w:tcW w:w="6240" w:type="dxa"/>
            <w:vAlign w:val="bottom"/>
            <w:shd w:val="clear" w:color="auto" w:fill="CCEEFF"/>
          </w:tcPr>
          <w:p>
            <w:pPr>
              <w:ind w:left="360"/>
              <w:spacing w:after="0"/>
              <w:rPr>
                <w:sz w:val="20"/>
                <w:szCs w:val="20"/>
                <w:color w:val="auto"/>
              </w:rPr>
            </w:pPr>
            <w:r>
              <w:rPr>
                <w:rFonts w:ascii="Arial" w:cs="Arial" w:eastAsia="Arial" w:hAnsi="Arial"/>
                <w:sz w:val="10"/>
                <w:szCs w:val="10"/>
                <w:color w:val="auto"/>
              </w:rPr>
              <w:t>Prepaid expenses and other assets</w:t>
            </w: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(18,613)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(30,194)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(5,785)</w:t>
            </w: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1,230</w:t>
            </w:r>
          </w:p>
        </w:tc>
        <w:tc>
          <w:tcPr>
            <w:tcW w:w="0" w:type="dxa"/>
            <w:vAlign w:val="bottom"/>
          </w:tcPr>
          <w:p>
            <w:pPr>
              <w:spacing w:after="0"/>
              <w:rPr>
                <w:sz w:val="1"/>
                <w:szCs w:val="1"/>
                <w:color w:val="auto"/>
              </w:rPr>
            </w:pPr>
          </w:p>
        </w:tc>
      </w:tr>
      <w:tr>
        <w:trPr>
          <w:trHeight w:val="131"/>
        </w:trPr>
        <w:tc>
          <w:tcPr>
            <w:tcW w:w="6240" w:type="dxa"/>
            <w:vAlign w:val="bottom"/>
          </w:tcPr>
          <w:p>
            <w:pPr>
              <w:ind w:left="360"/>
              <w:spacing w:after="0"/>
              <w:rPr>
                <w:sz w:val="20"/>
                <w:szCs w:val="20"/>
                <w:color w:val="auto"/>
              </w:rPr>
            </w:pPr>
            <w:r>
              <w:rPr>
                <w:rFonts w:ascii="Arial" w:cs="Arial" w:eastAsia="Arial" w:hAnsi="Arial"/>
                <w:sz w:val="10"/>
                <w:szCs w:val="10"/>
                <w:color w:val="auto"/>
              </w:rPr>
              <w:t>Accounts payable</w:t>
            </w:r>
          </w:p>
        </w:tc>
        <w:tc>
          <w:tcPr>
            <w:tcW w:w="80" w:type="dxa"/>
            <w:vAlign w:val="bottom"/>
          </w:tcPr>
          <w:p>
            <w:pPr>
              <w:spacing w:after="0"/>
              <w:rPr>
                <w:sz w:val="11"/>
                <w:szCs w:val="11"/>
                <w:color w:val="auto"/>
              </w:rPr>
            </w:pPr>
          </w:p>
        </w:tc>
        <w:tc>
          <w:tcPr>
            <w:tcW w:w="1120" w:type="dxa"/>
            <w:vAlign w:val="bottom"/>
          </w:tcPr>
          <w:p>
            <w:pPr>
              <w:jc w:val="right"/>
              <w:ind w:right="11"/>
              <w:spacing w:after="0"/>
              <w:rPr>
                <w:sz w:val="20"/>
                <w:szCs w:val="20"/>
                <w:color w:val="auto"/>
              </w:rPr>
            </w:pPr>
            <w:r>
              <w:rPr>
                <w:rFonts w:ascii="Arial" w:cs="Arial" w:eastAsia="Arial" w:hAnsi="Arial"/>
                <w:sz w:val="10"/>
                <w:szCs w:val="10"/>
                <w:color w:val="auto"/>
              </w:rPr>
              <w:t>30,477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(5,340)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5,031</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(1,981)</w:t>
            </w:r>
          </w:p>
        </w:tc>
        <w:tc>
          <w:tcPr>
            <w:tcW w:w="0" w:type="dxa"/>
            <w:vAlign w:val="bottom"/>
          </w:tcPr>
          <w:p>
            <w:pPr>
              <w:spacing w:after="0"/>
              <w:rPr>
                <w:sz w:val="1"/>
                <w:szCs w:val="1"/>
                <w:color w:val="auto"/>
              </w:rPr>
            </w:pPr>
          </w:p>
        </w:tc>
      </w:tr>
      <w:tr>
        <w:trPr>
          <w:trHeight w:val="145"/>
        </w:trPr>
        <w:tc>
          <w:tcPr>
            <w:tcW w:w="6240" w:type="dxa"/>
            <w:vAlign w:val="bottom"/>
            <w:shd w:val="clear" w:color="auto" w:fill="CCEEFF"/>
          </w:tcPr>
          <w:p>
            <w:pPr>
              <w:ind w:left="360"/>
              <w:spacing w:after="0"/>
              <w:rPr>
                <w:sz w:val="20"/>
                <w:szCs w:val="20"/>
                <w:color w:val="auto"/>
              </w:rPr>
            </w:pPr>
            <w:r>
              <w:rPr>
                <w:rFonts w:ascii="Arial" w:cs="Arial" w:eastAsia="Arial" w:hAnsi="Arial"/>
                <w:sz w:val="10"/>
                <w:szCs w:val="10"/>
                <w:color w:val="auto"/>
              </w:rPr>
              <w:t>Accrued liabilities</w:t>
            </w: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25,745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4,358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w:t>
            </w: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17,860</w:t>
            </w:r>
          </w:p>
        </w:tc>
        <w:tc>
          <w:tcPr>
            <w:tcW w:w="0" w:type="dxa"/>
            <w:vAlign w:val="bottom"/>
          </w:tcPr>
          <w:p>
            <w:pPr>
              <w:spacing w:after="0"/>
              <w:rPr>
                <w:sz w:val="1"/>
                <w:szCs w:val="1"/>
                <w:color w:val="auto"/>
              </w:rPr>
            </w:pPr>
          </w:p>
        </w:tc>
      </w:tr>
      <w:tr>
        <w:trPr>
          <w:trHeight w:val="131"/>
        </w:trPr>
        <w:tc>
          <w:tcPr>
            <w:tcW w:w="6240" w:type="dxa"/>
            <w:vAlign w:val="bottom"/>
          </w:tcPr>
          <w:p>
            <w:pPr>
              <w:ind w:left="360"/>
              <w:spacing w:after="0"/>
              <w:rPr>
                <w:sz w:val="20"/>
                <w:szCs w:val="20"/>
                <w:color w:val="auto"/>
              </w:rPr>
            </w:pPr>
            <w:r>
              <w:rPr>
                <w:rFonts w:ascii="Arial" w:cs="Arial" w:eastAsia="Arial" w:hAnsi="Arial"/>
                <w:sz w:val="10"/>
                <w:szCs w:val="10"/>
                <w:color w:val="auto"/>
              </w:rPr>
              <w:t>Deferred revenue</w:t>
            </w:r>
          </w:p>
        </w:tc>
        <w:tc>
          <w:tcPr>
            <w:tcW w:w="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(200)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(14,482)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11,935</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1,926</w:t>
            </w:r>
          </w:p>
        </w:tc>
        <w:tc>
          <w:tcPr>
            <w:tcW w:w="0" w:type="dxa"/>
            <w:vAlign w:val="bottom"/>
          </w:tcPr>
          <w:p>
            <w:pPr>
              <w:spacing w:after="0"/>
              <w:rPr>
                <w:sz w:val="1"/>
                <w:szCs w:val="1"/>
                <w:color w:val="auto"/>
              </w:rPr>
            </w:pPr>
          </w:p>
        </w:tc>
      </w:tr>
      <w:tr>
        <w:trPr>
          <w:trHeight w:val="145"/>
        </w:trPr>
        <w:tc>
          <w:tcPr>
            <w:tcW w:w="6240" w:type="dxa"/>
            <w:vAlign w:val="bottom"/>
            <w:shd w:val="clear" w:color="auto" w:fill="CCEEFF"/>
          </w:tcPr>
          <w:p>
            <w:pPr>
              <w:ind w:left="360"/>
              <w:spacing w:after="0"/>
              <w:rPr>
                <w:sz w:val="20"/>
                <w:szCs w:val="20"/>
                <w:color w:val="auto"/>
              </w:rPr>
            </w:pPr>
            <w:r>
              <w:rPr>
                <w:rFonts w:ascii="Arial" w:cs="Arial" w:eastAsia="Arial" w:hAnsi="Arial"/>
                <w:sz w:val="10"/>
                <w:szCs w:val="10"/>
                <w:color w:val="auto"/>
              </w:rPr>
              <w:t>Commissions payable</w:t>
            </w: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117,489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107,583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80,828</w:t>
            </w: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19,228</w:t>
            </w:r>
          </w:p>
        </w:tc>
        <w:tc>
          <w:tcPr>
            <w:tcW w:w="0" w:type="dxa"/>
            <w:vAlign w:val="bottom"/>
          </w:tcPr>
          <w:p>
            <w:pPr>
              <w:spacing w:after="0"/>
              <w:rPr>
                <w:sz w:val="1"/>
                <w:szCs w:val="1"/>
                <w:color w:val="auto"/>
              </w:rPr>
            </w:pPr>
          </w:p>
        </w:tc>
      </w:tr>
      <w:tr>
        <w:trPr>
          <w:trHeight w:val="131"/>
        </w:trPr>
        <w:tc>
          <w:tcPr>
            <w:tcW w:w="6240" w:type="dxa"/>
            <w:vAlign w:val="bottom"/>
          </w:tcPr>
          <w:p>
            <w:pPr>
              <w:ind w:left="360"/>
              <w:spacing w:after="0"/>
              <w:rPr>
                <w:sz w:val="20"/>
                <w:szCs w:val="20"/>
                <w:color w:val="auto"/>
              </w:rPr>
            </w:pPr>
            <w:r>
              <w:rPr>
                <w:rFonts w:ascii="Arial" w:cs="Arial" w:eastAsia="Arial" w:hAnsi="Arial"/>
                <w:sz w:val="10"/>
                <w:szCs w:val="10"/>
                <w:color w:val="auto"/>
              </w:rPr>
              <w:t>Operating lease liabilities</w:t>
            </w:r>
          </w:p>
        </w:tc>
        <w:tc>
          <w:tcPr>
            <w:tcW w:w="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(4,885)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2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8"/>
        </w:trPr>
        <w:tc>
          <w:tcPr>
            <w:tcW w:w="6240" w:type="dxa"/>
            <w:vAlign w:val="bottom"/>
            <w:shd w:val="clear" w:color="auto" w:fill="CCEEFF"/>
          </w:tcPr>
          <w:p>
            <w:pPr>
              <w:ind w:left="360"/>
              <w:spacing w:after="0"/>
              <w:rPr>
                <w:sz w:val="20"/>
                <w:szCs w:val="20"/>
                <w:color w:val="auto"/>
              </w:rPr>
            </w:pPr>
            <w:r>
              <w:rPr>
                <w:rFonts w:ascii="Arial" w:cs="Arial" w:eastAsia="Arial" w:hAnsi="Arial"/>
                <w:sz w:val="10"/>
                <w:szCs w:val="10"/>
                <w:color w:val="auto"/>
              </w:rPr>
              <w:t>Other liabilities</w:t>
            </w:r>
          </w:p>
        </w:tc>
        <w:tc>
          <w:tcPr>
            <w:tcW w:w="8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(721)</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8,779</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(2,494)</w:t>
            </w: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85</w:t>
            </w:r>
          </w:p>
        </w:tc>
        <w:tc>
          <w:tcPr>
            <w:tcW w:w="0" w:type="dxa"/>
            <w:vAlign w:val="bottom"/>
          </w:tcPr>
          <w:p>
            <w:pPr>
              <w:spacing w:after="0"/>
              <w:rPr>
                <w:sz w:val="1"/>
                <w:szCs w:val="1"/>
                <w:color w:val="auto"/>
              </w:rPr>
            </w:pPr>
          </w:p>
        </w:tc>
      </w:tr>
      <w:tr>
        <w:trPr>
          <w:trHeight w:val="129"/>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Net cash provided by (used in) operating activities</w:t>
            </w:r>
          </w:p>
        </w:tc>
        <w:tc>
          <w:tcPr>
            <w:tcW w:w="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(299,006)</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(114,217)</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(9,284)</w:t>
            </w:r>
          </w:p>
        </w:tc>
        <w:tc>
          <w:tcPr>
            <w:tcW w:w="120" w:type="dxa"/>
            <w:vAlign w:val="bottom"/>
            <w:tcBorders>
              <w:bottom w:val="single" w:sz="8" w:color="CCEEFF"/>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9,281</w:t>
            </w:r>
          </w:p>
        </w:tc>
        <w:tc>
          <w:tcPr>
            <w:tcW w:w="0" w:type="dxa"/>
            <w:vAlign w:val="bottom"/>
          </w:tcPr>
          <w:p>
            <w:pPr>
              <w:spacing w:after="0"/>
              <w:rPr>
                <w:sz w:val="1"/>
                <w:szCs w:val="1"/>
                <w:color w:val="auto"/>
              </w:rPr>
            </w:pPr>
          </w:p>
        </w:tc>
      </w:tr>
      <w:tr>
        <w:trPr>
          <w:trHeight w:val="125"/>
        </w:trPr>
        <w:tc>
          <w:tcPr>
            <w:tcW w:w="624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Investing Activities</w:t>
            </w:r>
          </w:p>
        </w:tc>
        <w:tc>
          <w:tcPr>
            <w:tcW w:w="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240" w:type="dxa"/>
            <w:vAlign w:val="bottom"/>
          </w:tcPr>
          <w:p>
            <w:pPr>
              <w:ind w:left="20"/>
              <w:spacing w:after="0"/>
              <w:rPr>
                <w:sz w:val="20"/>
                <w:szCs w:val="20"/>
                <w:color w:val="auto"/>
              </w:rPr>
            </w:pPr>
            <w:r>
              <w:rPr>
                <w:rFonts w:ascii="Arial" w:cs="Arial" w:eastAsia="Arial" w:hAnsi="Arial"/>
                <w:sz w:val="10"/>
                <w:szCs w:val="10"/>
                <w:color w:val="auto"/>
              </w:rPr>
              <w:t>Acquisition of business, net of cash</w:t>
            </w:r>
          </w:p>
        </w:tc>
        <w:tc>
          <w:tcPr>
            <w:tcW w:w="80" w:type="dxa"/>
            <w:vAlign w:val="bottom"/>
          </w:tcPr>
          <w:p>
            <w:pPr>
              <w:spacing w:after="0"/>
              <w:rPr>
                <w:sz w:val="11"/>
                <w:szCs w:val="1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(807,591)</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8"/>
        </w:trPr>
        <w:tc>
          <w:tcPr>
            <w:tcW w:w="6240" w:type="dxa"/>
            <w:vAlign w:val="bottom"/>
            <w:shd w:val="clear" w:color="auto" w:fill="CCEEFF"/>
          </w:tcPr>
          <w:p>
            <w:pPr>
              <w:ind w:left="20"/>
              <w:spacing w:after="0"/>
              <w:rPr>
                <w:sz w:val="20"/>
                <w:szCs w:val="20"/>
                <w:color w:val="auto"/>
              </w:rPr>
            </w:pPr>
            <w:r>
              <w:rPr>
                <w:rFonts w:ascii="Arial" w:cs="Arial" w:eastAsia="Arial" w:hAnsi="Arial"/>
                <w:sz w:val="10"/>
                <w:szCs w:val="10"/>
                <w:color w:val="auto"/>
              </w:rPr>
              <w:t>Purchases of property, equipment and software</w:t>
            </w:r>
          </w:p>
        </w:tc>
        <w:tc>
          <w:tcPr>
            <w:tcW w:w="8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(19,801)</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(14,523)</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(2,419)</w:t>
            </w: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(5,597)</w:t>
            </w:r>
          </w:p>
        </w:tc>
        <w:tc>
          <w:tcPr>
            <w:tcW w:w="0" w:type="dxa"/>
            <w:vAlign w:val="bottom"/>
          </w:tcPr>
          <w:p>
            <w:pPr>
              <w:spacing w:after="0"/>
              <w:rPr>
                <w:sz w:val="1"/>
                <w:szCs w:val="1"/>
                <w:color w:val="auto"/>
              </w:rPr>
            </w:pPr>
          </w:p>
        </w:tc>
      </w:tr>
      <w:tr>
        <w:trPr>
          <w:trHeight w:val="129"/>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Net cash provided by (used in) investing activities</w:t>
            </w:r>
          </w:p>
        </w:tc>
        <w:tc>
          <w:tcPr>
            <w:tcW w:w="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(19,801)</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(14,523)</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(810,010)</w:t>
            </w:r>
          </w:p>
        </w:tc>
        <w:tc>
          <w:tcPr>
            <w:tcW w:w="120" w:type="dxa"/>
            <w:vAlign w:val="bottom"/>
            <w:tcBorders>
              <w:bottom w:val="single" w:sz="8" w:color="CCEEFF"/>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(5,597)</w:t>
            </w:r>
          </w:p>
        </w:tc>
        <w:tc>
          <w:tcPr>
            <w:tcW w:w="0" w:type="dxa"/>
            <w:vAlign w:val="bottom"/>
          </w:tcPr>
          <w:p>
            <w:pPr>
              <w:spacing w:after="0"/>
              <w:rPr>
                <w:sz w:val="1"/>
                <w:szCs w:val="1"/>
                <w:color w:val="auto"/>
              </w:rPr>
            </w:pPr>
          </w:p>
        </w:tc>
      </w:tr>
      <w:tr>
        <w:trPr>
          <w:trHeight w:val="125"/>
        </w:trPr>
        <w:tc>
          <w:tcPr>
            <w:tcW w:w="624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Financing Activities</w:t>
            </w:r>
          </w:p>
        </w:tc>
        <w:tc>
          <w:tcPr>
            <w:tcW w:w="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240" w:type="dxa"/>
            <w:vAlign w:val="bottom"/>
          </w:tcPr>
          <w:p>
            <w:pPr>
              <w:ind w:left="20"/>
              <w:spacing w:after="0"/>
              <w:rPr>
                <w:sz w:val="20"/>
                <w:szCs w:val="20"/>
                <w:color w:val="auto"/>
              </w:rPr>
            </w:pPr>
            <w:r>
              <w:rPr>
                <w:rFonts w:ascii="Arial" w:cs="Arial" w:eastAsia="Arial" w:hAnsi="Arial"/>
                <w:sz w:val="10"/>
                <w:szCs w:val="10"/>
                <w:color w:val="auto"/>
              </w:rPr>
              <w:t>Proceeds from issuance of Class A common stock sold in initial public offering, net of offering costs</w:t>
            </w:r>
          </w:p>
        </w:tc>
        <w:tc>
          <w:tcPr>
            <w:tcW w:w="80" w:type="dxa"/>
            <w:vAlign w:val="bottom"/>
          </w:tcPr>
          <w:p>
            <w:pPr>
              <w:spacing w:after="0"/>
              <w:rPr>
                <w:sz w:val="11"/>
                <w:szCs w:val="1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120" w:type="dxa"/>
            <w:vAlign w:val="bottom"/>
          </w:tcPr>
          <w:p>
            <w:pPr>
              <w:jc w:val="right"/>
              <w:ind w:right="11"/>
              <w:spacing w:after="0"/>
              <w:rPr>
                <w:sz w:val="20"/>
                <w:szCs w:val="20"/>
                <w:color w:val="auto"/>
              </w:rPr>
            </w:pPr>
            <w:r>
              <w:rPr>
                <w:rFonts w:ascii="Arial" w:cs="Arial" w:eastAsia="Arial" w:hAnsi="Arial"/>
                <w:sz w:val="10"/>
                <w:szCs w:val="10"/>
                <w:color w:val="auto"/>
              </w:rPr>
              <w:t>852,407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5"/>
        </w:trPr>
        <w:tc>
          <w:tcPr>
            <w:tcW w:w="6240" w:type="dxa"/>
            <w:vAlign w:val="bottom"/>
            <w:shd w:val="clear" w:color="auto" w:fill="CCEEFF"/>
          </w:tcPr>
          <w:p>
            <w:pPr>
              <w:ind w:left="20"/>
              <w:spacing w:after="0"/>
              <w:rPr>
                <w:sz w:val="20"/>
                <w:szCs w:val="20"/>
                <w:color w:val="auto"/>
              </w:rPr>
            </w:pPr>
            <w:r>
              <w:rPr>
                <w:rFonts w:ascii="Arial" w:cs="Arial" w:eastAsia="Arial" w:hAnsi="Arial"/>
                <w:sz w:val="10"/>
                <w:szCs w:val="10"/>
                <w:color w:val="auto"/>
              </w:rPr>
              <w:t>Payment of partial consideration to Blocker Shareholders in the Blocker Merger</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(96,165)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1"/>
        </w:trPr>
        <w:tc>
          <w:tcPr>
            <w:tcW w:w="6240" w:type="dxa"/>
            <w:vAlign w:val="bottom"/>
          </w:tcPr>
          <w:p>
            <w:pPr>
              <w:ind w:left="20"/>
              <w:spacing w:after="0"/>
              <w:rPr>
                <w:sz w:val="20"/>
                <w:szCs w:val="20"/>
                <w:color w:val="auto"/>
              </w:rPr>
            </w:pPr>
            <w:r>
              <w:rPr>
                <w:rFonts w:ascii="Arial" w:cs="Arial" w:eastAsia="Arial" w:hAnsi="Arial"/>
                <w:sz w:val="10"/>
                <w:szCs w:val="10"/>
                <w:color w:val="auto"/>
              </w:rPr>
              <w:t>Purchase of LLC Interests from Continuing Equity Owners</w:t>
            </w:r>
          </w:p>
        </w:tc>
        <w:tc>
          <w:tcPr>
            <w:tcW w:w="80" w:type="dxa"/>
            <w:vAlign w:val="bottom"/>
          </w:tcPr>
          <w:p>
            <w:pPr>
              <w:spacing w:after="0"/>
              <w:rPr>
                <w:sz w:val="11"/>
                <w:szCs w:val="1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(508,320)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5"/>
        </w:trPr>
        <w:tc>
          <w:tcPr>
            <w:tcW w:w="6240" w:type="dxa"/>
            <w:vAlign w:val="bottom"/>
            <w:shd w:val="clear" w:color="auto" w:fill="CCEEFF"/>
          </w:tcPr>
          <w:p>
            <w:pPr>
              <w:ind w:left="20"/>
              <w:spacing w:after="0"/>
              <w:rPr>
                <w:sz w:val="20"/>
                <w:szCs w:val="20"/>
                <w:color w:val="auto"/>
              </w:rPr>
            </w:pPr>
            <w:r>
              <w:rPr>
                <w:rFonts w:ascii="Arial" w:cs="Arial" w:eastAsia="Arial" w:hAnsi="Arial"/>
                <w:sz w:val="10"/>
                <w:szCs w:val="10"/>
                <w:color w:val="auto"/>
              </w:rPr>
              <w:t>Settlement of Senior Preferred Earnout Units</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1"/>
        </w:trPr>
        <w:tc>
          <w:tcPr>
            <w:tcW w:w="6240" w:type="dxa"/>
            <w:vAlign w:val="bottom"/>
          </w:tcPr>
          <w:p>
            <w:pPr>
              <w:ind w:left="20"/>
              <w:spacing w:after="0"/>
              <w:rPr>
                <w:sz w:val="20"/>
                <w:szCs w:val="20"/>
                <w:color w:val="auto"/>
              </w:rPr>
            </w:pPr>
            <w:r>
              <w:rPr>
                <w:rFonts w:ascii="Arial" w:cs="Arial" w:eastAsia="Arial" w:hAnsi="Arial"/>
                <w:sz w:val="10"/>
                <w:szCs w:val="10"/>
                <w:color w:val="auto"/>
              </w:rPr>
              <w:t>Proceeds received upon issuance of preferred units</w:t>
            </w:r>
          </w:p>
        </w:tc>
        <w:tc>
          <w:tcPr>
            <w:tcW w:w="80" w:type="dxa"/>
            <w:vAlign w:val="bottom"/>
          </w:tcPr>
          <w:p>
            <w:pPr>
              <w:spacing w:after="0"/>
              <w:rPr>
                <w:sz w:val="11"/>
                <w:szCs w:val="1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541,263</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5"/>
        </w:trPr>
        <w:tc>
          <w:tcPr>
            <w:tcW w:w="6240" w:type="dxa"/>
            <w:vAlign w:val="bottom"/>
            <w:shd w:val="clear" w:color="auto" w:fill="CCEEFF"/>
          </w:tcPr>
          <w:p>
            <w:pPr>
              <w:ind w:left="20"/>
              <w:spacing w:after="0"/>
              <w:rPr>
                <w:sz w:val="20"/>
                <w:szCs w:val="20"/>
                <w:color w:val="auto"/>
              </w:rPr>
            </w:pPr>
            <w:r>
              <w:rPr>
                <w:rFonts w:ascii="Arial" w:cs="Arial" w:eastAsia="Arial" w:hAnsi="Arial"/>
                <w:sz w:val="10"/>
                <w:szCs w:val="10"/>
                <w:color w:val="auto"/>
              </w:rPr>
              <w:t>Proceeds received upon issuance of common units</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1"/>
        </w:trPr>
        <w:tc>
          <w:tcPr>
            <w:tcW w:w="6240" w:type="dxa"/>
            <w:vAlign w:val="bottom"/>
          </w:tcPr>
          <w:p>
            <w:pPr>
              <w:ind w:left="20"/>
              <w:spacing w:after="0"/>
              <w:rPr>
                <w:sz w:val="20"/>
                <w:szCs w:val="20"/>
                <w:color w:val="auto"/>
              </w:rPr>
            </w:pPr>
            <w:r>
              <w:rPr>
                <w:rFonts w:ascii="Arial" w:cs="Arial" w:eastAsia="Arial" w:hAnsi="Arial"/>
                <w:sz w:val="10"/>
                <w:szCs w:val="10"/>
                <w:color w:val="auto"/>
              </w:rPr>
              <w:t>Proceeds from borrowings</w:t>
            </w:r>
          </w:p>
        </w:tc>
        <w:tc>
          <w:tcPr>
            <w:tcW w:w="80" w:type="dxa"/>
            <w:vAlign w:val="bottom"/>
          </w:tcPr>
          <w:p>
            <w:pPr>
              <w:spacing w:after="0"/>
              <w:rPr>
                <w:sz w:val="11"/>
                <w:szCs w:val="11"/>
                <w:color w:val="auto"/>
              </w:rPr>
            </w:pPr>
          </w:p>
        </w:tc>
        <w:tc>
          <w:tcPr>
            <w:tcW w:w="1120" w:type="dxa"/>
            <w:vAlign w:val="bottom"/>
          </w:tcPr>
          <w:p>
            <w:pPr>
              <w:jc w:val="right"/>
              <w:ind w:right="11"/>
              <w:spacing w:after="0"/>
              <w:rPr>
                <w:sz w:val="20"/>
                <w:szCs w:val="20"/>
                <w:color w:val="auto"/>
              </w:rPr>
            </w:pPr>
            <w:r>
              <w:rPr>
                <w:rFonts w:ascii="Arial" w:cs="Arial" w:eastAsia="Arial" w:hAnsi="Arial"/>
                <w:sz w:val="10"/>
                <w:szCs w:val="10"/>
                <w:color w:val="auto"/>
              </w:rPr>
              <w:t>565,000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right"/>
              <w:ind w:right="11"/>
              <w:spacing w:after="0"/>
              <w:rPr>
                <w:sz w:val="20"/>
                <w:szCs w:val="20"/>
                <w:color w:val="auto"/>
              </w:rPr>
            </w:pPr>
            <w:r>
              <w:rPr>
                <w:rFonts w:ascii="Arial" w:cs="Arial" w:eastAsia="Arial" w:hAnsi="Arial"/>
                <w:sz w:val="10"/>
                <w:szCs w:val="10"/>
                <w:color w:val="auto"/>
              </w:rPr>
              <w:t>117,000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300,000</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56,534</w:t>
            </w:r>
          </w:p>
        </w:tc>
        <w:tc>
          <w:tcPr>
            <w:tcW w:w="0" w:type="dxa"/>
            <w:vAlign w:val="bottom"/>
          </w:tcPr>
          <w:p>
            <w:pPr>
              <w:spacing w:after="0"/>
              <w:rPr>
                <w:sz w:val="1"/>
                <w:szCs w:val="1"/>
                <w:color w:val="auto"/>
              </w:rPr>
            </w:pPr>
          </w:p>
        </w:tc>
      </w:tr>
      <w:tr>
        <w:trPr>
          <w:trHeight w:val="145"/>
        </w:trPr>
        <w:tc>
          <w:tcPr>
            <w:tcW w:w="6240" w:type="dxa"/>
            <w:vAlign w:val="bottom"/>
            <w:shd w:val="clear" w:color="auto" w:fill="CCEEFF"/>
          </w:tcPr>
          <w:p>
            <w:pPr>
              <w:ind w:left="20"/>
              <w:spacing w:after="0"/>
              <w:rPr>
                <w:sz w:val="20"/>
                <w:szCs w:val="20"/>
                <w:color w:val="auto"/>
              </w:rPr>
            </w:pPr>
            <w:r>
              <w:rPr>
                <w:rFonts w:ascii="Arial" w:cs="Arial" w:eastAsia="Arial" w:hAnsi="Arial"/>
                <w:sz w:val="10"/>
                <w:szCs w:val="10"/>
                <w:color w:val="auto"/>
              </w:rPr>
              <w:t>Repayment of borrowings</w:t>
            </w: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(298,970)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(3,878)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(750)</w:t>
            </w: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(59,915)</w:t>
            </w:r>
          </w:p>
        </w:tc>
        <w:tc>
          <w:tcPr>
            <w:tcW w:w="0" w:type="dxa"/>
            <w:vAlign w:val="bottom"/>
          </w:tcPr>
          <w:p>
            <w:pPr>
              <w:spacing w:after="0"/>
              <w:rPr>
                <w:sz w:val="1"/>
                <w:szCs w:val="1"/>
                <w:color w:val="auto"/>
              </w:rPr>
            </w:pPr>
          </w:p>
        </w:tc>
      </w:tr>
      <w:tr>
        <w:trPr>
          <w:trHeight w:val="131"/>
        </w:trPr>
        <w:tc>
          <w:tcPr>
            <w:tcW w:w="6240" w:type="dxa"/>
            <w:vAlign w:val="bottom"/>
          </w:tcPr>
          <w:p>
            <w:pPr>
              <w:ind w:left="20"/>
              <w:spacing w:after="0"/>
              <w:rPr>
                <w:sz w:val="20"/>
                <w:szCs w:val="20"/>
                <w:color w:val="auto"/>
              </w:rPr>
            </w:pPr>
            <w:r>
              <w:rPr>
                <w:rFonts w:ascii="Arial" w:cs="Arial" w:eastAsia="Arial" w:hAnsi="Arial"/>
                <w:sz w:val="10"/>
                <w:szCs w:val="10"/>
                <w:color w:val="auto"/>
              </w:rPr>
              <w:t>Call premium paid for debt extinguishment</w:t>
            </w:r>
          </w:p>
        </w:tc>
        <w:tc>
          <w:tcPr>
            <w:tcW w:w="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(5,910)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2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5"/>
        </w:trPr>
        <w:tc>
          <w:tcPr>
            <w:tcW w:w="6240" w:type="dxa"/>
            <w:vAlign w:val="bottom"/>
            <w:shd w:val="clear" w:color="auto" w:fill="CCEEFF"/>
          </w:tcPr>
          <w:p>
            <w:pPr>
              <w:ind w:left="20"/>
              <w:spacing w:after="0"/>
              <w:rPr>
                <w:sz w:val="20"/>
                <w:szCs w:val="20"/>
                <w:color w:val="auto"/>
              </w:rPr>
            </w:pPr>
            <w:r>
              <w:rPr>
                <w:rFonts w:ascii="Arial" w:cs="Arial" w:eastAsia="Arial" w:hAnsi="Arial"/>
                <w:sz w:val="10"/>
                <w:szCs w:val="10"/>
                <w:color w:val="auto"/>
              </w:rPr>
              <w:t>Debt issuance cost payments</w:t>
            </w: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(4,108)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(6,293)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(9,283)</w:t>
            </w: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1"/>
        </w:trPr>
        <w:tc>
          <w:tcPr>
            <w:tcW w:w="6240" w:type="dxa"/>
            <w:vAlign w:val="bottom"/>
          </w:tcPr>
          <w:p>
            <w:pPr>
              <w:ind w:left="20"/>
              <w:spacing w:after="0"/>
              <w:rPr>
                <w:sz w:val="20"/>
                <w:szCs w:val="20"/>
                <w:color w:val="auto"/>
              </w:rPr>
            </w:pPr>
            <w:r>
              <w:rPr>
                <w:rFonts w:ascii="Arial" w:cs="Arial" w:eastAsia="Arial" w:hAnsi="Arial"/>
                <w:sz w:val="10"/>
                <w:szCs w:val="10"/>
                <w:color w:val="auto"/>
              </w:rPr>
              <w:t>Principal payments under capital lease obligations</w:t>
            </w:r>
          </w:p>
        </w:tc>
        <w:tc>
          <w:tcPr>
            <w:tcW w:w="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(318)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(293)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(351)</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(68)</w:t>
            </w:r>
          </w:p>
        </w:tc>
        <w:tc>
          <w:tcPr>
            <w:tcW w:w="0" w:type="dxa"/>
            <w:vAlign w:val="bottom"/>
          </w:tcPr>
          <w:p>
            <w:pPr>
              <w:spacing w:after="0"/>
              <w:rPr>
                <w:sz w:val="1"/>
                <w:szCs w:val="1"/>
                <w:color w:val="auto"/>
              </w:rPr>
            </w:pPr>
          </w:p>
        </w:tc>
      </w:tr>
      <w:tr>
        <w:trPr>
          <w:trHeight w:val="145"/>
        </w:trPr>
        <w:tc>
          <w:tcPr>
            <w:tcW w:w="6240" w:type="dxa"/>
            <w:vAlign w:val="bottom"/>
            <w:shd w:val="clear" w:color="auto" w:fill="CCEEFF"/>
          </w:tcPr>
          <w:p>
            <w:pPr>
              <w:ind w:left="20"/>
              <w:spacing w:after="0"/>
              <w:rPr>
                <w:sz w:val="20"/>
                <w:szCs w:val="20"/>
                <w:color w:val="auto"/>
              </w:rPr>
            </w:pPr>
            <w:r>
              <w:rPr>
                <w:rFonts w:ascii="Arial" w:cs="Arial" w:eastAsia="Arial" w:hAnsi="Arial"/>
                <w:sz w:val="10"/>
                <w:szCs w:val="10"/>
                <w:color w:val="auto"/>
              </w:rPr>
              <w:t>Distributions to non-controlling interests</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1"/>
        </w:trPr>
        <w:tc>
          <w:tcPr>
            <w:tcW w:w="6240" w:type="dxa"/>
            <w:vAlign w:val="bottom"/>
          </w:tcPr>
          <w:p>
            <w:pPr>
              <w:ind w:left="20"/>
              <w:spacing w:after="0"/>
              <w:rPr>
                <w:sz w:val="20"/>
                <w:szCs w:val="20"/>
                <w:color w:val="auto"/>
              </w:rPr>
            </w:pPr>
            <w:r>
              <w:rPr>
                <w:rFonts w:ascii="Arial" w:cs="Arial" w:eastAsia="Arial" w:hAnsi="Arial"/>
                <w:sz w:val="10"/>
                <w:szCs w:val="10"/>
                <w:color w:val="auto"/>
              </w:rPr>
              <w:t>Advancement to NVX Holdings, Inc.</w:t>
            </w:r>
          </w:p>
        </w:tc>
        <w:tc>
          <w:tcPr>
            <w:tcW w:w="80" w:type="dxa"/>
            <w:vAlign w:val="bottom"/>
          </w:tcPr>
          <w:p>
            <w:pPr>
              <w:spacing w:after="0"/>
              <w:rPr>
                <w:sz w:val="11"/>
                <w:szCs w:val="11"/>
                <w:color w:val="auto"/>
              </w:rPr>
            </w:pPr>
          </w:p>
        </w:tc>
        <w:tc>
          <w:tcPr>
            <w:tcW w:w="1120" w:type="dxa"/>
            <w:vAlign w:val="bottom"/>
          </w:tcPr>
          <w:p>
            <w:pPr>
              <w:jc w:val="right"/>
              <w:ind w:right="11"/>
              <w:spacing w:after="0"/>
              <w:rPr>
                <w:sz w:val="20"/>
                <w:szCs w:val="20"/>
                <w:color w:val="auto"/>
              </w:rPr>
            </w:pPr>
            <w:r>
              <w:rPr>
                <w:rFonts w:ascii="Arial" w:cs="Arial" w:eastAsia="Arial" w:hAnsi="Arial"/>
                <w:sz w:val="10"/>
                <w:szCs w:val="10"/>
                <w:color w:val="auto"/>
              </w:rPr>
              <w:t>3,395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(3,395)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9"/>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Net cash provided by (used in) financing activities</w:t>
            </w: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1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259,089</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1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260,663</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830,879</w:t>
            </w:r>
          </w:p>
        </w:tc>
        <w:tc>
          <w:tcPr>
            <w:tcW w:w="120" w:type="dxa"/>
            <w:vAlign w:val="bottom"/>
            <w:tcBorders>
              <w:top w:val="single" w:sz="8" w:color="CCEEFF"/>
              <w:right w:val="single" w:sz="8" w:color="auto"/>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(3,449)</w:t>
            </w:r>
          </w:p>
        </w:tc>
        <w:tc>
          <w:tcPr>
            <w:tcW w:w="0" w:type="dxa"/>
            <w:vAlign w:val="bottom"/>
          </w:tcPr>
          <w:p>
            <w:pPr>
              <w:spacing w:after="0"/>
              <w:rPr>
                <w:sz w:val="1"/>
                <w:szCs w:val="1"/>
                <w:color w:val="auto"/>
              </w:rPr>
            </w:pPr>
          </w:p>
        </w:tc>
      </w:tr>
      <w:tr>
        <w:trPr>
          <w:trHeight w:val="129"/>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Effect of exchange rate changes on cash and cash equivalents</w:t>
            </w:r>
          </w:p>
        </w:tc>
        <w:tc>
          <w:tcPr>
            <w:tcW w:w="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(155)</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35</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w:t>
            </w:r>
          </w:p>
        </w:tc>
        <w:tc>
          <w:tcPr>
            <w:tcW w:w="120" w:type="dxa"/>
            <w:vAlign w:val="bottom"/>
            <w:tcBorders>
              <w:bottom w:val="single" w:sz="8" w:color="CCEEFF"/>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w:t>
            </w:r>
          </w:p>
        </w:tc>
        <w:tc>
          <w:tcPr>
            <w:tcW w:w="0" w:type="dxa"/>
            <w:vAlign w:val="bottom"/>
          </w:tcPr>
          <w:p>
            <w:pPr>
              <w:spacing w:after="0"/>
              <w:rPr>
                <w:sz w:val="1"/>
                <w:szCs w:val="1"/>
                <w:color w:val="auto"/>
              </w:rPr>
            </w:pPr>
          </w:p>
        </w:tc>
      </w:tr>
      <w:tr>
        <w:trPr>
          <w:trHeight w:val="129"/>
        </w:trPr>
        <w:tc>
          <w:tcPr>
            <w:tcW w:w="6240" w:type="dxa"/>
            <w:vAlign w:val="bottom"/>
            <w:shd w:val="clear" w:color="auto" w:fill="CCEEFF"/>
          </w:tcPr>
          <w:p>
            <w:pPr>
              <w:ind w:left="20"/>
              <w:spacing w:after="0"/>
              <w:rPr>
                <w:sz w:val="20"/>
                <w:szCs w:val="20"/>
                <w:color w:val="auto"/>
              </w:rPr>
            </w:pPr>
            <w:r>
              <w:rPr>
                <w:rFonts w:ascii="Arial" w:cs="Arial" w:eastAsia="Arial" w:hAnsi="Arial"/>
                <w:sz w:val="10"/>
                <w:szCs w:val="10"/>
                <w:color w:val="auto"/>
              </w:rPr>
              <w:t>Increase (decrease) in cash and cash equivalents</w:t>
            </w:r>
          </w:p>
        </w:tc>
        <w:tc>
          <w:tcPr>
            <w:tcW w:w="8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(59,873)</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131,958</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11,568</w:t>
            </w: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203</w:t>
            </w:r>
          </w:p>
        </w:tc>
        <w:tc>
          <w:tcPr>
            <w:tcW w:w="0" w:type="dxa"/>
            <w:vAlign w:val="bottom"/>
          </w:tcPr>
          <w:p>
            <w:pPr>
              <w:spacing w:after="0"/>
              <w:rPr>
                <w:sz w:val="1"/>
                <w:szCs w:val="1"/>
                <w:color w:val="auto"/>
              </w:rPr>
            </w:pPr>
          </w:p>
        </w:tc>
      </w:tr>
      <w:tr>
        <w:trPr>
          <w:trHeight w:val="129"/>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Cash and cash equivalents at beginning of period</w:t>
            </w:r>
          </w:p>
        </w:tc>
        <w:tc>
          <w:tcPr>
            <w:tcW w:w="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144,234</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12,276</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708</w:t>
            </w:r>
          </w:p>
        </w:tc>
        <w:tc>
          <w:tcPr>
            <w:tcW w:w="120" w:type="dxa"/>
            <w:vAlign w:val="bottom"/>
            <w:tcBorders>
              <w:bottom w:val="single" w:sz="8" w:color="CCEEFF"/>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505</w:t>
            </w:r>
          </w:p>
        </w:tc>
        <w:tc>
          <w:tcPr>
            <w:tcW w:w="0" w:type="dxa"/>
            <w:vAlign w:val="bottom"/>
          </w:tcPr>
          <w:p>
            <w:pPr>
              <w:spacing w:after="0"/>
              <w:rPr>
                <w:sz w:val="1"/>
                <w:szCs w:val="1"/>
                <w:color w:val="auto"/>
              </w:rPr>
            </w:pPr>
          </w:p>
        </w:tc>
      </w:tr>
      <w:tr>
        <w:trPr>
          <w:trHeight w:val="161"/>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Cash and cash equivalents at end of period</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84,361</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144,234</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12,276</w:t>
            </w:r>
          </w:p>
        </w:tc>
        <w:tc>
          <w:tcPr>
            <w:tcW w:w="120" w:type="dxa"/>
            <w:vAlign w:val="bottom"/>
            <w:tcBorders>
              <w:bottom w:val="single" w:sz="8" w:color="CCEEFF"/>
              <w:right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708</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0"/>
                <w:szCs w:val="10"/>
                <w:b w:val="1"/>
                <w:bCs w:val="1"/>
                <w:color w:val="auto"/>
              </w:rPr>
              <w:t>Supplemental Disclosure of Cash Flow Information</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62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6240" w:type="dxa"/>
            <w:vAlign w:val="bottom"/>
            <w:shd w:val="clear" w:color="auto" w:fill="CCEEFF"/>
          </w:tcPr>
          <w:p>
            <w:pPr>
              <w:ind w:left="20"/>
              <w:spacing w:after="0"/>
              <w:rPr>
                <w:sz w:val="20"/>
                <w:szCs w:val="20"/>
                <w:color w:val="auto"/>
              </w:rPr>
            </w:pPr>
            <w:r>
              <w:rPr>
                <w:rFonts w:ascii="Arial" w:cs="Arial" w:eastAsia="Arial" w:hAnsi="Arial"/>
                <w:sz w:val="10"/>
                <w:szCs w:val="10"/>
                <w:color w:val="auto"/>
              </w:rPr>
              <w:t>Interest paid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28,244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32,671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5,437</w:t>
            </w: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140</w:t>
            </w:r>
          </w:p>
        </w:tc>
        <w:tc>
          <w:tcPr>
            <w:tcW w:w="0" w:type="dxa"/>
            <w:vAlign w:val="bottom"/>
          </w:tcPr>
          <w:p>
            <w:pPr>
              <w:spacing w:after="0"/>
              <w:rPr>
                <w:sz w:val="1"/>
                <w:szCs w:val="1"/>
                <w:color w:val="auto"/>
              </w:rPr>
            </w:pPr>
          </w:p>
        </w:tc>
      </w:tr>
      <w:tr>
        <w:trPr>
          <w:trHeight w:val="131"/>
        </w:trPr>
        <w:tc>
          <w:tcPr>
            <w:tcW w:w="6240" w:type="dxa"/>
            <w:vAlign w:val="bottom"/>
          </w:tcPr>
          <w:p>
            <w:pPr>
              <w:ind w:left="20"/>
              <w:spacing w:after="0"/>
              <w:rPr>
                <w:sz w:val="20"/>
                <w:szCs w:val="20"/>
                <w:color w:val="auto"/>
              </w:rPr>
            </w:pPr>
            <w:r>
              <w:rPr>
                <w:rFonts w:ascii="Arial" w:cs="Arial" w:eastAsia="Arial" w:hAnsi="Arial"/>
                <w:sz w:val="10"/>
                <w:szCs w:val="10"/>
                <w:color w:val="auto"/>
              </w:rPr>
              <w:t>Income taxes paid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ind w:right="11"/>
              <w:spacing w:after="0"/>
              <w:rPr>
                <w:sz w:val="20"/>
                <w:szCs w:val="20"/>
                <w:color w:val="auto"/>
              </w:rPr>
            </w:pPr>
            <w:r>
              <w:rPr>
                <w:rFonts w:ascii="Arial" w:cs="Arial" w:eastAsia="Arial" w:hAnsi="Arial"/>
                <w:sz w:val="10"/>
                <w:szCs w:val="10"/>
                <w:color w:val="auto"/>
              </w:rPr>
              <w:t>879</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ind w:right="11"/>
              <w:spacing w:after="0"/>
              <w:rPr>
                <w:sz w:val="20"/>
                <w:szCs w:val="20"/>
                <w:color w:val="auto"/>
              </w:rPr>
            </w:pPr>
            <w:r>
              <w:rPr>
                <w:rFonts w:ascii="Arial" w:cs="Arial" w:eastAsia="Arial" w:hAnsi="Arial"/>
                <w:sz w:val="10"/>
                <w:szCs w:val="10"/>
                <w:color w:val="auto"/>
              </w:rPr>
              <w:t>286</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0"/>
                <w:szCs w:val="10"/>
                <w:color w:val="auto"/>
              </w:rPr>
              <w:t>55</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0"/>
                <w:szCs w:val="10"/>
                <w:color w:val="auto"/>
              </w:rPr>
              <w:t>122</w:t>
            </w:r>
          </w:p>
        </w:tc>
        <w:tc>
          <w:tcPr>
            <w:tcW w:w="0" w:type="dxa"/>
            <w:vAlign w:val="bottom"/>
          </w:tcPr>
          <w:p>
            <w:pPr>
              <w:spacing w:after="0"/>
              <w:rPr>
                <w:sz w:val="1"/>
                <w:szCs w:val="1"/>
                <w:color w:val="auto"/>
              </w:rPr>
            </w:pPr>
          </w:p>
        </w:tc>
      </w:tr>
      <w:tr>
        <w:trPr>
          <w:trHeight w:val="145"/>
        </w:trPr>
        <w:tc>
          <w:tcPr>
            <w:tcW w:w="6240" w:type="dxa"/>
            <w:vAlign w:val="bottom"/>
            <w:shd w:val="clear" w:color="auto" w:fill="CCEEFF"/>
          </w:tcPr>
          <w:p>
            <w:pPr>
              <w:ind w:left="20"/>
              <w:spacing w:after="0"/>
              <w:rPr>
                <w:sz w:val="20"/>
                <w:szCs w:val="20"/>
                <w:color w:val="auto"/>
              </w:rPr>
            </w:pPr>
            <w:r>
              <w:rPr>
                <w:rFonts w:ascii="Arial" w:cs="Arial" w:eastAsia="Arial" w:hAnsi="Arial"/>
                <w:sz w:val="10"/>
                <w:szCs w:val="10"/>
                <w:i w:val="1"/>
                <w:iCs w:val="1"/>
                <w:color w:val="auto"/>
              </w:rPr>
              <w:t>Non-cash investing and financing activities:</w:t>
            </w: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6240" w:type="dxa"/>
            <w:vAlign w:val="bottom"/>
          </w:tcPr>
          <w:p>
            <w:pPr>
              <w:ind w:left="180"/>
              <w:spacing w:after="0"/>
              <w:rPr>
                <w:sz w:val="20"/>
                <w:szCs w:val="20"/>
                <w:color w:val="auto"/>
              </w:rPr>
            </w:pPr>
            <w:r>
              <w:rPr>
                <w:rFonts w:ascii="Arial" w:cs="Arial" w:eastAsia="Arial" w:hAnsi="Arial"/>
                <w:sz w:val="10"/>
                <w:szCs w:val="10"/>
                <w:color w:val="auto"/>
              </w:rPr>
              <w:t>Purchases of property, equipment and software included in accounts payable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ind w:right="11"/>
              <w:spacing w:after="0"/>
              <w:rPr>
                <w:sz w:val="20"/>
                <w:szCs w:val="20"/>
                <w:color w:val="auto"/>
              </w:rPr>
            </w:pPr>
            <w:r>
              <w:rPr>
                <w:rFonts w:ascii="Arial" w:cs="Arial" w:eastAsia="Arial" w:hAnsi="Arial"/>
                <w:sz w:val="10"/>
                <w:szCs w:val="10"/>
                <w:color w:val="auto"/>
              </w:rPr>
              <w:t>633</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ind w:right="11"/>
              <w:spacing w:after="0"/>
              <w:rPr>
                <w:sz w:val="20"/>
                <w:szCs w:val="20"/>
                <w:color w:val="auto"/>
              </w:rPr>
            </w:pPr>
            <w:r>
              <w:rPr>
                <w:rFonts w:ascii="Arial" w:cs="Arial" w:eastAsia="Arial" w:hAnsi="Arial"/>
                <w:sz w:val="10"/>
                <w:szCs w:val="10"/>
                <w:color w:val="auto"/>
              </w:rPr>
              <w:t>491</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0"/>
                <w:szCs w:val="10"/>
                <w:color w:val="auto"/>
              </w:rPr>
              <w:t>46</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0"/>
                <w:szCs w:val="10"/>
                <w:color w:val="auto"/>
              </w:rPr>
              <w:t>113</w:t>
            </w:r>
          </w:p>
        </w:tc>
        <w:tc>
          <w:tcPr>
            <w:tcW w:w="0" w:type="dxa"/>
            <w:vAlign w:val="bottom"/>
          </w:tcPr>
          <w:p>
            <w:pPr>
              <w:spacing w:after="0"/>
              <w:rPr>
                <w:sz w:val="1"/>
                <w:szCs w:val="1"/>
                <w:color w:val="auto"/>
              </w:rPr>
            </w:pPr>
          </w:p>
        </w:tc>
      </w:tr>
      <w:tr>
        <w:trPr>
          <w:trHeight w:val="145"/>
        </w:trPr>
        <w:tc>
          <w:tcPr>
            <w:tcW w:w="6240" w:type="dxa"/>
            <w:vAlign w:val="bottom"/>
            <w:shd w:val="clear" w:color="auto" w:fill="CCEEFF"/>
          </w:tcPr>
          <w:p>
            <w:pPr>
              <w:ind w:left="180"/>
              <w:spacing w:after="0"/>
              <w:rPr>
                <w:sz w:val="20"/>
                <w:szCs w:val="20"/>
                <w:color w:val="auto"/>
              </w:rPr>
            </w:pPr>
            <w:r>
              <w:rPr>
                <w:rFonts w:ascii="Arial" w:cs="Arial" w:eastAsia="Arial" w:hAnsi="Arial"/>
                <w:sz w:val="10"/>
                <w:szCs w:val="10"/>
                <w:color w:val="auto"/>
              </w:rPr>
              <w:t>Purchases of property, equipment and software under capital leases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744</w:t>
            </w:r>
          </w:p>
        </w:tc>
        <w:tc>
          <w:tcPr>
            <w:tcW w:w="0" w:type="dxa"/>
            <w:vAlign w:val="bottom"/>
          </w:tcPr>
          <w:p>
            <w:pPr>
              <w:spacing w:after="0"/>
              <w:rPr>
                <w:sz w:val="1"/>
                <w:szCs w:val="1"/>
                <w:color w:val="auto"/>
              </w:rPr>
            </w:pPr>
          </w:p>
        </w:tc>
      </w:tr>
      <w:tr>
        <w:trPr>
          <w:trHeight w:val="131"/>
        </w:trPr>
        <w:tc>
          <w:tcPr>
            <w:tcW w:w="6240" w:type="dxa"/>
            <w:vAlign w:val="bottom"/>
          </w:tcPr>
          <w:p>
            <w:pPr>
              <w:ind w:left="180"/>
              <w:spacing w:after="0"/>
              <w:rPr>
                <w:sz w:val="20"/>
                <w:szCs w:val="20"/>
                <w:color w:val="auto"/>
              </w:rPr>
            </w:pPr>
            <w:r>
              <w:rPr>
                <w:rFonts w:ascii="Arial" w:cs="Arial" w:eastAsia="Arial" w:hAnsi="Arial"/>
                <w:sz w:val="10"/>
                <w:szCs w:val="10"/>
                <w:color w:val="auto"/>
              </w:rPr>
              <w:t>Issuance of Senior Preferred Earnout Units to settle contingent consideration liability</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ind w:right="11"/>
              <w:spacing w:after="0"/>
              <w:rPr>
                <w:sz w:val="20"/>
                <w:szCs w:val="20"/>
                <w:color w:val="auto"/>
              </w:rPr>
            </w:pPr>
            <w:r>
              <w:rPr>
                <w:rFonts w:ascii="Arial" w:cs="Arial" w:eastAsia="Arial" w:hAnsi="Arial"/>
                <w:sz w:val="10"/>
                <w:szCs w:val="10"/>
                <w:color w:val="auto"/>
              </w:rPr>
              <w:t>100,000</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5"/>
        </w:trPr>
        <w:tc>
          <w:tcPr>
            <w:tcW w:w="6240" w:type="dxa"/>
            <w:vAlign w:val="bottom"/>
            <w:shd w:val="clear" w:color="auto" w:fill="CCEEFF"/>
          </w:tcPr>
          <w:p>
            <w:pPr>
              <w:ind w:left="180"/>
              <w:spacing w:after="0"/>
              <w:rPr>
                <w:sz w:val="20"/>
                <w:szCs w:val="20"/>
                <w:color w:val="auto"/>
              </w:rPr>
            </w:pPr>
            <w:r>
              <w:rPr>
                <w:rFonts w:ascii="Arial" w:cs="Arial" w:eastAsia="Arial" w:hAnsi="Arial"/>
                <w:sz w:val="10"/>
                <w:szCs w:val="10"/>
                <w:color w:val="auto"/>
              </w:rPr>
              <w:t>Issuance of common A and B units to settle contingent consideration liability</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1"/>
        </w:trPr>
        <w:tc>
          <w:tcPr>
            <w:tcW w:w="6240" w:type="dxa"/>
            <w:vAlign w:val="bottom"/>
          </w:tcPr>
          <w:p>
            <w:pPr>
              <w:ind w:left="180"/>
              <w:spacing w:after="0"/>
              <w:rPr>
                <w:sz w:val="20"/>
                <w:szCs w:val="20"/>
                <w:color w:val="auto"/>
              </w:rPr>
            </w:pPr>
            <w:r>
              <w:rPr>
                <w:rFonts w:ascii="Arial" w:cs="Arial" w:eastAsia="Arial" w:hAnsi="Arial"/>
                <w:sz w:val="10"/>
                <w:szCs w:val="10"/>
                <w:color w:val="auto"/>
              </w:rPr>
              <w:t>Net issuance of Class A and Class B common stock in connection with the Transactions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ind w:right="11"/>
              <w:spacing w:after="0"/>
              <w:rPr>
                <w:sz w:val="20"/>
                <w:szCs w:val="20"/>
                <w:color w:val="auto"/>
              </w:rPr>
            </w:pPr>
            <w:r>
              <w:rPr>
                <w:rFonts w:ascii="Arial" w:cs="Arial" w:eastAsia="Arial" w:hAnsi="Arial"/>
                <w:sz w:val="10"/>
                <w:szCs w:val="10"/>
                <w:color w:val="auto"/>
              </w:rPr>
              <w:t>30</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5"/>
        </w:trPr>
        <w:tc>
          <w:tcPr>
            <w:tcW w:w="6240" w:type="dxa"/>
            <w:vAlign w:val="bottom"/>
            <w:shd w:val="clear" w:color="auto" w:fill="CCEEFF"/>
          </w:tcPr>
          <w:p>
            <w:pPr>
              <w:ind w:left="180"/>
              <w:spacing w:after="0"/>
              <w:rPr>
                <w:sz w:val="20"/>
                <w:szCs w:val="20"/>
                <w:color w:val="auto"/>
              </w:rPr>
            </w:pPr>
            <w:r>
              <w:rPr>
                <w:rFonts w:ascii="Arial" w:cs="Arial" w:eastAsia="Arial" w:hAnsi="Arial"/>
                <w:sz w:val="10"/>
                <w:szCs w:val="10"/>
                <w:color w:val="auto"/>
              </w:rPr>
              <w:t>Settlement of contingent consideration liability</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62,400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68</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69" w:right="319" w:bottom="1440" w:gutter="0" w:footer="0" w:header="0"/>
        </w:sectPr>
      </w:pPr>
    </w:p>
    <w:bookmarkStart w:id="71" w:name="page72"/>
    <w:bookmarkEnd w:id="71"/>
    <w:p>
      <w:pPr>
        <w:jc w:val="center"/>
        <w:spacing w:after="0"/>
        <w:rPr>
          <w:sz w:val="20"/>
          <w:szCs w:val="20"/>
          <w:color w:val="auto"/>
        </w:rPr>
      </w:pPr>
      <w:r>
        <w:rPr>
          <w:rFonts w:ascii="Arial" w:cs="Arial" w:eastAsia="Arial" w:hAnsi="Arial"/>
          <w:sz w:val="13"/>
          <w:szCs w:val="13"/>
          <w:b w:val="1"/>
          <w:bCs w:val="1"/>
          <w:color w:val="0A2299"/>
        </w:rPr>
        <w:t>GOHEALTH,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A2299"/>
        </w:rPr>
        <w:t>NOTES TO CONSOLIDATED FINANCIAL STATEMENTS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0A2299"/>
        </w:rPr>
        <w:t>(in thousands, except per share amounts)</w:t>
      </w:r>
    </w:p>
    <w:p>
      <w:pPr>
        <w:spacing w:after="0" w:line="165" w:lineRule="exact"/>
        <w:rPr>
          <w:sz w:val="20"/>
          <w:szCs w:val="20"/>
          <w:color w:val="auto"/>
        </w:rPr>
      </w:pPr>
    </w:p>
    <w:p>
      <w:pPr>
        <w:ind w:right="6160" w:firstLine="514"/>
        <w:spacing w:after="0" w:line="523" w:lineRule="auto"/>
        <w:tabs>
          <w:tab w:leader="none" w:pos="651" w:val="left"/>
        </w:tabs>
        <w:numPr>
          <w:ilvl w:val="0"/>
          <w:numId w:val="33"/>
        </w:numPr>
        <w:rPr>
          <w:rFonts w:ascii="Arial" w:cs="Arial" w:eastAsia="Arial" w:hAnsi="Arial"/>
          <w:sz w:val="13"/>
          <w:szCs w:val="13"/>
          <w:b w:val="1"/>
          <w:bCs w:val="1"/>
          <w:color w:val="0A2299"/>
        </w:rPr>
      </w:pPr>
      <w:r>
        <w:rPr>
          <w:rFonts w:ascii="Arial" w:cs="Arial" w:eastAsia="Arial" w:hAnsi="Arial"/>
          <w:sz w:val="13"/>
          <w:szCs w:val="13"/>
          <w:b w:val="1"/>
          <w:bCs w:val="1"/>
          <w:color w:val="0A2299"/>
        </w:rPr>
        <w:t xml:space="preserve">DESCRIPTION OF BUSINESS AND SIGNIFICANT ACCOUNTING POLICIES </w:t>
      </w:r>
      <w:r>
        <w:rPr>
          <w:rFonts w:ascii="Arial" w:cs="Arial" w:eastAsia="Arial" w:hAnsi="Arial"/>
          <w:sz w:val="13"/>
          <w:szCs w:val="13"/>
          <w:b w:val="1"/>
          <w:bCs w:val="1"/>
          <w:color w:val="000000"/>
        </w:rPr>
        <w:t>Description of Business</w:t>
      </w:r>
    </w:p>
    <w:p>
      <w:pPr>
        <w:spacing w:after="0" w:line="1" w:lineRule="exact"/>
        <w:rPr>
          <w:sz w:val="20"/>
          <w:szCs w:val="20"/>
          <w:color w:val="auto"/>
        </w:rPr>
      </w:pPr>
    </w:p>
    <w:p>
      <w:pPr>
        <w:ind w:right="40"/>
        <w:spacing w:after="0" w:line="239" w:lineRule="auto"/>
        <w:rPr>
          <w:sz w:val="20"/>
          <w:szCs w:val="20"/>
          <w:color w:val="auto"/>
        </w:rPr>
      </w:pPr>
      <w:r>
        <w:rPr>
          <w:rFonts w:ascii="Arial" w:cs="Arial" w:eastAsia="Arial" w:hAnsi="Arial"/>
          <w:sz w:val="13"/>
          <w:szCs w:val="13"/>
          <w:color w:val="auto"/>
        </w:rPr>
        <w:t>GoHealth, Inc. (the “Company”) is a leading health insurance marketplace and Medicare-focused digital health company whose mission is to improve healthcare in America. The Company works with insurance carriers to provide solutions to efficiently enroll individuals in health insurance plans. The Company’s proprietary technology platform leverages modern machine-learning algorithms powered by two decades of insurance purchasing behavior to reimagine the optimal process for helping individuals find the best health insurance plan for their specific needs. The Company’s insurance agents leverage the power of its vertically integrated customer acquisition platform to enroll members in Medicare and individual and family plans. Certain of the Company’s operations do business as GoHealth, LLC (“GoHealth”), a wholly owned subsidiary of the Company that was founded in 2001.</w:t>
      </w:r>
    </w:p>
    <w:p>
      <w:pPr>
        <w:spacing w:after="0" w:line="168" w:lineRule="exact"/>
        <w:rPr>
          <w:sz w:val="20"/>
          <w:szCs w:val="20"/>
          <w:color w:val="auto"/>
        </w:rPr>
      </w:pPr>
    </w:p>
    <w:p>
      <w:pPr>
        <w:ind w:right="120"/>
        <w:spacing w:after="0"/>
        <w:rPr>
          <w:sz w:val="20"/>
          <w:szCs w:val="20"/>
          <w:color w:val="auto"/>
        </w:rPr>
      </w:pPr>
      <w:r>
        <w:rPr>
          <w:rFonts w:ascii="Arial" w:cs="Arial" w:eastAsia="Arial" w:hAnsi="Arial"/>
          <w:sz w:val="13"/>
          <w:szCs w:val="13"/>
          <w:color w:val="auto"/>
        </w:rPr>
        <w:t>The Company was incorporated in Delaware on March 27, 2020 for the purpose of facilitating an initial public offering and other related transactions in order to carry on the business of GoHealth Holdings, LLC (formerly known as Blizzard Parent, LLC), a Delaware limited liability company, and its wholly owned subsidiaries (collectively, "GHH, LLC"). On July 17, 2020, the Company completed an initial public offering of 43,500 shares of its Class A common stock at a public offering price of $21.00 per share (“the IPO”), receiving approximately $852.4 million in net proceeds, after deducting the underwriting discount and offering expenses.</w:t>
      </w:r>
    </w:p>
    <w:p>
      <w:pPr>
        <w:spacing w:after="0" w:line="166" w:lineRule="exact"/>
        <w:rPr>
          <w:sz w:val="20"/>
          <w:szCs w:val="20"/>
          <w:color w:val="auto"/>
        </w:rPr>
      </w:pPr>
    </w:p>
    <w:p>
      <w:pPr>
        <w:ind w:right="100"/>
        <w:spacing w:after="0" w:line="244" w:lineRule="auto"/>
        <w:rPr>
          <w:sz w:val="20"/>
          <w:szCs w:val="20"/>
          <w:color w:val="auto"/>
        </w:rPr>
      </w:pPr>
      <w:r>
        <w:rPr>
          <w:rFonts w:ascii="Arial" w:cs="Arial" w:eastAsia="Arial" w:hAnsi="Arial"/>
          <w:sz w:val="13"/>
          <w:szCs w:val="13"/>
          <w:color w:val="auto"/>
        </w:rPr>
        <w:t>Pursuant to a reorganization into a holding company structure, the Company is a holding company and its principal asset is a controlling equity interest in GHH, LLC. As the sole managing member of GHH, LLC, the Company operates and controls all of the business and affairs of GHH, LLC, and through GHH, LLC and its subsidiaries, conducts its business.</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Basis of Presentation and Significant Accounting Policies</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In connection with the Company’s IPO, the Company completed a series of organizational transactions (the “Transactions”). The Transactions included:</w:t>
      </w:r>
    </w:p>
    <w:p>
      <w:pPr>
        <w:spacing w:after="0" w:line="169" w:lineRule="exact"/>
        <w:rPr>
          <w:sz w:val="20"/>
          <w:szCs w:val="20"/>
          <w:color w:val="auto"/>
        </w:rPr>
      </w:pPr>
    </w:p>
    <w:p>
      <w:pPr>
        <w:ind w:left="520" w:right="480" w:hanging="260"/>
        <w:spacing w:after="0" w:line="241" w:lineRule="auto"/>
        <w:tabs>
          <w:tab w:leader="none" w:pos="511"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amendment and restatement of the existing limited liability company agreement of GHH, LLC to, among other things, (1) recapitalize all existing ownership interests in GHH, LLC (including profits units awarded under the existing limited liability company agreement of GHH, LLC) and (2) appoint the Company as the sole managing member of GHH, LLC upon its acquisition of LLC Interests in connection with the IPO;</w:t>
      </w:r>
    </w:p>
    <w:p>
      <w:pPr>
        <w:spacing w:after="0" w:line="165" w:lineRule="exact"/>
        <w:rPr>
          <w:rFonts w:ascii="Arial" w:cs="Arial" w:eastAsia="Arial" w:hAnsi="Arial"/>
          <w:sz w:val="13"/>
          <w:szCs w:val="13"/>
          <w:color w:val="auto"/>
        </w:rPr>
      </w:pPr>
    </w:p>
    <w:p>
      <w:pPr>
        <w:ind w:left="520" w:right="120" w:hanging="260"/>
        <w:spacing w:after="0"/>
        <w:tabs>
          <w:tab w:leader="none" w:pos="511"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amendment and restatement of the Company’s certificate of incorporation to, among other things, provide for (1) Class A common stock, with each share of the Company’s Class A common stock entitling its holder to economic rights and one vote per share on all matters presented to stockholders generally and (2) Class B common stock, with each share of the Company’s Class B common stock being a non-economic share but entitling its holder to one vote per share on all matters presented to stockholders generally (provided that shares of Class B common stock may only be held by the Continuing Equity Owners and their respective permitted transferees);</w:t>
      </w:r>
    </w:p>
    <w:p>
      <w:pPr>
        <w:spacing w:after="0" w:line="165" w:lineRule="exact"/>
        <w:rPr>
          <w:rFonts w:ascii="Arial" w:cs="Arial" w:eastAsia="Arial" w:hAnsi="Arial"/>
          <w:sz w:val="13"/>
          <w:szCs w:val="13"/>
          <w:color w:val="auto"/>
        </w:rPr>
      </w:pPr>
    </w:p>
    <w:p>
      <w:pPr>
        <w:ind w:left="520" w:hanging="260"/>
        <w:spacing w:after="0" w:line="244" w:lineRule="auto"/>
        <w:tabs>
          <w:tab w:leader="none" w:pos="511"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issuance of 307,980 shares of the Company's Class B common stock, including the issuance of 229,399 such shares to the Continuing Equity Owners, which is equal to the number of LLC Interests held directly or indirectly by such Continuing Equity Owners immediately following the Transactions, for nominal consideration;</w:t>
      </w:r>
    </w:p>
    <w:p>
      <w:pPr>
        <w:spacing w:after="0" w:line="162" w:lineRule="exact"/>
        <w:rPr>
          <w:rFonts w:ascii="Arial" w:cs="Arial" w:eastAsia="Arial" w:hAnsi="Arial"/>
          <w:sz w:val="13"/>
          <w:szCs w:val="13"/>
          <w:color w:val="auto"/>
        </w:rPr>
      </w:pPr>
    </w:p>
    <w:p>
      <w:pPr>
        <w:ind w:left="520" w:right="300" w:hanging="260"/>
        <w:spacing w:after="0" w:line="244" w:lineRule="auto"/>
        <w:tabs>
          <w:tab w:leader="none" w:pos="511"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issuance of 43,500 shares of the Company’s Class A common stock to the purchasers in the IPO in exchange for net proceeds, after taking into account the underwriting discount and offering expenses payable by the Company, of approximately $852.4 million;</w:t>
      </w:r>
    </w:p>
    <w:p>
      <w:pPr>
        <w:spacing w:after="0" w:line="162" w:lineRule="exact"/>
        <w:rPr>
          <w:rFonts w:ascii="Arial" w:cs="Arial" w:eastAsia="Arial" w:hAnsi="Arial"/>
          <w:sz w:val="13"/>
          <w:szCs w:val="13"/>
          <w:color w:val="auto"/>
        </w:rPr>
      </w:pPr>
    </w:p>
    <w:p>
      <w:pPr>
        <w:ind w:left="520" w:right="60" w:hanging="260"/>
        <w:spacing w:after="0" w:line="258" w:lineRule="auto"/>
        <w:tabs>
          <w:tab w:leader="none" w:pos="511"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acquisition by the Company of the Blocker Company in a merger transaction (the “Blocker Merger”), which Blocker Company held 45,503 LLC interests and a corresponding amount of the Company’s Class B common stock (which shares were cancelled after the Blocker Merger), in exchange for 40,683 shares of the Company’s Class A common stock and payment of</w:t>
      </w:r>
    </w:p>
    <w:p>
      <w:pPr>
        <w:ind w:left="520"/>
        <w:spacing w:after="0"/>
        <w:rPr>
          <w:rFonts w:ascii="Arial" w:cs="Arial" w:eastAsia="Arial" w:hAnsi="Arial"/>
          <w:sz w:val="12"/>
          <w:szCs w:val="12"/>
          <w:color w:val="auto"/>
        </w:rPr>
      </w:pPr>
      <w:r>
        <w:rPr>
          <w:rFonts w:ascii="Arial" w:cs="Arial" w:eastAsia="Arial" w:hAnsi="Arial"/>
          <w:sz w:val="13"/>
          <w:szCs w:val="13"/>
          <w:color w:val="auto"/>
        </w:rPr>
        <w:t>$96.2 million in cash to Blocker Shareholders;</w:t>
      </w:r>
    </w:p>
    <w:p>
      <w:pPr>
        <w:spacing w:after="0" w:line="168" w:lineRule="exact"/>
        <w:rPr>
          <w:rFonts w:ascii="Arial" w:cs="Arial" w:eastAsia="Arial" w:hAnsi="Arial"/>
          <w:sz w:val="12"/>
          <w:szCs w:val="12"/>
          <w:color w:val="auto"/>
        </w:rPr>
      </w:pPr>
    </w:p>
    <w:p>
      <w:pPr>
        <w:ind w:left="520" w:right="40" w:hanging="260"/>
        <w:spacing w:after="0" w:line="244" w:lineRule="auto"/>
        <w:tabs>
          <w:tab w:leader="none" w:pos="511"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use of the remaining net proceeds from the IPO to (i) pay $508.3 million in cash to redeem 25,480 LLC Interests held directly or indirectly by the Continuing Equity Owners, (ii) satisfy in full $100.0 million in aggregate face amount of senior preferred earnout units in connection with the Transactions, and (iii) use for general corporate purposes; and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69</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69" w:right="319" w:bottom="1440" w:gutter="0" w:footer="0" w:header="0"/>
        </w:sectPr>
      </w:pPr>
    </w:p>
    <w:bookmarkStart w:id="72" w:name="page73"/>
    <w:bookmarkEnd w:id="72"/>
    <w:p>
      <w:pPr>
        <w:ind w:left="520" w:right="140" w:hanging="260"/>
        <w:spacing w:after="0" w:line="244" w:lineRule="auto"/>
        <w:tabs>
          <w:tab w:leader="none" w:pos="511"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Company entered into (1) a stockholders’ agreement with Centerbridge and NVX Holdings, Inc., (2) a registration rights agreement with certain of the Continuing Equity Owners and (3) a tax receivable agreement with GHH, LLC, the Continuing Equity Owners and the Blocker Shareholders.</w:t>
      </w:r>
    </w:p>
    <w:p>
      <w:pPr>
        <w:spacing w:after="0" w:line="163" w:lineRule="exact"/>
        <w:rPr>
          <w:sz w:val="20"/>
          <w:szCs w:val="20"/>
          <w:color w:val="auto"/>
        </w:rPr>
      </w:pPr>
    </w:p>
    <w:p>
      <w:pPr>
        <w:ind w:right="120"/>
        <w:spacing w:after="0" w:line="239" w:lineRule="auto"/>
        <w:rPr>
          <w:sz w:val="20"/>
          <w:szCs w:val="20"/>
          <w:color w:val="auto"/>
        </w:rPr>
      </w:pPr>
      <w:r>
        <w:rPr>
          <w:rFonts w:ascii="Arial" w:cs="Arial" w:eastAsia="Arial" w:hAnsi="Arial"/>
          <w:sz w:val="13"/>
          <w:szCs w:val="13"/>
          <w:color w:val="auto"/>
        </w:rPr>
        <w:t>In connection with the IPO, the Company became the sole managing member of GHH, LLC and controls the management of GHH, LLC. As a result, the Company consolidates GHH, LLC’s financial results in its Consolidated Financial Statements and reports non-controlling interests for the economic interest in GHH, LLC held by the Continuing Equity Owners. Substantially concurrently with the consummation of the IPO, the existing limited liability company agreement of GHH, LLC was amended and restated to, among other things, recapitalize its capital structure by creating a single new class of units (the “common units”) and provide for a right of redemption of common units (subject in certain circumstances to time-based vesting requirements and certain other restrictions) in exchange for, at the Company’s election, cash or newly-issued shares of Class A common stock on a one-for-one basis. In connection with any redemption, the Company will receive a corresponding number of common units, increasing the Company’s total ownership interest in GHH, LLC.</w:t>
      </w:r>
    </w:p>
    <w:p>
      <w:pPr>
        <w:spacing w:after="0" w:line="168" w:lineRule="exact"/>
        <w:rPr>
          <w:sz w:val="20"/>
          <w:szCs w:val="20"/>
          <w:color w:val="auto"/>
        </w:rPr>
      </w:pPr>
    </w:p>
    <w:p>
      <w:pPr>
        <w:ind w:right="80"/>
        <w:spacing w:after="0"/>
        <w:rPr>
          <w:sz w:val="20"/>
          <w:szCs w:val="20"/>
          <w:color w:val="auto"/>
        </w:rPr>
      </w:pPr>
      <w:r>
        <w:rPr>
          <w:rFonts w:ascii="Arial" w:cs="Arial" w:eastAsia="Arial" w:hAnsi="Arial"/>
          <w:sz w:val="13"/>
          <w:szCs w:val="13"/>
          <w:color w:val="auto"/>
        </w:rPr>
        <w:t>Immediately following the completion of the Transactions and the IPO, the Company owned 26.8% of the economic interests in GHH, LLC, while the Continuing Equity Owners owned the remaining 73.2% of the economic interests in GHH, LLC. Net income and loss is allocated to the Continuing Equity Owners on a pro rata basis, assuming that any Class B common units that are subject to time-based vesting requirements are fully vested. The net loss attributable to non-controlling interests for the twelve months ended December 31, 2021 and 2020, represents the Continuing Equity Owners’ pro rata share of net loss of the Company for the period subsequent to the IPO and the Transactions.</w:t>
      </w:r>
    </w:p>
    <w:p>
      <w:pPr>
        <w:spacing w:after="0" w:line="166" w:lineRule="exact"/>
        <w:rPr>
          <w:sz w:val="20"/>
          <w:szCs w:val="20"/>
          <w:color w:val="auto"/>
        </w:rPr>
      </w:pPr>
    </w:p>
    <w:p>
      <w:pPr>
        <w:ind w:right="220"/>
        <w:spacing w:after="0" w:line="244" w:lineRule="auto"/>
        <w:rPr>
          <w:sz w:val="20"/>
          <w:szCs w:val="20"/>
          <w:color w:val="auto"/>
        </w:rPr>
      </w:pPr>
      <w:r>
        <w:rPr>
          <w:rFonts w:ascii="Arial" w:cs="Arial" w:eastAsia="Arial" w:hAnsi="Arial"/>
          <w:sz w:val="13"/>
          <w:szCs w:val="13"/>
          <w:color w:val="auto"/>
        </w:rPr>
        <w:t>The Transactions were considered transactions between entities under common control. As a result, the financial statements for periods prior to the IPO and the Transactions have been adjusted to combine the previously separate entities for presentation purposes.</w:t>
      </w:r>
    </w:p>
    <w:p>
      <w:pPr>
        <w:spacing w:after="0" w:line="163" w:lineRule="exact"/>
        <w:rPr>
          <w:sz w:val="20"/>
          <w:szCs w:val="20"/>
          <w:color w:val="auto"/>
        </w:rPr>
      </w:pPr>
    </w:p>
    <w:p>
      <w:pPr>
        <w:ind w:right="60"/>
        <w:spacing w:after="0" w:line="239" w:lineRule="auto"/>
        <w:rPr>
          <w:sz w:val="20"/>
          <w:szCs w:val="20"/>
          <w:color w:val="auto"/>
        </w:rPr>
      </w:pPr>
      <w:r>
        <w:rPr>
          <w:rFonts w:ascii="Arial" w:cs="Arial" w:eastAsia="Arial" w:hAnsi="Arial"/>
          <w:sz w:val="13"/>
          <w:szCs w:val="13"/>
          <w:color w:val="auto"/>
        </w:rPr>
        <w:t>GHH, LLC is a holding company with no operating assets or operations and was formed to acquire a 100% equity interest in Norvax, LLC (“Norvax”). On May 6, 2020, Blizzard Parent, LLC changed its name to GoHealth Holdings, LLC. GHH, LLC owns 100% of Blizzard Midco, LLC, which owns 100% of Norvax. For all of the periods reported in these Consolidated Financial Statements, GHH, LLC has not and does not have any material operations on a standalone basis, and all of the operations of GHH, LLC are carried out by Norvax. On August 15, 2019, GHH, LLC entered a series of arrangements to acquire 100% of the equity interest in Norvax. On September 13, 2019, Blizzard Merger Sub LLC, a transitory merger company of Blizzard Midco, LLC, merged into Norvax, with Norvax continuing as the surviving limited liability company and GHH, LLC's operating entity (the “Acquisition”). The Acquisition’s purchase price allocation was final as of September 30, 2020 with no adjustments made in the measurement period.</w:t>
      </w:r>
    </w:p>
    <w:p>
      <w:pPr>
        <w:spacing w:after="0" w:line="168" w:lineRule="exact"/>
        <w:rPr>
          <w:sz w:val="20"/>
          <w:szCs w:val="20"/>
          <w:color w:val="auto"/>
        </w:rPr>
      </w:pPr>
    </w:p>
    <w:p>
      <w:pPr>
        <w:ind w:right="120"/>
        <w:spacing w:after="0"/>
        <w:rPr>
          <w:sz w:val="20"/>
          <w:szCs w:val="20"/>
          <w:color w:val="auto"/>
        </w:rPr>
      </w:pPr>
      <w:r>
        <w:rPr>
          <w:rFonts w:ascii="Arial" w:cs="Arial" w:eastAsia="Arial" w:hAnsi="Arial"/>
          <w:sz w:val="13"/>
          <w:szCs w:val="13"/>
          <w:color w:val="auto"/>
        </w:rPr>
        <w:t>As a result of the Acquisition, Norvax was determined to be the accounting acquirer and Norvax’s historical assets and liabilities are reflected at fair value as of the acquisition date. The financial information for the period after September 13, 2019, represents the consolidated financial information of the “Successor” company (“Successor 2019 Period”). Prior to September 13, 2019, the Consolidated Financial Statements include the accounts of the “Predecessor” company (“Predecessor 2019 Period”). Due to the change in the basis of accounting resulting from the application of the acquisition method of accounting, the Predecessor’s Consolidated Financial Statements and the Successor’s Consolidated Financial Statements are not necessarily comparable.</w:t>
      </w:r>
    </w:p>
    <w:p>
      <w:pPr>
        <w:spacing w:after="0" w:line="166" w:lineRule="exact"/>
        <w:rPr>
          <w:sz w:val="20"/>
          <w:szCs w:val="20"/>
          <w:color w:val="auto"/>
        </w:rPr>
      </w:pPr>
    </w:p>
    <w:p>
      <w:pPr>
        <w:ind w:right="40"/>
        <w:spacing w:after="0" w:line="239" w:lineRule="auto"/>
        <w:rPr>
          <w:sz w:val="20"/>
          <w:szCs w:val="20"/>
          <w:color w:val="auto"/>
        </w:rPr>
      </w:pPr>
      <w:r>
        <w:rPr>
          <w:rFonts w:ascii="Arial" w:cs="Arial" w:eastAsia="Arial" w:hAnsi="Arial"/>
          <w:sz w:val="13"/>
          <w:szCs w:val="13"/>
          <w:color w:val="auto"/>
        </w:rPr>
        <w:t>The accompanying Consolidated Financial Statements include the accounts of the Company and its wholly-owned subsidiaries. The Consolidated Financial Statements have been prepared in conformity with accounting principles generally accepted in the United States of America (“U.S. GAAP”). All intercompany balances and transactions are eliminated in consolidation. Certain prior period amounts have been reclassified to conform with the current period presentation, including a reclassification of unbilled receivables that were previously reported within accounts receivables, net, to prepaid expenses and other current assets within the Consolidated Balance Sheets and Consolidated Statements of Cash Flows. Refer to Note 10, “Revenue,” for information on unbilled receivables. These reclassifications had no impact on the Company’s financial position, results of operations, or cash flows.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Use of Estimates</w:t>
      </w:r>
    </w:p>
    <w:p>
      <w:pPr>
        <w:spacing w:after="0" w:line="185" w:lineRule="exact"/>
        <w:rPr>
          <w:sz w:val="20"/>
          <w:szCs w:val="20"/>
          <w:color w:val="auto"/>
        </w:rPr>
      </w:pPr>
    </w:p>
    <w:p>
      <w:pPr>
        <w:ind w:right="240"/>
        <w:spacing w:after="0"/>
        <w:rPr>
          <w:sz w:val="20"/>
          <w:szCs w:val="20"/>
          <w:color w:val="auto"/>
        </w:rPr>
      </w:pPr>
      <w:r>
        <w:rPr>
          <w:rFonts w:ascii="Arial" w:cs="Arial" w:eastAsia="Arial" w:hAnsi="Arial"/>
          <w:sz w:val="13"/>
          <w:szCs w:val="13"/>
          <w:color w:val="auto"/>
        </w:rPr>
        <w:t>The preparation of the Consolidated Financial Statements in conformity with U.S. GAAP requires management to make estimates, judgments, and assumptions that affect the reported amounts of assets and liabilities at the date of the Consolidated Financial Statements, and the reported amounts of revenues and expenses during the reporting periods. The Company bases its estimates on historical experience and on various other assumptions that management believes are reasonable under the circumstances, the results of which form the basis for making judgments about carrying values of assets and liabilities that are not readily apparent from other sources. Actual results could differ from those estimates.</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Cash and Cash Equivalents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70</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85" w:right="319" w:bottom="1440" w:gutter="0" w:footer="0" w:header="0"/>
        </w:sectPr>
      </w:pPr>
    </w:p>
    <w:bookmarkStart w:id="73" w:name="page74"/>
    <w:bookmarkEnd w:id="73"/>
    <w:p>
      <w:pPr>
        <w:ind w:right="160"/>
        <w:spacing w:after="0" w:line="244" w:lineRule="auto"/>
        <w:rPr>
          <w:sz w:val="20"/>
          <w:szCs w:val="20"/>
          <w:color w:val="auto"/>
        </w:rPr>
      </w:pPr>
      <w:r>
        <w:rPr>
          <w:rFonts w:ascii="Arial" w:cs="Arial" w:eastAsia="Arial" w:hAnsi="Arial"/>
          <w:sz w:val="13"/>
          <w:szCs w:val="13"/>
          <w:color w:val="auto"/>
        </w:rPr>
        <w:t>The Company considers all investments with an original maturity of 90 days or less from the date of purchase to be cash equivalents. Cash includes all deposits in banks. The Company maintains its cash balances at financial institutions in the United States and Europe.</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Concentration of Credit Risk</w:t>
      </w:r>
    </w:p>
    <w:p>
      <w:pPr>
        <w:spacing w:after="0" w:line="185" w:lineRule="exact"/>
        <w:rPr>
          <w:sz w:val="20"/>
          <w:szCs w:val="20"/>
          <w:color w:val="auto"/>
        </w:rPr>
      </w:pPr>
    </w:p>
    <w:p>
      <w:pPr>
        <w:ind w:right="220"/>
        <w:spacing w:after="0"/>
        <w:rPr>
          <w:sz w:val="20"/>
          <w:szCs w:val="20"/>
          <w:color w:val="auto"/>
        </w:rPr>
      </w:pPr>
      <w:r>
        <w:rPr>
          <w:rFonts w:ascii="Arial" w:cs="Arial" w:eastAsia="Arial" w:hAnsi="Arial"/>
          <w:sz w:val="13"/>
          <w:szCs w:val="13"/>
          <w:color w:val="auto"/>
        </w:rPr>
        <w:t>Financial instruments that potentially subject the Company to concentrations of credit risk consist principally of cash, accounts receivable, unbilled receivables, and commissions receivable. The maximum exposure risk of these accounts is equal to the amounts stated on the Company’s Consolidated Balance Sheets. The Company places its cash with high-credit-quality financial institutions and, at times, such deposits may be in excess of federally insured limits. To date, the Company has not experienced any losses on its cash balances and periodic evaluations of the relative credit standing of the financial institutions are performed.</w:t>
      </w:r>
    </w:p>
    <w:p>
      <w:pPr>
        <w:spacing w:after="0" w:line="177" w:lineRule="exact"/>
        <w:rPr>
          <w:sz w:val="20"/>
          <w:szCs w:val="20"/>
          <w:color w:val="auto"/>
        </w:rPr>
      </w:pPr>
    </w:p>
    <w:p>
      <w:pPr>
        <w:ind w:right="40"/>
        <w:spacing w:after="0" w:line="229" w:lineRule="auto"/>
        <w:rPr>
          <w:sz w:val="20"/>
          <w:szCs w:val="20"/>
          <w:color w:val="auto"/>
        </w:rPr>
      </w:pPr>
      <w:r>
        <w:rPr>
          <w:rFonts w:ascii="Arial" w:cs="Arial" w:eastAsia="Arial" w:hAnsi="Arial"/>
          <w:sz w:val="13"/>
          <w:szCs w:val="13"/>
          <w:color w:val="auto"/>
        </w:rPr>
        <w:t>Accounts receivable, unbilled receivables, and commissions receivable are primarily derived from customers located in North America. The Company performs ongoing credit evaluations of customers’ financial condition and requires no collateral from customers. The Company maintains an allowance for doubtful accounts and credit losses based upon the expected collectability of accounts receivable, unbilled receivables, and commissions receivable.</w:t>
      </w:r>
    </w:p>
    <w:p>
      <w:pPr>
        <w:spacing w:after="0" w:line="166" w:lineRule="exact"/>
        <w:rPr>
          <w:sz w:val="20"/>
          <w:szCs w:val="20"/>
          <w:color w:val="auto"/>
        </w:rPr>
      </w:pPr>
    </w:p>
    <w:p>
      <w:pPr>
        <w:jc w:val="both"/>
        <w:ind w:right="20"/>
        <w:spacing w:after="0" w:line="241" w:lineRule="auto"/>
        <w:rPr>
          <w:sz w:val="20"/>
          <w:szCs w:val="20"/>
          <w:color w:val="auto"/>
        </w:rPr>
      </w:pPr>
      <w:r>
        <w:rPr>
          <w:rFonts w:ascii="Arial" w:cs="Arial" w:eastAsia="Arial" w:hAnsi="Arial"/>
          <w:sz w:val="13"/>
          <w:szCs w:val="13"/>
          <w:color w:val="auto"/>
        </w:rPr>
        <w:t>As of December 31, 2021, three customers each represented 10% or more of the Company’s total accounts receivable and unbilled receivables and, in aggregate, represented 87%, or $28.7 million, of the combined total. As of December 31, 2020, four customers each represented 10% or more of the Company’s total accounts receivable and unbilled receivables and, in aggregate, represented 86%, or $23.2 million, of the combined total.</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Foreign Currency</w:t>
      </w:r>
    </w:p>
    <w:p>
      <w:pPr>
        <w:spacing w:after="0" w:line="185" w:lineRule="exact"/>
        <w:rPr>
          <w:sz w:val="20"/>
          <w:szCs w:val="20"/>
          <w:color w:val="auto"/>
        </w:rPr>
      </w:pPr>
    </w:p>
    <w:p>
      <w:pPr>
        <w:ind w:right="20"/>
        <w:spacing w:after="0"/>
        <w:rPr>
          <w:sz w:val="20"/>
          <w:szCs w:val="20"/>
          <w:color w:val="auto"/>
        </w:rPr>
      </w:pPr>
      <w:r>
        <w:rPr>
          <w:rFonts w:ascii="Arial" w:cs="Arial" w:eastAsia="Arial" w:hAnsi="Arial"/>
          <w:sz w:val="13"/>
          <w:szCs w:val="13"/>
          <w:color w:val="auto"/>
        </w:rPr>
        <w:t>The Company is exposed to currency fluctuations from certain vendors that transact business in Euros. Assets and liabilities of the Company’s foreign affiliate in Slovakia, which uses the local currency as its functional currency, are translated at period-end exchange rates, and income and expense items are translated at a rate that approximates the weighted-average exchange rate for the period. Translation adjustments are included as a component of accumulated other comprehensive income (loss). Gains and losses from foreign currency transactions are included in other (income) expense, net and are immaterial for all periods presented.</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Accounts Receivable and Allowance for Doubtful Accounts</w:t>
      </w:r>
    </w:p>
    <w:p>
      <w:pPr>
        <w:spacing w:after="0" w:line="185" w:lineRule="exact"/>
        <w:rPr>
          <w:sz w:val="20"/>
          <w:szCs w:val="20"/>
          <w:color w:val="auto"/>
        </w:rPr>
      </w:pPr>
    </w:p>
    <w:p>
      <w:pPr>
        <w:ind w:right="40"/>
        <w:spacing w:after="0" w:line="241" w:lineRule="auto"/>
        <w:rPr>
          <w:sz w:val="20"/>
          <w:szCs w:val="20"/>
          <w:color w:val="auto"/>
        </w:rPr>
      </w:pPr>
      <w:r>
        <w:rPr>
          <w:rFonts w:ascii="Arial" w:cs="Arial" w:eastAsia="Arial" w:hAnsi="Arial"/>
          <w:sz w:val="13"/>
          <w:szCs w:val="13"/>
          <w:color w:val="auto"/>
        </w:rPr>
        <w:t>Accounts receivable are recorded at the invoiced amount and typically do not bear interest. The Company provides allowances for doubtful accounts related to accounts receivable for estimated losses resulting from the inability of its customers to make required payments. The Company takes into consideration the overall quality of the receivables portfolio, along with specifically identified customer risks in establishing allowances. Accounts receivable are charged off against the allowance for doubtful accounts when it is determined the receivable is uncollectible.</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Commissions Receivable</w:t>
      </w:r>
    </w:p>
    <w:p>
      <w:pPr>
        <w:spacing w:after="0" w:line="185" w:lineRule="exact"/>
        <w:rPr>
          <w:sz w:val="20"/>
          <w:szCs w:val="20"/>
          <w:color w:val="auto"/>
        </w:rPr>
      </w:pPr>
    </w:p>
    <w:p>
      <w:pPr>
        <w:ind w:right="160"/>
        <w:spacing w:after="0" w:line="239" w:lineRule="auto"/>
        <w:rPr>
          <w:sz w:val="20"/>
          <w:szCs w:val="20"/>
          <w:color w:val="auto"/>
        </w:rPr>
      </w:pPr>
      <w:r>
        <w:rPr>
          <w:rFonts w:ascii="Arial" w:cs="Arial" w:eastAsia="Arial" w:hAnsi="Arial"/>
          <w:sz w:val="13"/>
          <w:szCs w:val="13"/>
          <w:color w:val="auto"/>
        </w:rPr>
        <w:t>Commissions receivable are contract assets that represent estimated variable consideration for commissions to be received from insurance carriers for performance obligations that have been satisfied. The current portion of commissions receivable are future commissions expected to be received within one year, while the non-current portion of commissions receivable are expected to be received beyond one year. The Company estimates the allowance for credit losses using available information from internal and external sources, related to historical experiences, current conditions, and forecasts. Our estimates of loss given default are determined by using our historical collections data as well as historical information obtained through our research and review of other peer companies. Our estimated exposure of default is determined by applying these internal and external factors to our commission receivable balances.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Commissions Payable</w:t>
      </w:r>
    </w:p>
    <w:p>
      <w:pPr>
        <w:spacing w:after="0" w:line="185" w:lineRule="exact"/>
        <w:rPr>
          <w:sz w:val="20"/>
          <w:szCs w:val="20"/>
          <w:color w:val="auto"/>
        </w:rPr>
      </w:pPr>
    </w:p>
    <w:p>
      <w:pPr>
        <w:ind w:right="260"/>
        <w:spacing w:after="0" w:line="244" w:lineRule="auto"/>
        <w:rPr>
          <w:sz w:val="20"/>
          <w:szCs w:val="20"/>
          <w:color w:val="auto"/>
        </w:rPr>
      </w:pPr>
      <w:r>
        <w:rPr>
          <w:rFonts w:ascii="Arial" w:cs="Arial" w:eastAsia="Arial" w:hAnsi="Arial"/>
          <w:sz w:val="13"/>
          <w:szCs w:val="13"/>
          <w:color w:val="auto"/>
        </w:rPr>
        <w:t>Commissions payable represent the estimated share of policy commissions earned by the Company’s external channel agents. The current portion of commissions payable are future commissions expected to be paid within one year, while the non-current portion of commissions payable are expected to be paid beyond one year.</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Business Combinations</w:t>
      </w:r>
    </w:p>
    <w:p>
      <w:pPr>
        <w:spacing w:after="0" w:line="185" w:lineRule="exact"/>
        <w:rPr>
          <w:sz w:val="20"/>
          <w:szCs w:val="20"/>
          <w:color w:val="auto"/>
        </w:rPr>
      </w:pPr>
    </w:p>
    <w:p>
      <w:pPr>
        <w:ind w:right="260"/>
        <w:spacing w:after="0" w:line="241" w:lineRule="auto"/>
        <w:rPr>
          <w:sz w:val="20"/>
          <w:szCs w:val="20"/>
          <w:color w:val="auto"/>
        </w:rPr>
      </w:pPr>
      <w:r>
        <w:rPr>
          <w:rFonts w:ascii="Arial" w:cs="Arial" w:eastAsia="Arial" w:hAnsi="Arial"/>
          <w:sz w:val="13"/>
          <w:szCs w:val="13"/>
          <w:color w:val="auto"/>
        </w:rPr>
        <w:t>The Company allocates the fair value of the purchase consideration of its acquired businesses to the tangible assets, liabilities assumed, and intangible assets acquired based on the estimated fair values at the acquisition date. The excess of the fair value of purchase consideration over the fair values of these identifiable assets and liabilities is recorded as goodwill. Transaction costs are recognized separately from the business combination and are expensed as incurred.</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Property, Equipment, and Capitalized Software, Net</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71</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85" w:right="319" w:bottom="1440" w:gutter="0" w:footer="0" w:header="0"/>
        </w:sectPr>
      </w:pPr>
    </w:p>
    <w:bookmarkStart w:id="74" w:name="page75"/>
    <w:bookmarkEnd w:id="74"/>
    <w:p>
      <w:pPr>
        <w:spacing w:after="0"/>
        <w:rPr>
          <w:sz w:val="20"/>
          <w:szCs w:val="20"/>
          <w:color w:val="auto"/>
        </w:rPr>
      </w:pPr>
      <w:r>
        <w:rPr>
          <w:rFonts w:ascii="Arial" w:cs="Arial" w:eastAsia="Arial" w:hAnsi="Arial"/>
          <w:sz w:val="12"/>
          <w:szCs w:val="12"/>
          <w:color w:val="auto"/>
        </w:rPr>
        <w:t>Property and equipment are stated at cost, less accumulated depreciation. Depreciation is computed using the straight-line method over the estimated useful lives as follows:</w:t>
      </w:r>
    </w:p>
    <w:p>
      <w:pPr>
        <w:sectPr>
          <w:pgSz w:w="11900" w:h="16838" w:orient="portrait"/>
          <w:cols w:equalWidth="0" w:num="1">
            <w:col w:w="11280"/>
          </w:cols>
          <w:pgMar w:left="300" w:top="1085" w:right="319" w:bottom="1440" w:gutter="0" w:footer="0" w:header="0"/>
        </w:sectPr>
      </w:pPr>
    </w:p>
    <w:p>
      <w:pPr>
        <w:spacing w:after="0" w:line="19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Asset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2493010"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493010" cy="6985"/>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Arial" w:cs="Arial" w:eastAsia="Arial" w:hAnsi="Arial"/>
          <w:sz w:val="12"/>
          <w:szCs w:val="12"/>
          <w:color w:val="auto"/>
        </w:rPr>
        <w:t>Computer equipment and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2493010"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493010" cy="698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3"/>
          <w:szCs w:val="13"/>
          <w:color w:val="auto"/>
        </w:rPr>
        <w:t>Office equipment and furniture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2493010"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493010" cy="698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13"/>
          <w:szCs w:val="13"/>
          <w:color w:val="auto"/>
        </w:rPr>
        <w:t>Leasehold improvements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Estimated Useful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4615180"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615180" cy="6985"/>
                    </a:xfrm>
                    <a:prstGeom prst="rect">
                      <a:avLst/>
                    </a:prstGeom>
                    <a:noFill/>
                  </pic:spPr>
                </pic:pic>
              </a:graphicData>
            </a:graphic>
          </wp:anchor>
        </w:drawing>
      </w:r>
    </w:p>
    <w:p>
      <w:pPr>
        <w:spacing w:after="0" w:line="27" w:lineRule="exact"/>
        <w:rPr>
          <w:sz w:val="20"/>
          <w:szCs w:val="20"/>
          <w:color w:val="auto"/>
        </w:rPr>
      </w:pPr>
    </w:p>
    <w:p>
      <w:pPr>
        <w:ind w:left="120" w:hanging="111"/>
        <w:spacing w:after="0"/>
        <w:tabs>
          <w:tab w:leader="none" w:pos="1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years</w:t>
      </w:r>
    </w:p>
    <w:p>
      <w:pPr>
        <w:spacing w:after="0" w:line="3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7 years</w:t>
      </w:r>
    </w:p>
    <w:p>
      <w:pPr>
        <w:spacing w:after="0" w:line="3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2"/>
          <w:szCs w:val="12"/>
          <w:color w:val="auto"/>
        </w:rPr>
        <w:t>Lesser of useful life (typically 5 years) or remaining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-101600</wp:posOffset>
            </wp:positionV>
            <wp:extent cx="4615180"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61518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-215900</wp:posOffset>
            </wp:positionV>
            <wp:extent cx="4615180"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615180" cy="698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3300" w:space="720"/>
            <w:col w:w="7260"/>
          </w:cols>
          <w:pgMar w:left="300" w:top="1085" w:right="319"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Arial" w:cs="Arial" w:eastAsia="Arial" w:hAnsi="Arial"/>
          <w:sz w:val="12"/>
          <w:szCs w:val="12"/>
          <w:color w:val="auto"/>
        </w:rPr>
        <w:t>Expenditures for major renewals and improvements that extend the useful life of property and equipment are capitalized. Expenditures for maintenance and repairs are charged to expense as incurred.</w:t>
      </w:r>
    </w:p>
    <w:p>
      <w:pPr>
        <w:spacing w:after="0" w:line="180" w:lineRule="exact"/>
        <w:rPr>
          <w:sz w:val="20"/>
          <w:szCs w:val="20"/>
          <w:color w:val="auto"/>
        </w:rPr>
      </w:pPr>
    </w:p>
    <w:p>
      <w:pPr>
        <w:ind w:right="120"/>
        <w:spacing w:after="0" w:line="239" w:lineRule="auto"/>
        <w:rPr>
          <w:sz w:val="20"/>
          <w:szCs w:val="20"/>
          <w:color w:val="auto"/>
        </w:rPr>
      </w:pPr>
      <w:r>
        <w:rPr>
          <w:rFonts w:ascii="Arial" w:cs="Arial" w:eastAsia="Arial" w:hAnsi="Arial"/>
          <w:sz w:val="13"/>
          <w:szCs w:val="13"/>
          <w:color w:val="auto"/>
        </w:rPr>
        <w:t xml:space="preserve">The Company accounts for costs incurred to develop and maintain source code software and other internally developed software applications, primarily consisting of employee-related and third-party contractor costs, pursuant to Accounting Standards Codification (“ASC”) Topic 350-40, </w:t>
      </w:r>
      <w:r>
        <w:rPr>
          <w:rFonts w:ascii="Arial" w:cs="Arial" w:eastAsia="Arial" w:hAnsi="Arial"/>
          <w:sz w:val="13"/>
          <w:szCs w:val="13"/>
          <w:i w:val="1"/>
          <w:iCs w:val="1"/>
          <w:color w:val="auto"/>
        </w:rPr>
        <w:t>Internal Use Software</w:t>
      </w:r>
      <w:r>
        <w:rPr>
          <w:rFonts w:ascii="Arial" w:cs="Arial" w:eastAsia="Arial" w:hAnsi="Arial"/>
          <w:sz w:val="13"/>
          <w:szCs w:val="13"/>
          <w:color w:val="auto"/>
        </w:rPr>
        <w:t>. Costs incurred during the planning and post-implementation phases of software development are expensed. During the application development phase, costs incurred are capitalized. Capitalized software development costs are amortized over the estimated useful life, which is generally three years. These capitalized costs are recorded within property, equipment, and capitalized software, net, on the Company’s Consolidated Balance Sheets and the amortization is charged to technology expense in the Consolidated Statements of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Leases</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On January 1, 2021, the Company adopted ASU 2016-02, Leases (Topic 842), using the modified retrospective approach. Refer to Note 11 “Leases” for further details.</w:t>
      </w:r>
    </w:p>
    <w:p>
      <w:pPr>
        <w:spacing w:after="0" w:line="169" w:lineRule="exact"/>
        <w:rPr>
          <w:sz w:val="20"/>
          <w:szCs w:val="20"/>
          <w:color w:val="auto"/>
        </w:rPr>
      </w:pPr>
    </w:p>
    <w:p>
      <w:pPr>
        <w:ind w:right="20"/>
        <w:spacing w:after="0"/>
        <w:rPr>
          <w:sz w:val="20"/>
          <w:szCs w:val="20"/>
          <w:color w:val="auto"/>
        </w:rPr>
      </w:pPr>
      <w:r>
        <w:rPr>
          <w:rFonts w:ascii="Arial" w:cs="Arial" w:eastAsia="Arial" w:hAnsi="Arial"/>
          <w:sz w:val="13"/>
          <w:szCs w:val="13"/>
          <w:color w:val="auto"/>
        </w:rPr>
        <w:t>The Company has entered into operating and finance lease agreements with operating leases primarily consisting of real estate and data centers, and finance leases primarily consisting of office equipment. At inception of the arrangement, the Company determines if an arrangement is a lease. If an arrangement contains a lease, the Company recognizes a right-of-use (“ROU”) asset and a lease liability on the consolidated balance sheet at lease commencement. The Company has elected the practical expedient to apply the short-term lease recognition exemption for leases with an initial term of 12 months or less.</w:t>
      </w:r>
    </w:p>
    <w:p>
      <w:pPr>
        <w:spacing w:after="0" w:line="166" w:lineRule="exact"/>
        <w:rPr>
          <w:sz w:val="20"/>
          <w:szCs w:val="20"/>
          <w:color w:val="auto"/>
        </w:rPr>
      </w:pPr>
    </w:p>
    <w:p>
      <w:pPr>
        <w:ind w:right="100"/>
        <w:spacing w:after="0" w:line="239" w:lineRule="auto"/>
        <w:rPr>
          <w:sz w:val="20"/>
          <w:szCs w:val="20"/>
          <w:color w:val="auto"/>
        </w:rPr>
      </w:pPr>
      <w:r>
        <w:rPr>
          <w:rFonts w:ascii="Arial" w:cs="Arial" w:eastAsia="Arial" w:hAnsi="Arial"/>
          <w:sz w:val="13"/>
          <w:szCs w:val="13"/>
          <w:color w:val="auto"/>
        </w:rPr>
        <w:t>Operating lease ROU assets represent our right to use an underlying asset and are based upon the lease liabilities adjusted for prepayments or accrued lease payments, initial direct costs, lease incentives, and impairment of operating lease assets. Lease liabilities represent the present value of lease payments over the lease term. The implicit rate within each lease is not readily determinable and therefore we use our incremental borrowing rate at the lease commencement date to determine the present value of the lease payments. The determination of the incremental borrowing rate requires judgement. We determined our incremental borrowing rate for each lease using indicative bank borrowing rates, adjusted for various factors including level of collateralization, term and treasury yield curves that align with the terms of a lease.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We do not include any renewal options in the lease terms for calculating lease liability, as we are not reasonably certain that we will exercise these renewal options at the time of lease commencement.</w:t>
      </w:r>
    </w:p>
    <w:p>
      <w:pPr>
        <w:spacing w:after="0" w:line="180" w:lineRule="exact"/>
        <w:rPr>
          <w:sz w:val="20"/>
          <w:szCs w:val="20"/>
          <w:color w:val="auto"/>
        </w:rPr>
      </w:pPr>
    </w:p>
    <w:p>
      <w:pPr>
        <w:jc w:val="both"/>
        <w:ind w:right="20"/>
        <w:spacing w:after="0" w:line="241" w:lineRule="auto"/>
        <w:rPr>
          <w:sz w:val="20"/>
          <w:szCs w:val="20"/>
          <w:color w:val="auto"/>
        </w:rPr>
      </w:pPr>
      <w:r>
        <w:rPr>
          <w:rFonts w:ascii="Arial" w:cs="Arial" w:eastAsia="Arial" w:hAnsi="Arial"/>
          <w:sz w:val="13"/>
          <w:szCs w:val="13"/>
          <w:color w:val="auto"/>
        </w:rPr>
        <w:t>The Company has lease agreements with lease and nonlease components. The Company elected the practical expedient to not separate nonlease components from the associated lease components and account for each separate lease component and its associated nonlease components as a single lease component. The Company has applied this accounting policy election to all underlying asset classes.</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Goodwill and Intangible Assets</w:t>
      </w:r>
    </w:p>
    <w:p>
      <w:pPr>
        <w:spacing w:after="0" w:line="172" w:lineRule="exact"/>
        <w:rPr>
          <w:sz w:val="20"/>
          <w:szCs w:val="20"/>
          <w:color w:val="auto"/>
        </w:rPr>
      </w:pPr>
    </w:p>
    <w:p>
      <w:pPr>
        <w:ind w:right="60"/>
        <w:spacing w:after="0" w:line="226" w:lineRule="auto"/>
        <w:rPr>
          <w:sz w:val="20"/>
          <w:szCs w:val="20"/>
          <w:color w:val="auto"/>
        </w:rPr>
      </w:pPr>
      <w:r>
        <w:rPr>
          <w:rFonts w:ascii="Arial" w:cs="Arial" w:eastAsia="Arial" w:hAnsi="Arial"/>
          <w:sz w:val="13"/>
          <w:szCs w:val="13"/>
          <w:color w:val="auto"/>
        </w:rPr>
        <w:t>The Company tests goodwill for impairment on an annual basis in the fourth quarter of each year, on November 30</w:t>
      </w:r>
      <w:r>
        <w:rPr>
          <w:rFonts w:ascii="Arial" w:cs="Arial" w:eastAsia="Arial" w:hAnsi="Arial"/>
          <w:sz w:val="16"/>
          <w:szCs w:val="16"/>
          <w:color w:val="auto"/>
          <w:vertAlign w:val="superscript"/>
        </w:rPr>
        <w:t>th</w:t>
      </w:r>
      <w:r>
        <w:rPr>
          <w:rFonts w:ascii="Arial" w:cs="Arial" w:eastAsia="Arial" w:hAnsi="Arial"/>
          <w:sz w:val="13"/>
          <w:szCs w:val="13"/>
          <w:color w:val="auto"/>
        </w:rPr>
        <w:t>, or whenever events or changes in circumstances indicate that the goodwill may be impaired.</w:t>
      </w:r>
    </w:p>
    <w:p>
      <w:pPr>
        <w:spacing w:after="0" w:line="166" w:lineRule="exact"/>
        <w:rPr>
          <w:sz w:val="20"/>
          <w:szCs w:val="20"/>
          <w:color w:val="auto"/>
        </w:rPr>
      </w:pPr>
    </w:p>
    <w:p>
      <w:pPr>
        <w:ind w:right="20"/>
        <w:spacing w:after="0" w:line="241" w:lineRule="auto"/>
        <w:rPr>
          <w:sz w:val="20"/>
          <w:szCs w:val="20"/>
          <w:color w:val="auto"/>
        </w:rPr>
      </w:pPr>
      <w:r>
        <w:rPr>
          <w:rFonts w:ascii="Arial" w:cs="Arial" w:eastAsia="Arial" w:hAnsi="Arial"/>
          <w:sz w:val="13"/>
          <w:szCs w:val="13"/>
          <w:color w:val="auto"/>
        </w:rPr>
        <w:t>During the year ended December 31, 2021, the Company recognized goodwill impairment charges of $386.6 million, within "Goodwill impairment charges" in the Consolidated Statement of Operations. See Note 4 "Goodwill and Intangibles Assets" for further discussion over the goodwill impairment charges. There was no impairment of goodwill for the twelve months ended December 31, 2020 and the Successor 2019 period.</w:t>
      </w:r>
    </w:p>
    <w:p>
      <w:pPr>
        <w:spacing w:after="0" w:line="165" w:lineRule="exact"/>
        <w:rPr>
          <w:sz w:val="20"/>
          <w:szCs w:val="20"/>
          <w:color w:val="auto"/>
        </w:rPr>
      </w:pPr>
    </w:p>
    <w:p>
      <w:pPr>
        <w:ind w:right="80"/>
        <w:spacing w:after="0"/>
        <w:rPr>
          <w:sz w:val="20"/>
          <w:szCs w:val="20"/>
          <w:color w:val="auto"/>
        </w:rPr>
      </w:pPr>
      <w:r>
        <w:rPr>
          <w:rFonts w:ascii="Arial" w:cs="Arial" w:eastAsia="Arial" w:hAnsi="Arial"/>
          <w:sz w:val="13"/>
          <w:szCs w:val="13"/>
          <w:color w:val="auto"/>
        </w:rPr>
        <w:t>An intangible asset determined to have an indefinite useful life is not amortized until its useful life is determined to no longer be indefinite. Indefinite-lived intangible assets are evaluated each reporting period to determine whether events and circumstances continue to support an indefinite useful life. Indefinite-lived intangible assets are tested for impairment annually, or more frequently if events or changes in circumstances indicate that the asset might be impaired, such as a significant decline in the observable market value of an asset, a significant change in the extent or manner in which an asset is used, or any other significant, adverse change that would indicate that the carrying amount of an indefinite-lived intangible asset may not be</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72</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85" w:right="31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3"/>
          <w:szCs w:val="13"/>
          <w:color w:val="auto"/>
        </w:rPr>
        <w:t>recoverable. If the carrying amount of an indefinite-lived intangible asset exceeds its fair value, an impairment loss is recognized in an amount equal to that excess.</w:t>
      </w:r>
    </w:p>
    <w:p>
      <w:pPr>
        <w:spacing w:after="0" w:line="169"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Significant judgment is applied when goodwill and indefinite-lived intangible assets are assessed for impairment. This judgment may include an assessment of qualitative or quantitative factors, such as developing cash flow projections and selecting appropriate royalty and discount rates.</w:t>
      </w:r>
    </w:p>
    <w:p>
      <w:pPr>
        <w:spacing w:after="0" w:line="163" w:lineRule="exact"/>
        <w:rPr>
          <w:sz w:val="20"/>
          <w:szCs w:val="20"/>
          <w:color w:val="auto"/>
        </w:rPr>
      </w:pPr>
    </w:p>
    <w:p>
      <w:pPr>
        <w:ind w:right="160"/>
        <w:spacing w:after="0"/>
        <w:rPr>
          <w:sz w:val="20"/>
          <w:szCs w:val="20"/>
          <w:color w:val="auto"/>
        </w:rPr>
      </w:pPr>
      <w:r>
        <w:rPr>
          <w:rFonts w:ascii="Arial" w:cs="Arial" w:eastAsia="Arial" w:hAnsi="Arial"/>
          <w:sz w:val="13"/>
          <w:szCs w:val="13"/>
          <w:color w:val="auto"/>
        </w:rPr>
        <w:t>The Company amortizes the cost of definite-lived intangible assets over the respective estimated useful lives on a straight-line basis. Significant judgment is applied when evaluating if an intangible asset has a definite useful life. Intangible assets subject to amortization are also evaluated for impairment when indicators of impairment are determined to exist. Definite-lived intangible assets could become impaired in the future as a result of declines in profitability due to changes in volume, market pricing, cost, manner in which an asset is used, laws and regulations, or the business environment.</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Impairment of Long-Lived Assets</w:t>
      </w:r>
    </w:p>
    <w:p>
      <w:pPr>
        <w:spacing w:after="0" w:line="185" w:lineRule="exact"/>
        <w:rPr>
          <w:sz w:val="20"/>
          <w:szCs w:val="20"/>
          <w:color w:val="auto"/>
        </w:rPr>
      </w:pPr>
    </w:p>
    <w:p>
      <w:pPr>
        <w:jc w:val="both"/>
        <w:ind w:right="400"/>
        <w:spacing w:after="0" w:line="271" w:lineRule="auto"/>
        <w:rPr>
          <w:sz w:val="20"/>
          <w:szCs w:val="20"/>
          <w:color w:val="auto"/>
        </w:rPr>
      </w:pPr>
      <w:r>
        <w:rPr>
          <w:rFonts w:ascii="Arial" w:cs="Arial" w:eastAsia="Arial" w:hAnsi="Arial"/>
          <w:sz w:val="12"/>
          <w:szCs w:val="12"/>
          <w:color w:val="auto"/>
        </w:rPr>
        <w:t>The Company reviews long-lived assets, primarily property, equipment, and capitalized software, net, and definite-lived intangible assets, for impairment when facts or circumstances indicate the carrying amount of an asset or asset group may not be recoverable. If impairment indicators are present and the estimated future undiscounted cash flows are less than the carrying value of the assets, the carrying values are reduced to the estimated fair value. Fair values are determined based on quoted market values, discounted cash flows or external appraisals, as applicable.</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Fair Value of Financial Instruments</w:t>
      </w:r>
    </w:p>
    <w:p>
      <w:pPr>
        <w:spacing w:after="0" w:line="185" w:lineRule="exact"/>
        <w:rPr>
          <w:sz w:val="20"/>
          <w:szCs w:val="20"/>
          <w:color w:val="auto"/>
        </w:rPr>
      </w:pPr>
    </w:p>
    <w:p>
      <w:pPr>
        <w:ind w:right="60"/>
        <w:spacing w:after="0" w:line="244" w:lineRule="auto"/>
        <w:rPr>
          <w:sz w:val="20"/>
          <w:szCs w:val="20"/>
          <w:color w:val="auto"/>
        </w:rPr>
      </w:pPr>
      <w:r>
        <w:rPr>
          <w:rFonts w:ascii="Arial" w:cs="Arial" w:eastAsia="Arial" w:hAnsi="Arial"/>
          <w:sz w:val="13"/>
          <w:szCs w:val="13"/>
          <w:color w:val="auto"/>
        </w:rPr>
        <w:t>The Company applies the accounting guidance related to fair value measurements and discloses information on all financial instruments reported at fair value that enables an assessment of the inputs used in determining the reported fair values. See Note 3, “Fair Value Measurements,” for further discussion around fair value determinations.</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Revenue Recognition</w:t>
      </w:r>
    </w:p>
    <w:p>
      <w:pPr>
        <w:spacing w:after="0" w:line="173" w:lineRule="exact"/>
        <w:rPr>
          <w:sz w:val="20"/>
          <w:szCs w:val="20"/>
          <w:color w:val="auto"/>
        </w:rPr>
      </w:pPr>
    </w:p>
    <w:p>
      <w:pPr>
        <w:ind w:right="40"/>
        <w:spacing w:after="0" w:line="244" w:lineRule="auto"/>
        <w:rPr>
          <w:sz w:val="20"/>
          <w:szCs w:val="20"/>
          <w:color w:val="auto"/>
        </w:rPr>
      </w:pPr>
      <w:r>
        <w:rPr>
          <w:rFonts w:ascii="Arial" w:cs="Arial" w:eastAsia="Arial" w:hAnsi="Arial"/>
          <w:sz w:val="13"/>
          <w:szCs w:val="13"/>
          <w:color w:val="auto"/>
        </w:rPr>
        <w:t xml:space="preserve">The Company recognizes revenue in accordance with ASC 606, </w:t>
      </w:r>
      <w:r>
        <w:rPr>
          <w:rFonts w:ascii="Arial" w:cs="Arial" w:eastAsia="Arial" w:hAnsi="Arial"/>
          <w:sz w:val="13"/>
          <w:szCs w:val="13"/>
          <w:i w:val="1"/>
          <w:iCs w:val="1"/>
          <w:color w:val="auto"/>
        </w:rPr>
        <w:t>Revenue from Contracts with Customers</w:t>
      </w:r>
      <w:r>
        <w:rPr>
          <w:rFonts w:ascii="Arial" w:cs="Arial" w:eastAsia="Arial" w:hAnsi="Arial"/>
          <w:sz w:val="13"/>
          <w:szCs w:val="13"/>
          <w:color w:val="auto"/>
        </w:rPr>
        <w:t>. The Company is compensated by the receipt of commission payments from health insurance carriers whose health insurance policies are purchased through the Company’s ecommerce platforms or customer care centers. The Company also generates revenue from non-commission revenue sources, which it refers to as enterprise revenue and which include providing partner marketing and enrollment services, dedicated insurance agent resources for carrier-specific programs, sales of insurance leads to other marketing agencies and carriers, and the implementation and use of the Company’s platform. The Company accounts for payments made under certain carrier-specific arrangements as deductions to revenue.</w:t>
      </w:r>
    </w:p>
    <w:p>
      <w:pPr>
        <w:spacing w:after="0" w:line="165" w:lineRule="exact"/>
        <w:rPr>
          <w:sz w:val="20"/>
          <w:szCs w:val="20"/>
          <w:color w:val="auto"/>
        </w:rPr>
      </w:pPr>
    </w:p>
    <w:p>
      <w:pPr>
        <w:ind w:right="200"/>
        <w:spacing w:after="0" w:line="244" w:lineRule="auto"/>
        <w:rPr>
          <w:sz w:val="20"/>
          <w:szCs w:val="20"/>
          <w:color w:val="auto"/>
        </w:rPr>
      </w:pPr>
      <w:r>
        <w:rPr>
          <w:rFonts w:ascii="Arial" w:cs="Arial" w:eastAsia="Arial" w:hAnsi="Arial"/>
          <w:sz w:val="13"/>
          <w:szCs w:val="13"/>
          <w:color w:val="auto"/>
        </w:rPr>
        <w:t>The core principle of ASC 606 is to recognize revenue upon the transfer of promised goods or services to customers in an amount that reflects the consideration the entity expects to be entitled to in exchange for those goods or services. Accordingly, the Company recognizes revenue for its services in accordance with the following five steps outlined in ASC 606:</w:t>
      </w:r>
    </w:p>
    <w:p>
      <w:pPr>
        <w:spacing w:after="0" w:line="163" w:lineRule="exact"/>
        <w:rPr>
          <w:sz w:val="20"/>
          <w:szCs w:val="20"/>
          <w:color w:val="auto"/>
        </w:rPr>
      </w:pPr>
    </w:p>
    <w:p>
      <w:pPr>
        <w:ind w:left="520" w:right="20" w:hanging="260"/>
        <w:spacing w:after="0" w:line="239" w:lineRule="auto"/>
        <w:tabs>
          <w:tab w:leader="none" w:pos="511" w:val="left"/>
        </w:tabs>
        <w:numPr>
          <w:ilvl w:val="0"/>
          <w:numId w:val="37"/>
        </w:numPr>
        <w:rPr>
          <w:rFonts w:ascii="Arial" w:cs="Arial" w:eastAsia="Arial" w:hAnsi="Arial"/>
          <w:sz w:val="13"/>
          <w:szCs w:val="13"/>
          <w:color w:val="auto"/>
        </w:rPr>
      </w:pPr>
      <w:r>
        <w:rPr>
          <w:rFonts w:ascii="Arial" w:cs="Arial" w:eastAsia="Arial" w:hAnsi="Arial"/>
          <w:sz w:val="13"/>
          <w:szCs w:val="13"/>
          <w:color w:val="auto"/>
        </w:rPr>
        <w:t>Identification of the contract, or contracts, with a customer. A contract with a customer exists when (i) the Company enters into an enforceable contract with a customer that defines each party’s rights regarding the goods or services to be transferred and identifies the payment terms related to these goods or services, (ii) the contract has commercial substance and, (iii) the Company determines that collection of substantially all consideration for goods or services that are transferred is probable based on the customer’s intent and ability to pay the promised consideration. Payment of commissions typically commences within 60 days from the policy effective date. Payment terms from non-commission revenue are typically 30 days from the invoice date.</w:t>
      </w:r>
    </w:p>
    <w:p>
      <w:pPr>
        <w:spacing w:after="0" w:line="168" w:lineRule="exact"/>
        <w:rPr>
          <w:rFonts w:ascii="Arial" w:cs="Arial" w:eastAsia="Arial" w:hAnsi="Arial"/>
          <w:sz w:val="13"/>
          <w:szCs w:val="13"/>
          <w:color w:val="auto"/>
        </w:rPr>
      </w:pPr>
    </w:p>
    <w:p>
      <w:pPr>
        <w:ind w:left="520" w:right="240" w:hanging="260"/>
        <w:spacing w:after="0"/>
        <w:tabs>
          <w:tab w:leader="none" w:pos="511" w:val="left"/>
        </w:tabs>
        <w:numPr>
          <w:ilvl w:val="0"/>
          <w:numId w:val="37"/>
        </w:numPr>
        <w:rPr>
          <w:rFonts w:ascii="Arial" w:cs="Arial" w:eastAsia="Arial" w:hAnsi="Arial"/>
          <w:sz w:val="13"/>
          <w:szCs w:val="13"/>
          <w:color w:val="auto"/>
        </w:rPr>
      </w:pPr>
      <w:r>
        <w:rPr>
          <w:rFonts w:ascii="Arial" w:cs="Arial" w:eastAsia="Arial" w:hAnsi="Arial"/>
          <w:sz w:val="13"/>
          <w:szCs w:val="13"/>
          <w:color w:val="auto"/>
        </w:rPr>
        <w:t>Identification of the performance obligations in the contract. Performance obligations promised in a contract are identified based on the goods or services that will be transferred to the customer that are both capable of being distinct, whereby the customer can benefit from the goods or services either on their own or together with other resources that are readily available from third parties or from the Company, and are distinct in the context of the contract, whereby the transfer of the goods or services is separately identifiable from other promises in the contract.</w:t>
      </w:r>
    </w:p>
    <w:p>
      <w:pPr>
        <w:spacing w:after="0" w:line="165" w:lineRule="exact"/>
        <w:rPr>
          <w:rFonts w:ascii="Arial" w:cs="Arial" w:eastAsia="Arial" w:hAnsi="Arial"/>
          <w:sz w:val="13"/>
          <w:szCs w:val="13"/>
          <w:color w:val="auto"/>
        </w:rPr>
      </w:pPr>
    </w:p>
    <w:p>
      <w:pPr>
        <w:ind w:left="520" w:right="140" w:hanging="260"/>
        <w:spacing w:after="0" w:line="244" w:lineRule="auto"/>
        <w:tabs>
          <w:tab w:leader="none" w:pos="511" w:val="left"/>
        </w:tabs>
        <w:numPr>
          <w:ilvl w:val="0"/>
          <w:numId w:val="37"/>
        </w:numPr>
        <w:rPr>
          <w:rFonts w:ascii="Arial" w:cs="Arial" w:eastAsia="Arial" w:hAnsi="Arial"/>
          <w:sz w:val="13"/>
          <w:szCs w:val="13"/>
          <w:color w:val="auto"/>
        </w:rPr>
      </w:pPr>
      <w:r>
        <w:rPr>
          <w:rFonts w:ascii="Arial" w:cs="Arial" w:eastAsia="Arial" w:hAnsi="Arial"/>
          <w:sz w:val="13"/>
          <w:szCs w:val="13"/>
          <w:color w:val="auto"/>
        </w:rPr>
        <w:t>Determination of the transaction price. The transaction price is determined based on the consideration to which the Company will be entitled in exchange for transferring goods or services to the customer.</w:t>
      </w:r>
    </w:p>
    <w:p>
      <w:pPr>
        <w:spacing w:after="0" w:line="162" w:lineRule="exact"/>
        <w:rPr>
          <w:rFonts w:ascii="Arial" w:cs="Arial" w:eastAsia="Arial" w:hAnsi="Arial"/>
          <w:sz w:val="13"/>
          <w:szCs w:val="13"/>
          <w:color w:val="auto"/>
        </w:rPr>
      </w:pPr>
    </w:p>
    <w:p>
      <w:pPr>
        <w:jc w:val="both"/>
        <w:ind w:left="520" w:right="200" w:hanging="260"/>
        <w:spacing w:after="0" w:line="241" w:lineRule="auto"/>
        <w:tabs>
          <w:tab w:leader="none" w:pos="511" w:val="left"/>
        </w:tabs>
        <w:numPr>
          <w:ilvl w:val="0"/>
          <w:numId w:val="37"/>
        </w:numPr>
        <w:rPr>
          <w:rFonts w:ascii="Arial" w:cs="Arial" w:eastAsia="Arial" w:hAnsi="Arial"/>
          <w:sz w:val="13"/>
          <w:szCs w:val="13"/>
          <w:color w:val="auto"/>
        </w:rPr>
      </w:pPr>
      <w:r>
        <w:rPr>
          <w:rFonts w:ascii="Arial" w:cs="Arial" w:eastAsia="Arial" w:hAnsi="Arial"/>
          <w:sz w:val="13"/>
          <w:szCs w:val="13"/>
          <w:color w:val="auto"/>
        </w:rPr>
        <w:t>Allocation of the transaction price to the performance obligations in the contract. 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(“SSP”) basis.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73</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85" w:right="319" w:bottom="1440" w:gutter="0" w:footer="0" w:header="0"/>
        </w:sectPr>
      </w:pPr>
    </w:p>
    <w:bookmarkStart w:id="76" w:name="page77"/>
    <w:bookmarkEnd w:id="76"/>
    <w:p>
      <w:pPr>
        <w:ind w:left="520" w:right="280" w:hanging="260"/>
        <w:spacing w:after="0" w:line="244" w:lineRule="auto"/>
        <w:tabs>
          <w:tab w:leader="none" w:pos="511" w:val="left"/>
        </w:tabs>
        <w:numPr>
          <w:ilvl w:val="0"/>
          <w:numId w:val="38"/>
        </w:numPr>
        <w:rPr>
          <w:rFonts w:ascii="Arial" w:cs="Arial" w:eastAsia="Arial" w:hAnsi="Arial"/>
          <w:sz w:val="13"/>
          <w:szCs w:val="13"/>
          <w:color w:val="auto"/>
        </w:rPr>
      </w:pPr>
      <w:r>
        <w:rPr>
          <w:rFonts w:ascii="Arial" w:cs="Arial" w:eastAsia="Arial" w:hAnsi="Arial"/>
          <w:sz w:val="13"/>
          <w:szCs w:val="13"/>
          <w:color w:val="auto"/>
        </w:rPr>
        <w:t>Recognition of revenue when, or as, the Company satisfies a performance obligation. The Company satisfies performance obligations either over time or at a point in time, as discussed in further detail below. Revenue is recognized at the time the related performance obligation is satisfied by transferring the promised good or service to the customer.</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Commission Revenue</w:t>
      </w:r>
    </w:p>
    <w:p>
      <w:pPr>
        <w:spacing w:after="0" w:line="181" w:lineRule="exact"/>
        <w:rPr>
          <w:sz w:val="20"/>
          <w:szCs w:val="20"/>
          <w:color w:val="auto"/>
        </w:rPr>
      </w:pPr>
    </w:p>
    <w:p>
      <w:pPr>
        <w:jc w:val="both"/>
        <w:ind w:right="180"/>
        <w:spacing w:after="0" w:line="241" w:lineRule="auto"/>
        <w:rPr>
          <w:sz w:val="20"/>
          <w:szCs w:val="20"/>
          <w:color w:val="auto"/>
        </w:rPr>
      </w:pPr>
      <w:r>
        <w:rPr>
          <w:rFonts w:ascii="Arial" w:cs="Arial" w:eastAsia="Arial" w:hAnsi="Arial"/>
          <w:sz w:val="13"/>
          <w:szCs w:val="13"/>
          <w:color w:val="auto"/>
        </w:rPr>
        <w:t>The Company recognizes commission revenue from the sale of insurance products at the point when carriers approve an insurance application produced by the Company. The Company records as commission revenue the expected amount of commissions received from the insurance carriers and any renewal commissions to be paid on such placement as long as the policyholder remains with the same insurance product. The Company defines its customer to be the health insurance carrier.</w:t>
      </w:r>
    </w:p>
    <w:p>
      <w:pPr>
        <w:spacing w:after="0" w:line="165" w:lineRule="exact"/>
        <w:rPr>
          <w:sz w:val="20"/>
          <w:szCs w:val="20"/>
          <w:color w:val="auto"/>
        </w:rPr>
      </w:pPr>
    </w:p>
    <w:p>
      <w:pPr>
        <w:ind w:right="20"/>
        <w:spacing w:after="0"/>
        <w:rPr>
          <w:sz w:val="20"/>
          <w:szCs w:val="20"/>
          <w:color w:val="auto"/>
        </w:rPr>
      </w:pPr>
      <w:r>
        <w:rPr>
          <w:rFonts w:ascii="Arial" w:cs="Arial" w:eastAsia="Arial" w:hAnsi="Arial"/>
          <w:sz w:val="13"/>
          <w:szCs w:val="13"/>
          <w:color w:val="auto"/>
        </w:rPr>
        <w:t>The Company typically enters into contractual agency relationships with health insurance carriers that are non-exclusive and terminable on short notice by either party for any reason. In addition, health insurance carriers often can terminate or amend agreements unilaterally on short notice, including provisions in agreements relating to the commission rates paid to the Company by the health insurance carriers. The amendment or termination of an agreement the Company has with a health insurance carrier may adversely impact the commissions it is paid on health insurance plans purchased from the carrier.</w:t>
      </w:r>
    </w:p>
    <w:p>
      <w:pPr>
        <w:spacing w:after="0" w:line="166" w:lineRule="exact"/>
        <w:rPr>
          <w:sz w:val="20"/>
          <w:szCs w:val="20"/>
          <w:color w:val="auto"/>
        </w:rPr>
      </w:pPr>
    </w:p>
    <w:p>
      <w:pPr>
        <w:ind w:right="20"/>
        <w:spacing w:after="0" w:line="262" w:lineRule="auto"/>
        <w:rPr>
          <w:sz w:val="20"/>
          <w:szCs w:val="20"/>
          <w:color w:val="auto"/>
        </w:rPr>
      </w:pPr>
      <w:r>
        <w:rPr>
          <w:rFonts w:ascii="Arial" w:cs="Arial" w:eastAsia="Arial" w:hAnsi="Arial"/>
          <w:sz w:val="12"/>
          <w:szCs w:val="12"/>
          <w:color w:val="auto"/>
        </w:rPr>
        <w:t>Compensation in the form of commissions is received from insurance carriers for the multiple types of insurance products sold by the Company on behalf of the carriers. For Medicare and non-Medicare eligible products, commission revenue generally represents a percentage of the premium amount expected to be collected by the carrier while the policyholder is enrolled in the insurance product, including renewal periods. The Company’s performance obligation is complete when a carrier has received and approved an insurance application. As such, the Company recognizes revenue at this point in time, which represents the total estimated lifetime commissions it expects to receive for selling the product after the carrier approves an application, net of an estimated constraint. The Company’s consideration is variable based on the amount of time it estimates a policy will remain in force. The Company estimates the amount of variable consideration that it expects to receive based on historical experience or carrier experience to the extent available, industry data, and expectations as to future retention rates. Additionally, the Company considers application of the constraint and only recognizes the amount of variable consideration that it believes is probable that it will be entitled to receive and will not be subject to a significant revenue reversal in the future. The Company monitors and updates this estimate at each reporting date. The Company does not have any remaining performance obligations in its commission contracts with customers.</w:t>
      </w:r>
    </w:p>
    <w:p>
      <w:pPr>
        <w:spacing w:after="0" w:line="153" w:lineRule="exact"/>
        <w:rPr>
          <w:sz w:val="20"/>
          <w:szCs w:val="20"/>
          <w:color w:val="auto"/>
        </w:rPr>
      </w:pPr>
    </w:p>
    <w:p>
      <w:pPr>
        <w:ind w:right="100"/>
        <w:spacing w:after="0" w:line="241" w:lineRule="auto"/>
        <w:rPr>
          <w:sz w:val="20"/>
          <w:szCs w:val="20"/>
          <w:color w:val="auto"/>
        </w:rPr>
      </w:pPr>
      <w:r>
        <w:rPr>
          <w:rFonts w:ascii="Arial" w:cs="Arial" w:eastAsia="Arial" w:hAnsi="Arial"/>
          <w:sz w:val="13"/>
          <w:szCs w:val="13"/>
          <w:color w:val="auto"/>
        </w:rPr>
        <w:t>The Company utilizes a practical expedient to estimate commission revenue for each insurance product by applying the use of a portfolio approach to group approved members by the effective month of the relevant policy (referred to as a “vintage”). This allows the Company to estimate the commissions it expects to collect for each vintage by evaluating various factors, including but not limited to, contracted commission rates and expected member churn.</w:t>
      </w:r>
    </w:p>
    <w:p>
      <w:pPr>
        <w:spacing w:after="0" w:line="165" w:lineRule="exact"/>
        <w:rPr>
          <w:sz w:val="20"/>
          <w:szCs w:val="20"/>
          <w:color w:val="auto"/>
        </w:rPr>
      </w:pPr>
    </w:p>
    <w:p>
      <w:pPr>
        <w:ind w:right="80"/>
        <w:spacing w:after="0"/>
        <w:rPr>
          <w:sz w:val="20"/>
          <w:szCs w:val="20"/>
          <w:color w:val="auto"/>
        </w:rPr>
      </w:pPr>
      <w:r>
        <w:rPr>
          <w:rFonts w:ascii="Arial" w:cs="Arial" w:eastAsia="Arial" w:hAnsi="Arial"/>
          <w:sz w:val="13"/>
          <w:szCs w:val="13"/>
          <w:color w:val="auto"/>
        </w:rPr>
        <w:t>The Company’s variable consideration includes estimated and constrained lifetime values as the “constrained LTV” for the plans. The Company’s estimate of commission revenue for each product line is based on a number of assumptions, which include, but are not limited to, estimating conversion of an approved applicant to a paying policyholder, forecasting persistency and forecasting the commission amounts likely to be received per policyholder. These assumptions are based on historical trends and incorporate management’s judgment in interpreting those trends and in applying constraints.</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12"/>
          <w:szCs w:val="12"/>
          <w:color w:val="auto"/>
        </w:rPr>
        <w:t>On a quarterly basis, the Company re-estimates LTV at a vintage level for outstanding vintages, reviews and monitors changes in the data used to estimate LTV, as well as the cash received for each vintage as compared to the original estimates. The difference between cash received for each vintage and the respective estimated LTV can be significant and may or may not be indicative of the need to adjust revenue for prior period vintages. Changes in LTV may result in an increase or a decrease to revenue and a corresponding increase or decrease to commissions receivable. The Company analyzes these differences and, to the extent the Company believes differences in the estimates of the cash received are indicative of an increase or decrease to prior period LTVs, the Company will adjust revenue for the affected vintages at the time such determination is made and when it is probable that a significant reversal in the amount of cumulative revenue recognized will not occur.</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Enterprise Revenue</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color w:val="auto"/>
        </w:rPr>
        <w:t>The Company refers to all non-commission revenue collectively as enterprise revenue, which includes the services and products described below.</w:t>
      </w:r>
    </w:p>
    <w:p>
      <w:pPr>
        <w:spacing w:after="0" w:line="169" w:lineRule="exact"/>
        <w:rPr>
          <w:sz w:val="20"/>
          <w:szCs w:val="20"/>
          <w:color w:val="auto"/>
        </w:rPr>
      </w:pPr>
    </w:p>
    <w:p>
      <w:pPr>
        <w:ind w:right="100"/>
        <w:spacing w:after="0" w:line="241" w:lineRule="auto"/>
        <w:rPr>
          <w:sz w:val="20"/>
          <w:szCs w:val="20"/>
          <w:color w:val="auto"/>
        </w:rPr>
      </w:pPr>
      <w:r>
        <w:rPr>
          <w:rFonts w:ascii="Arial" w:cs="Arial" w:eastAsia="Arial" w:hAnsi="Arial"/>
          <w:sz w:val="13"/>
          <w:szCs w:val="13"/>
          <w:color w:val="auto"/>
        </w:rPr>
        <w:t>The Company is compensated for partner marketing and enrollment services, based on delivering call volumes or providing marketing services to certain insurance carriers. The Company is also compensated with performance-based enrollment fees relating to the enrollment of individuals into health insurance plans. The Company recognizes revenue over time for marketing services and at a point in time for enrollment services.</w:t>
      </w:r>
    </w:p>
    <w:p>
      <w:pPr>
        <w:spacing w:after="0" w:line="165" w:lineRule="exact"/>
        <w:rPr>
          <w:sz w:val="20"/>
          <w:szCs w:val="20"/>
          <w:color w:val="auto"/>
        </w:rPr>
      </w:pPr>
    </w:p>
    <w:p>
      <w:pPr>
        <w:ind w:right="340"/>
        <w:spacing w:after="0" w:line="244" w:lineRule="auto"/>
        <w:rPr>
          <w:sz w:val="20"/>
          <w:szCs w:val="20"/>
          <w:color w:val="auto"/>
        </w:rPr>
      </w:pPr>
      <w:r>
        <w:rPr>
          <w:rFonts w:ascii="Arial" w:cs="Arial" w:eastAsia="Arial" w:hAnsi="Arial"/>
          <w:sz w:val="13"/>
          <w:szCs w:val="13"/>
          <w:color w:val="auto"/>
        </w:rPr>
        <w:t>The Company provides direct partner campaigns, where trained agents are dedicated to partner programs that assist in producing health insurance policies. The Company is compensated for the hours incurred on the partner program at the time</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74</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85" w:right="319" w:bottom="1440" w:gutter="0" w:footer="0" w:header="0"/>
        </w:sectPr>
      </w:pPr>
    </w:p>
    <w:bookmarkStart w:id="77" w:name="page78"/>
    <w:bookmarkEnd w:id="77"/>
    <w:p>
      <w:pPr>
        <w:jc w:val="both"/>
        <w:ind w:right="60"/>
        <w:spacing w:after="0" w:line="241" w:lineRule="auto"/>
        <w:rPr>
          <w:sz w:val="20"/>
          <w:szCs w:val="20"/>
          <w:color w:val="auto"/>
        </w:rPr>
      </w:pPr>
      <w:r>
        <w:rPr>
          <w:rFonts w:ascii="Arial" w:cs="Arial" w:eastAsia="Arial" w:hAnsi="Arial"/>
          <w:sz w:val="13"/>
          <w:szCs w:val="13"/>
          <w:color w:val="auto"/>
        </w:rPr>
        <w:t>hours are incurred, and recognizes revenue accordingly. In addition, the Company provides services to its members and partners related to its Encompass Platform. The Encompass Platform offerings include value-based care provider engagement, health risk assessments, social determinants of health screening, and preferred pharmacy programs. The Company recognizes revenue for the related performance obligation generally at a point in time.</w:t>
      </w:r>
    </w:p>
    <w:p>
      <w:pPr>
        <w:spacing w:after="0" w:line="165" w:lineRule="exact"/>
        <w:rPr>
          <w:sz w:val="20"/>
          <w:szCs w:val="20"/>
          <w:color w:val="auto"/>
        </w:rPr>
      </w:pPr>
    </w:p>
    <w:p>
      <w:pPr>
        <w:ind w:right="220"/>
        <w:spacing w:after="0" w:line="244" w:lineRule="auto"/>
        <w:rPr>
          <w:sz w:val="20"/>
          <w:szCs w:val="20"/>
          <w:color w:val="auto"/>
        </w:rPr>
      </w:pPr>
      <w:r>
        <w:rPr>
          <w:rFonts w:ascii="Arial" w:cs="Arial" w:eastAsia="Arial" w:hAnsi="Arial"/>
          <w:sz w:val="13"/>
          <w:szCs w:val="13"/>
          <w:color w:val="auto"/>
        </w:rPr>
        <w:t>The Company recognizes revenue at a point in time resulting from the sale of leads to third parties and independent agents. The Company generates this revenue through the sale of leads sourced through its marketing efforts.</w:t>
      </w:r>
    </w:p>
    <w:p>
      <w:pPr>
        <w:spacing w:after="0" w:line="163" w:lineRule="exact"/>
        <w:rPr>
          <w:sz w:val="20"/>
          <w:szCs w:val="20"/>
          <w:color w:val="auto"/>
        </w:rPr>
      </w:pPr>
    </w:p>
    <w:p>
      <w:pPr>
        <w:ind w:right="100"/>
        <w:spacing w:after="0"/>
        <w:rPr>
          <w:sz w:val="20"/>
          <w:szCs w:val="20"/>
          <w:color w:val="auto"/>
        </w:rPr>
      </w:pPr>
      <w:r>
        <w:rPr>
          <w:rFonts w:ascii="Arial" w:cs="Arial" w:eastAsia="Arial" w:hAnsi="Arial"/>
          <w:sz w:val="13"/>
          <w:szCs w:val="13"/>
          <w:color w:val="auto"/>
        </w:rPr>
        <w:t>The Company provides certain customers access to its technology platform, where it charges for the implementation and monthly access to the software. This application allows carriers the use of the Company’s e-commerce platform to offer their own health insurance policies on their websites and agents to utilize the Company’s technology to power their online quoting, content and application submission processes. Typically, the Company is paid a one-time implementation fee, which it recognizes as control is transferred on a straight-line basis over the estimated term of the customer relationship (generally the initial term of the agreement), commencing once the technology is available for use by the third party.</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Incremental Costs to Obtain a Contract</w:t>
      </w:r>
    </w:p>
    <w:p>
      <w:pPr>
        <w:spacing w:after="0" w:line="181" w:lineRule="exact"/>
        <w:rPr>
          <w:sz w:val="20"/>
          <w:szCs w:val="20"/>
          <w:color w:val="auto"/>
        </w:rPr>
      </w:pPr>
    </w:p>
    <w:p>
      <w:pPr>
        <w:ind w:right="40"/>
        <w:spacing w:after="0" w:line="241" w:lineRule="auto"/>
        <w:rPr>
          <w:sz w:val="20"/>
          <w:szCs w:val="20"/>
          <w:color w:val="auto"/>
        </w:rPr>
      </w:pPr>
      <w:r>
        <w:rPr>
          <w:rFonts w:ascii="Arial" w:cs="Arial" w:eastAsia="Arial" w:hAnsi="Arial"/>
          <w:sz w:val="13"/>
          <w:szCs w:val="13"/>
          <w:color w:val="auto"/>
        </w:rPr>
        <w:t>The Company reviewed its sales compensation plans, which are directed at converting leads into carrier approved submissions, and concluded that they are fulfillment costs and not costs to obtain a contract with a health insurance carrier, which the Company defines as its customer. Additionally, the Company reviewed compensation plans related to personnel responsible for identifying new health insurance carriers as well as entering into contracts with new health insurance carriers and concluded that no incremental costs are incurred to obtain such contracts.</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Deferred Revenue</w:t>
      </w:r>
    </w:p>
    <w:p>
      <w:pPr>
        <w:spacing w:after="0" w:line="185" w:lineRule="exact"/>
        <w:rPr>
          <w:sz w:val="20"/>
          <w:szCs w:val="20"/>
          <w:color w:val="auto"/>
        </w:rPr>
      </w:pPr>
    </w:p>
    <w:p>
      <w:pPr>
        <w:jc w:val="both"/>
        <w:ind w:right="160"/>
        <w:spacing w:after="0" w:line="284" w:lineRule="auto"/>
        <w:rPr>
          <w:sz w:val="20"/>
          <w:szCs w:val="20"/>
          <w:color w:val="auto"/>
        </w:rPr>
      </w:pPr>
      <w:r>
        <w:rPr>
          <w:rFonts w:ascii="Arial" w:cs="Arial" w:eastAsia="Arial" w:hAnsi="Arial"/>
          <w:sz w:val="12"/>
          <w:szCs w:val="12"/>
          <w:color w:val="auto"/>
        </w:rPr>
        <w:t>Deferred revenue includes deferred technology licensing implementation fees and amounts collected from partner marketing and enrollment services or technology licensing customers in advance of the Company satisfying its performance obligations for such customers. The Company expects to recognize revenue associated with these remaining performance obligations in the next 12 months.</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Cost of Revenue</w:t>
      </w:r>
    </w:p>
    <w:p>
      <w:pPr>
        <w:spacing w:after="0" w:line="185" w:lineRule="exact"/>
        <w:rPr>
          <w:sz w:val="20"/>
          <w:szCs w:val="20"/>
          <w:color w:val="auto"/>
        </w:rPr>
      </w:pPr>
    </w:p>
    <w:p>
      <w:pPr>
        <w:jc w:val="both"/>
        <w:ind w:right="40"/>
        <w:spacing w:after="0" w:line="241" w:lineRule="auto"/>
        <w:rPr>
          <w:sz w:val="20"/>
          <w:szCs w:val="20"/>
          <w:color w:val="auto"/>
        </w:rPr>
      </w:pPr>
      <w:r>
        <w:rPr>
          <w:rFonts w:ascii="Arial" w:cs="Arial" w:eastAsia="Arial" w:hAnsi="Arial"/>
          <w:sz w:val="13"/>
          <w:szCs w:val="13"/>
          <w:color w:val="auto"/>
        </w:rPr>
        <w:t>Cost of revenue represents payments related to health insurance policies sold to members who were enrolled by partners with whom the Company has commissions revenue-sharing arrangements. In order to enter into a revenue-sharing arrangement, partners must be licensed to sell health insurance in the state where the policy is sold. Costs related to revenue-sharing arrangements are expensed as the related revenue is recognized.</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Changes in previous revenue estimates may result in an increase or a decrease to cost of revenue and a corresponding increase or decrease to commissions payable.</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Marketing and Advertising</w:t>
      </w:r>
    </w:p>
    <w:p>
      <w:pPr>
        <w:spacing w:after="0" w:line="185" w:lineRule="exact"/>
        <w:rPr>
          <w:sz w:val="20"/>
          <w:szCs w:val="20"/>
          <w:color w:val="auto"/>
        </w:rPr>
      </w:pPr>
    </w:p>
    <w:p>
      <w:pPr>
        <w:ind w:right="40"/>
        <w:spacing w:after="0"/>
        <w:rPr>
          <w:sz w:val="20"/>
          <w:szCs w:val="20"/>
          <w:color w:val="auto"/>
        </w:rPr>
      </w:pPr>
      <w:r>
        <w:rPr>
          <w:rFonts w:ascii="Arial" w:cs="Arial" w:eastAsia="Arial" w:hAnsi="Arial"/>
          <w:sz w:val="13"/>
          <w:szCs w:val="13"/>
          <w:color w:val="auto"/>
        </w:rPr>
        <w:t>Marketing expense consists primarily of expenses associated with the Company’s direct, online advertising, and marketing partner channels, in addition to compensation (including share-based compensation expense) and other expenses related to marketing personnel who manage campaigns and optimize consumer activity. The Company’s direct channel expenses primarily consist of costs for e-mail marketing and direct mail marketing. Online advertising expenses primarily consist of paid keyword search advertising on search engines. Marketing partner channel expenses primarily consist of fees paid to marketing partners and affiliates. Marketing costs are expensed as incurred.</w:t>
      </w:r>
    </w:p>
    <w:p>
      <w:pPr>
        <w:spacing w:after="0" w:line="166" w:lineRule="exact"/>
        <w:rPr>
          <w:sz w:val="20"/>
          <w:szCs w:val="20"/>
          <w:color w:val="auto"/>
        </w:rPr>
      </w:pPr>
    </w:p>
    <w:p>
      <w:pPr>
        <w:ind w:right="180"/>
        <w:spacing w:after="0" w:line="241" w:lineRule="auto"/>
        <w:rPr>
          <w:sz w:val="20"/>
          <w:szCs w:val="20"/>
          <w:color w:val="auto"/>
        </w:rPr>
      </w:pPr>
      <w:r>
        <w:rPr>
          <w:rFonts w:ascii="Arial" w:cs="Arial" w:eastAsia="Arial" w:hAnsi="Arial"/>
          <w:sz w:val="13"/>
          <w:szCs w:val="13"/>
          <w:color w:val="auto"/>
        </w:rPr>
        <w:t>Advertising expenses consist of costs incurred to acquire consumers through online, television, and direct mail advertisements. Advertising costs incurred during the twelve months ended December 31, 2021, the twelve months ended December 31, 2020, the Successor 2019 Period, and the Predecessor 2019 Period, totaled $323.3 million, $156.9 million, $18.8 million, and $29.3 million, respectively. Advertising costs are expensed as incurred.</w:t>
      </w:r>
    </w:p>
    <w:p>
      <w:pPr>
        <w:spacing w:after="0" w:line="165" w:lineRule="exact"/>
        <w:rPr>
          <w:sz w:val="20"/>
          <w:szCs w:val="20"/>
          <w:color w:val="auto"/>
        </w:rPr>
      </w:pPr>
    </w:p>
    <w:p>
      <w:pPr>
        <w:ind w:right="20"/>
        <w:spacing w:after="0" w:line="241" w:lineRule="auto"/>
        <w:rPr>
          <w:sz w:val="20"/>
          <w:szCs w:val="20"/>
          <w:color w:val="auto"/>
        </w:rPr>
      </w:pPr>
      <w:r>
        <w:rPr>
          <w:rFonts w:ascii="Arial" w:cs="Arial" w:eastAsia="Arial" w:hAnsi="Arial"/>
          <w:sz w:val="13"/>
          <w:szCs w:val="13"/>
          <w:color w:val="auto"/>
        </w:rPr>
        <w:t>The Company also has arrangements with certain carriers that allow the Company to increase marketing efforts, including through direct mail, television advertisements, and online advertising for various insurance products that are being offered by these carriers. The Company is reimbursed by carriers for the incremental marketing efforts and records the amounts received as a reduction of the marketing costs incurred.</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Customer Care and Enrollment</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75</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85" w:right="319" w:bottom="1440" w:gutter="0" w:footer="0" w:header="0"/>
        </w:sectPr>
      </w:pPr>
    </w:p>
    <w:bookmarkStart w:id="78" w:name="page79"/>
    <w:bookmarkEnd w:id="78"/>
    <w:p>
      <w:pPr>
        <w:ind w:right="200"/>
        <w:spacing w:after="0" w:line="244" w:lineRule="auto"/>
        <w:rPr>
          <w:sz w:val="20"/>
          <w:szCs w:val="20"/>
          <w:color w:val="auto"/>
        </w:rPr>
      </w:pPr>
      <w:r>
        <w:rPr>
          <w:rFonts w:ascii="Arial" w:cs="Arial" w:eastAsia="Arial" w:hAnsi="Arial"/>
          <w:sz w:val="13"/>
          <w:szCs w:val="13"/>
          <w:color w:val="auto"/>
        </w:rPr>
        <w:t>Customer care and enrollment expenses primarily consist of compensation (including share-based compensation expense) and benefits costs for enrollment personnel who assist consumers during the insurance policy application process, along with management and support personnel.</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Technology</w:t>
      </w:r>
    </w:p>
    <w:p>
      <w:pPr>
        <w:spacing w:after="0" w:line="185" w:lineRule="exact"/>
        <w:rPr>
          <w:sz w:val="20"/>
          <w:szCs w:val="20"/>
          <w:color w:val="auto"/>
        </w:rPr>
      </w:pPr>
    </w:p>
    <w:p>
      <w:pPr>
        <w:ind w:right="160"/>
        <w:spacing w:after="0" w:line="241" w:lineRule="auto"/>
        <w:rPr>
          <w:sz w:val="20"/>
          <w:szCs w:val="20"/>
          <w:color w:val="auto"/>
        </w:rPr>
      </w:pPr>
      <w:r>
        <w:rPr>
          <w:rFonts w:ascii="Arial" w:cs="Arial" w:eastAsia="Arial" w:hAnsi="Arial"/>
          <w:sz w:val="13"/>
          <w:szCs w:val="13"/>
          <w:color w:val="auto"/>
        </w:rPr>
        <w:t>Technology expense consists primarily of compensation (including share-based compensation expense) and benefits costs for personnel associated with developing and enhancing the Company’s technology platform, data analytics and business intelligence, as well as maintaining the Company’s online presence and integrations with carrier and federal marketplaces. Technology expense also includes costs for contracted services and supplies, and amortization expense to capitalized software.</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General and Administrative Expenses</w:t>
      </w:r>
    </w:p>
    <w:p>
      <w:pPr>
        <w:spacing w:after="0" w:line="185" w:lineRule="exact"/>
        <w:rPr>
          <w:sz w:val="20"/>
          <w:szCs w:val="20"/>
          <w:color w:val="auto"/>
        </w:rPr>
      </w:pPr>
    </w:p>
    <w:p>
      <w:pPr>
        <w:ind w:right="340"/>
        <w:spacing w:after="0" w:line="244" w:lineRule="auto"/>
        <w:rPr>
          <w:sz w:val="20"/>
          <w:szCs w:val="20"/>
          <w:color w:val="auto"/>
        </w:rPr>
      </w:pPr>
      <w:r>
        <w:rPr>
          <w:rFonts w:ascii="Arial" w:cs="Arial" w:eastAsia="Arial" w:hAnsi="Arial"/>
          <w:sz w:val="13"/>
          <w:szCs w:val="13"/>
          <w:color w:val="auto"/>
        </w:rPr>
        <w:t>General and administrative expenses include compensation (including share-based compensation expense) and benefits costs for staff working in the Company’s executive, finance, legal, human resources, and facilities departments. These expenses also include facilities costs and fees paid for outside professional services, including audit, tax, legal, and governmental affairs.</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Share-Based Compensation Expense</w:t>
      </w:r>
    </w:p>
    <w:p>
      <w:pPr>
        <w:spacing w:after="0" w:line="185" w:lineRule="exact"/>
        <w:rPr>
          <w:sz w:val="20"/>
          <w:szCs w:val="20"/>
          <w:color w:val="auto"/>
        </w:rPr>
      </w:pPr>
    </w:p>
    <w:p>
      <w:pPr>
        <w:ind w:right="80"/>
        <w:spacing w:after="0" w:line="239" w:lineRule="auto"/>
        <w:rPr>
          <w:sz w:val="20"/>
          <w:szCs w:val="20"/>
          <w:color w:val="auto"/>
        </w:rPr>
      </w:pPr>
      <w:r>
        <w:rPr>
          <w:rFonts w:ascii="Arial" w:cs="Arial" w:eastAsia="Arial" w:hAnsi="Arial"/>
          <w:sz w:val="13"/>
          <w:szCs w:val="13"/>
          <w:color w:val="auto"/>
        </w:rPr>
        <w:t>The Company grants share-based awards, including time-vesting and performance-vesting profit units (collectively, “Profit Units”), restricted stock units (“RSUs”), stock options, and performance stock units (“PSUs”). Compensation expense for time-vesting units, RSUs, stock options, and PSUs are recognized on a straight-line basis over the requisite service period for each award. Performance-vesting units contain market conditions and an implied performance condition, which results in compensation cost being recognized when the performance condition is considered probable of being satisfied. Upon completion of the Company’s IPO, the implied performance condition related to the performance-vesting profit units was satisfied, triggering an accelerated vesting of the performance-vesting units and the recognition of the related compensation expense.</w:t>
      </w:r>
    </w:p>
    <w:p>
      <w:pPr>
        <w:spacing w:after="0" w:line="168" w:lineRule="exact"/>
        <w:rPr>
          <w:sz w:val="20"/>
          <w:szCs w:val="20"/>
          <w:color w:val="auto"/>
        </w:rPr>
      </w:pPr>
    </w:p>
    <w:p>
      <w:pPr>
        <w:ind w:right="40"/>
        <w:spacing w:after="0" w:line="241" w:lineRule="auto"/>
        <w:rPr>
          <w:sz w:val="20"/>
          <w:szCs w:val="20"/>
          <w:color w:val="auto"/>
        </w:rPr>
      </w:pPr>
      <w:r>
        <w:rPr>
          <w:rFonts w:ascii="Arial" w:cs="Arial" w:eastAsia="Arial" w:hAnsi="Arial"/>
          <w:sz w:val="13"/>
          <w:szCs w:val="13"/>
          <w:color w:val="auto"/>
        </w:rPr>
        <w:t>The estimated grant date fair value of Profit Units and PSUs is determined using a Monte Carlo simulation and Level 3 inputs. The estimated grant date fair value of stock options is determined using a Black-Scholes pricing model. Assumptions utilized in the Monte Carlo simulation and Black-Scholes pricing model for valuing the awards include the expected life of the award, the expected dividend yield, the risk-free interest rate and the expected volatility. The fair value of RSUs is determined based on the stock price on the date of grant.</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401(k) Plan</w:t>
      </w:r>
    </w:p>
    <w:p>
      <w:pPr>
        <w:spacing w:after="0" w:line="185" w:lineRule="exact"/>
        <w:rPr>
          <w:sz w:val="20"/>
          <w:szCs w:val="20"/>
          <w:color w:val="auto"/>
        </w:rPr>
      </w:pPr>
    </w:p>
    <w:p>
      <w:pPr>
        <w:ind w:right="80"/>
        <w:spacing w:after="0"/>
        <w:rPr>
          <w:sz w:val="20"/>
          <w:szCs w:val="20"/>
          <w:color w:val="auto"/>
        </w:rPr>
      </w:pPr>
      <w:r>
        <w:rPr>
          <w:rFonts w:ascii="Arial" w:cs="Arial" w:eastAsia="Arial" w:hAnsi="Arial"/>
          <w:sz w:val="13"/>
          <w:szCs w:val="13"/>
          <w:color w:val="auto"/>
        </w:rPr>
        <w:t>The Company maintains a tax-qualified 401(k) retirement plan (the Plan) that provides eligible employees with an opportunity to save for retirement on a tax-advantaged basis. Eligible employees may defer compensation subject to applicable annual Internal Revenue Code (“Code”) limits. The Plan permits participants to make both pretax and after-tax deferral contributions. These contributions are allocated to each participant’s individual account and are then invested in selected investment alternatives according to the participants’ directions. Employees are fully vested immediately in their contributions. The Plan is qualified under Section 401(a) of the Code and the related trust is tax-exempt under Section 501(a) of the Code.</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The Company contributes 50% of the first 4% of compensation a participant contributes to the Plan. These matching contributions are expensed as incurred. The Company recognized expense of</w:t>
      </w:r>
    </w:p>
    <w:p>
      <w:pPr>
        <w:ind w:right="180"/>
        <w:spacing w:after="0" w:line="241" w:lineRule="auto"/>
        <w:rPr>
          <w:sz w:val="20"/>
          <w:szCs w:val="20"/>
          <w:color w:val="auto"/>
        </w:rPr>
      </w:pPr>
      <w:r>
        <w:rPr>
          <w:rFonts w:ascii="Arial" w:cs="Arial" w:eastAsia="Arial" w:hAnsi="Arial"/>
          <w:sz w:val="13"/>
          <w:szCs w:val="13"/>
          <w:color w:val="auto"/>
        </w:rPr>
        <w:t>$3.1 million, $1.0 million, $0.2 million, and $0.3 million for the twelve months ended December 31, 2021, twelve months ended December 31, 2020, the Successor 2019 Period, and the Predecessor 2019 Period, respectively, related to these matching contributions. The Company also may make non-elective contributions to the 401(k) plan, which, if made, vest 20% after two years and 20% annually thereafter.</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Contingencies</w:t>
      </w:r>
    </w:p>
    <w:p>
      <w:pPr>
        <w:spacing w:after="0" w:line="185" w:lineRule="exact"/>
        <w:rPr>
          <w:sz w:val="20"/>
          <w:szCs w:val="20"/>
          <w:color w:val="auto"/>
        </w:rPr>
      </w:pPr>
    </w:p>
    <w:p>
      <w:pPr>
        <w:ind w:right="120"/>
        <w:spacing w:after="0"/>
        <w:rPr>
          <w:sz w:val="20"/>
          <w:szCs w:val="20"/>
          <w:color w:val="auto"/>
        </w:rPr>
      </w:pPr>
      <w:r>
        <w:rPr>
          <w:rFonts w:ascii="Arial" w:cs="Arial" w:eastAsia="Arial" w:hAnsi="Arial"/>
          <w:sz w:val="13"/>
          <w:szCs w:val="13"/>
          <w:color w:val="auto"/>
        </w:rPr>
        <w:t>The Company analyzes whether it is probable that an asset has been impaired, or a liability has been incurred, and whether the amount of loss can be reasonably estimated. If the loss contingency is both probable and reasonably estimable, the Company records the loss at management’s best estimate of the loss, or when a best estimate cannot be made, a minimum loss contingency amount is recorded. Legal fees are expensed as incurred. If no accrual is made but the loss contingency is reasonably possible, the nature of the contingency and the corresponding estimated loss, if such an estimate can be made, is disclosed. Loss contingencies include, but are not limited to, possible losses related to legal proceedings and regulatory compliance matters.</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Income Taxes</w:t>
      </w:r>
    </w:p>
    <w:p>
      <w:pPr>
        <w:spacing w:after="0" w:line="173" w:lineRule="exact"/>
        <w:rPr>
          <w:sz w:val="20"/>
          <w:szCs w:val="20"/>
          <w:color w:val="auto"/>
        </w:rPr>
      </w:pPr>
    </w:p>
    <w:p>
      <w:pPr>
        <w:jc w:val="both"/>
        <w:ind w:right="20"/>
        <w:spacing w:after="0" w:line="251" w:lineRule="auto"/>
        <w:rPr>
          <w:sz w:val="20"/>
          <w:szCs w:val="20"/>
          <w:color w:val="auto"/>
        </w:rPr>
      </w:pPr>
      <w:r>
        <w:rPr>
          <w:rFonts w:ascii="Arial" w:cs="Arial" w:eastAsia="Arial" w:hAnsi="Arial"/>
          <w:sz w:val="13"/>
          <w:szCs w:val="13"/>
          <w:color w:val="auto"/>
        </w:rPr>
        <w:t xml:space="preserve">The Company accounts for income taxes under the liability method in accordance with ASC Topic 740, </w:t>
      </w:r>
      <w:r>
        <w:rPr>
          <w:rFonts w:ascii="Arial" w:cs="Arial" w:eastAsia="Arial" w:hAnsi="Arial"/>
          <w:sz w:val="13"/>
          <w:szCs w:val="13"/>
          <w:i w:val="1"/>
          <w:iCs w:val="1"/>
          <w:color w:val="auto"/>
        </w:rPr>
        <w:t>Income Taxes</w:t>
      </w:r>
      <w:r>
        <w:rPr>
          <w:rFonts w:ascii="Arial" w:cs="Arial" w:eastAsia="Arial" w:hAnsi="Arial"/>
          <w:sz w:val="13"/>
          <w:szCs w:val="13"/>
          <w:color w:val="auto"/>
        </w:rPr>
        <w:t>. Accordingly, deferred income taxes are provided for the future tax consequences attributable to differences between the carrying amounts of assets and liabilities for financial reporting and income tax purposes. Deferred tax assets and liabilities are measured using tax rates in effect for the year in which those temporary differences are expected to be recovered or settled.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76</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85" w:right="319" w:bottom="1440" w:gutter="0" w:footer="0" w:header="0"/>
        </w:sectPr>
      </w:pPr>
    </w:p>
    <w:bookmarkStart w:id="79" w:name="page80"/>
    <w:bookmarkEnd w:id="79"/>
    <w:p>
      <w:pPr>
        <w:ind w:right="180"/>
        <w:spacing w:after="0" w:line="241" w:lineRule="auto"/>
        <w:rPr>
          <w:sz w:val="20"/>
          <w:szCs w:val="20"/>
          <w:color w:val="auto"/>
        </w:rPr>
      </w:pPr>
      <w:r>
        <w:rPr>
          <w:rFonts w:ascii="Arial" w:cs="Arial" w:eastAsia="Arial" w:hAnsi="Arial"/>
          <w:sz w:val="13"/>
          <w:szCs w:val="13"/>
          <w:color w:val="auto"/>
        </w:rPr>
        <w:t>We utilize a two-step approach for evaluating uncertain tax positions. Step one, recognition, requires a company to determine if the weight of available evidence indicates that a tax position is more likely than not to be sustained upon audit, including resolution of related appeals or litigation processes, if any. Step two, measurement, is based on the largest amount of benefit, which is more likely than not to be realized on ultimate settlement. We record interest and penalties related to uncertain tax positions as income tax expense in the Consolidated Financial Statements.</w:t>
      </w:r>
    </w:p>
    <w:p>
      <w:pPr>
        <w:spacing w:after="0" w:line="165"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On a consolidated basis, income from the Company’s Slovakian subsidiary is taxed at a blended U.S. Federal and state statutory rate as it is a C-Corporation for tax purposes. The Slovakian subsidiary records taxes on its income at the Slovakian statutory rate and records tax on its worldwide income at the applicable blended U.S. Federal and state statutory rate, net of the foreign tax credit associated with foreign taxes.</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Seasonality</w:t>
      </w:r>
    </w:p>
    <w:p>
      <w:pPr>
        <w:spacing w:after="0" w:line="185" w:lineRule="exact"/>
        <w:rPr>
          <w:sz w:val="20"/>
          <w:szCs w:val="20"/>
          <w:color w:val="auto"/>
        </w:rPr>
      </w:pPr>
    </w:p>
    <w:p>
      <w:pPr>
        <w:jc w:val="both"/>
        <w:ind w:right="20"/>
        <w:spacing w:after="0" w:line="241" w:lineRule="auto"/>
        <w:rPr>
          <w:sz w:val="20"/>
          <w:szCs w:val="20"/>
          <w:color w:val="auto"/>
        </w:rPr>
      </w:pPr>
      <w:r>
        <w:rPr>
          <w:rFonts w:ascii="Arial" w:cs="Arial" w:eastAsia="Arial" w:hAnsi="Arial"/>
          <w:sz w:val="13"/>
          <w:szCs w:val="13"/>
          <w:color w:val="auto"/>
        </w:rPr>
        <w:t>A greater number of the Company’s Medicare-related health insurance plans are sold in its fourth quarter during the Medicare annual enrollment period when Medicare-eligible individuals are permitted to change their Medicare Advantage and Medicare Part D prescription drug coverage for the following year. As a result, the Company’s Medicare plan-related commission revenue is typically highest in the Company’s fourth quarter.</w:t>
      </w:r>
    </w:p>
    <w:p>
      <w:pPr>
        <w:spacing w:after="0" w:line="165" w:lineRule="exact"/>
        <w:rPr>
          <w:sz w:val="20"/>
          <w:szCs w:val="20"/>
          <w:color w:val="auto"/>
        </w:rPr>
      </w:pPr>
    </w:p>
    <w:p>
      <w:pPr>
        <w:ind w:right="60"/>
        <w:spacing w:after="0"/>
        <w:rPr>
          <w:sz w:val="20"/>
          <w:szCs w:val="20"/>
          <w:color w:val="auto"/>
        </w:rPr>
      </w:pPr>
      <w:r>
        <w:rPr>
          <w:rFonts w:ascii="Arial" w:cs="Arial" w:eastAsia="Arial" w:hAnsi="Arial"/>
          <w:sz w:val="13"/>
          <w:szCs w:val="13"/>
          <w:color w:val="auto"/>
        </w:rPr>
        <w:t>The majority of the Company’s individual and family health insurance plans are sold in its fourth quarter during the annual open enrollment period as defined under the federal Patient Protection and ACA and related amendments in the Health Care and Education Reconciliation Act. Individuals and families generally are not able to purchase individual and family health insurance outside of the open enrollment period, unless they qualify for a special enrollment period as a result of certain qualifying events, such as losing employer-sponsored health insurance or moving to another state. As a result, the Company’s individual and family plan-related commission revenue is typically highest in the Company’s fourth quarter.</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 Accounting Pronouncements</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Recently Adopted Accounting Pronouncements</w:t>
      </w:r>
    </w:p>
    <w:p>
      <w:pPr>
        <w:spacing w:after="0" w:line="179" w:lineRule="exact"/>
        <w:rPr>
          <w:sz w:val="20"/>
          <w:szCs w:val="20"/>
          <w:color w:val="auto"/>
        </w:rPr>
      </w:pPr>
    </w:p>
    <w:p>
      <w:pPr>
        <w:ind w:right="60"/>
        <w:spacing w:after="0" w:line="225" w:lineRule="auto"/>
        <w:rPr>
          <w:sz w:val="20"/>
          <w:szCs w:val="20"/>
          <w:color w:val="auto"/>
        </w:rPr>
      </w:pPr>
      <w:r>
        <w:rPr>
          <w:rFonts w:ascii="Arial" w:cs="Arial" w:eastAsia="Arial" w:hAnsi="Arial"/>
          <w:sz w:val="13"/>
          <w:szCs w:val="13"/>
          <w:color w:val="auto"/>
        </w:rPr>
        <w:t xml:space="preserve">In February 2016, the Financial Accounting Standards Board (“FASB”) issued Accounting Standards Update (“ASU”) 2016-02, </w:t>
      </w:r>
      <w:r>
        <w:rPr>
          <w:rFonts w:ascii="Arial" w:cs="Arial" w:eastAsia="Arial" w:hAnsi="Arial"/>
          <w:sz w:val="13"/>
          <w:szCs w:val="13"/>
          <w:i w:val="1"/>
          <w:iCs w:val="1"/>
          <w:color w:val="auto"/>
        </w:rPr>
        <w:t>Leases</w:t>
      </w:r>
      <w:r>
        <w:rPr>
          <w:rFonts w:ascii="Arial" w:cs="Arial" w:eastAsia="Arial" w:hAnsi="Arial"/>
          <w:sz w:val="13"/>
          <w:szCs w:val="13"/>
          <w:color w:val="auto"/>
        </w:rPr>
        <w:t xml:space="preserve"> (Topic 842). The guidance specifies that lessees will need to recognize a right-of-use asset and a lease liability for virtually all their leases except those which meet the definition of a short-term lease. For income statement purposes, the FASB retained a dual model, requiring leases to be classified as either operating or financing. Classification will be based on criteria that are similar to those applied in current lease accounting, but without explicit bright lines. The Company adopted the new guidance effective January 1, 2021. The Company elected the optional transition method which allows entities to continue to apply historical accounting guidance in the comparative periods presented in the year of adoption. At transition, lessees and lessors may elect to apply a package of practical expedients permitting entities not to reassess: (i) whether any expired or existing contracts are or contain leases; (ii) lease classification for any expired or existing leases and (iii) whether initial direct costs for any expired or existing leases qualify for capitalization under the amended guidance. These practical expedients must be elected as a package and consistently applied. The Company applied the package of practical expedients upon adoption. As a result of adopting this standard, on January 1, 2021, the Company recorded lease liabilities of $29.3 million, right-of-use assets of $28.0 million, and an immaterial cumulative catch-up adjustment to opening equity. The adoption of this new standard did not have a material impact on the Company’s consolidated statements of comprehensive income or the consolidated statements of cash flows. The Company has included expanded disclosures on the consolidated balance sheets and in Note 11 to the consolidated financial statements.</w:t>
      </w:r>
    </w:p>
    <w:p>
      <w:pPr>
        <w:spacing w:after="0" w:line="169" w:lineRule="exact"/>
        <w:rPr>
          <w:sz w:val="20"/>
          <w:szCs w:val="20"/>
          <w:color w:val="auto"/>
        </w:rPr>
      </w:pPr>
    </w:p>
    <w:p>
      <w:pPr>
        <w:ind w:right="40"/>
        <w:spacing w:after="0" w:line="230" w:lineRule="auto"/>
        <w:rPr>
          <w:sz w:val="20"/>
          <w:szCs w:val="20"/>
          <w:color w:val="auto"/>
        </w:rPr>
      </w:pPr>
      <w:r>
        <w:rPr>
          <w:rFonts w:ascii="Arial" w:cs="Arial" w:eastAsia="Arial" w:hAnsi="Arial"/>
          <w:sz w:val="13"/>
          <w:szCs w:val="13"/>
          <w:color w:val="auto"/>
        </w:rPr>
        <w:t xml:space="preserve">In November 2019, the FASB issued ASU 2019-11, Financial Instruments – </w:t>
      </w:r>
      <w:r>
        <w:rPr>
          <w:rFonts w:ascii="Arial" w:cs="Arial" w:eastAsia="Arial" w:hAnsi="Arial"/>
          <w:sz w:val="13"/>
          <w:szCs w:val="13"/>
          <w:i w:val="1"/>
          <w:iCs w:val="1"/>
          <w:color w:val="auto"/>
        </w:rPr>
        <w:t>Credit Losses</w:t>
      </w:r>
      <w:r>
        <w:rPr>
          <w:rFonts w:ascii="Arial" w:cs="Arial" w:eastAsia="Arial" w:hAnsi="Arial"/>
          <w:sz w:val="13"/>
          <w:szCs w:val="13"/>
          <w:color w:val="auto"/>
        </w:rPr>
        <w:t xml:space="preserve"> (Topic 326), which amends the guidance for accounting for assets that are potentially subject to credit risk. The amendments affect contract assets, loans, debt securities, trade receivables, net investments in leases, off-balance-sheet credit exposures, reinsurance receivables, and any other financial assets not excluded from the scope that have the contractual right to receive cash. The Company adopted the new guidance effective January 1, 2021. As a result of adopting this standard, on January 1, 2021, the Company recorded a cumulative adjustment to opening equity of $0.5 million. The adoption of this new standard did not have a material impact on the Company’s consolidated statements of comprehensive income or the consolidated statements of cash flows.</w:t>
      </w:r>
    </w:p>
    <w:p>
      <w:pPr>
        <w:spacing w:after="0" w:line="176" w:lineRule="exact"/>
        <w:rPr>
          <w:sz w:val="20"/>
          <w:szCs w:val="20"/>
          <w:color w:val="auto"/>
        </w:rPr>
      </w:pPr>
    </w:p>
    <w:p>
      <w:pPr>
        <w:ind w:right="100"/>
        <w:spacing w:after="0" w:line="233" w:lineRule="auto"/>
        <w:rPr>
          <w:sz w:val="20"/>
          <w:szCs w:val="20"/>
          <w:color w:val="auto"/>
        </w:rPr>
      </w:pPr>
      <w:r>
        <w:rPr>
          <w:rFonts w:ascii="Arial" w:cs="Arial" w:eastAsia="Arial" w:hAnsi="Arial"/>
          <w:sz w:val="13"/>
          <w:szCs w:val="13"/>
          <w:color w:val="auto"/>
        </w:rPr>
        <w:t>In December 2019, the FASB issued ASU 2019-12, Simplifying the Accounting for Income Taxes (Topic 740). The guidance simplifies the accounting for income taxes. The Company adopted the new guidance effective January 1, 2021. The adoption of the new standard did not have a material impact on the Consolidated Financial Statements and related disclosures.</w:t>
      </w:r>
    </w:p>
    <w:p>
      <w:pPr>
        <w:spacing w:after="0" w:line="150" w:lineRule="exact"/>
        <w:rPr>
          <w:sz w:val="20"/>
          <w:szCs w:val="20"/>
          <w:color w:val="auto"/>
        </w:rPr>
      </w:pPr>
    </w:p>
    <w:p>
      <w:pPr>
        <w:ind w:right="9300" w:firstLine="5"/>
        <w:spacing w:after="0" w:line="567" w:lineRule="auto"/>
        <w:tabs>
          <w:tab w:leader="none" w:pos="142" w:val="left"/>
        </w:tabs>
        <w:numPr>
          <w:ilvl w:val="0"/>
          <w:numId w:val="39"/>
        </w:numPr>
        <w:rPr>
          <w:rFonts w:ascii="Arial" w:cs="Arial" w:eastAsia="Arial" w:hAnsi="Arial"/>
          <w:sz w:val="12"/>
          <w:szCs w:val="12"/>
          <w:b w:val="1"/>
          <w:bCs w:val="1"/>
          <w:color w:val="0A2299"/>
        </w:rPr>
      </w:pPr>
      <w:r>
        <w:rPr>
          <w:rFonts w:ascii="Arial" w:cs="Arial" w:eastAsia="Arial" w:hAnsi="Arial"/>
          <w:sz w:val="12"/>
          <w:szCs w:val="12"/>
          <w:b w:val="1"/>
          <w:bCs w:val="1"/>
          <w:color w:val="0A2299"/>
        </w:rPr>
        <w:t xml:space="preserve">BALANCE SHEET ACCOUNTS </w:t>
      </w:r>
      <w:r>
        <w:rPr>
          <w:rFonts w:ascii="Arial" w:cs="Arial" w:eastAsia="Arial" w:hAnsi="Arial"/>
          <w:sz w:val="12"/>
          <w:szCs w:val="12"/>
          <w:b w:val="1"/>
          <w:bCs w:val="1"/>
          <w:color w:val="000000"/>
        </w:rPr>
        <w:t>Commissions Receivable</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Commissions receivable activity is summarized as follows: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77</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85" w:right="31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49"/>
        </w:trPr>
        <w:tc>
          <w:tcPr>
            <w:tcW w:w="43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2"/>
          </w:tcPr>
          <w:p>
            <w:pPr>
              <w:ind w:left="240"/>
              <w:spacing w:after="0"/>
              <w:rPr>
                <w:sz w:val="20"/>
                <w:szCs w:val="20"/>
                <w:color w:val="auto"/>
              </w:rPr>
            </w:pPr>
            <w:r>
              <w:rPr>
                <w:rFonts w:ascii="Arial" w:cs="Arial" w:eastAsia="Arial" w:hAnsi="Arial"/>
                <w:sz w:val="11"/>
                <w:szCs w:val="11"/>
                <w:b w:val="1"/>
                <w:bCs w:val="1"/>
                <w:color w:val="auto"/>
              </w:rPr>
              <w:t>Successor</w:t>
            </w:r>
          </w:p>
        </w:tc>
        <w:tc>
          <w:tcPr>
            <w:tcW w:w="1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center"/>
              <w:ind w:right="83"/>
              <w:spacing w:after="0"/>
              <w:rPr>
                <w:sz w:val="20"/>
                <w:szCs w:val="20"/>
                <w:color w:val="auto"/>
              </w:rPr>
            </w:pPr>
            <w:r>
              <w:rPr>
                <w:rFonts w:ascii="Arial" w:cs="Arial" w:eastAsia="Arial" w:hAnsi="Arial"/>
                <w:sz w:val="11"/>
                <w:szCs w:val="11"/>
                <w:b w:val="1"/>
                <w:bCs w:val="1"/>
                <w:color w:val="auto"/>
              </w:rPr>
              <w:t>Predecessor</w:t>
            </w:r>
          </w:p>
        </w:tc>
        <w:tc>
          <w:tcPr>
            <w:tcW w:w="0" w:type="dxa"/>
            <w:vAlign w:val="bottom"/>
          </w:tcPr>
          <w:p>
            <w:pPr>
              <w:spacing w:after="0"/>
              <w:rPr>
                <w:sz w:val="1"/>
                <w:szCs w:val="1"/>
                <w:color w:val="auto"/>
              </w:rPr>
            </w:pPr>
          </w:p>
        </w:tc>
      </w:tr>
      <w:tr>
        <w:trPr>
          <w:trHeight w:val="107"/>
        </w:trPr>
        <w:tc>
          <w:tcPr>
            <w:tcW w:w="4360" w:type="dxa"/>
            <w:vAlign w:val="bottom"/>
            <w:vMerge w:val="restart"/>
          </w:tcPr>
          <w:p>
            <w:pPr>
              <w:ind w:left="20"/>
              <w:spacing w:after="0"/>
              <w:rPr>
                <w:sz w:val="20"/>
                <w:szCs w:val="20"/>
                <w:color w:val="auto"/>
              </w:rPr>
            </w:pPr>
            <w:r>
              <w:rPr>
                <w:rFonts w:ascii="Arial" w:cs="Arial" w:eastAsia="Arial" w:hAnsi="Arial"/>
                <w:sz w:val="11"/>
                <w:szCs w:val="11"/>
                <w:color w:val="auto"/>
              </w:rPr>
              <w:t>(in thousands)</w:t>
            </w:r>
          </w:p>
        </w:tc>
        <w:tc>
          <w:tcPr>
            <w:tcW w:w="1780" w:type="dxa"/>
            <w:vAlign w:val="bottom"/>
            <w:gridSpan w:val="3"/>
          </w:tcPr>
          <w:p>
            <w:pPr>
              <w:ind w:left="40"/>
              <w:spacing w:after="0" w:line="107" w:lineRule="exact"/>
              <w:rPr>
                <w:sz w:val="20"/>
                <w:szCs w:val="20"/>
                <w:color w:val="auto"/>
              </w:rPr>
            </w:pPr>
            <w:r>
              <w:rPr>
                <w:rFonts w:ascii="Arial" w:cs="Arial" w:eastAsia="Arial" w:hAnsi="Arial"/>
                <w:sz w:val="11"/>
                <w:szCs w:val="11"/>
                <w:b w:val="1"/>
                <w:bCs w:val="1"/>
                <w:color w:val="auto"/>
              </w:rPr>
              <w:t>Twelve months ended Dec. 31,</w:t>
            </w:r>
          </w:p>
        </w:tc>
        <w:tc>
          <w:tcPr>
            <w:tcW w:w="1760" w:type="dxa"/>
            <w:vAlign w:val="bottom"/>
            <w:gridSpan w:val="3"/>
          </w:tcPr>
          <w:p>
            <w:pPr>
              <w:ind w:left="20"/>
              <w:spacing w:after="0" w:line="107" w:lineRule="exact"/>
              <w:rPr>
                <w:sz w:val="20"/>
                <w:szCs w:val="20"/>
                <w:color w:val="auto"/>
              </w:rPr>
            </w:pPr>
            <w:r>
              <w:rPr>
                <w:rFonts w:ascii="Arial" w:cs="Arial" w:eastAsia="Arial" w:hAnsi="Arial"/>
                <w:sz w:val="11"/>
                <w:szCs w:val="11"/>
                <w:b w:val="1"/>
                <w:bCs w:val="1"/>
                <w:color w:val="auto"/>
              </w:rPr>
              <w:t>Twelve months ended Dec. 31,</w:t>
            </w:r>
          </w:p>
        </w:tc>
        <w:tc>
          <w:tcPr>
            <w:tcW w:w="120" w:type="dxa"/>
            <w:vAlign w:val="bottom"/>
          </w:tcPr>
          <w:p>
            <w:pPr>
              <w:spacing w:after="0"/>
              <w:rPr>
                <w:sz w:val="9"/>
                <w:szCs w:val="9"/>
                <w:color w:val="auto"/>
              </w:rPr>
            </w:pPr>
          </w:p>
        </w:tc>
        <w:tc>
          <w:tcPr>
            <w:tcW w:w="1640" w:type="dxa"/>
            <w:vAlign w:val="bottom"/>
            <w:tcBorders>
              <w:right w:val="single" w:sz="8" w:color="auto"/>
            </w:tcBorders>
            <w:gridSpan w:val="2"/>
          </w:tcPr>
          <w:p>
            <w:pPr>
              <w:jc w:val="center"/>
              <w:ind w:right="220"/>
              <w:spacing w:after="0" w:line="107" w:lineRule="exact"/>
              <w:rPr>
                <w:sz w:val="20"/>
                <w:szCs w:val="20"/>
                <w:color w:val="auto"/>
              </w:rPr>
            </w:pPr>
            <w:r>
              <w:rPr>
                <w:rFonts w:ascii="Arial" w:cs="Arial" w:eastAsia="Arial" w:hAnsi="Arial"/>
                <w:sz w:val="11"/>
                <w:szCs w:val="11"/>
                <w:b w:val="1"/>
                <w:bCs w:val="1"/>
                <w:color w:val="auto"/>
              </w:rPr>
              <w:t>Period from Sep. 13, 2019</w:t>
            </w:r>
          </w:p>
        </w:tc>
        <w:tc>
          <w:tcPr>
            <w:tcW w:w="120" w:type="dxa"/>
            <w:vAlign w:val="bottom"/>
          </w:tcPr>
          <w:p>
            <w:pPr>
              <w:spacing w:after="0"/>
              <w:rPr>
                <w:sz w:val="9"/>
                <w:szCs w:val="9"/>
                <w:color w:val="auto"/>
              </w:rPr>
            </w:pPr>
          </w:p>
        </w:tc>
        <w:tc>
          <w:tcPr>
            <w:tcW w:w="1500" w:type="dxa"/>
            <w:vAlign w:val="bottom"/>
          </w:tcPr>
          <w:p>
            <w:pPr>
              <w:jc w:val="center"/>
              <w:ind w:right="63"/>
              <w:spacing w:after="0" w:line="107" w:lineRule="exact"/>
              <w:rPr>
                <w:sz w:val="20"/>
                <w:szCs w:val="20"/>
                <w:color w:val="auto"/>
              </w:rPr>
            </w:pPr>
            <w:r>
              <w:rPr>
                <w:rFonts w:ascii="Arial" w:cs="Arial" w:eastAsia="Arial" w:hAnsi="Arial"/>
                <w:sz w:val="11"/>
                <w:szCs w:val="11"/>
                <w:b w:val="1"/>
                <w:bCs w:val="1"/>
                <w:color w:val="auto"/>
              </w:rPr>
              <w:t>Period from Jan. 1, 2019</w:t>
            </w:r>
          </w:p>
        </w:tc>
        <w:tc>
          <w:tcPr>
            <w:tcW w:w="0" w:type="dxa"/>
            <w:vAlign w:val="bottom"/>
          </w:tcPr>
          <w:p>
            <w:pPr>
              <w:spacing w:after="0"/>
              <w:rPr>
                <w:sz w:val="1"/>
                <w:szCs w:val="1"/>
                <w:color w:val="auto"/>
              </w:rPr>
            </w:pPr>
          </w:p>
        </w:tc>
      </w:tr>
      <w:tr>
        <w:trPr>
          <w:trHeight w:val="138"/>
        </w:trPr>
        <w:tc>
          <w:tcPr>
            <w:tcW w:w="436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300" w:type="dxa"/>
            <w:vAlign w:val="bottom"/>
          </w:tcPr>
          <w:p>
            <w:pPr>
              <w:jc w:val="right"/>
              <w:ind w:right="663"/>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80" w:type="dxa"/>
            <w:vAlign w:val="bottom"/>
          </w:tcPr>
          <w:p>
            <w:pPr>
              <w:jc w:val="right"/>
              <w:ind w:right="663"/>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rPr>
              <w:t>through Dec. 31, 2019</w:t>
            </w:r>
          </w:p>
        </w:tc>
        <w:tc>
          <w:tcPr>
            <w:tcW w:w="120" w:type="dxa"/>
            <w:vAlign w:val="bottom"/>
          </w:tcPr>
          <w:p>
            <w:pPr>
              <w:spacing w:after="0"/>
              <w:rPr>
                <w:sz w:val="11"/>
                <w:szCs w:val="11"/>
                <w:color w:val="auto"/>
              </w:rPr>
            </w:pPr>
          </w:p>
        </w:tc>
        <w:tc>
          <w:tcPr>
            <w:tcW w:w="1500" w:type="dxa"/>
            <w:vAlign w:val="bottom"/>
          </w:tcPr>
          <w:p>
            <w:pPr>
              <w:jc w:val="center"/>
              <w:ind w:right="63"/>
              <w:spacing w:after="0"/>
              <w:rPr>
                <w:sz w:val="20"/>
                <w:szCs w:val="20"/>
                <w:color w:val="auto"/>
              </w:rPr>
            </w:pPr>
            <w:r>
              <w:rPr>
                <w:rFonts w:ascii="Arial" w:cs="Arial" w:eastAsia="Arial" w:hAnsi="Arial"/>
                <w:sz w:val="11"/>
                <w:szCs w:val="11"/>
                <w:b w:val="1"/>
                <w:bCs w:val="1"/>
                <w:color w:val="auto"/>
              </w:rPr>
              <w:t>through Sep. 12, 2019</w:t>
            </w:r>
          </w:p>
        </w:tc>
        <w:tc>
          <w:tcPr>
            <w:tcW w:w="0" w:type="dxa"/>
            <w:vAlign w:val="bottom"/>
          </w:tcPr>
          <w:p>
            <w:pPr>
              <w:spacing w:after="0"/>
              <w:rPr>
                <w:sz w:val="1"/>
                <w:szCs w:val="1"/>
                <w:color w:val="auto"/>
              </w:rPr>
            </w:pPr>
          </w:p>
        </w:tc>
      </w:tr>
      <w:tr>
        <w:trPr>
          <w:trHeight w:val="139"/>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Beginning balance</w:t>
            </w: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3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810,398</w:t>
            </w: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382,931</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178,975</w:t>
            </w:r>
          </w:p>
        </w:tc>
        <w:tc>
          <w:tcPr>
            <w:tcW w:w="100" w:type="dxa"/>
            <w:vAlign w:val="bottom"/>
            <w:tcBorders>
              <w:top w:val="single" w:sz="8" w:color="CCEEFF"/>
              <w:right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115,527</w:t>
            </w:r>
          </w:p>
        </w:tc>
        <w:tc>
          <w:tcPr>
            <w:tcW w:w="0" w:type="dxa"/>
            <w:vAlign w:val="bottom"/>
          </w:tcPr>
          <w:p>
            <w:pPr>
              <w:spacing w:after="0"/>
              <w:rPr>
                <w:sz w:val="1"/>
                <w:szCs w:val="1"/>
                <w:color w:val="auto"/>
              </w:rPr>
            </w:pPr>
          </w:p>
        </w:tc>
      </w:tr>
      <w:tr>
        <w:trPr>
          <w:trHeight w:val="149"/>
        </w:trPr>
        <w:tc>
          <w:tcPr>
            <w:tcW w:w="4360" w:type="dxa"/>
            <w:vAlign w:val="bottom"/>
          </w:tcPr>
          <w:p>
            <w:pPr>
              <w:ind w:left="20"/>
              <w:spacing w:after="0"/>
              <w:rPr>
                <w:sz w:val="20"/>
                <w:szCs w:val="20"/>
                <w:color w:val="auto"/>
              </w:rPr>
            </w:pPr>
            <w:r>
              <w:rPr>
                <w:rFonts w:ascii="Arial" w:cs="Arial" w:eastAsia="Arial" w:hAnsi="Arial"/>
                <w:sz w:val="11"/>
                <w:szCs w:val="11"/>
                <w:color w:val="auto"/>
              </w:rPr>
              <w:t>Commission revenue</w:t>
            </w:r>
          </w:p>
        </w:tc>
        <w:tc>
          <w:tcPr>
            <w:tcW w:w="400" w:type="dxa"/>
            <w:vAlign w:val="bottom"/>
          </w:tcPr>
          <w:p>
            <w:pPr>
              <w:spacing w:after="0"/>
              <w:rPr>
                <w:sz w:val="12"/>
                <w:szCs w:val="12"/>
                <w:color w:val="auto"/>
              </w:rPr>
            </w:pPr>
          </w:p>
        </w:tc>
        <w:tc>
          <w:tcPr>
            <w:tcW w:w="1300" w:type="dxa"/>
            <w:vAlign w:val="bottom"/>
          </w:tcPr>
          <w:p>
            <w:pPr>
              <w:jc w:val="right"/>
              <w:ind w:right="3"/>
              <w:spacing w:after="0"/>
              <w:rPr>
                <w:sz w:val="20"/>
                <w:szCs w:val="20"/>
                <w:color w:val="auto"/>
              </w:rPr>
            </w:pPr>
            <w:r>
              <w:rPr>
                <w:rFonts w:ascii="Arial" w:cs="Arial" w:eastAsia="Arial" w:hAnsi="Arial"/>
                <w:sz w:val="11"/>
                <w:szCs w:val="11"/>
                <w:color w:val="auto"/>
              </w:rPr>
              <w:t>881,263</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671,140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right"/>
              <w:ind w:right="3"/>
              <w:spacing w:after="0"/>
              <w:rPr>
                <w:sz w:val="20"/>
                <w:szCs w:val="20"/>
                <w:color w:val="auto"/>
              </w:rPr>
            </w:pPr>
            <w:r>
              <w:rPr>
                <w:rFonts w:ascii="Arial" w:cs="Arial" w:eastAsia="Arial" w:hAnsi="Arial"/>
                <w:sz w:val="11"/>
                <w:szCs w:val="11"/>
                <w:color w:val="auto"/>
              </w:rPr>
              <w:t>243,347</w:t>
            </w: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175,834</w:t>
            </w:r>
          </w:p>
        </w:tc>
        <w:tc>
          <w:tcPr>
            <w:tcW w:w="0" w:type="dxa"/>
            <w:vAlign w:val="bottom"/>
          </w:tcPr>
          <w:p>
            <w:pPr>
              <w:spacing w:after="0"/>
              <w:rPr>
                <w:sz w:val="1"/>
                <w:szCs w:val="1"/>
                <w:color w:val="auto"/>
              </w:rPr>
            </w:pPr>
          </w:p>
        </w:tc>
      </w:tr>
      <w:tr>
        <w:trPr>
          <w:trHeight w:val="149"/>
        </w:trPr>
        <w:tc>
          <w:tcPr>
            <w:tcW w:w="4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receipts</w:t>
            </w: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(428,313)</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(243,673)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(39,391)</w:t>
            </w: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(112,386)</w:t>
            </w:r>
          </w:p>
        </w:tc>
        <w:tc>
          <w:tcPr>
            <w:tcW w:w="0" w:type="dxa"/>
            <w:vAlign w:val="bottom"/>
          </w:tcPr>
          <w:p>
            <w:pPr>
              <w:spacing w:after="0"/>
              <w:rPr>
                <w:sz w:val="1"/>
                <w:szCs w:val="1"/>
                <w:color w:val="auto"/>
              </w:rPr>
            </w:pPr>
          </w:p>
        </w:tc>
      </w:tr>
      <w:tr>
        <w:trPr>
          <w:trHeight w:val="149"/>
        </w:trPr>
        <w:tc>
          <w:tcPr>
            <w:tcW w:w="4360" w:type="dxa"/>
            <w:vAlign w:val="bottom"/>
          </w:tcPr>
          <w:p>
            <w:pPr>
              <w:ind w:left="20"/>
              <w:spacing w:after="0"/>
              <w:rPr>
                <w:sz w:val="20"/>
                <w:szCs w:val="20"/>
                <w:color w:val="auto"/>
              </w:rPr>
            </w:pPr>
            <w:r>
              <w:rPr>
                <w:rFonts w:ascii="Arial" w:cs="Arial" w:eastAsia="Arial" w:hAnsi="Arial"/>
                <w:sz w:val="11"/>
                <w:szCs w:val="11"/>
                <w:color w:val="auto"/>
              </w:rPr>
              <w:t>Allowance for credit losses</w:t>
            </w:r>
          </w:p>
        </w:tc>
        <w:tc>
          <w:tcPr>
            <w:tcW w:w="4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(841)</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6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Ending balance</w:t>
            </w:r>
          </w:p>
        </w:tc>
        <w:tc>
          <w:tcPr>
            <w:tcW w:w="400" w:type="dxa"/>
            <w:vAlign w:val="bottom"/>
            <w:tcBorders>
              <w:top w:val="single" w:sz="8" w:color="auto"/>
              <w:bottom w:val="single" w:sz="8" w:color="auto"/>
            </w:tcBorders>
            <w:shd w:val="clear" w:color="auto" w:fill="CCEEFF"/>
          </w:tcPr>
          <w:p>
            <w:pPr>
              <w:spacing w:after="0"/>
              <w:rPr>
                <w:sz w:val="12"/>
                <w:szCs w:val="12"/>
                <w:color w:val="auto"/>
              </w:rPr>
            </w:pPr>
          </w:p>
        </w:tc>
        <w:tc>
          <w:tcPr>
            <w:tcW w:w="13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1,262,507</w:t>
            </w: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spacing w:after="0"/>
              <w:rPr>
                <w:sz w:val="12"/>
                <w:szCs w:val="12"/>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810,398</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5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382,931</w:t>
            </w:r>
          </w:p>
        </w:tc>
        <w:tc>
          <w:tcPr>
            <w:tcW w:w="100" w:type="dxa"/>
            <w:vAlign w:val="bottom"/>
            <w:tcBorders>
              <w:top w:val="single" w:sz="8" w:color="CCEEFF"/>
              <w:right w:val="single" w:sz="8" w:color="auto"/>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178,975</w:t>
            </w:r>
          </w:p>
        </w:tc>
        <w:tc>
          <w:tcPr>
            <w:tcW w:w="0" w:type="dxa"/>
            <w:vAlign w:val="bottom"/>
          </w:tcPr>
          <w:p>
            <w:pPr>
              <w:spacing w:after="0"/>
              <w:rPr>
                <w:sz w:val="1"/>
                <w:szCs w:val="1"/>
                <w:color w:val="auto"/>
              </w:rPr>
            </w:pPr>
          </w:p>
        </w:tc>
      </w:tr>
      <w:tr>
        <w:trPr>
          <w:trHeight w:val="139"/>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Less: Commissions receivable - current</w:t>
            </w:r>
          </w:p>
        </w:tc>
        <w:tc>
          <w:tcPr>
            <w:tcW w:w="4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268,663</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188,128</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101,078</w:t>
            </w:r>
          </w:p>
        </w:tc>
        <w:tc>
          <w:tcPr>
            <w:tcW w:w="100" w:type="dxa"/>
            <w:vAlign w:val="bottom"/>
            <w:tcBorders>
              <w:bottom w:val="single" w:sz="8" w:color="CCEEFF"/>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65,410</w:t>
            </w:r>
          </w:p>
        </w:tc>
        <w:tc>
          <w:tcPr>
            <w:tcW w:w="0" w:type="dxa"/>
            <w:vAlign w:val="bottom"/>
          </w:tcPr>
          <w:p>
            <w:pPr>
              <w:spacing w:after="0"/>
              <w:rPr>
                <w:sz w:val="1"/>
                <w:szCs w:val="1"/>
                <w:color w:val="auto"/>
              </w:rPr>
            </w:pPr>
          </w:p>
        </w:tc>
      </w:tr>
      <w:tr>
        <w:trPr>
          <w:trHeight w:val="164"/>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Commissions receivable - non-current</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993,844</w:t>
            </w: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622,270</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281,853</w:t>
            </w:r>
          </w:p>
        </w:tc>
        <w:tc>
          <w:tcPr>
            <w:tcW w:w="100" w:type="dxa"/>
            <w:vAlign w:val="bottom"/>
            <w:tcBorders>
              <w:bottom w:val="single" w:sz="8" w:color="CCEEFF"/>
              <w:right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113,565</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right="100"/>
        <w:spacing w:after="0" w:line="239" w:lineRule="auto"/>
        <w:rPr>
          <w:sz w:val="20"/>
          <w:szCs w:val="20"/>
          <w:color w:val="auto"/>
        </w:rPr>
      </w:pPr>
      <w:r>
        <w:rPr>
          <w:rFonts w:ascii="Arial" w:cs="Arial" w:eastAsia="Arial" w:hAnsi="Arial"/>
          <w:sz w:val="13"/>
          <w:szCs w:val="13"/>
          <w:color w:val="auto"/>
        </w:rPr>
        <w:t>Our contracts with carriers expose us to credit risk that a financial loss could be incurred if the counterparty does not fulfill its financial obligation. While we are exposed to credit losses due to the non-performance of our counterparties, we consider the risk of this remote. We estimate our maximum credit risk in determining the commissions receivable amount recorded on the balance sheet. Upon the adoption of Topic 326 as of January 1, 2021, we recorded $0.5 million of allowance for credit losses for our commissions. During the year ended December 31, 2021, we recorded an additional $0.3 million for the allowance for credit losses. See Note 1 - Description of Business and Significant Accounting Policies in our Notes to Consolidated Financial Statements for additional information regarding the accounting standard adoption.</w:t>
      </w:r>
    </w:p>
    <w:p>
      <w:pPr>
        <w:spacing w:after="0" w:line="168" w:lineRule="exact"/>
        <w:rPr>
          <w:sz w:val="20"/>
          <w:szCs w:val="20"/>
          <w:color w:val="auto"/>
        </w:rPr>
      </w:pPr>
    </w:p>
    <w:p>
      <w:pPr>
        <w:ind w:right="160"/>
        <w:spacing w:after="0" w:line="244" w:lineRule="auto"/>
        <w:rPr>
          <w:sz w:val="20"/>
          <w:szCs w:val="20"/>
          <w:color w:val="auto"/>
        </w:rPr>
      </w:pPr>
      <w:r>
        <w:rPr>
          <w:rFonts w:ascii="Arial" w:cs="Arial" w:eastAsia="Arial" w:hAnsi="Arial"/>
          <w:sz w:val="13"/>
          <w:szCs w:val="13"/>
          <w:color w:val="auto"/>
        </w:rPr>
        <w:t>The commissions receivable balance as of December 31, 2021 and 2020, primarily relates to Medicare Advantage Plans sold during the fourth quarters of 2021 and 2020 with effective dates in 2022 and 2021,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Property, Equipment and Capitalized Software, Net</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Property, equipment, and capitalized software, net, consist of the following: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7900" w:type="dxa"/>
            <w:vAlign w:val="bottom"/>
          </w:tcPr>
          <w:p>
            <w:pPr>
              <w:spacing w:after="0"/>
              <w:rPr>
                <w:sz w:val="12"/>
                <w:szCs w:val="12"/>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Successor</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483"/>
              <w:spacing w:after="0"/>
              <w:rPr>
                <w:sz w:val="20"/>
                <w:szCs w:val="20"/>
                <w:color w:val="auto"/>
              </w:rPr>
            </w:pPr>
            <w:r>
              <w:rPr>
                <w:rFonts w:ascii="Arial" w:cs="Arial" w:eastAsia="Arial" w:hAnsi="Arial"/>
                <w:sz w:val="11"/>
                <w:szCs w:val="11"/>
                <w:b w:val="1"/>
                <w:bCs w:val="1"/>
                <w:color w:val="auto"/>
              </w:rPr>
              <w:t>Successor</w:t>
            </w:r>
          </w:p>
        </w:tc>
      </w:tr>
      <w:tr>
        <w:trPr>
          <w:trHeight w:val="139"/>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Dec. 31, 2021</w:t>
            </w: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Dec. 31, 2020</w:t>
            </w:r>
          </w:p>
        </w:tc>
      </w:tr>
      <w:tr>
        <w:trPr>
          <w:trHeight w:val="13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Computer equipment</w:t>
            </w:r>
          </w:p>
        </w:tc>
        <w:tc>
          <w:tcPr>
            <w:tcW w:w="1200" w:type="dxa"/>
            <w:vAlign w:val="bottom"/>
            <w:shd w:val="clear" w:color="auto" w:fill="CCEEFF"/>
          </w:tcPr>
          <w:p>
            <w:pPr>
              <w:jc w:val="right"/>
              <w:ind w:right="1063"/>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12,339</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9,297</w:t>
            </w:r>
          </w:p>
        </w:tc>
      </w:tr>
      <w:tr>
        <w:trPr>
          <w:trHeight w:val="149"/>
        </w:trPr>
        <w:tc>
          <w:tcPr>
            <w:tcW w:w="7900" w:type="dxa"/>
            <w:vAlign w:val="bottom"/>
          </w:tcPr>
          <w:p>
            <w:pPr>
              <w:ind w:left="20"/>
              <w:spacing w:after="0"/>
              <w:rPr>
                <w:sz w:val="20"/>
                <w:szCs w:val="20"/>
                <w:color w:val="auto"/>
              </w:rPr>
            </w:pPr>
            <w:r>
              <w:rPr>
                <w:rFonts w:ascii="Arial" w:cs="Arial" w:eastAsia="Arial" w:hAnsi="Arial"/>
                <w:sz w:val="11"/>
                <w:szCs w:val="11"/>
                <w:color w:val="auto"/>
              </w:rPr>
              <w:t>Leasehold improvements</w:t>
            </w:r>
          </w:p>
        </w:tc>
        <w:tc>
          <w:tcPr>
            <w:tcW w:w="1200" w:type="dxa"/>
            <w:vAlign w:val="bottom"/>
          </w:tcPr>
          <w:p>
            <w:pPr>
              <w:spacing w:after="0"/>
              <w:rPr>
                <w:sz w:val="12"/>
                <w:szCs w:val="12"/>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3,157</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2,515</w:t>
            </w:r>
          </w:p>
        </w:tc>
      </w:tr>
      <w:tr>
        <w:trPr>
          <w:trHeight w:val="14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Office equipment and furniture</w:t>
            </w:r>
          </w:p>
        </w:tc>
        <w:tc>
          <w:tcPr>
            <w:tcW w:w="12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1,263</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1,140</w:t>
            </w:r>
          </w:p>
        </w:tc>
      </w:tr>
      <w:tr>
        <w:trPr>
          <w:trHeight w:val="139"/>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Property and equipment</w:t>
            </w:r>
          </w:p>
        </w:tc>
        <w:tc>
          <w:tcPr>
            <w:tcW w:w="1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16,759</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12,952</w:t>
            </w:r>
          </w:p>
        </w:tc>
      </w:tr>
      <w:tr>
        <w:trPr>
          <w:trHeight w:val="13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Capitalized software</w:t>
            </w:r>
          </w:p>
        </w:tc>
        <w:tc>
          <w:tcPr>
            <w:tcW w:w="12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17,840</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9,417</w:t>
            </w:r>
          </w:p>
        </w:tc>
      </w:tr>
      <w:tr>
        <w:trPr>
          <w:trHeight w:val="149"/>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Less: Accumulated depreciation and amortization</w:t>
            </w:r>
          </w:p>
        </w:tc>
        <w:tc>
          <w:tcPr>
            <w:tcW w:w="1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(10,326)</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(5,016)</w:t>
            </w:r>
          </w:p>
        </w:tc>
      </w:tr>
      <w:tr>
        <w:trPr>
          <w:trHeight w:val="164"/>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Property, equipment and capitalized software, net</w:t>
            </w:r>
          </w:p>
        </w:tc>
        <w:tc>
          <w:tcPr>
            <w:tcW w:w="1200" w:type="dxa"/>
            <w:vAlign w:val="bottom"/>
            <w:tcBorders>
              <w:bottom w:val="single" w:sz="8" w:color="auto"/>
            </w:tcBorders>
            <w:shd w:val="clear" w:color="auto" w:fill="CCEEFF"/>
          </w:tcPr>
          <w:p>
            <w:pPr>
              <w:jc w:val="right"/>
              <w:ind w:right="1063"/>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24,273</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b w:val="1"/>
                <w:bCs w:val="1"/>
                <w:color w:val="auto"/>
                <w:w w:val="97"/>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17,353</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right="580"/>
        <w:spacing w:after="0" w:line="244" w:lineRule="auto"/>
        <w:rPr>
          <w:sz w:val="20"/>
          <w:szCs w:val="20"/>
          <w:color w:val="auto"/>
        </w:rPr>
      </w:pPr>
      <w:r>
        <w:rPr>
          <w:rFonts w:ascii="Arial" w:cs="Arial" w:eastAsia="Arial" w:hAnsi="Arial"/>
          <w:sz w:val="13"/>
          <w:szCs w:val="13"/>
          <w:color w:val="auto"/>
        </w:rPr>
        <w:t>Depreciation expense related to property and equipment for the twelve months ended December 31, 2021, the twelve months ended December 31, 2020, the Successor 2019 Period, and the Predecessor 2019 Period, was $9.3 million, $2.9 million $0.4 million, and $1.3 million, respectively.</w:t>
      </w:r>
    </w:p>
    <w:p>
      <w:pPr>
        <w:spacing w:after="0" w:line="163" w:lineRule="exact"/>
        <w:rPr>
          <w:sz w:val="20"/>
          <w:szCs w:val="20"/>
          <w:color w:val="auto"/>
        </w:rPr>
      </w:pPr>
    </w:p>
    <w:p>
      <w:pPr>
        <w:ind w:right="100"/>
        <w:spacing w:after="0" w:line="244" w:lineRule="auto"/>
        <w:rPr>
          <w:sz w:val="20"/>
          <w:szCs w:val="20"/>
          <w:color w:val="auto"/>
        </w:rPr>
      </w:pPr>
      <w:r>
        <w:rPr>
          <w:rFonts w:ascii="Arial" w:cs="Arial" w:eastAsia="Arial" w:hAnsi="Arial"/>
          <w:sz w:val="13"/>
          <w:szCs w:val="13"/>
          <w:color w:val="auto"/>
        </w:rPr>
        <w:t>Amortization expense related to capitalized software was $4.2 million, $1.6 million, $0.1 million, and $3.0 million for the twelve months ended December 31, 2021, the twelve months ended December 31, 2020, the Successor 2019 Period, and the Predecessor 2019 Period,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Accrued Liabilities</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Accrued liabilities consist of the following: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383"/>
              <w:spacing w:after="0"/>
              <w:rPr>
                <w:sz w:val="20"/>
                <w:szCs w:val="20"/>
                <w:color w:val="auto"/>
              </w:rPr>
            </w:pPr>
            <w:r>
              <w:rPr>
                <w:rFonts w:ascii="Arial" w:cs="Arial" w:eastAsia="Arial" w:hAnsi="Arial"/>
                <w:sz w:val="11"/>
                <w:szCs w:val="11"/>
                <w:b w:val="1"/>
                <w:bCs w:val="1"/>
                <w:color w:val="auto"/>
              </w:rPr>
              <w:t>Successor</w:t>
            </w: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383"/>
              <w:spacing w:after="0"/>
              <w:rPr>
                <w:sz w:val="20"/>
                <w:szCs w:val="20"/>
                <w:color w:val="auto"/>
              </w:rPr>
            </w:pPr>
            <w:r>
              <w:rPr>
                <w:rFonts w:ascii="Arial" w:cs="Arial" w:eastAsia="Arial" w:hAnsi="Arial"/>
                <w:sz w:val="11"/>
                <w:szCs w:val="11"/>
                <w:b w:val="1"/>
                <w:bCs w:val="1"/>
                <w:color w:val="auto"/>
              </w:rPr>
              <w:t>Successor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2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18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Dec. 31, 2021</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Dec. 31, 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Bonuses and commissions</w:t>
            </w:r>
          </w:p>
        </w:tc>
        <w:tc>
          <w:tcPr>
            <w:tcW w:w="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06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18,583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13,284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tcPr>
          <w:p>
            <w:pPr>
              <w:ind w:left="20"/>
              <w:spacing w:after="0"/>
              <w:rPr>
                <w:sz w:val="20"/>
                <w:szCs w:val="20"/>
                <w:color w:val="auto"/>
              </w:rPr>
            </w:pPr>
            <w:r>
              <w:rPr>
                <w:rFonts w:ascii="Arial" w:cs="Arial" w:eastAsia="Arial" w:hAnsi="Arial"/>
                <w:sz w:val="11"/>
                <w:szCs w:val="11"/>
                <w:color w:val="auto"/>
              </w:rPr>
              <w:t>Payroll</w:t>
            </w:r>
          </w:p>
        </w:tc>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12,824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right"/>
              <w:ind w:right="3"/>
              <w:spacing w:after="0"/>
              <w:rPr>
                <w:sz w:val="20"/>
                <w:szCs w:val="20"/>
                <w:color w:val="auto"/>
              </w:rPr>
            </w:pPr>
            <w:r>
              <w:rPr>
                <w:rFonts w:ascii="Arial" w:cs="Arial" w:eastAsia="Arial" w:hAnsi="Arial"/>
                <w:sz w:val="11"/>
                <w:szCs w:val="11"/>
                <w:color w:val="auto"/>
              </w:rPr>
              <w:t>6,326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Marketing costs</w:t>
            </w:r>
          </w:p>
        </w:tc>
        <w:tc>
          <w:tcPr>
            <w:tcW w:w="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820" w:type="dxa"/>
            <w:vAlign w:val="bottom"/>
            <w:tcBorders>
              <w:lef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13,065</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2,132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tcPr>
          <w:p>
            <w:pPr>
              <w:ind w:left="20"/>
              <w:spacing w:after="0"/>
              <w:rPr>
                <w:sz w:val="20"/>
                <w:szCs w:val="20"/>
                <w:color w:val="auto"/>
              </w:rPr>
            </w:pPr>
            <w:r>
              <w:rPr>
                <w:rFonts w:ascii="Arial" w:cs="Arial" w:eastAsia="Arial" w:hAnsi="Arial"/>
                <w:sz w:val="11"/>
                <w:szCs w:val="11"/>
                <w:color w:val="auto"/>
              </w:rPr>
              <w:t>Interest expense</w:t>
            </w:r>
          </w:p>
        </w:tc>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2,994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accrued expenses</w:t>
            </w:r>
          </w:p>
        </w:tc>
        <w:tc>
          <w:tcPr>
            <w:tcW w:w="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820" w:type="dxa"/>
            <w:vAlign w:val="bottom"/>
            <w:tcBorders>
              <w:left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5,322</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5,184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860" w:type="dxa"/>
            <w:vAlign w:val="bottom"/>
          </w:tcPr>
          <w:p>
            <w:pPr>
              <w:ind w:left="20"/>
              <w:spacing w:after="0"/>
              <w:rPr>
                <w:sz w:val="20"/>
                <w:szCs w:val="20"/>
                <w:color w:val="auto"/>
              </w:rPr>
            </w:pPr>
            <w:r>
              <w:rPr>
                <w:rFonts w:ascii="Arial" w:cs="Arial" w:eastAsia="Arial" w:hAnsi="Arial"/>
                <w:sz w:val="11"/>
                <w:szCs w:val="11"/>
                <w:b w:val="1"/>
                <w:bCs w:val="1"/>
                <w:color w:val="auto"/>
              </w:rPr>
              <w:t>Accrued liabilities</w:t>
            </w:r>
          </w:p>
        </w:tc>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6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52,788</w:t>
            </w:r>
          </w:p>
        </w:tc>
        <w:tc>
          <w:tcPr>
            <w:tcW w:w="80" w:type="dxa"/>
            <w:vAlign w:val="bottom"/>
          </w:tcPr>
          <w:p>
            <w:pPr>
              <w:spacing w:after="0"/>
              <w:rPr>
                <w:sz w:val="12"/>
                <w:szCs w:val="12"/>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b w:val="1"/>
                <w:bCs w:val="1"/>
                <w:color w:val="auto"/>
                <w:w w:val="97"/>
              </w:rPr>
              <w:t>$</w:t>
            </w:r>
          </w:p>
        </w:tc>
        <w:tc>
          <w:tcPr>
            <w:tcW w:w="1220" w:type="dxa"/>
            <w:vAlign w:val="bottom"/>
          </w:tcPr>
          <w:p>
            <w:pPr>
              <w:jc w:val="right"/>
              <w:ind w:right="3"/>
              <w:spacing w:after="0"/>
              <w:rPr>
                <w:sz w:val="20"/>
                <w:szCs w:val="20"/>
                <w:color w:val="auto"/>
              </w:rPr>
            </w:pPr>
            <w:r>
              <w:rPr>
                <w:rFonts w:ascii="Arial" w:cs="Arial" w:eastAsia="Arial" w:hAnsi="Arial"/>
                <w:sz w:val="11"/>
                <w:szCs w:val="11"/>
                <w:b w:val="1"/>
                <w:bCs w:val="1"/>
                <w:color w:val="auto"/>
              </w:rPr>
              <w:t>26,926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3"/>
                <w:szCs w:val="13"/>
                <w:b w:val="1"/>
                <w:bCs w:val="1"/>
                <w:color w:val="0A2299"/>
              </w:rPr>
              <w:t>3. FAIR VALUE MEASUREMENTS</w:t>
            </w: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48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4860" w:type="dxa"/>
            <w:vAlign w:val="bottom"/>
            <w:vMerge w:val="restart"/>
          </w:tcPr>
          <w:p>
            <w:pPr>
              <w:ind w:left="3760"/>
              <w:spacing w:after="0"/>
              <w:rPr>
                <w:sz w:val="20"/>
                <w:szCs w:val="20"/>
                <w:color w:val="auto"/>
              </w:rPr>
            </w:pPr>
            <w:r>
              <w:rPr>
                <w:rFonts w:ascii="Arial" w:cs="Arial" w:eastAsia="Arial" w:hAnsi="Arial"/>
                <w:sz w:val="11"/>
                <w:szCs w:val="11"/>
                <w:color w:val="auto"/>
              </w:rPr>
              <w:t>GoHealth, Inc.</w:t>
            </w:r>
          </w:p>
        </w:tc>
        <w:tc>
          <w:tcPr>
            <w:tcW w:w="20" w:type="dxa"/>
            <w:vAlign w:val="bottom"/>
          </w:tcPr>
          <w:p>
            <w:pPr>
              <w:spacing w:after="0"/>
              <w:rPr>
                <w:sz w:val="24"/>
                <w:szCs w:val="24"/>
                <w:color w:val="auto"/>
              </w:rPr>
            </w:pPr>
          </w:p>
        </w:tc>
        <w:tc>
          <w:tcPr>
            <w:tcW w:w="1560" w:type="dxa"/>
            <w:vAlign w:val="bottom"/>
            <w:vMerge w:val="restart"/>
          </w:tcPr>
          <w:p>
            <w:pPr>
              <w:ind w:left="360"/>
              <w:spacing w:after="0"/>
              <w:rPr>
                <w:sz w:val="20"/>
                <w:szCs w:val="20"/>
                <w:color w:val="auto"/>
              </w:rPr>
            </w:pPr>
            <w:r>
              <w:rPr>
                <w:rFonts w:ascii="Arial" w:cs="Arial" w:eastAsia="Arial" w:hAnsi="Arial"/>
                <w:sz w:val="11"/>
                <w:szCs w:val="11"/>
                <w:color w:val="auto"/>
              </w:rPr>
              <w:t>2021 Form 10-K</w:t>
            </w: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860" w:type="dxa"/>
            <w:vAlign w:val="bottom"/>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560" w:type="dxa"/>
            <w:vAlign w:val="bottom"/>
            <w:vMerge w:val="continue"/>
          </w:tcPr>
          <w:p>
            <w:pPr>
              <w:spacing w:after="0"/>
              <w:rPr>
                <w:sz w:val="12"/>
                <w:szCs w:val="12"/>
                <w:color w:val="auto"/>
              </w:rPr>
            </w:pPr>
          </w:p>
        </w:tc>
        <w:tc>
          <w:tcPr>
            <w:tcW w:w="1820" w:type="dxa"/>
            <w:vAlign w:val="bottom"/>
            <w:tcBorders>
              <w:left w:val="single" w:sz="8" w:color="auto"/>
            </w:tcBorders>
          </w:tcPr>
          <w:p>
            <w:pPr>
              <w:jc w:val="right"/>
              <w:ind w:right="1563"/>
              <w:spacing w:after="0"/>
              <w:rPr>
                <w:sz w:val="20"/>
                <w:szCs w:val="20"/>
                <w:color w:val="auto"/>
              </w:rPr>
            </w:pPr>
            <w:r>
              <w:rPr>
                <w:rFonts w:ascii="Arial" w:cs="Arial" w:eastAsia="Arial" w:hAnsi="Arial"/>
                <w:sz w:val="11"/>
                <w:szCs w:val="11"/>
                <w:color w:val="auto"/>
              </w:rPr>
              <w:t>78</w:t>
            </w: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8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05" w:right="319" w:bottom="1440" w:gutter="0" w:footer="0" w:header="0"/>
        </w:sectPr>
      </w:pPr>
    </w:p>
    <w:bookmarkStart w:id="81" w:name="page82"/>
    <w:bookmarkEnd w:id="81"/>
    <w:p>
      <w:pPr>
        <w:ind w:right="120"/>
        <w:spacing w:after="0" w:line="241" w:lineRule="auto"/>
        <w:rPr>
          <w:sz w:val="20"/>
          <w:szCs w:val="20"/>
          <w:color w:val="auto"/>
        </w:rPr>
      </w:pPr>
      <w:r>
        <w:rPr>
          <w:rFonts w:ascii="Arial" w:cs="Arial" w:eastAsia="Arial" w:hAnsi="Arial"/>
          <w:sz w:val="13"/>
          <w:szCs w:val="13"/>
          <w:color w:val="auto"/>
        </w:rPr>
        <w:t>The Company defines fair value as the price that would be received for an asset or paid to transfer a liability (an exit price) in the principal or most advantageous market for the asset or liability in an orderly transaction between market participants on the measurement date. Valuation techniques the Company uses to measure fair value maximize the use of observable inputs and minimize the use of unobservable inputs. The Company classifies the inputs used to measure fair value into the following hierarchy:</w:t>
      </w:r>
    </w:p>
    <w:p>
      <w:pPr>
        <w:sectPr>
          <w:pgSz w:w="11900" w:h="16838" w:orient="portrait"/>
          <w:cols w:equalWidth="0" w:num="1">
            <w:col w:w="11280"/>
          </w:cols>
          <w:pgMar w:left="300" w:top="1085" w:right="319" w:bottom="1440" w:gutter="0" w:footer="0" w:header="0"/>
        </w:sectPr>
      </w:pPr>
    </w:p>
    <w:p>
      <w:pPr>
        <w:spacing w:after="0" w:line="197" w:lineRule="exact"/>
        <w:rPr>
          <w:sz w:val="20"/>
          <w:szCs w:val="20"/>
          <w:color w:val="auto"/>
        </w:rPr>
      </w:pPr>
    </w:p>
    <w:p>
      <w:pPr>
        <w:ind w:left="20"/>
        <w:spacing w:after="0"/>
        <w:rPr>
          <w:sz w:val="20"/>
          <w:szCs w:val="20"/>
          <w:color w:val="auto"/>
        </w:rPr>
      </w:pPr>
      <w:r>
        <w:rPr>
          <w:rFonts w:ascii="Arial" w:cs="Arial" w:eastAsia="Arial" w:hAnsi="Arial"/>
          <w:sz w:val="13"/>
          <w:szCs w:val="13"/>
          <w:color w:val="auto"/>
        </w:rPr>
        <w:t>Level 1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1374140"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374140" cy="6985"/>
                    </a:xfrm>
                    <a:prstGeom prst="rect">
                      <a:avLst/>
                    </a:prstGeom>
                    <a:noFill/>
                  </pic:spPr>
                </pic:pic>
              </a:graphicData>
            </a:graphic>
          </wp:anchor>
        </w:drawing>
      </w:r>
    </w:p>
    <w:p>
      <w:pPr>
        <w:spacing w:after="0" w:line="75" w:lineRule="exact"/>
        <w:rPr>
          <w:sz w:val="20"/>
          <w:szCs w:val="20"/>
          <w:color w:val="auto"/>
        </w:rPr>
      </w:pPr>
    </w:p>
    <w:p>
      <w:pPr>
        <w:ind w:left="20"/>
        <w:spacing w:after="0"/>
        <w:rPr>
          <w:sz w:val="20"/>
          <w:szCs w:val="20"/>
          <w:color w:val="auto"/>
        </w:rPr>
      </w:pPr>
      <w:r>
        <w:rPr>
          <w:rFonts w:ascii="Arial" w:cs="Arial" w:eastAsia="Arial" w:hAnsi="Arial"/>
          <w:sz w:val="13"/>
          <w:szCs w:val="13"/>
          <w:color w:val="auto"/>
        </w:rPr>
        <w:t>Level 2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45720</wp:posOffset>
            </wp:positionV>
            <wp:extent cx="1374140"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374140" cy="6985"/>
                    </a:xfrm>
                    <a:prstGeom prst="rect">
                      <a:avLst/>
                    </a:prstGeom>
                    <a:noFill/>
                  </pic:spPr>
                </pic:pic>
              </a:graphicData>
            </a:graphic>
          </wp:anchor>
        </w:drawing>
      </w:r>
    </w:p>
    <w:p>
      <w:pPr>
        <w:spacing w:after="0" w:line="75" w:lineRule="exact"/>
        <w:rPr>
          <w:sz w:val="20"/>
          <w:szCs w:val="20"/>
          <w:color w:val="auto"/>
        </w:rPr>
      </w:pPr>
    </w:p>
    <w:p>
      <w:pPr>
        <w:ind w:left="20"/>
        <w:spacing w:after="0"/>
        <w:rPr>
          <w:sz w:val="20"/>
          <w:szCs w:val="20"/>
          <w:color w:val="auto"/>
        </w:rPr>
      </w:pPr>
      <w:r>
        <w:rPr>
          <w:rFonts w:ascii="Arial" w:cs="Arial" w:eastAsia="Arial" w:hAnsi="Arial"/>
          <w:sz w:val="13"/>
          <w:szCs w:val="13"/>
          <w:color w:val="auto"/>
        </w:rPr>
        <w:t>Level 3 Inputs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Fair Value Measurements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Unadjusted quoted prices in active markets for identical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5733415"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733415" cy="6985"/>
                    </a:xfrm>
                    <a:prstGeom prst="rect">
                      <a:avLst/>
                    </a:prstGeom>
                    <a:noFill/>
                  </pic:spPr>
                </pic:pic>
              </a:graphicData>
            </a:graphic>
          </wp:anchor>
        </w:drawing>
      </w:r>
    </w:p>
    <w:p>
      <w:pPr>
        <w:spacing w:after="0" w:line="11" w:lineRule="exact"/>
        <w:rPr>
          <w:sz w:val="20"/>
          <w:szCs w:val="20"/>
          <w:color w:val="auto"/>
        </w:rPr>
      </w:pPr>
    </w:p>
    <w:p>
      <w:pPr>
        <w:ind w:right="40"/>
        <w:spacing w:after="0" w:line="225" w:lineRule="auto"/>
        <w:rPr>
          <w:sz w:val="20"/>
          <w:szCs w:val="20"/>
          <w:color w:val="auto"/>
        </w:rPr>
      </w:pPr>
      <w:r>
        <w:rPr>
          <w:rFonts w:ascii="Arial" w:cs="Arial" w:eastAsia="Arial" w:hAnsi="Arial"/>
          <w:sz w:val="13"/>
          <w:szCs w:val="13"/>
          <w:color w:val="auto"/>
        </w:rPr>
        <w:t>Unadjusted quoted prices in active markets for similar assets or liabilities; unadjusted quoted prices for identical or similar assets or liabilities in markets that are not active; inputs other than quoted prices that are observable for the asset or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5733415"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733415" cy="698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Unobservable inputs for the asset or liability.</w:t>
      </w:r>
    </w:p>
    <w:p>
      <w:pPr>
        <w:spacing w:after="0" w:line="571" w:lineRule="exact"/>
        <w:rPr>
          <w:sz w:val="20"/>
          <w:szCs w:val="20"/>
          <w:color w:val="auto"/>
        </w:rPr>
      </w:pPr>
    </w:p>
    <w:p>
      <w:pPr>
        <w:sectPr>
          <w:pgSz w:w="11900" w:h="16838" w:orient="portrait"/>
          <w:cols w:equalWidth="0" w:num="2">
            <w:col w:w="1540" w:space="720"/>
            <w:col w:w="9020"/>
          </w:cols>
          <w:pgMar w:left="300" w:top="1085" w:right="319" w:bottom="1440" w:gutter="0" w:footer="0" w:header="0"/>
          <w:type w:val="continuous"/>
        </w:sectPr>
      </w:pPr>
    </w:p>
    <w:p>
      <w:pPr>
        <w:ind w:right="40"/>
        <w:spacing w:after="0"/>
        <w:rPr>
          <w:sz w:val="20"/>
          <w:szCs w:val="20"/>
          <w:color w:val="auto"/>
        </w:rPr>
      </w:pPr>
      <w:r>
        <w:rPr>
          <w:rFonts w:ascii="Arial" w:cs="Arial" w:eastAsia="Arial" w:hAnsi="Arial"/>
          <w:sz w:val="13"/>
          <w:szCs w:val="13"/>
          <w:color w:val="auto"/>
        </w:rPr>
        <w:t>The fair value of the acquired developed technology and trade names were estimated as of the date of the Centerbridge Acquisition. The fair value of the acquired developed technology was estimated using the multi-period excess earnings model. This method discounts the amount of excess cash flows generated by the asset. The fair value of the acquired trade names was estimated using the relief from-royalty method which required that GHH, LLC estimate hypothetical royalty payments that would be required over the economic life of the asset as if it were to be licensed instead of purchased. These payments were then discounted to their present value. Both developed technology and trade names represent a Level 3 measurement within the fair value hierarchy.</w:t>
      </w:r>
    </w:p>
    <w:p>
      <w:pPr>
        <w:spacing w:after="0" w:line="166" w:lineRule="exact"/>
        <w:rPr>
          <w:sz w:val="20"/>
          <w:szCs w:val="20"/>
          <w:color w:val="auto"/>
        </w:rPr>
      </w:pPr>
    </w:p>
    <w:p>
      <w:pPr>
        <w:ind w:right="500"/>
        <w:spacing w:after="0" w:line="244" w:lineRule="auto"/>
        <w:rPr>
          <w:sz w:val="20"/>
          <w:szCs w:val="20"/>
          <w:color w:val="auto"/>
        </w:rPr>
      </w:pPr>
      <w:r>
        <w:rPr>
          <w:rFonts w:ascii="Arial" w:cs="Arial" w:eastAsia="Arial" w:hAnsi="Arial"/>
          <w:sz w:val="13"/>
          <w:szCs w:val="13"/>
          <w:color w:val="auto"/>
        </w:rPr>
        <w:t>The fair value of the acquired customer relationships was estimated as of the date of the Centerbridge Acquisition. Such fair value was estimated using the distributor method under the income approach, which included Level 3 inputs such as revenue, attrition, margin and contributory asset charges.</w:t>
      </w:r>
    </w:p>
    <w:p>
      <w:pPr>
        <w:spacing w:after="0" w:line="163" w:lineRule="exact"/>
        <w:rPr>
          <w:sz w:val="20"/>
          <w:szCs w:val="20"/>
          <w:color w:val="auto"/>
        </w:rPr>
      </w:pPr>
    </w:p>
    <w:p>
      <w:pPr>
        <w:ind w:right="40"/>
        <w:spacing w:after="0" w:line="241" w:lineRule="auto"/>
        <w:rPr>
          <w:sz w:val="20"/>
          <w:szCs w:val="20"/>
          <w:color w:val="auto"/>
        </w:rPr>
      </w:pPr>
      <w:r>
        <w:rPr>
          <w:rFonts w:ascii="Arial" w:cs="Arial" w:eastAsia="Arial" w:hAnsi="Arial"/>
          <w:sz w:val="13"/>
          <w:szCs w:val="13"/>
          <w:color w:val="auto"/>
        </w:rPr>
        <w:t>On September 13, 2019, GHH, LLC acquired a 100% interest in Norvax, for $807.6 million in cash and $306.0 million in equity. In connection with the Acquisition, GHH, LLC also agreed to pay additional consideration of up to $275.0 million in additional GHH, LLC Common and Senior Preferred Earnout Units, if Adjusted EBITDA, as defined in the terms of the acquisition agreement, exceeds certain thresholds for the period September 13, 2019 to December 31, 2019 and the year ended December 31, 2020 (“Earnout” or “contingent consideration”).</w:t>
      </w:r>
    </w:p>
    <w:p>
      <w:pPr>
        <w:spacing w:after="0" w:line="165" w:lineRule="exact"/>
        <w:rPr>
          <w:sz w:val="20"/>
          <w:szCs w:val="20"/>
          <w:color w:val="auto"/>
        </w:rPr>
      </w:pPr>
    </w:p>
    <w:p>
      <w:pPr>
        <w:ind w:right="40"/>
        <w:spacing w:after="0"/>
        <w:rPr>
          <w:sz w:val="20"/>
          <w:szCs w:val="20"/>
          <w:color w:val="auto"/>
        </w:rPr>
      </w:pPr>
      <w:r>
        <w:rPr>
          <w:rFonts w:ascii="Arial" w:cs="Arial" w:eastAsia="Arial" w:hAnsi="Arial"/>
          <w:sz w:val="13"/>
          <w:szCs w:val="13"/>
          <w:color w:val="auto"/>
        </w:rPr>
        <w:t>The contingent consideration liability represents the acquisition date fair value of the Earnout payments to Norvax’s selling shareholders and is remeasured at each reporting date until settled. The contingent consideration was to be settled in GHH, LLC Common and Senior Preferred Earnout Units within 60 days of the issuance of the 2019 and 2020 audited financial statements. The Senior Preferred Earnout Units earned an annual coupon of 10.3% that provides for the accrual of additional units. Changes in the fair value of the contingent consideration are recognized in the Consolidated Statements of Operations.</w:t>
      </w:r>
    </w:p>
    <w:p>
      <w:pPr>
        <w:spacing w:after="0" w:line="166" w:lineRule="exact"/>
        <w:rPr>
          <w:sz w:val="20"/>
          <w:szCs w:val="20"/>
          <w:color w:val="auto"/>
        </w:rPr>
      </w:pPr>
    </w:p>
    <w:p>
      <w:pPr>
        <w:ind w:right="160"/>
        <w:spacing w:after="0" w:line="244" w:lineRule="auto"/>
        <w:rPr>
          <w:sz w:val="20"/>
          <w:szCs w:val="20"/>
          <w:color w:val="auto"/>
        </w:rPr>
      </w:pPr>
      <w:r>
        <w:rPr>
          <w:rFonts w:ascii="Arial" w:cs="Arial" w:eastAsia="Arial" w:hAnsi="Arial"/>
          <w:sz w:val="13"/>
          <w:szCs w:val="13"/>
          <w:color w:val="auto"/>
        </w:rPr>
        <w:t>The full amount available relative to the 2019 target was earned as of December 31, 2019. On May 15, 2020, the contingent consideration related to the 2019 target of $200.0 million was settled with the issuance of 113,407 GHH, LLC Class A common units, 48,645 GHH, LLC Class B common units, and 100,000 GHH, LLC Senior Preferred Earnout Units.</w:t>
      </w:r>
    </w:p>
    <w:p>
      <w:pPr>
        <w:spacing w:after="0" w:line="163" w:lineRule="exact"/>
        <w:rPr>
          <w:sz w:val="20"/>
          <w:szCs w:val="20"/>
          <w:color w:val="auto"/>
        </w:rPr>
      </w:pPr>
    </w:p>
    <w:p>
      <w:pPr>
        <w:ind w:right="100"/>
        <w:spacing w:after="0" w:line="241" w:lineRule="auto"/>
        <w:rPr>
          <w:sz w:val="20"/>
          <w:szCs w:val="20"/>
          <w:color w:val="auto"/>
        </w:rPr>
      </w:pPr>
      <w:r>
        <w:rPr>
          <w:rFonts w:ascii="Arial" w:cs="Arial" w:eastAsia="Arial" w:hAnsi="Arial"/>
          <w:sz w:val="13"/>
          <w:szCs w:val="13"/>
          <w:color w:val="auto"/>
        </w:rPr>
        <w:t>In connection with the IPO, the Company satisfied in full the GHH, LLC Senior Preferred Earnout Units issued in connection with the 2019 Earnout through the use of proceeds raised in the IPO in the amount of $100.0 million. In addition, in connection with the IPO a significant shareholder assumed the liability associated with the 2020 Earnout, which was $62.4 million as of the IPO closing date. After the completion of the IPO, the full amount of the Company’s liabilities with respect to the 2019 and 2020 Earnouts accrued in connection with the Acquisition were settled.</w:t>
      </w:r>
    </w:p>
    <w:p>
      <w:pPr>
        <w:spacing w:after="0" w:line="165" w:lineRule="exact"/>
        <w:rPr>
          <w:sz w:val="20"/>
          <w:szCs w:val="20"/>
          <w:color w:val="auto"/>
        </w:rPr>
      </w:pPr>
    </w:p>
    <w:p>
      <w:pPr>
        <w:jc w:val="both"/>
        <w:ind w:right="40"/>
        <w:spacing w:after="0" w:line="241" w:lineRule="auto"/>
        <w:rPr>
          <w:sz w:val="20"/>
          <w:szCs w:val="20"/>
          <w:color w:val="auto"/>
        </w:rPr>
      </w:pPr>
      <w:r>
        <w:rPr>
          <w:rFonts w:ascii="Arial" w:cs="Arial" w:eastAsia="Arial" w:hAnsi="Arial"/>
          <w:sz w:val="13"/>
          <w:szCs w:val="13"/>
          <w:color w:val="auto"/>
        </w:rPr>
        <w:t>The fair value of the contingent consideration liability was measured using a Monte Carlo simulation and is discounted using a rate that appropriately captures the risk associated with the obligation. In connection with the IPO, a significant shareholder assumed the liability associated with the 2020 Earnout. The Company recorded the settlement of the $62.4 million liability as an increase to additional paid-in capital. The following table sets forth the changes to the fair value of the contingent consideration for the twelve months ended December 31, 2020.</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79</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85" w:right="319" w:bottom="1440" w:gutter="0" w:footer="0" w:header="0"/>
          <w:type w:val="continuous"/>
        </w:sectPr>
      </w:pPr>
    </w:p>
    <w:bookmarkStart w:id="82" w:name="page83"/>
    <w:bookmarkEnd w:id="82"/>
    <w:p>
      <w:pPr>
        <w:spacing w:after="0" w:line="279" w:lineRule="exact"/>
        <w:rPr>
          <w:sz w:val="20"/>
          <w:szCs w:val="20"/>
          <w:color w:val="auto"/>
        </w:rPr>
      </w:pPr>
    </w:p>
    <w:p>
      <w:pPr>
        <w:ind w:left="20"/>
        <w:spacing w:after="0"/>
        <w:rPr>
          <w:sz w:val="20"/>
          <w:szCs w:val="20"/>
          <w:color w:val="auto"/>
        </w:rPr>
      </w:pPr>
      <w:r>
        <w:rPr>
          <w:rFonts w:ascii="Arial" w:cs="Arial" w:eastAsia="Arial" w:hAnsi="Arial"/>
          <w:sz w:val="11"/>
          <w:szCs w:val="1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161530" cy="1009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ind w:left="20"/>
        <w:spacing w:after="0"/>
        <w:rPr>
          <w:sz w:val="20"/>
          <w:szCs w:val="20"/>
          <w:color w:val="auto"/>
        </w:rPr>
      </w:pPr>
      <w:r>
        <w:rPr>
          <w:rFonts w:ascii="Arial" w:cs="Arial" w:eastAsia="Arial" w:hAnsi="Arial"/>
          <w:sz w:val="11"/>
          <w:szCs w:val="11"/>
          <w:b w:val="1"/>
          <w:bCs w:val="1"/>
          <w:color w:val="auto"/>
        </w:rPr>
        <w:t>Balance at Dec. 31, 2019</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1"/>
          <w:szCs w:val="11"/>
          <w:color w:val="auto"/>
        </w:rPr>
        <w:t>Settlement of 2019 earnout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161530" cy="946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1530" cy="94615"/>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Arial" w:cs="Arial" w:eastAsia="Arial" w:hAnsi="Arial"/>
          <w:sz w:val="11"/>
          <w:szCs w:val="11"/>
          <w:color w:val="auto"/>
        </w:rPr>
        <w:t>2020 earnout fair value adjustment</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1"/>
          <w:szCs w:val="11"/>
          <w:color w:val="auto"/>
        </w:rPr>
        <w:t>Settlement of 2020 earnout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161530" cy="1143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Balance at Dec. 31, 2020</w:t>
      </w:r>
    </w:p>
    <w:p>
      <w:pPr>
        <w:spacing w:after="0" w:line="20" w:lineRule="exact"/>
        <w:rPr>
          <w:sz w:val="20"/>
          <w:szCs w:val="20"/>
          <w:color w:val="auto"/>
        </w:rPr>
      </w:pPr>
      <w:r>
        <w:rPr>
          <w:sz w:val="20"/>
          <w:szCs w:val="20"/>
          <w:color w:val="auto"/>
        </w:rPr>
        <w:br w:type="column"/>
      </w:r>
    </w:p>
    <w:p>
      <w:pPr>
        <w:ind w:left="527"/>
        <w:spacing w:after="0"/>
        <w:rPr>
          <w:sz w:val="20"/>
          <w:szCs w:val="20"/>
          <w:color w:val="auto"/>
        </w:rPr>
      </w:pPr>
      <w:r>
        <w:rPr>
          <w:rFonts w:ascii="Arial" w:cs="Arial" w:eastAsia="Arial" w:hAnsi="Arial"/>
          <w:sz w:val="11"/>
          <w:szCs w:val="11"/>
          <w:b w:val="1"/>
          <w:bCs w:val="1"/>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13970</wp:posOffset>
            </wp:positionV>
            <wp:extent cx="1044575"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044575" cy="6985"/>
                    </a:xfrm>
                    <a:prstGeom prst="rect">
                      <a:avLst/>
                    </a:prstGeom>
                    <a:noFill/>
                  </pic:spPr>
                </pic:pic>
              </a:graphicData>
            </a:graphic>
          </wp:anchor>
        </w:drawing>
      </w:r>
    </w:p>
    <w:p>
      <w:pPr>
        <w:spacing w:after="0" w:line="6" w:lineRule="exact"/>
        <w:rPr>
          <w:sz w:val="20"/>
          <w:szCs w:val="20"/>
          <w:color w:val="auto"/>
        </w:rPr>
      </w:pPr>
    </w:p>
    <w:p>
      <w:pPr>
        <w:ind w:left="87"/>
        <w:spacing w:after="0"/>
        <w:rPr>
          <w:sz w:val="20"/>
          <w:szCs w:val="20"/>
          <w:color w:val="auto"/>
        </w:rPr>
      </w:pPr>
      <w:r>
        <w:rPr>
          <w:rFonts w:ascii="Arial" w:cs="Arial" w:eastAsia="Arial" w:hAnsi="Arial"/>
          <w:sz w:val="11"/>
          <w:szCs w:val="11"/>
          <w:b w:val="1"/>
          <w:bCs w:val="1"/>
          <w:color w:val="auto"/>
        </w:rPr>
        <w:t>Twelve months ended Dec.</w:t>
      </w:r>
    </w:p>
    <w:p>
      <w:pPr>
        <w:ind w:left="587"/>
        <w:spacing w:after="0"/>
        <w:rPr>
          <w:sz w:val="20"/>
          <w:szCs w:val="20"/>
          <w:color w:val="auto"/>
        </w:rPr>
      </w:pPr>
      <w:r>
        <w:rPr>
          <w:rFonts w:ascii="Arial" w:cs="Arial" w:eastAsia="Arial" w:hAnsi="Arial"/>
          <w:sz w:val="11"/>
          <w:szCs w:val="11"/>
          <w:b w:val="1"/>
          <w:bCs w:val="1"/>
          <w:color w:val="auto"/>
        </w:rPr>
        <w:t>31, 2020</w:t>
      </w:r>
    </w:p>
    <w:p>
      <w:pPr>
        <w:spacing w:after="0" w:line="19" w:lineRule="exact"/>
        <w:rPr>
          <w:sz w:val="20"/>
          <w:szCs w:val="20"/>
          <w:color w:val="auto"/>
        </w:rPr>
      </w:pPr>
    </w:p>
    <w:p>
      <w:pPr>
        <w:ind w:left="1167" w:hanging="1167"/>
        <w:spacing w:after="0"/>
        <w:tabs>
          <w:tab w:leader="none" w:pos="1167" w:val="left"/>
        </w:tabs>
        <w:numPr>
          <w:ilvl w:val="0"/>
          <w:numId w:val="40"/>
        </w:numPr>
        <w:rPr>
          <w:rFonts w:ascii="Arial" w:cs="Arial" w:eastAsia="Arial" w:hAnsi="Arial"/>
          <w:sz w:val="11"/>
          <w:szCs w:val="11"/>
          <w:b w:val="1"/>
          <w:bCs w:val="1"/>
          <w:color w:val="auto"/>
        </w:rPr>
      </w:pPr>
      <w:r>
        <w:rPr>
          <w:rFonts w:ascii="Arial" w:cs="Arial" w:eastAsia="Arial" w:hAnsi="Arial"/>
          <w:sz w:val="11"/>
          <w:szCs w:val="11"/>
          <w:b w:val="1"/>
          <w:bCs w:val="1"/>
          <w:color w:val="auto"/>
        </w:rPr>
        <w:t>242,700</w:t>
      </w:r>
    </w:p>
    <w:p>
      <w:pPr>
        <w:spacing w:after="0" w:line="36" w:lineRule="exact"/>
        <w:rPr>
          <w:rFonts w:ascii="Arial" w:cs="Arial" w:eastAsia="Arial" w:hAnsi="Arial"/>
          <w:sz w:val="11"/>
          <w:szCs w:val="11"/>
          <w:b w:val="1"/>
          <w:bCs w:val="1"/>
          <w:color w:val="auto"/>
        </w:rPr>
      </w:pPr>
    </w:p>
    <w:p>
      <w:pPr>
        <w:ind w:left="1127"/>
        <w:spacing w:after="0"/>
        <w:rPr>
          <w:rFonts w:ascii="Arial" w:cs="Arial" w:eastAsia="Arial" w:hAnsi="Arial"/>
          <w:sz w:val="11"/>
          <w:szCs w:val="11"/>
          <w:b w:val="1"/>
          <w:bCs w:val="1"/>
          <w:color w:val="auto"/>
        </w:rPr>
      </w:pPr>
      <w:r>
        <w:rPr>
          <w:rFonts w:ascii="Arial" w:cs="Arial" w:eastAsia="Arial" w:hAnsi="Arial"/>
          <w:sz w:val="11"/>
          <w:szCs w:val="11"/>
          <w:color w:val="auto"/>
        </w:rPr>
        <w:t>(200,000)</w:t>
      </w:r>
    </w:p>
    <w:p>
      <w:pPr>
        <w:spacing w:after="0" w:line="22" w:lineRule="exact"/>
        <w:rPr>
          <w:rFonts w:ascii="Arial" w:cs="Arial" w:eastAsia="Arial" w:hAnsi="Arial"/>
          <w:sz w:val="11"/>
          <w:szCs w:val="11"/>
          <w:b w:val="1"/>
          <w:bCs w:val="1"/>
          <w:color w:val="auto"/>
        </w:rPr>
      </w:pPr>
    </w:p>
    <w:p>
      <w:pPr>
        <w:ind w:left="1227"/>
        <w:spacing w:after="0"/>
        <w:rPr>
          <w:rFonts w:ascii="Arial" w:cs="Arial" w:eastAsia="Arial" w:hAnsi="Arial"/>
          <w:sz w:val="11"/>
          <w:szCs w:val="11"/>
          <w:b w:val="1"/>
          <w:bCs w:val="1"/>
          <w:color w:val="auto"/>
        </w:rPr>
      </w:pPr>
      <w:r>
        <w:rPr>
          <w:rFonts w:ascii="Arial" w:cs="Arial" w:eastAsia="Arial" w:hAnsi="Arial"/>
          <w:sz w:val="11"/>
          <w:szCs w:val="11"/>
          <w:color w:val="auto"/>
        </w:rPr>
        <w:t>19,700</w:t>
      </w:r>
    </w:p>
    <w:p>
      <w:pPr>
        <w:spacing w:after="0" w:line="22" w:lineRule="exact"/>
        <w:rPr>
          <w:rFonts w:ascii="Arial" w:cs="Arial" w:eastAsia="Arial" w:hAnsi="Arial"/>
          <w:sz w:val="11"/>
          <w:szCs w:val="11"/>
          <w:b w:val="1"/>
          <w:bCs w:val="1"/>
          <w:color w:val="auto"/>
        </w:rPr>
      </w:pPr>
    </w:p>
    <w:p>
      <w:pPr>
        <w:ind w:left="1187"/>
        <w:spacing w:after="0"/>
        <w:rPr>
          <w:rFonts w:ascii="Arial" w:cs="Arial" w:eastAsia="Arial" w:hAnsi="Arial"/>
          <w:sz w:val="11"/>
          <w:szCs w:val="11"/>
          <w:b w:val="1"/>
          <w:bCs w:val="1"/>
          <w:color w:val="auto"/>
        </w:rPr>
      </w:pPr>
      <w:r>
        <w:rPr>
          <w:rFonts w:ascii="Arial" w:cs="Arial" w:eastAsia="Arial" w:hAnsi="Arial"/>
          <w:sz w:val="11"/>
          <w:szCs w:val="11"/>
          <w:color w:val="auto"/>
        </w:rPr>
        <w:t>(62,400)</w:t>
      </w:r>
    </w:p>
    <w:p>
      <w:pPr>
        <w:spacing w:after="0" w:line="19" w:lineRule="exact"/>
        <w:rPr>
          <w:sz w:val="20"/>
          <w:szCs w:val="20"/>
          <w:color w:val="auto"/>
        </w:rPr>
      </w:pPr>
    </w:p>
    <w:p>
      <w:pPr>
        <w:ind w:left="7"/>
        <w:spacing w:after="0"/>
        <w:tabs>
          <w:tab w:leader="none" w:pos="1447" w:val="left"/>
        </w:tabs>
        <w:rPr>
          <w:sz w:val="20"/>
          <w:szCs w:val="20"/>
          <w:color w:val="auto"/>
        </w:rPr>
      </w:pPr>
      <w:r>
        <w:rPr>
          <w:rFonts w:ascii="Arial" w:cs="Arial" w:eastAsia="Arial" w:hAnsi="Arial"/>
          <w:sz w:val="11"/>
          <w:szCs w:val="11"/>
          <w:b w:val="1"/>
          <w:bCs w:val="1"/>
          <w:color w:val="auto"/>
        </w:rPr>
        <w:t>$</w:t>
      </w:r>
      <w:r>
        <w:rPr>
          <w:sz w:val="20"/>
          <w:szCs w:val="20"/>
          <w:color w:val="auto"/>
        </w:rPr>
        <w:tab/>
      </w:r>
      <w:r>
        <w:rPr>
          <w:rFonts w:ascii="Arial" w:cs="Arial" w:eastAsia="Arial" w:hAnsi="Arial"/>
          <w:sz w:val="11"/>
          <w:szCs w:val="1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34290</wp:posOffset>
            </wp:positionV>
            <wp:extent cx="1044575"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044575" cy="6985"/>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2">
            <w:col w:w="8933" w:space="720"/>
            <w:col w:w="1627"/>
          </w:cols>
          <w:pgMar w:left="300" w:top="1105" w:right="319" w:bottom="1440" w:gutter="0" w:footer="0" w:header="0"/>
        </w:sectPr>
      </w:pPr>
    </w:p>
    <w:p>
      <w:pPr>
        <w:spacing w:after="0" w:line="88" w:lineRule="exact"/>
        <w:rPr>
          <w:sz w:val="20"/>
          <w:szCs w:val="20"/>
          <w:color w:val="auto"/>
        </w:rPr>
      </w:pPr>
    </w:p>
    <w:p>
      <w:pPr>
        <w:jc w:val="both"/>
        <w:ind w:right="400"/>
        <w:spacing w:after="0" w:line="241" w:lineRule="auto"/>
        <w:rPr>
          <w:sz w:val="20"/>
          <w:szCs w:val="20"/>
          <w:color w:val="auto"/>
        </w:rPr>
      </w:pPr>
      <w:r>
        <w:rPr>
          <w:rFonts w:ascii="Arial" w:cs="Arial" w:eastAsia="Arial" w:hAnsi="Arial"/>
          <w:sz w:val="13"/>
          <w:szCs w:val="13"/>
          <w:color w:val="auto"/>
        </w:rPr>
        <w:t>The carrying amount of certain financial instruments, including cash and cash equivalents, accounts receivable, commissions receivable, accounts payable, accrued expenses, and commissions payable approximate fair value due to the short maturity of these instruments. Commissions receivable are recorded at constrained lifetime values, less a reserve for expected credit losses. The carrying value of debt approximates fair value due to the variable nature of interest rates.</w:t>
      </w:r>
    </w:p>
    <w:p>
      <w:pPr>
        <w:spacing w:after="0" w:line="149" w:lineRule="exact"/>
        <w:rPr>
          <w:sz w:val="20"/>
          <w:szCs w:val="20"/>
          <w:color w:val="auto"/>
        </w:rPr>
      </w:pPr>
    </w:p>
    <w:p>
      <w:pPr>
        <w:ind w:right="8440" w:firstLine="5"/>
        <w:spacing w:after="0" w:line="523" w:lineRule="auto"/>
        <w:tabs>
          <w:tab w:leader="none" w:pos="142" w:val="left"/>
        </w:tabs>
        <w:numPr>
          <w:ilvl w:val="0"/>
          <w:numId w:val="41"/>
        </w:numPr>
        <w:rPr>
          <w:rFonts w:ascii="Arial" w:cs="Arial" w:eastAsia="Arial" w:hAnsi="Arial"/>
          <w:sz w:val="13"/>
          <w:szCs w:val="13"/>
          <w:b w:val="1"/>
          <w:bCs w:val="1"/>
          <w:color w:val="0A2299"/>
        </w:rPr>
      </w:pPr>
      <w:r>
        <w:rPr>
          <w:rFonts w:ascii="Arial" w:cs="Arial" w:eastAsia="Arial" w:hAnsi="Arial"/>
          <w:sz w:val="13"/>
          <w:szCs w:val="13"/>
          <w:b w:val="1"/>
          <w:bCs w:val="1"/>
          <w:color w:val="0A2299"/>
        </w:rPr>
        <w:t xml:space="preserve">GOODWILL AND INTANGIBLE ASSETS, NET </w:t>
      </w:r>
      <w:r>
        <w:rPr>
          <w:rFonts w:ascii="Arial" w:cs="Arial" w:eastAsia="Arial" w:hAnsi="Arial"/>
          <w:sz w:val="13"/>
          <w:szCs w:val="13"/>
          <w:b w:val="1"/>
          <w:bCs w:val="1"/>
          <w:color w:val="000000"/>
        </w:rPr>
        <w:t>Goodwill</w:t>
      </w:r>
    </w:p>
    <w:p>
      <w:pPr>
        <w:spacing w:after="0" w:line="1" w:lineRule="exact"/>
        <w:rPr>
          <w:sz w:val="20"/>
          <w:szCs w:val="20"/>
          <w:color w:val="auto"/>
        </w:rPr>
      </w:pPr>
    </w:p>
    <w:p>
      <w:pPr>
        <w:ind w:right="60"/>
        <w:spacing w:after="0" w:line="244" w:lineRule="auto"/>
        <w:rPr>
          <w:sz w:val="20"/>
          <w:szCs w:val="20"/>
          <w:color w:val="auto"/>
        </w:rPr>
      </w:pPr>
      <w:r>
        <w:rPr>
          <w:rFonts w:ascii="Arial" w:cs="Arial" w:eastAsia="Arial" w:hAnsi="Arial"/>
          <w:sz w:val="13"/>
          <w:szCs w:val="13"/>
          <w:color w:val="auto"/>
        </w:rPr>
        <w:t>During the Successor 2019 Period, the Company allocated $380.3 million and $6.2 million of the goodwill recognized in connection with the Acquisition to its Medicare—Internal segment and Medicare —External segment, respectively, based on an estimate of the relative fair value of each reportable segment.</w:t>
      </w:r>
    </w:p>
    <w:p>
      <w:pPr>
        <w:spacing w:after="0" w:line="163" w:lineRule="exact"/>
        <w:rPr>
          <w:sz w:val="20"/>
          <w:szCs w:val="20"/>
          <w:color w:val="auto"/>
        </w:rPr>
      </w:pPr>
    </w:p>
    <w:p>
      <w:pPr>
        <w:ind w:right="120"/>
        <w:spacing w:after="0" w:line="241" w:lineRule="auto"/>
        <w:rPr>
          <w:sz w:val="20"/>
          <w:szCs w:val="20"/>
          <w:color w:val="auto"/>
        </w:rPr>
      </w:pPr>
      <w:r>
        <w:rPr>
          <w:rFonts w:ascii="Arial" w:cs="Arial" w:eastAsia="Arial" w:hAnsi="Arial"/>
          <w:sz w:val="13"/>
          <w:szCs w:val="13"/>
          <w:color w:val="auto"/>
        </w:rPr>
        <w:t>The Company tests goodwill for impairment at the reporting unit level annually on November 30th and whenever events or circumstances make it more likely than not that an impairment may have occurred. A reporting unit is an operating segment or one level below an operating segment to which goodwill is assigned when initially recorded. The Company has four reporting units, which are the same as its four operating segments.</w:t>
      </w:r>
    </w:p>
    <w:p>
      <w:pPr>
        <w:spacing w:after="0" w:line="165"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During the annual enrollment period in the fourth quarter of 2021, the Company and the broader industry experienced an increase in consumer shopping which led to lower policy persistency than anticipated and resulted in lower LTV performance. Additionally, operating margins in the fourth quarter of 2021 declined significantly which was primarily driven by tight labor markets and resulted in higher than expected customer care and enrollment costs. As such and in connection with the Company’s annual and long-range planning process, which coincided with the Company’s annual goodwill impairment test as of November 30, 2021, the Company determined the Medicare— Internal and Medicare— External reporting units’ financial performance would be lower than previously anticipated. As a result, the Company’s quantitative goodwill impairment test indicated that the fair values of the Medicare— Internal and Medicare— External reporting units no longer exceeded its carrying values, and the Company recognized goodwill impairment charges of $380.3 million and $6.2 million for the Medicare-Internal and Medicare— External reporting units, respectively, representing the full amount of goodwill associated with these reporting units.</w:t>
      </w:r>
    </w:p>
    <w:p>
      <w:pPr>
        <w:spacing w:after="0" w:line="167" w:lineRule="exact"/>
        <w:rPr>
          <w:sz w:val="20"/>
          <w:szCs w:val="20"/>
          <w:color w:val="auto"/>
        </w:rPr>
      </w:pPr>
    </w:p>
    <w:p>
      <w:pPr>
        <w:ind w:right="260"/>
        <w:spacing w:after="0" w:line="244" w:lineRule="auto"/>
        <w:rPr>
          <w:sz w:val="20"/>
          <w:szCs w:val="20"/>
          <w:color w:val="auto"/>
        </w:rPr>
      </w:pPr>
      <w:r>
        <w:rPr>
          <w:rFonts w:ascii="Arial" w:cs="Arial" w:eastAsia="Arial" w:hAnsi="Arial"/>
          <w:sz w:val="13"/>
          <w:szCs w:val="13"/>
          <w:color w:val="auto"/>
        </w:rPr>
        <w:t>The quantitative goodwill impairment test performed by the Company as of November 30, 2021, included significant level 3 fair value estimates and assumptions including, among others, cash flow projections and selecting an appropriate discount rate.</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The impairment charges are included in “Goodwill impairment charges” on the Consolidated Statement of Operations for the year ended December 31, 2021.</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There was no impairment of goodwill for the twelve months ended December 31, 2020 and the Successor 2019 Period.</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Intangible Assets</w:t>
      </w:r>
    </w:p>
    <w:p>
      <w:pPr>
        <w:spacing w:after="0" w:line="185" w:lineRule="exact"/>
        <w:rPr>
          <w:sz w:val="20"/>
          <w:szCs w:val="20"/>
          <w:color w:val="auto"/>
        </w:rPr>
      </w:pPr>
    </w:p>
    <w:p>
      <w:pPr>
        <w:ind w:right="40"/>
        <w:spacing w:after="0" w:line="244" w:lineRule="auto"/>
        <w:rPr>
          <w:sz w:val="20"/>
          <w:szCs w:val="20"/>
          <w:color w:val="auto"/>
        </w:rPr>
      </w:pPr>
      <w:r>
        <w:rPr>
          <w:rFonts w:ascii="Arial" w:cs="Arial" w:eastAsia="Arial" w:hAnsi="Arial"/>
          <w:sz w:val="13"/>
          <w:szCs w:val="13"/>
          <w:color w:val="auto"/>
        </w:rPr>
        <w:t>The gross carrying amounts, accumulated amortization and net carrying amounts of the Company’s definite-lived amortizable intangible assets, as well as its indefinite-lived intangible trade names,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640" w:type="dxa"/>
            <w:vAlign w:val="bottom"/>
            <w:tcBorders>
              <w:top w:val="single" w:sz="8" w:color="auto"/>
              <w:bottom w:val="single" w:sz="8" w:color="auto"/>
            </w:tcBorders>
            <w:gridSpan w:val="2"/>
          </w:tcPr>
          <w:p>
            <w:pPr>
              <w:ind w:left="380"/>
              <w:spacing w:after="0"/>
              <w:rPr>
                <w:sz w:val="20"/>
                <w:szCs w:val="20"/>
                <w:color w:val="auto"/>
              </w:rPr>
            </w:pPr>
            <w:r>
              <w:rPr>
                <w:rFonts w:ascii="Arial" w:cs="Arial" w:eastAsia="Arial" w:hAnsi="Arial"/>
                <w:sz w:val="11"/>
                <w:szCs w:val="11"/>
                <w:b w:val="1"/>
                <w:bCs w:val="1"/>
                <w:color w:val="auto"/>
              </w:rPr>
              <w:t>Dec. 31, 2021</w:t>
            </w:r>
          </w:p>
        </w:tc>
        <w:tc>
          <w:tcPr>
            <w:tcW w:w="160" w:type="dxa"/>
            <w:vAlign w:val="bottom"/>
            <w:tcBorders>
              <w:top w:val="single" w:sz="8" w:color="auto"/>
              <w:bottom w:val="single" w:sz="8" w:color="auto"/>
            </w:tcBorders>
          </w:tcPr>
          <w:p>
            <w:pPr>
              <w:spacing w:after="0"/>
              <w:rPr>
                <w:sz w:val="13"/>
                <w:szCs w:val="13"/>
                <w:color w:val="auto"/>
              </w:rPr>
            </w:pPr>
          </w:p>
        </w:tc>
        <w:tc>
          <w:tcPr>
            <w:tcW w:w="148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2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2"/>
          </w:tcPr>
          <w:p>
            <w:pPr>
              <w:jc w:val="right"/>
              <w:ind w:right="123"/>
              <w:spacing w:after="0"/>
              <w:rPr>
                <w:sz w:val="20"/>
                <w:szCs w:val="20"/>
                <w:color w:val="auto"/>
              </w:rPr>
            </w:pPr>
            <w:r>
              <w:rPr>
                <w:rFonts w:ascii="Arial" w:cs="Arial" w:eastAsia="Arial" w:hAnsi="Arial"/>
                <w:sz w:val="11"/>
                <w:szCs w:val="11"/>
                <w:b w:val="1"/>
                <w:bCs w:val="1"/>
                <w:color w:val="auto"/>
              </w:rPr>
              <w:t>Gross Carrying Amount</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Accumulated Amortization</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Net Carrying Amount</w:t>
            </w:r>
          </w:p>
        </w:tc>
        <w:tc>
          <w:tcPr>
            <w:tcW w:w="0" w:type="dxa"/>
            <w:vAlign w:val="bottom"/>
          </w:tcPr>
          <w:p>
            <w:pPr>
              <w:spacing w:after="0"/>
              <w:rPr>
                <w:sz w:val="1"/>
                <w:szCs w:val="1"/>
                <w:color w:val="auto"/>
              </w:rPr>
            </w:pPr>
          </w:p>
        </w:tc>
      </w:tr>
      <w:tr>
        <w:trPr>
          <w:trHeight w:val="139"/>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Developed technology</w:t>
            </w: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496,000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162,971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333,029</w:t>
            </w:r>
          </w:p>
        </w:tc>
        <w:tc>
          <w:tcPr>
            <w:tcW w:w="0" w:type="dxa"/>
            <w:vAlign w:val="bottom"/>
          </w:tcPr>
          <w:p>
            <w:pPr>
              <w:spacing w:after="0"/>
              <w:rPr>
                <w:sz w:val="1"/>
                <w:szCs w:val="1"/>
                <w:color w:val="auto"/>
              </w:rPr>
            </w:pPr>
          </w:p>
        </w:tc>
      </w:tr>
      <w:tr>
        <w:trPr>
          <w:trHeight w:val="149"/>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Customer relationships</w:t>
            </w:r>
          </w:p>
        </w:tc>
        <w:tc>
          <w:tcPr>
            <w:tcW w:w="2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232,000</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53,360</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178,640</w:t>
            </w:r>
          </w:p>
        </w:tc>
        <w:tc>
          <w:tcPr>
            <w:tcW w:w="0" w:type="dxa"/>
            <w:vAlign w:val="bottom"/>
          </w:tcPr>
          <w:p>
            <w:pPr>
              <w:spacing w:after="0"/>
              <w:rPr>
                <w:sz w:val="1"/>
                <w:szCs w:val="1"/>
                <w:color w:val="auto"/>
              </w:rPr>
            </w:pPr>
          </w:p>
        </w:tc>
      </w:tr>
      <w:tr>
        <w:trPr>
          <w:trHeight w:val="159"/>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intangible assets subject to amortization</w:t>
            </w: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728,000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56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216,331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511,669</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4860" w:type="dxa"/>
            <w:vAlign w:val="bottom"/>
            <w:tcBorders>
              <w:bottom w:val="single" w:sz="8" w:color="CCEEFF"/>
            </w:tcBorders>
          </w:tcPr>
          <w:p>
            <w:pPr>
              <w:ind w:left="20"/>
              <w:spacing w:after="0" w:line="111" w:lineRule="exact"/>
              <w:rPr>
                <w:sz w:val="20"/>
                <w:szCs w:val="20"/>
                <w:color w:val="auto"/>
              </w:rPr>
            </w:pPr>
            <w:r>
              <w:rPr>
                <w:rFonts w:ascii="Arial" w:cs="Arial" w:eastAsia="Arial" w:hAnsi="Arial"/>
                <w:sz w:val="11"/>
                <w:szCs w:val="11"/>
                <w:color w:val="auto"/>
              </w:rPr>
              <w:t>Indefinite-lived trade names</w:t>
            </w:r>
          </w:p>
        </w:tc>
        <w:tc>
          <w:tcPr>
            <w:tcW w:w="20" w:type="dxa"/>
            <w:vAlign w:val="bottom"/>
            <w:tcBorders>
              <w:bottom w:val="single" w:sz="8" w:color="CCEEFF"/>
            </w:tcBorders>
          </w:tcPr>
          <w:p>
            <w:pPr>
              <w:spacing w:after="0"/>
              <w:rPr>
                <w:sz w:val="9"/>
                <w:szCs w:val="9"/>
                <w:color w:val="auto"/>
              </w:rPr>
            </w:pPr>
          </w:p>
        </w:tc>
        <w:tc>
          <w:tcPr>
            <w:tcW w:w="130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60" w:type="dxa"/>
            <w:vAlign w:val="bottom"/>
            <w:tcBorders>
              <w:bottom w:val="single" w:sz="8" w:color="CCEEFF"/>
            </w:tcBorders>
          </w:tcPr>
          <w:p>
            <w:pPr>
              <w:spacing w:after="0"/>
              <w:rPr>
                <w:sz w:val="9"/>
                <w:szCs w:val="9"/>
                <w:color w:val="auto"/>
              </w:rPr>
            </w:pPr>
          </w:p>
        </w:tc>
        <w:tc>
          <w:tcPr>
            <w:tcW w:w="136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56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jc w:val="right"/>
              <w:spacing w:after="0" w:line="111" w:lineRule="exact"/>
              <w:rPr>
                <w:sz w:val="20"/>
                <w:szCs w:val="20"/>
                <w:color w:val="auto"/>
              </w:rPr>
            </w:pPr>
            <w:r>
              <w:rPr>
                <w:rFonts w:ascii="Arial" w:cs="Arial" w:eastAsia="Arial" w:hAnsi="Arial"/>
                <w:sz w:val="11"/>
                <w:szCs w:val="11"/>
                <w:color w:val="auto"/>
              </w:rPr>
              <w:t>83,000</w:t>
            </w:r>
          </w:p>
        </w:tc>
        <w:tc>
          <w:tcPr>
            <w:tcW w:w="0" w:type="dxa"/>
            <w:vAlign w:val="bottom"/>
          </w:tcPr>
          <w:p>
            <w:pPr>
              <w:spacing w:after="0"/>
              <w:rPr>
                <w:sz w:val="1"/>
                <w:szCs w:val="1"/>
                <w:color w:val="auto"/>
              </w:rPr>
            </w:pPr>
          </w:p>
        </w:tc>
      </w:tr>
      <w:tr>
        <w:trPr>
          <w:trHeight w:val="164"/>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intangible assets</w:t>
            </w:r>
          </w:p>
        </w:tc>
        <w:tc>
          <w:tcPr>
            <w:tcW w:w="2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right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5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594,669</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3760"/>
              <w:spacing w:after="0"/>
              <w:rPr>
                <w:sz w:val="20"/>
                <w:szCs w:val="20"/>
                <w:color w:val="auto"/>
              </w:rPr>
            </w:pPr>
            <w:r>
              <w:rPr>
                <w:rFonts w:ascii="Arial" w:cs="Arial" w:eastAsia="Arial" w:hAnsi="Arial"/>
                <w:sz w:val="11"/>
                <w:szCs w:val="11"/>
                <w:color w:val="auto"/>
              </w:rPr>
              <w:t>GoHealth, Inc.</w:t>
            </w:r>
          </w:p>
        </w:tc>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CCEEFF"/>
            </w:tcBorders>
            <w:gridSpan w:val="2"/>
            <w:vMerge w:val="restart"/>
          </w:tcPr>
          <w:p>
            <w:pPr>
              <w:jc w:val="right"/>
              <w:ind w:right="240"/>
              <w:spacing w:after="0"/>
              <w:rPr>
                <w:sz w:val="20"/>
                <w:szCs w:val="20"/>
                <w:color w:val="auto"/>
              </w:rPr>
            </w:pPr>
            <w:r>
              <w:rPr>
                <w:rFonts w:ascii="Arial" w:cs="Arial" w:eastAsia="Arial" w:hAnsi="Arial"/>
                <w:sz w:val="11"/>
                <w:szCs w:val="11"/>
                <w:color w:val="auto"/>
              </w:rPr>
              <w:t>2021 Form 10-K</w:t>
            </w: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8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2"/>
            <w:vMerge w:val="continue"/>
          </w:tcPr>
          <w:p>
            <w:pPr>
              <w:spacing w:after="0"/>
              <w:rPr>
                <w:sz w:val="24"/>
                <w:szCs w:val="24"/>
                <w:color w:val="auto"/>
              </w:rPr>
            </w:pPr>
          </w:p>
        </w:tc>
        <w:tc>
          <w:tcPr>
            <w:tcW w:w="15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860" w:type="dxa"/>
            <w:vAlign w:val="bottom"/>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360" w:type="dxa"/>
            <w:vAlign w:val="bottom"/>
          </w:tcPr>
          <w:p>
            <w:pPr>
              <w:jc w:val="right"/>
              <w:ind w:right="1123"/>
              <w:spacing w:after="0"/>
              <w:rPr>
                <w:sz w:val="20"/>
                <w:szCs w:val="20"/>
                <w:color w:val="auto"/>
              </w:rPr>
            </w:pPr>
            <w:r>
              <w:rPr>
                <w:rFonts w:ascii="Arial" w:cs="Arial" w:eastAsia="Arial" w:hAnsi="Arial"/>
                <w:sz w:val="11"/>
                <w:szCs w:val="11"/>
                <w:color w:val="auto"/>
              </w:rPr>
              <w:t>80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48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05" w:right="319" w:bottom="1440" w:gutter="0" w:footer="0" w:header="0"/>
          <w:type w:val="continuous"/>
        </w:sectPr>
      </w:pPr>
    </w:p>
    <w:bookmarkStart w:id="83" w:name="page84"/>
    <w:bookmarkEnd w:id="83"/>
    <w:tbl>
      <w:tblPr>
        <w:tblLayout w:type="fixed"/>
        <w:tblInd w:w="0" w:type="dxa"/>
        <w:tblCellMar>
          <w:top w:w="0" w:type="dxa"/>
          <w:left w:w="0" w:type="dxa"/>
          <w:bottom w:w="0" w:type="dxa"/>
          <w:right w:w="0" w:type="dxa"/>
        </w:tblCellMar>
      </w:tblPr>
      <w:tr>
        <w:trPr>
          <w:trHeight w:val="159"/>
        </w:trPr>
        <w:tc>
          <w:tcPr>
            <w:tcW w:w="61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5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640" w:type="dxa"/>
            <w:vAlign w:val="bottom"/>
            <w:tcBorders>
              <w:top w:val="single" w:sz="8" w:color="auto"/>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rPr>
              <w:t>Dec. 31, 2020</w:t>
            </w:r>
          </w:p>
        </w:tc>
        <w:tc>
          <w:tcPr>
            <w:tcW w:w="160" w:type="dxa"/>
            <w:vAlign w:val="bottom"/>
            <w:tcBorders>
              <w:top w:val="single" w:sz="8" w:color="auto"/>
              <w:bottom w:val="single" w:sz="8" w:color="auto"/>
            </w:tcBorders>
          </w:tcPr>
          <w:p>
            <w:pPr>
              <w:spacing w:after="0"/>
              <w:rPr>
                <w:sz w:val="13"/>
                <w:szCs w:val="13"/>
                <w:color w:val="auto"/>
              </w:rPr>
            </w:pPr>
          </w:p>
        </w:tc>
        <w:tc>
          <w:tcPr>
            <w:tcW w:w="1480" w:type="dxa"/>
            <w:vAlign w:val="bottom"/>
            <w:tcBorders>
              <w:top w:val="single" w:sz="8" w:color="auto"/>
              <w:bottom w:val="single" w:sz="8" w:color="auto"/>
            </w:tcBorders>
          </w:tcPr>
          <w:p>
            <w:pPr>
              <w:spacing w:after="0"/>
              <w:rPr>
                <w:sz w:val="13"/>
                <w:szCs w:val="13"/>
                <w:color w:val="auto"/>
              </w:rPr>
            </w:pPr>
          </w:p>
        </w:tc>
      </w:tr>
      <w:tr>
        <w:trPr>
          <w:trHeight w:val="139"/>
        </w:trPr>
        <w:tc>
          <w:tcPr>
            <w:tcW w:w="618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120" w:type="dxa"/>
            <w:vAlign w:val="bottom"/>
          </w:tcPr>
          <w:p>
            <w:pPr>
              <w:spacing w:after="0"/>
              <w:rPr>
                <w:sz w:val="12"/>
                <w:szCs w:val="12"/>
                <w:color w:val="auto"/>
              </w:rPr>
            </w:pPr>
          </w:p>
        </w:tc>
        <w:tc>
          <w:tcPr>
            <w:tcW w:w="1600" w:type="dxa"/>
            <w:vAlign w:val="bottom"/>
            <w:gridSpan w:val="2"/>
          </w:tcPr>
          <w:p>
            <w:pPr>
              <w:ind w:left="60"/>
              <w:spacing w:after="0"/>
              <w:rPr>
                <w:sz w:val="20"/>
                <w:szCs w:val="20"/>
                <w:color w:val="auto"/>
              </w:rPr>
            </w:pPr>
            <w:r>
              <w:rPr>
                <w:rFonts w:ascii="Arial" w:cs="Arial" w:eastAsia="Arial" w:hAnsi="Arial"/>
                <w:sz w:val="11"/>
                <w:szCs w:val="11"/>
                <w:b w:val="1"/>
                <w:bCs w:val="1"/>
                <w:color w:val="auto"/>
              </w:rPr>
              <w:t>Gross Carrying Amount</w:t>
            </w:r>
          </w:p>
        </w:tc>
        <w:tc>
          <w:tcPr>
            <w:tcW w:w="100" w:type="dxa"/>
            <w:vAlign w:val="bottom"/>
          </w:tcPr>
          <w:p>
            <w:pPr>
              <w:spacing w:after="0"/>
              <w:rPr>
                <w:sz w:val="12"/>
                <w:szCs w:val="12"/>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Accumulated Amortization</w:t>
            </w:r>
          </w:p>
        </w:tc>
        <w:tc>
          <w:tcPr>
            <w:tcW w:w="160" w:type="dxa"/>
            <w:vAlign w:val="bottom"/>
          </w:tcPr>
          <w:p>
            <w:pPr>
              <w:spacing w:after="0"/>
              <w:rPr>
                <w:sz w:val="12"/>
                <w:szCs w:val="12"/>
                <w:color w:val="auto"/>
              </w:rPr>
            </w:pPr>
          </w:p>
        </w:tc>
        <w:tc>
          <w:tcPr>
            <w:tcW w:w="1480" w:type="dxa"/>
            <w:vAlign w:val="bottom"/>
          </w:tcPr>
          <w:p>
            <w:pPr>
              <w:jc w:val="right"/>
              <w:ind w:right="203"/>
              <w:spacing w:after="0"/>
              <w:rPr>
                <w:sz w:val="20"/>
                <w:szCs w:val="20"/>
                <w:color w:val="auto"/>
              </w:rPr>
            </w:pPr>
            <w:r>
              <w:rPr>
                <w:rFonts w:ascii="Arial" w:cs="Arial" w:eastAsia="Arial" w:hAnsi="Arial"/>
                <w:sz w:val="11"/>
                <w:szCs w:val="11"/>
                <w:b w:val="1"/>
                <w:bCs w:val="1"/>
                <w:color w:val="auto"/>
              </w:rPr>
              <w:t>Net Carrying Amount</w:t>
            </w:r>
          </w:p>
        </w:tc>
      </w:tr>
      <w:tr>
        <w:trPr>
          <w:trHeight w:val="139"/>
        </w:trPr>
        <w:tc>
          <w:tcPr>
            <w:tcW w:w="6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Developed technology</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496,000</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92,114</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403,886</w:t>
            </w:r>
          </w:p>
        </w:tc>
      </w:tr>
      <w:tr>
        <w:trPr>
          <w:trHeight w:val="149"/>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Customer relationships</w:t>
            </w:r>
          </w:p>
        </w:tc>
        <w:tc>
          <w:tcPr>
            <w:tcW w:w="1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232,000</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30,160</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201,840</w:t>
            </w:r>
          </w:p>
        </w:tc>
      </w:tr>
      <w:tr>
        <w:trPr>
          <w:trHeight w:val="164"/>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intangible assets subject to amortization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728,000</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122,274</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605,726</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6180" w:type="dxa"/>
            <w:vAlign w:val="bottom"/>
            <w:tcBorders>
              <w:bottom w:val="single" w:sz="8" w:color="CCEEFF"/>
            </w:tcBorders>
          </w:tcPr>
          <w:p>
            <w:pPr>
              <w:ind w:left="20"/>
              <w:spacing w:after="0" w:line="111" w:lineRule="exact"/>
              <w:rPr>
                <w:sz w:val="20"/>
                <w:szCs w:val="20"/>
                <w:color w:val="auto"/>
              </w:rPr>
            </w:pPr>
            <w:r>
              <w:rPr>
                <w:rFonts w:ascii="Arial" w:cs="Arial" w:eastAsia="Arial" w:hAnsi="Arial"/>
                <w:sz w:val="11"/>
                <w:szCs w:val="11"/>
                <w:color w:val="auto"/>
              </w:rPr>
              <w:t>Indefinite-lived trade names</w:t>
            </w:r>
          </w:p>
        </w:tc>
        <w:tc>
          <w:tcPr>
            <w:tcW w:w="120" w:type="dxa"/>
            <w:vAlign w:val="bottom"/>
            <w:tcBorders>
              <w:bottom w:val="single" w:sz="8" w:color="CCEEFF"/>
            </w:tcBorders>
          </w:tcPr>
          <w:p>
            <w:pPr>
              <w:spacing w:after="0"/>
              <w:rPr>
                <w:sz w:val="9"/>
                <w:szCs w:val="9"/>
                <w:color w:val="auto"/>
              </w:rPr>
            </w:pPr>
          </w:p>
        </w:tc>
        <w:tc>
          <w:tcPr>
            <w:tcW w:w="152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56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jc w:val="right"/>
              <w:spacing w:after="0" w:line="111" w:lineRule="exact"/>
              <w:rPr>
                <w:sz w:val="20"/>
                <w:szCs w:val="20"/>
                <w:color w:val="auto"/>
              </w:rPr>
            </w:pPr>
            <w:r>
              <w:rPr>
                <w:rFonts w:ascii="Arial" w:cs="Arial" w:eastAsia="Arial" w:hAnsi="Arial"/>
                <w:sz w:val="11"/>
                <w:szCs w:val="11"/>
                <w:color w:val="auto"/>
              </w:rPr>
              <w:t>83,000</w:t>
            </w:r>
          </w:p>
        </w:tc>
      </w:tr>
      <w:tr>
        <w:trPr>
          <w:trHeight w:val="164"/>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intangible assets</w:t>
            </w:r>
          </w:p>
        </w:tc>
        <w:tc>
          <w:tcPr>
            <w:tcW w:w="120" w:type="dxa"/>
            <w:vAlign w:val="bottom"/>
            <w:tcBorders>
              <w:bottom w:val="single" w:sz="8" w:color="CCEEFF"/>
            </w:tcBorders>
            <w:shd w:val="clear" w:color="auto" w:fill="CCEEFF"/>
          </w:tcPr>
          <w:p>
            <w:pPr>
              <w:spacing w:after="0"/>
              <w:rPr>
                <w:sz w:val="13"/>
                <w:szCs w:val="13"/>
                <w:color w:val="auto"/>
              </w:rPr>
            </w:pPr>
          </w:p>
        </w:tc>
        <w:tc>
          <w:tcPr>
            <w:tcW w:w="15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5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688,726</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3"/>
          <w:szCs w:val="13"/>
          <w:color w:val="auto"/>
        </w:rPr>
        <w:t>There was no impairment of intangible assets for the periods presented.</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2021, expected annual amortization expense related to intangible assets for each of the five succeeding years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18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140" w:type="dxa"/>
            <w:vAlign w:val="bottom"/>
          </w:tcPr>
          <w:p>
            <w:pPr>
              <w:spacing w:after="0"/>
              <w:rPr>
                <w:sz w:val="12"/>
                <w:szCs w:val="12"/>
                <w:color w:val="auto"/>
              </w:rPr>
            </w:pPr>
          </w:p>
        </w:tc>
        <w:tc>
          <w:tcPr>
            <w:tcW w:w="1580" w:type="dxa"/>
            <w:vAlign w:val="bottom"/>
            <w:gridSpan w:val="2"/>
          </w:tcPr>
          <w:p>
            <w:pPr>
              <w:ind w:left="60"/>
              <w:spacing w:after="0"/>
              <w:rPr>
                <w:sz w:val="20"/>
                <w:szCs w:val="20"/>
                <w:color w:val="auto"/>
              </w:rPr>
            </w:pPr>
            <w:r>
              <w:rPr>
                <w:rFonts w:ascii="Arial" w:cs="Arial" w:eastAsia="Arial" w:hAnsi="Arial"/>
                <w:sz w:val="11"/>
                <w:szCs w:val="11"/>
                <w:b w:val="1"/>
                <w:bCs w:val="1"/>
                <w:color w:val="auto"/>
              </w:rPr>
              <w:t>Developed Technology</w:t>
            </w:r>
          </w:p>
        </w:tc>
        <w:tc>
          <w:tcPr>
            <w:tcW w:w="140" w:type="dxa"/>
            <w:vAlign w:val="bottom"/>
          </w:tcPr>
          <w:p>
            <w:pPr>
              <w:spacing w:after="0"/>
              <w:rPr>
                <w:sz w:val="12"/>
                <w:szCs w:val="12"/>
                <w:color w:val="auto"/>
              </w:rPr>
            </w:pPr>
          </w:p>
        </w:tc>
        <w:tc>
          <w:tcPr>
            <w:tcW w:w="1600" w:type="dxa"/>
            <w:vAlign w:val="bottom"/>
            <w:gridSpan w:val="2"/>
          </w:tcPr>
          <w:p>
            <w:pPr>
              <w:ind w:left="40"/>
              <w:spacing w:after="0"/>
              <w:rPr>
                <w:sz w:val="20"/>
                <w:szCs w:val="20"/>
                <w:color w:val="auto"/>
              </w:rPr>
            </w:pPr>
            <w:r>
              <w:rPr>
                <w:rFonts w:ascii="Arial" w:cs="Arial" w:eastAsia="Arial" w:hAnsi="Arial"/>
                <w:sz w:val="11"/>
                <w:szCs w:val="11"/>
                <w:b w:val="1"/>
                <w:bCs w:val="1"/>
                <w:color w:val="auto"/>
              </w:rPr>
              <w:t>Customer Relationships</w:t>
            </w:r>
          </w:p>
        </w:tc>
        <w:tc>
          <w:tcPr>
            <w:tcW w:w="380" w:type="dxa"/>
            <w:vAlign w:val="bottom"/>
          </w:tcPr>
          <w:p>
            <w:pPr>
              <w:spacing w:after="0"/>
              <w:rPr>
                <w:sz w:val="12"/>
                <w:szCs w:val="12"/>
                <w:color w:val="auto"/>
              </w:rPr>
            </w:pPr>
          </w:p>
        </w:tc>
        <w:tc>
          <w:tcPr>
            <w:tcW w:w="1260" w:type="dxa"/>
            <w:vAlign w:val="bottom"/>
          </w:tcPr>
          <w:p>
            <w:pPr>
              <w:jc w:val="right"/>
              <w:ind w:right="623"/>
              <w:spacing w:after="0"/>
              <w:rPr>
                <w:sz w:val="20"/>
                <w:szCs w:val="20"/>
                <w:color w:val="auto"/>
              </w:rPr>
            </w:pPr>
            <w:r>
              <w:rPr>
                <w:rFonts w:ascii="Arial" w:cs="Arial" w:eastAsia="Arial" w:hAnsi="Arial"/>
                <w:sz w:val="11"/>
                <w:szCs w:val="11"/>
                <w:b w:val="1"/>
                <w:bCs w:val="1"/>
                <w:color w:val="auto"/>
              </w:rPr>
              <w:t>Total</w:t>
            </w:r>
          </w:p>
        </w:tc>
      </w:tr>
      <w:tr>
        <w:trPr>
          <w:trHeight w:val="139"/>
        </w:trPr>
        <w:tc>
          <w:tcPr>
            <w:tcW w:w="6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2022</w:t>
            </w: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70,857</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5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23,200</w:t>
            </w:r>
          </w:p>
        </w:tc>
        <w:tc>
          <w:tcPr>
            <w:tcW w:w="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94,057</w:t>
            </w:r>
          </w:p>
        </w:tc>
      </w:tr>
      <w:tr>
        <w:trPr>
          <w:trHeight w:val="149"/>
        </w:trPr>
        <w:tc>
          <w:tcPr>
            <w:tcW w:w="6180" w:type="dxa"/>
            <w:vAlign w:val="bottom"/>
          </w:tcPr>
          <w:p>
            <w:pPr>
              <w:ind w:left="20"/>
              <w:spacing w:after="0"/>
              <w:rPr>
                <w:sz w:val="20"/>
                <w:szCs w:val="20"/>
                <w:color w:val="auto"/>
              </w:rPr>
            </w:pPr>
            <w:r>
              <w:rPr>
                <w:rFonts w:ascii="Arial" w:cs="Arial" w:eastAsia="Arial" w:hAnsi="Arial"/>
                <w:sz w:val="11"/>
                <w:szCs w:val="11"/>
                <w:color w:val="auto"/>
              </w:rPr>
              <w:t>2023</w:t>
            </w:r>
          </w:p>
        </w:tc>
        <w:tc>
          <w:tcPr>
            <w:tcW w:w="14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70,857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Pr>
          <w:p>
            <w:pPr>
              <w:jc w:val="right"/>
              <w:ind w:right="3"/>
              <w:spacing w:after="0"/>
              <w:rPr>
                <w:sz w:val="20"/>
                <w:szCs w:val="20"/>
                <w:color w:val="auto"/>
              </w:rPr>
            </w:pPr>
            <w:r>
              <w:rPr>
                <w:rFonts w:ascii="Arial" w:cs="Arial" w:eastAsia="Arial" w:hAnsi="Arial"/>
                <w:sz w:val="11"/>
                <w:szCs w:val="11"/>
                <w:color w:val="auto"/>
              </w:rPr>
              <w:t>23,200</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94,057</w:t>
            </w:r>
          </w:p>
        </w:tc>
      </w:tr>
      <w:tr>
        <w:trPr>
          <w:trHeight w:val="149"/>
        </w:trPr>
        <w:tc>
          <w:tcPr>
            <w:tcW w:w="6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2024</w:t>
            </w:r>
          </w:p>
        </w:tc>
        <w:tc>
          <w:tcPr>
            <w:tcW w:w="14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70,857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23,200</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94,057</w:t>
            </w:r>
          </w:p>
        </w:tc>
      </w:tr>
      <w:tr>
        <w:trPr>
          <w:trHeight w:val="149"/>
        </w:trPr>
        <w:tc>
          <w:tcPr>
            <w:tcW w:w="6180" w:type="dxa"/>
            <w:vAlign w:val="bottom"/>
          </w:tcPr>
          <w:p>
            <w:pPr>
              <w:ind w:left="20"/>
              <w:spacing w:after="0"/>
              <w:rPr>
                <w:sz w:val="20"/>
                <w:szCs w:val="20"/>
                <w:color w:val="auto"/>
              </w:rPr>
            </w:pPr>
            <w:r>
              <w:rPr>
                <w:rFonts w:ascii="Arial" w:cs="Arial" w:eastAsia="Arial" w:hAnsi="Arial"/>
                <w:sz w:val="11"/>
                <w:szCs w:val="11"/>
                <w:color w:val="auto"/>
              </w:rPr>
              <w:t>2025</w:t>
            </w:r>
          </w:p>
        </w:tc>
        <w:tc>
          <w:tcPr>
            <w:tcW w:w="14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70,857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Pr>
          <w:p>
            <w:pPr>
              <w:jc w:val="right"/>
              <w:ind w:right="3"/>
              <w:spacing w:after="0"/>
              <w:rPr>
                <w:sz w:val="20"/>
                <w:szCs w:val="20"/>
                <w:color w:val="auto"/>
              </w:rPr>
            </w:pPr>
            <w:r>
              <w:rPr>
                <w:rFonts w:ascii="Arial" w:cs="Arial" w:eastAsia="Arial" w:hAnsi="Arial"/>
                <w:sz w:val="11"/>
                <w:szCs w:val="11"/>
                <w:color w:val="auto"/>
              </w:rPr>
              <w:t>23,200</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94,057</w:t>
            </w:r>
          </w:p>
        </w:tc>
      </w:tr>
      <w:tr>
        <w:trPr>
          <w:trHeight w:val="149"/>
        </w:trPr>
        <w:tc>
          <w:tcPr>
            <w:tcW w:w="6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2026</w:t>
            </w:r>
          </w:p>
        </w:tc>
        <w:tc>
          <w:tcPr>
            <w:tcW w:w="14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49,601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23,200</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72,801</w:t>
            </w:r>
          </w:p>
        </w:tc>
      </w:tr>
      <w:tr>
        <w:trPr>
          <w:trHeight w:val="149"/>
        </w:trPr>
        <w:tc>
          <w:tcPr>
            <w:tcW w:w="6180" w:type="dxa"/>
            <w:vAlign w:val="bottom"/>
          </w:tcPr>
          <w:p>
            <w:pPr>
              <w:ind w:left="20"/>
              <w:spacing w:after="0"/>
              <w:rPr>
                <w:sz w:val="20"/>
                <w:szCs w:val="20"/>
                <w:color w:val="auto"/>
              </w:rPr>
            </w:pPr>
            <w:r>
              <w:rPr>
                <w:rFonts w:ascii="Arial" w:cs="Arial" w:eastAsia="Arial" w:hAnsi="Arial"/>
                <w:sz w:val="11"/>
                <w:szCs w:val="11"/>
                <w:color w:val="auto"/>
              </w:rPr>
              <w:t>Thereafter</w:t>
            </w:r>
          </w:p>
        </w:tc>
        <w:tc>
          <w:tcPr>
            <w:tcW w:w="140" w:type="dxa"/>
            <w:vAlign w:val="bottom"/>
          </w:tcPr>
          <w:p>
            <w:pPr>
              <w:spacing w:after="0"/>
              <w:rPr>
                <w:sz w:val="12"/>
                <w:szCs w:val="12"/>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520" w:type="dxa"/>
            <w:vAlign w:val="bottom"/>
          </w:tcPr>
          <w:p>
            <w:pPr>
              <w:jc w:val="right"/>
              <w:ind w:right="3"/>
              <w:spacing w:after="0"/>
              <w:rPr>
                <w:sz w:val="20"/>
                <w:szCs w:val="20"/>
                <w:color w:val="auto"/>
              </w:rPr>
            </w:pPr>
            <w:r>
              <w:rPr>
                <w:rFonts w:ascii="Arial" w:cs="Arial" w:eastAsia="Arial" w:hAnsi="Arial"/>
                <w:sz w:val="11"/>
                <w:szCs w:val="11"/>
                <w:color w:val="auto"/>
              </w:rPr>
              <w:t>62,640</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62,640</w:t>
            </w:r>
          </w:p>
        </w:tc>
      </w:tr>
      <w:tr>
        <w:trPr>
          <w:trHeight w:val="164"/>
        </w:trPr>
        <w:tc>
          <w:tcPr>
            <w:tcW w:w="6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w:t>
            </w: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333,029</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15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178,640</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jc w:val="right"/>
              <w:ind w:right="243"/>
              <w:spacing w:after="0"/>
              <w:rPr>
                <w:sz w:val="20"/>
                <w:szCs w:val="20"/>
                <w:color w:val="auto"/>
              </w:rPr>
            </w:pPr>
            <w:r>
              <w:rPr>
                <w:rFonts w:ascii="Arial" w:cs="Arial" w:eastAsia="Arial" w:hAnsi="Arial"/>
                <w:sz w:val="11"/>
                <w:szCs w:val="11"/>
                <w:b w:val="1"/>
                <w:bCs w:val="1"/>
                <w:color w:val="auto"/>
                <w:w w:val="97"/>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511,669</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2021, the weighted-average remaining amortization period for amortizable intangible assets was 4.8 years for developed technology and 7.8 years for customer relationships.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0A2299"/>
        </w:rPr>
        <w:t>5. LONG-TERM DEBT</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The Company’s long-term debt consisted of the following: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7880" w:type="dxa"/>
            <w:vAlign w:val="bottom"/>
          </w:tcPr>
          <w:p>
            <w:pPr>
              <w:spacing w:after="0"/>
              <w:rPr>
                <w:sz w:val="12"/>
                <w:szCs w:val="12"/>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Successor</w:t>
            </w:r>
          </w:p>
        </w:tc>
        <w:tc>
          <w:tcPr>
            <w:tcW w:w="4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483"/>
              <w:spacing w:after="0"/>
              <w:rPr>
                <w:sz w:val="20"/>
                <w:szCs w:val="20"/>
                <w:color w:val="auto"/>
              </w:rPr>
            </w:pPr>
            <w:r>
              <w:rPr>
                <w:rFonts w:ascii="Arial" w:cs="Arial" w:eastAsia="Arial" w:hAnsi="Arial"/>
                <w:sz w:val="11"/>
                <w:szCs w:val="11"/>
                <w:b w:val="1"/>
                <w:bCs w:val="1"/>
                <w:color w:val="auto"/>
              </w:rPr>
              <w:t>Successor</w:t>
            </w:r>
          </w:p>
        </w:tc>
      </w:tr>
      <w:tr>
        <w:trPr>
          <w:trHeight w:val="139"/>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Dec. 31, 2021</w:t>
            </w: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Dec. 31, 2020</w:t>
            </w:r>
          </w:p>
        </w:tc>
      </w:tr>
      <w:tr>
        <w:trPr>
          <w:trHeight w:val="139"/>
        </w:trPr>
        <w:tc>
          <w:tcPr>
            <w:tcW w:w="7880" w:type="dxa"/>
            <w:vAlign w:val="bottom"/>
            <w:shd w:val="clear" w:color="auto" w:fill="CCEEFF"/>
          </w:tcPr>
          <w:p>
            <w:pPr>
              <w:ind w:left="20"/>
              <w:spacing w:after="0"/>
              <w:rPr>
                <w:sz w:val="20"/>
                <w:szCs w:val="20"/>
                <w:color w:val="auto"/>
              </w:rPr>
            </w:pPr>
            <w:r>
              <w:rPr>
                <w:rFonts w:ascii="Arial" w:cs="Arial" w:eastAsia="Arial" w:hAnsi="Arial"/>
                <w:sz w:val="11"/>
                <w:szCs w:val="11"/>
                <w:color w:val="auto"/>
              </w:rPr>
              <w:t>Term Loan Facilities</w:t>
            </w:r>
          </w:p>
        </w:tc>
        <w:tc>
          <w:tcPr>
            <w:tcW w:w="1180" w:type="dxa"/>
            <w:vAlign w:val="bottom"/>
            <w:shd w:val="clear" w:color="auto" w:fill="CCEEFF"/>
          </w:tcPr>
          <w:p>
            <w:pPr>
              <w:jc w:val="right"/>
              <w:ind w:right="1043"/>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523,403</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412,373</w:t>
            </w:r>
          </w:p>
        </w:tc>
      </w:tr>
      <w:tr>
        <w:trPr>
          <w:trHeight w:val="149"/>
        </w:trPr>
        <w:tc>
          <w:tcPr>
            <w:tcW w:w="7880" w:type="dxa"/>
            <w:vAlign w:val="bottom"/>
          </w:tcPr>
          <w:p>
            <w:pPr>
              <w:ind w:left="20"/>
              <w:spacing w:after="0"/>
              <w:rPr>
                <w:sz w:val="20"/>
                <w:szCs w:val="20"/>
                <w:color w:val="auto"/>
              </w:rPr>
            </w:pPr>
            <w:r>
              <w:rPr>
                <w:rFonts w:ascii="Arial" w:cs="Arial" w:eastAsia="Arial" w:hAnsi="Arial"/>
                <w:sz w:val="11"/>
                <w:szCs w:val="11"/>
                <w:color w:val="auto"/>
              </w:rPr>
              <w:t>Revolving Credit Facilities</w:t>
            </w:r>
          </w:p>
        </w:tc>
        <w:tc>
          <w:tcPr>
            <w:tcW w:w="1180" w:type="dxa"/>
            <w:vAlign w:val="bottom"/>
          </w:tcPr>
          <w:p>
            <w:pPr>
              <w:spacing w:after="0"/>
              <w:rPr>
                <w:sz w:val="12"/>
                <w:szCs w:val="12"/>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155,000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jc w:val="right"/>
              <w:ind w:right="3"/>
              <w:spacing w:after="0"/>
              <w:rPr>
                <w:sz w:val="20"/>
                <w:szCs w:val="20"/>
                <w:color w:val="auto"/>
              </w:rPr>
            </w:pPr>
            <w:r>
              <w:rPr>
                <w:rFonts w:ascii="Arial" w:cs="Arial" w:eastAsia="Arial" w:hAnsi="Arial"/>
                <w:sz w:val="11"/>
                <w:szCs w:val="11"/>
                <w:color w:val="auto"/>
              </w:rPr>
              <w:t>—</w:t>
            </w:r>
          </w:p>
        </w:tc>
      </w:tr>
      <w:tr>
        <w:trPr>
          <w:trHeight w:val="149"/>
        </w:trPr>
        <w:tc>
          <w:tcPr>
            <w:tcW w:w="788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Unamortized debt discount and issuance costs</w:t>
            </w:r>
          </w:p>
        </w:tc>
        <w:tc>
          <w:tcPr>
            <w:tcW w:w="11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(8,018)</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(11,803)</w:t>
            </w:r>
          </w:p>
        </w:tc>
      </w:tr>
      <w:tr>
        <w:trPr>
          <w:trHeight w:val="139"/>
        </w:trPr>
        <w:tc>
          <w:tcPr>
            <w:tcW w:w="7880" w:type="dxa"/>
            <w:vAlign w:val="bottom"/>
          </w:tcPr>
          <w:p>
            <w:pPr>
              <w:ind w:left="20"/>
              <w:spacing w:after="0"/>
              <w:rPr>
                <w:sz w:val="20"/>
                <w:szCs w:val="20"/>
                <w:color w:val="auto"/>
              </w:rPr>
            </w:pPr>
            <w:r>
              <w:rPr>
                <w:rFonts w:ascii="Arial" w:cs="Arial" w:eastAsia="Arial" w:hAnsi="Arial"/>
                <w:sz w:val="11"/>
                <w:szCs w:val="11"/>
                <w:b w:val="1"/>
                <w:bCs w:val="1"/>
                <w:color w:val="auto"/>
              </w:rPr>
              <w:t>Total debt</w:t>
            </w:r>
          </w:p>
        </w:tc>
        <w:tc>
          <w:tcPr>
            <w:tcW w:w="1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670,385</w:t>
            </w: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400,570</w:t>
            </w: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31"/>
        </w:trPr>
        <w:tc>
          <w:tcPr>
            <w:tcW w:w="788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Less: Current portion of long-term debt</w:t>
            </w:r>
          </w:p>
        </w:tc>
        <w:tc>
          <w:tcPr>
            <w:tcW w:w="11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(5,270)</w:t>
            </w: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(4,170)</w:t>
            </w:r>
          </w:p>
        </w:tc>
      </w:tr>
      <w:tr>
        <w:trPr>
          <w:trHeight w:val="139"/>
        </w:trPr>
        <w:tc>
          <w:tcPr>
            <w:tcW w:w="7880" w:type="dxa"/>
            <w:vAlign w:val="bottom"/>
          </w:tcPr>
          <w:p>
            <w:pPr>
              <w:ind w:left="20"/>
              <w:spacing w:after="0"/>
              <w:rPr>
                <w:sz w:val="20"/>
                <w:szCs w:val="20"/>
                <w:color w:val="auto"/>
              </w:rPr>
            </w:pPr>
            <w:r>
              <w:rPr>
                <w:rFonts w:ascii="Arial" w:cs="Arial" w:eastAsia="Arial" w:hAnsi="Arial"/>
                <w:sz w:val="11"/>
                <w:szCs w:val="11"/>
                <w:b w:val="1"/>
                <w:bCs w:val="1"/>
                <w:color w:val="auto"/>
              </w:rPr>
              <w:t>Total long-term-debt</w:t>
            </w:r>
          </w:p>
        </w:tc>
        <w:tc>
          <w:tcPr>
            <w:tcW w:w="1180" w:type="dxa"/>
            <w:vAlign w:val="bottom"/>
            <w:tcBorders>
              <w:bottom w:val="single" w:sz="8" w:color="auto"/>
            </w:tcBorders>
          </w:tcPr>
          <w:p>
            <w:pPr>
              <w:jc w:val="right"/>
              <w:ind w:right="1043"/>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665,115</w:t>
            </w:r>
          </w:p>
        </w:tc>
        <w:tc>
          <w:tcPr>
            <w:tcW w:w="80" w:type="dxa"/>
            <w:vAlign w:val="bottom"/>
          </w:tcPr>
          <w:p>
            <w:pPr>
              <w:spacing w:after="0"/>
              <w:rPr>
                <w:sz w:val="12"/>
                <w:szCs w:val="12"/>
                <w:color w:val="auto"/>
              </w:rPr>
            </w:pP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396,400</w:t>
            </w:r>
          </w:p>
        </w:tc>
      </w:tr>
      <w:tr>
        <w:trPr>
          <w:trHeight w:val="20"/>
        </w:trPr>
        <w:tc>
          <w:tcPr>
            <w:tcW w:w="78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3"/>
          <w:szCs w:val="13"/>
          <w:color w:val="auto"/>
        </w:rPr>
        <w:t>Maturities of long-term debt for each of the next five years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964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62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49"/>
        </w:trPr>
        <w:tc>
          <w:tcPr>
            <w:tcW w:w="9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2022</w:t>
            </w:r>
          </w:p>
        </w:tc>
        <w:tc>
          <w:tcPr>
            <w:tcW w:w="620" w:type="dxa"/>
            <w:vAlign w:val="bottom"/>
            <w:shd w:val="clear" w:color="auto" w:fill="CCEEFF"/>
          </w:tcPr>
          <w:p>
            <w:pPr>
              <w:jc w:val="right"/>
              <w:ind w:right="483"/>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5,270</w:t>
            </w:r>
          </w:p>
        </w:tc>
      </w:tr>
      <w:tr>
        <w:trPr>
          <w:trHeight w:val="149"/>
        </w:trPr>
        <w:tc>
          <w:tcPr>
            <w:tcW w:w="9640" w:type="dxa"/>
            <w:vAlign w:val="bottom"/>
          </w:tcPr>
          <w:p>
            <w:pPr>
              <w:ind w:left="20"/>
              <w:spacing w:after="0"/>
              <w:rPr>
                <w:sz w:val="20"/>
                <w:szCs w:val="20"/>
                <w:color w:val="auto"/>
              </w:rPr>
            </w:pPr>
            <w:r>
              <w:rPr>
                <w:rFonts w:ascii="Arial" w:cs="Arial" w:eastAsia="Arial" w:hAnsi="Arial"/>
                <w:sz w:val="11"/>
                <w:szCs w:val="11"/>
                <w:color w:val="auto"/>
              </w:rPr>
              <w:t>2023</w:t>
            </w:r>
          </w:p>
        </w:tc>
        <w:tc>
          <w:tcPr>
            <w:tcW w:w="6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5,270</w:t>
            </w:r>
          </w:p>
        </w:tc>
      </w:tr>
      <w:tr>
        <w:trPr>
          <w:trHeight w:val="149"/>
        </w:trPr>
        <w:tc>
          <w:tcPr>
            <w:tcW w:w="9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2024</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160,270</w:t>
            </w:r>
          </w:p>
        </w:tc>
      </w:tr>
      <w:tr>
        <w:trPr>
          <w:trHeight w:val="149"/>
        </w:trPr>
        <w:tc>
          <w:tcPr>
            <w:tcW w:w="9640" w:type="dxa"/>
            <w:vAlign w:val="bottom"/>
          </w:tcPr>
          <w:p>
            <w:pPr>
              <w:ind w:left="20"/>
              <w:spacing w:after="0"/>
              <w:rPr>
                <w:sz w:val="20"/>
                <w:szCs w:val="20"/>
                <w:color w:val="auto"/>
              </w:rPr>
            </w:pPr>
            <w:r>
              <w:rPr>
                <w:rFonts w:ascii="Arial" w:cs="Arial" w:eastAsia="Arial" w:hAnsi="Arial"/>
                <w:sz w:val="11"/>
                <w:szCs w:val="11"/>
                <w:color w:val="auto"/>
              </w:rPr>
              <w:t>2025</w:t>
            </w:r>
          </w:p>
        </w:tc>
        <w:tc>
          <w:tcPr>
            <w:tcW w:w="6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507,593</w:t>
            </w:r>
          </w:p>
        </w:tc>
      </w:tr>
      <w:tr>
        <w:trPr>
          <w:trHeight w:val="149"/>
        </w:trPr>
        <w:tc>
          <w:tcPr>
            <w:tcW w:w="9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2026</w:t>
            </w:r>
          </w:p>
        </w:tc>
        <w:tc>
          <w:tcPr>
            <w:tcW w:w="6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39"/>
        </w:trPr>
        <w:tc>
          <w:tcPr>
            <w:tcW w:w="9640" w:type="dxa"/>
            <w:vAlign w:val="bottom"/>
          </w:tcPr>
          <w:p>
            <w:pPr>
              <w:ind w:left="20"/>
              <w:spacing w:after="0"/>
              <w:rPr>
                <w:sz w:val="20"/>
                <w:szCs w:val="20"/>
                <w:color w:val="auto"/>
              </w:rPr>
            </w:pPr>
            <w:r>
              <w:rPr>
                <w:rFonts w:ascii="Arial" w:cs="Arial" w:eastAsia="Arial" w:hAnsi="Arial"/>
                <w:sz w:val="11"/>
                <w:szCs w:val="11"/>
                <w:b w:val="1"/>
                <w:bCs w:val="1"/>
                <w:color w:val="auto"/>
              </w:rPr>
              <w:t>Total</w:t>
            </w:r>
          </w:p>
        </w:tc>
        <w:tc>
          <w:tcPr>
            <w:tcW w:w="620" w:type="dxa"/>
            <w:vAlign w:val="bottom"/>
            <w:tcBorders>
              <w:bottom w:val="single" w:sz="8" w:color="auto"/>
            </w:tcBorders>
          </w:tcPr>
          <w:p>
            <w:pPr>
              <w:jc w:val="right"/>
              <w:ind w:right="483"/>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678,403</w:t>
            </w:r>
          </w:p>
        </w:tc>
      </w:tr>
      <w:tr>
        <w:trPr>
          <w:trHeight w:val="20"/>
        </w:trPr>
        <w:tc>
          <w:tcPr>
            <w:tcW w:w="96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Successor</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Term Loan Facilities</w:t>
      </w:r>
    </w:p>
    <w:p>
      <w:pPr>
        <w:spacing w:after="0" w:line="183" w:lineRule="exact"/>
        <w:rPr>
          <w:sz w:val="20"/>
          <w:szCs w:val="20"/>
          <w:color w:val="auto"/>
        </w:rPr>
      </w:pPr>
    </w:p>
    <w:p>
      <w:pPr>
        <w:ind w:right="20"/>
        <w:spacing w:after="0"/>
        <w:rPr>
          <w:sz w:val="20"/>
          <w:szCs w:val="20"/>
          <w:color w:val="auto"/>
        </w:rPr>
      </w:pPr>
      <w:r>
        <w:rPr>
          <w:rFonts w:ascii="Arial" w:cs="Arial" w:eastAsia="Arial" w:hAnsi="Arial"/>
          <w:sz w:val="13"/>
          <w:szCs w:val="13"/>
          <w:color w:val="auto"/>
        </w:rPr>
        <w:t>On September 13, 2019, in connection with the Acquisition, Norvax (the “Borrower”) entered into a first lien credit agreement (the “Credit Agreement”) which provided for a $300.0 million aggregate principal amount senior secured term loan facility (the “Initial Term Loan Facility”). During 2020, the Company entered into a series of amendments to the Credit Agreement to provide for, among other items as further described below, $117.0 million of incremental term loans (the “Incremental Term Loan Facility”). On March 23, 2020, the Company issued 6,667 of GHH, LLC Class B common units to a lender that is party to the Company’s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81</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85" w:right="319" w:bottom="1440" w:gutter="0" w:footer="0" w:header="0"/>
        </w:sectPr>
      </w:pPr>
    </w:p>
    <w:bookmarkStart w:id="84" w:name="page85"/>
    <w:bookmarkEnd w:id="84"/>
    <w:p>
      <w:pPr>
        <w:ind w:right="40"/>
        <w:spacing w:after="0" w:line="244" w:lineRule="auto"/>
        <w:rPr>
          <w:sz w:val="20"/>
          <w:szCs w:val="20"/>
          <w:color w:val="auto"/>
        </w:rPr>
      </w:pPr>
      <w:r>
        <w:rPr>
          <w:rFonts w:ascii="Arial" w:cs="Arial" w:eastAsia="Arial" w:hAnsi="Arial"/>
          <w:sz w:val="13"/>
          <w:szCs w:val="13"/>
          <w:color w:val="auto"/>
        </w:rPr>
        <w:t>Credit Agreement for $10.0 million in proceeds. The Company incurred $6.0 million of debt issuance costs associated with the Incremental Term Loan Facility, which are being amortized over the life of the debt to interest expense using the effective interest method.</w:t>
      </w:r>
    </w:p>
    <w:p>
      <w:pPr>
        <w:spacing w:after="0" w:line="163" w:lineRule="exact"/>
        <w:rPr>
          <w:sz w:val="20"/>
          <w:szCs w:val="20"/>
          <w:color w:val="auto"/>
        </w:rPr>
      </w:pPr>
    </w:p>
    <w:p>
      <w:pPr>
        <w:spacing w:after="0" w:line="264" w:lineRule="auto"/>
        <w:rPr>
          <w:sz w:val="20"/>
          <w:szCs w:val="20"/>
          <w:color w:val="auto"/>
        </w:rPr>
      </w:pPr>
      <w:r>
        <w:rPr>
          <w:rFonts w:ascii="Arial" w:cs="Arial" w:eastAsia="Arial" w:hAnsi="Arial"/>
          <w:sz w:val="12"/>
          <w:szCs w:val="12"/>
          <w:color w:val="auto"/>
        </w:rPr>
        <w:t>On June 11, 2021, the Company entered into Amendment No. 5 to the Credit Agreement and Incremental Facility Agreement (“Amendment No. 5”). Amendment No. 5 creates a new class of incremental term loans (the “2021 Incremental Term Loans”) in an aggregate principal amount equal to $310.0 million, which was used to refinance $295.5 million of outstanding principal under the Initial Term Loan Facility, pay the related accrued interest and fund the prepayment premium. In connection with Amendment No. 5 and the refinancing of the Initial Term Loan, the Company recognized an $11.9 million loss on debt extinguishment, representing the 2% prepayment premium of $5.9 million and the write-down of deferred financing costs and debt discounts of $6.0 million. The Company incurred $1.7 million of debt issuance costs associated with Amendment No. 5, which are being amortized over the life of the debt to interest expense using the effective interest method.</w:t>
      </w:r>
    </w:p>
    <w:p>
      <w:pPr>
        <w:spacing w:after="0" w:line="58" w:lineRule="exact"/>
        <w:rPr>
          <w:sz w:val="20"/>
          <w:szCs w:val="20"/>
          <w:color w:val="auto"/>
        </w:rPr>
      </w:pPr>
    </w:p>
    <w:p>
      <w:pPr>
        <w:jc w:val="both"/>
        <w:ind w:right="120"/>
        <w:spacing w:after="0" w:line="229" w:lineRule="auto"/>
        <w:rPr>
          <w:sz w:val="20"/>
          <w:szCs w:val="20"/>
          <w:color w:val="auto"/>
        </w:rPr>
      </w:pPr>
      <w:r>
        <w:rPr>
          <w:rFonts w:ascii="Arial" w:cs="Arial" w:eastAsia="Arial" w:hAnsi="Arial"/>
          <w:sz w:val="13"/>
          <w:szCs w:val="13"/>
          <w:color w:val="auto"/>
        </w:rPr>
        <w:t>On November 10, 2021, the Company entered into Amendment No. 6 to the Credit Agreement and Incremental Facility Agreement (“Amendment No. 6”). Amendment No. 6 provides $100.0 million of incremental term loans, or the “2021-2 Incremental Term Loans”. The Company incurred $2.5 million of debt issuance costs associated with Amendment No. 6, which are being amortized over the life of the debt to interest expense using the effective interest method.</w:t>
      </w:r>
    </w:p>
    <w:p>
      <w:pPr>
        <w:spacing w:after="0" w:line="166" w:lineRule="exact"/>
        <w:rPr>
          <w:sz w:val="20"/>
          <w:szCs w:val="20"/>
          <w:color w:val="auto"/>
        </w:rPr>
      </w:pPr>
    </w:p>
    <w:p>
      <w:pPr>
        <w:ind w:right="360"/>
        <w:spacing w:after="0" w:line="244" w:lineRule="auto"/>
        <w:rPr>
          <w:sz w:val="20"/>
          <w:szCs w:val="20"/>
          <w:color w:val="auto"/>
        </w:rPr>
      </w:pPr>
      <w:r>
        <w:rPr>
          <w:rFonts w:ascii="Arial" w:cs="Arial" w:eastAsia="Arial" w:hAnsi="Arial"/>
          <w:sz w:val="13"/>
          <w:szCs w:val="13"/>
          <w:color w:val="auto"/>
        </w:rPr>
        <w:t>The Company collectively refers to the Initial Term Loan Facility, the Incremental Term Loan Facility, the 2021 Incremental Term Loans, and the 2021-2 Incremental Term Loans as the “Term Loan Facilities”.</w:t>
      </w:r>
    </w:p>
    <w:p>
      <w:pPr>
        <w:spacing w:after="0" w:line="163" w:lineRule="exact"/>
        <w:rPr>
          <w:sz w:val="20"/>
          <w:szCs w:val="20"/>
          <w:color w:val="auto"/>
        </w:rPr>
      </w:pPr>
    </w:p>
    <w:p>
      <w:pPr>
        <w:ind w:right="40"/>
        <w:spacing w:after="0" w:line="239" w:lineRule="auto"/>
        <w:rPr>
          <w:sz w:val="20"/>
          <w:szCs w:val="20"/>
          <w:color w:val="auto"/>
        </w:rPr>
      </w:pPr>
      <w:r>
        <w:rPr>
          <w:rFonts w:ascii="Arial" w:cs="Arial" w:eastAsia="Arial" w:hAnsi="Arial"/>
          <w:sz w:val="13"/>
          <w:szCs w:val="13"/>
          <w:color w:val="auto"/>
        </w:rPr>
        <w:t>As of December 31, 2021, the Company had a principal amount of $115.0 million, $308.4 million, and $100.0 million outstanding under the Incremental Term Loan Facility, the 2021 Incremental Term Loans, and the 2021-2 Incremental Term Loans, respectively. As of December 31, 2020, the Company had a principal amount of $296.3 million and $116.1 million outstanding under the Initial Term Loan Facility and Incremental Term Loan Facility, respectively. The Incremental Term Loan Facility effective interest rate was 7.5% at both December 31, 2021 and December 31, 2020. The 2021 Incremental Term Loans and the 2021-2 Incremental Term Loans effective interest rate was 6.0% at December 31, 2021. The Initial Term Loan Facility effective interest rate was 7.5% at December 31, 2020.</w:t>
      </w:r>
    </w:p>
    <w:p>
      <w:pPr>
        <w:spacing w:after="0" w:line="168" w:lineRule="exact"/>
        <w:rPr>
          <w:sz w:val="20"/>
          <w:szCs w:val="20"/>
          <w:color w:val="auto"/>
        </w:rPr>
      </w:pPr>
    </w:p>
    <w:p>
      <w:pPr>
        <w:ind w:right="80"/>
        <w:spacing w:after="0"/>
        <w:rPr>
          <w:sz w:val="20"/>
          <w:szCs w:val="20"/>
          <w:color w:val="auto"/>
        </w:rPr>
      </w:pPr>
      <w:r>
        <w:rPr>
          <w:rFonts w:ascii="Arial" w:cs="Arial" w:eastAsia="Arial" w:hAnsi="Arial"/>
          <w:sz w:val="13"/>
          <w:szCs w:val="13"/>
          <w:color w:val="auto"/>
        </w:rPr>
        <w:t>Borrowings under the Incremental Term Loan Facility are, at the option of the Borrower, either (i) alternate base rate (“ABR”) plus 5.50% per annum or (ii) LIBOR plus 6.50% per annum. Prior to the 2021-2 Incremental Term Loans Closing Date, the 2021 Incremental Term Loans bear interest at either (i) ABR plus 3.00% per annum or (ii) LIBOR plus 4.00% per annum. The 2021 Incremental Term Loans from and after the 2021-2 Incremental Term Loans Closing Date, and the 2021-2 Incremental Term Loans, bear interest at either (i) alternate base rate (“ABR”) plus 4.00% per annum or (ii) LIBOR plus 5.00% per annum.</w:t>
      </w:r>
    </w:p>
    <w:p>
      <w:pPr>
        <w:spacing w:after="0" w:line="166" w:lineRule="exact"/>
        <w:rPr>
          <w:sz w:val="20"/>
          <w:szCs w:val="20"/>
          <w:color w:val="auto"/>
        </w:rPr>
      </w:pPr>
    </w:p>
    <w:p>
      <w:pPr>
        <w:ind w:right="60"/>
        <w:spacing w:after="0" w:line="244" w:lineRule="auto"/>
        <w:rPr>
          <w:sz w:val="20"/>
          <w:szCs w:val="20"/>
          <w:color w:val="auto"/>
        </w:rPr>
      </w:pPr>
      <w:r>
        <w:rPr>
          <w:rFonts w:ascii="Arial" w:cs="Arial" w:eastAsia="Arial" w:hAnsi="Arial"/>
          <w:sz w:val="13"/>
          <w:szCs w:val="13"/>
          <w:color w:val="auto"/>
        </w:rPr>
        <w:t>The Term Loan Facilities are payable in quarterly installments in the principal amount of 0.25% of the original principal amount. The remaining unpaid balance on the Term Loan Facilities, together with all accrued and unpaid interest thereon, is due and payable on or prior to September 13, 2025.</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Voluntary Prepayment</w:t>
      </w:r>
    </w:p>
    <w:p>
      <w:pPr>
        <w:spacing w:after="0" w:line="181" w:lineRule="exact"/>
        <w:rPr>
          <w:sz w:val="20"/>
          <w:szCs w:val="20"/>
          <w:color w:val="auto"/>
        </w:rPr>
      </w:pPr>
    </w:p>
    <w:p>
      <w:pPr>
        <w:ind w:right="560"/>
        <w:spacing w:after="0" w:line="244" w:lineRule="auto"/>
        <w:rPr>
          <w:sz w:val="20"/>
          <w:szCs w:val="20"/>
          <w:color w:val="auto"/>
        </w:rPr>
      </w:pPr>
      <w:r>
        <w:rPr>
          <w:rFonts w:ascii="Arial" w:cs="Arial" w:eastAsia="Arial" w:hAnsi="Arial"/>
          <w:sz w:val="13"/>
          <w:szCs w:val="13"/>
          <w:color w:val="auto"/>
        </w:rPr>
        <w:t>The Borrower may voluntarily prepay outstanding borrowings under the Term Loan Facilities at any time in whole or in part without premium or penalty; provided, that, with respect to voluntary prepayments of the Term Loan Facilities and in certain other circumstances, the Borrower may have to pay a prepayment premium.</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Mandatory Prepayments</w:t>
      </w:r>
    </w:p>
    <w:p>
      <w:pPr>
        <w:spacing w:after="0" w:line="181"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The Credit Agreement requires that the Borrower, following the end of each fiscal year, repay the outstanding principal amount of all term loans under the Credit Facilities in an aggregate amount equal to (A) 50.0% of the excess cash flow of the Borrower and its restricted subsidiaries for such fiscal year if the Total Net Leverage Ratio (as defined in the Credit Agreement) is greater than 4.50:1.00, which percentage is reduced to 25% if the Total Net Leverage Ratio is less than or equal to 4.50:1.00 and greater than 4.00:1.00, which percentage is further reduced to 0% if the Total Net Leverage Ratio is less than or equal to 4.00:1.00, minus (B) at the option of the Borrower, (x) the aggregate amount of certain voluntary prepayments of term loans under the Credit Agreement during such fiscal year or after year-end and prior to the time such Excess Cash Flow prepayment is due, (y) the aggregate principal amount of any voluntary prepayments of indebtedness under pari passu incremental facilities, incremental equivalent debt and/or certain refinancing indebtedness, made during such fiscal year or after such fiscal year and prior to the time such prepayment is due.</w:t>
      </w:r>
    </w:p>
    <w:p>
      <w:pPr>
        <w:spacing w:after="0" w:line="154" w:lineRule="exact"/>
        <w:rPr>
          <w:sz w:val="20"/>
          <w:szCs w:val="20"/>
          <w:color w:val="auto"/>
        </w:rPr>
      </w:pPr>
    </w:p>
    <w:p>
      <w:pPr>
        <w:ind w:right="20"/>
        <w:spacing w:after="0"/>
        <w:rPr>
          <w:sz w:val="20"/>
          <w:szCs w:val="20"/>
          <w:color w:val="auto"/>
        </w:rPr>
      </w:pPr>
      <w:r>
        <w:rPr>
          <w:rFonts w:ascii="Arial" w:cs="Arial" w:eastAsia="Arial" w:hAnsi="Arial"/>
          <w:sz w:val="13"/>
          <w:szCs w:val="13"/>
          <w:color w:val="auto"/>
        </w:rPr>
        <w:t>The Credit Agreement requires the Borrower to repay amounts equal to 100% of the net cash proceeds of certain asset sales or other dispositions of property (including insurance and condemnation proceeds); provided, that, in the case of any prepayment events required in connection with certain dispositions and casualty events, if the net proceeds therefrom are invested (or committed to be invested) within 12 months after the receipt of such net proceeds, then no prepayment shall be required except to the extent such net proceeds have not been so invested (or committed to be invested) by the end of such 12-month period.</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82</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85" w:right="319" w:bottom="1440" w:gutter="0" w:footer="0" w:header="0"/>
        </w:sectPr>
      </w:pPr>
    </w:p>
    <w:bookmarkStart w:id="85" w:name="page86"/>
    <w:bookmarkEnd w:id="85"/>
    <w:p>
      <w:pPr>
        <w:jc w:val="both"/>
        <w:ind w:right="600"/>
        <w:spacing w:after="0" w:line="241" w:lineRule="auto"/>
        <w:rPr>
          <w:sz w:val="20"/>
          <w:szCs w:val="20"/>
          <w:color w:val="auto"/>
        </w:rPr>
      </w:pPr>
      <w:r>
        <w:rPr>
          <w:rFonts w:ascii="Arial" w:cs="Arial" w:eastAsia="Arial" w:hAnsi="Arial"/>
          <w:sz w:val="13"/>
          <w:szCs w:val="13"/>
          <w:color w:val="auto"/>
        </w:rPr>
        <w:t>The Credit Agreement requires 100% of the net proceeds from the issuance or incurrence of certain indebtedness to be applied to prepay the term loans under the Term Loan Facility and the Incremental Term Loan Facility, except to the extent the indebtedness constitutes refinancing indebtedness. For the twelve months ended December 31, 2021, the Company did not incur any mandatory prepayments.</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Revolving Credit Facilities</w:t>
      </w:r>
    </w:p>
    <w:p>
      <w:pPr>
        <w:spacing w:after="0" w:line="185" w:lineRule="exact"/>
        <w:rPr>
          <w:sz w:val="20"/>
          <w:szCs w:val="20"/>
          <w:color w:val="auto"/>
        </w:rPr>
      </w:pPr>
    </w:p>
    <w:p>
      <w:pPr>
        <w:ind w:right="20"/>
        <w:spacing w:after="0" w:line="244" w:lineRule="auto"/>
        <w:rPr>
          <w:sz w:val="20"/>
          <w:szCs w:val="20"/>
          <w:color w:val="auto"/>
        </w:rPr>
      </w:pPr>
      <w:r>
        <w:rPr>
          <w:rFonts w:ascii="Arial" w:cs="Arial" w:eastAsia="Arial" w:hAnsi="Arial"/>
          <w:sz w:val="13"/>
          <w:szCs w:val="13"/>
          <w:color w:val="auto"/>
        </w:rPr>
        <w:t>The Credit Agreement provided for a $30.0 million aggregate principal amount senior secured revolving credit facility (the “Revolving Credit Facility”). During 2020, the Company entered into a series of amendments to the Credit Agreement to provide for $28.0 million of incremental revolving credit (the “Incremental Revolving Credit Facilities”).</w:t>
      </w:r>
    </w:p>
    <w:p>
      <w:pPr>
        <w:spacing w:after="0" w:line="163" w:lineRule="exact"/>
        <w:rPr>
          <w:sz w:val="20"/>
          <w:szCs w:val="20"/>
          <w:color w:val="auto"/>
        </w:rPr>
      </w:pPr>
    </w:p>
    <w:p>
      <w:pPr>
        <w:ind w:right="500"/>
        <w:spacing w:after="0" w:line="244" w:lineRule="auto"/>
        <w:rPr>
          <w:sz w:val="20"/>
          <w:szCs w:val="20"/>
          <w:color w:val="auto"/>
        </w:rPr>
      </w:pPr>
      <w:r>
        <w:rPr>
          <w:rFonts w:ascii="Arial" w:cs="Arial" w:eastAsia="Arial" w:hAnsi="Arial"/>
          <w:sz w:val="13"/>
          <w:szCs w:val="13"/>
          <w:color w:val="auto"/>
        </w:rPr>
        <w:t>On May 7, 2021, the Company entered into a fourth amendment to the Credit Agreement, which provided $142.0 million of incremental revolving credit (the “Incremental No. 4 Revolving Credit Facility”), for a total amount of $200.0 million.</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The Company collectively refers to the Revolving Credit Facility, the Incremental Revolving Credit Facilities, and the Incremental No. 4 Revolving Credit Facility as the “Revolving Credit Facilities”.</w:t>
      </w:r>
    </w:p>
    <w:p>
      <w:pPr>
        <w:spacing w:after="0" w:line="169" w:lineRule="exact"/>
        <w:rPr>
          <w:sz w:val="20"/>
          <w:szCs w:val="20"/>
          <w:color w:val="auto"/>
        </w:rPr>
      </w:pPr>
    </w:p>
    <w:p>
      <w:pPr>
        <w:ind w:right="480"/>
        <w:spacing w:after="0" w:line="244" w:lineRule="auto"/>
        <w:rPr>
          <w:sz w:val="20"/>
          <w:szCs w:val="20"/>
          <w:color w:val="auto"/>
        </w:rPr>
      </w:pPr>
      <w:r>
        <w:rPr>
          <w:rFonts w:ascii="Arial" w:cs="Arial" w:eastAsia="Arial" w:hAnsi="Arial"/>
          <w:sz w:val="13"/>
          <w:szCs w:val="13"/>
          <w:color w:val="auto"/>
        </w:rPr>
        <w:t>Amendment No. 5, as described above, also separates the Revolving Credit Facilities into two classes of revolving commitments consisting of Class A Revolving Commitments in the amount of $30.0 million and Class B Revolving Commitments in the amount of $170.0 million.</w:t>
      </w:r>
    </w:p>
    <w:p>
      <w:pPr>
        <w:spacing w:after="0" w:line="163" w:lineRule="exact"/>
        <w:rPr>
          <w:sz w:val="20"/>
          <w:szCs w:val="20"/>
          <w:color w:val="auto"/>
        </w:rPr>
      </w:pPr>
    </w:p>
    <w:p>
      <w:pPr>
        <w:ind w:right="280"/>
        <w:spacing w:after="0" w:line="284" w:lineRule="auto"/>
        <w:rPr>
          <w:sz w:val="20"/>
          <w:szCs w:val="20"/>
          <w:color w:val="auto"/>
        </w:rPr>
      </w:pPr>
      <w:r>
        <w:rPr>
          <w:rFonts w:ascii="Arial" w:cs="Arial" w:eastAsia="Arial" w:hAnsi="Arial"/>
          <w:sz w:val="12"/>
          <w:szCs w:val="12"/>
          <w:color w:val="auto"/>
        </w:rPr>
        <w:t>Borrowings under the Class A Revolving Commitments bear interest at either ABR plus 5.50% per annum or LIBOR plus 6.50% per annum. Borrowings under the Class B Revolving Commitments bear interest at either ABR plus 3.00% per annum or LIBOR plus 4.00% per annum. The Borrower is required to pay a commitment fee of 0.50% per annum under the Revolving Credit Facilities.</w:t>
      </w:r>
    </w:p>
    <w:p>
      <w:pPr>
        <w:spacing w:after="0" w:line="140" w:lineRule="exact"/>
        <w:rPr>
          <w:sz w:val="20"/>
          <w:szCs w:val="20"/>
          <w:color w:val="auto"/>
        </w:rPr>
      </w:pPr>
    </w:p>
    <w:p>
      <w:pPr>
        <w:ind w:right="40"/>
        <w:spacing w:after="0" w:line="241" w:lineRule="auto"/>
        <w:rPr>
          <w:sz w:val="20"/>
          <w:szCs w:val="20"/>
          <w:color w:val="auto"/>
        </w:rPr>
      </w:pPr>
      <w:r>
        <w:rPr>
          <w:rFonts w:ascii="Arial" w:cs="Arial" w:eastAsia="Arial" w:hAnsi="Arial"/>
          <w:sz w:val="13"/>
          <w:szCs w:val="13"/>
          <w:color w:val="auto"/>
        </w:rPr>
        <w:t>The Company had $23.2 million outstanding under the Class A Revolving Credit Facilities and $131.8 million outstanding under the Class B Revolving Credit Facilities as of December 31, 2021 and no amounts outstanding as of December 31, 2020. The Revolving Credit Facilities have a remaining capacity of $45.0 million in the aggregate as of December 31, 2021. The Class A Revolving Credit Facilities and Class B Revolving Credit Facilities effective interest rates at December 31, 2021 was 7.5% and 5.0%,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Outstanding borrowings under the Revolving Credit Facilities do not amortize and are due and payable on September 13, 2024.</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Guarantees and Security</w:t>
      </w:r>
    </w:p>
    <w:p>
      <w:pPr>
        <w:spacing w:after="0" w:line="185" w:lineRule="exact"/>
        <w:rPr>
          <w:sz w:val="20"/>
          <w:szCs w:val="20"/>
          <w:color w:val="auto"/>
        </w:rPr>
      </w:pPr>
    </w:p>
    <w:p>
      <w:pPr>
        <w:ind w:right="240"/>
        <w:spacing w:after="0" w:line="244" w:lineRule="auto"/>
        <w:rPr>
          <w:sz w:val="20"/>
          <w:szCs w:val="20"/>
          <w:color w:val="auto"/>
        </w:rPr>
      </w:pPr>
      <w:r>
        <w:rPr>
          <w:rFonts w:ascii="Arial" w:cs="Arial" w:eastAsia="Arial" w:hAnsi="Arial"/>
          <w:sz w:val="13"/>
          <w:szCs w:val="13"/>
          <w:color w:val="auto"/>
        </w:rPr>
        <w:t>The Borrower’s obligations under the Term Loan Facilities and Revolving Credit Facilities are guaranteed by Blizzard Midco, LLC and certain of the Borrower’s subsidiaries. All obligations under the Credit Agreement are secured by a first priority lien on substantially all of the assets of the Borrower, including a pledge of all of the equity interests of its subsidiaries.</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Covenants and Other Matters</w:t>
      </w:r>
    </w:p>
    <w:p>
      <w:pPr>
        <w:spacing w:after="0" w:line="185" w:lineRule="exact"/>
        <w:rPr>
          <w:sz w:val="20"/>
          <w:szCs w:val="20"/>
          <w:color w:val="auto"/>
        </w:rPr>
      </w:pPr>
    </w:p>
    <w:p>
      <w:pPr>
        <w:ind w:right="140"/>
        <w:spacing w:after="0"/>
        <w:rPr>
          <w:sz w:val="20"/>
          <w:szCs w:val="20"/>
          <w:color w:val="auto"/>
        </w:rPr>
      </w:pPr>
      <w:r>
        <w:rPr>
          <w:rFonts w:ascii="Arial" w:cs="Arial" w:eastAsia="Arial" w:hAnsi="Arial"/>
          <w:sz w:val="13"/>
          <w:szCs w:val="13"/>
          <w:color w:val="auto"/>
        </w:rPr>
        <w:t>The Credit Agreement contains a number of covenants that, among other things and subject to certain exceptions, restrict the Borrower’s and its restricted subsidiaries’ ability to incur indebtedness; incur certain liens; consolidate, merge or sell or otherwise dispose of assets; make investments, loans, advances, guarantees and acquisitions; pay dividends or make other distributions on equity interests, or redeem, repurchase or retire equity interests; enter into transactions with affiliates; alter the business conducted by the Company and subsidiaries; change their fiscal year; and amend or modify governing documents. In addition, the Credit Agreement contains financial and non-financial covenants.</w:t>
      </w:r>
    </w:p>
    <w:p>
      <w:pPr>
        <w:spacing w:after="0" w:line="166"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The Credit Agreement also contains certain customary representations and warranties and affirmative covenants, and certain reporting obligations. In addition, the lenders under the Credit Facilities will be permitted to accelerate all outstanding borrowings and other obligations, terminate outstanding commitments and exercise other specified remedies upon the occurrence of certain events of default (subject to certain grace periods and exceptions), which include, among other things, payment defaults, breaches of representations and warranties, covenant defaults, certain cross-defaults and cross-accelerations to other indebtedness, certain events of bankruptcy and insolvency, certain judgments and changes of control. Subject to certain limited exceptions, substantially all of the Company’s assets are restricted from distribution.</w:t>
      </w:r>
    </w:p>
    <w:p>
      <w:pPr>
        <w:spacing w:after="0" w:line="168" w:lineRule="exact"/>
        <w:rPr>
          <w:sz w:val="20"/>
          <w:szCs w:val="20"/>
          <w:color w:val="auto"/>
        </w:rPr>
      </w:pPr>
    </w:p>
    <w:p>
      <w:pPr>
        <w:ind w:right="60"/>
        <w:spacing w:after="0" w:line="241" w:lineRule="auto"/>
        <w:rPr>
          <w:sz w:val="20"/>
          <w:szCs w:val="20"/>
          <w:color w:val="auto"/>
        </w:rPr>
      </w:pPr>
      <w:r>
        <w:rPr>
          <w:rFonts w:ascii="Arial" w:cs="Arial" w:eastAsia="Arial" w:hAnsi="Arial"/>
          <w:sz w:val="13"/>
          <w:szCs w:val="13"/>
          <w:color w:val="auto"/>
        </w:rPr>
        <w:t>On March 14, 2022, the Company amended its Credit Agreement. Among other terms, the interest rate for the 2021 Incremental Term Loans and the 2021-2 Incremental Term Loans was increased by 150 basis points. The Credit Agreement was amended to remove testing of the Net Leverage Ratio for the December 31, 2021 period and increase the maximum permitted Net Leverage Ratio for certain future reporting periods.</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Predecessor</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83</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85" w:right="319" w:bottom="1440" w:gutter="0" w:footer="0" w:header="0"/>
        </w:sectPr>
      </w:pPr>
    </w:p>
    <w:bookmarkStart w:id="86" w:name="page87"/>
    <w:bookmarkEnd w:id="86"/>
    <w:p>
      <w:pPr>
        <w:ind w:right="20"/>
        <w:spacing w:after="0"/>
        <w:rPr>
          <w:sz w:val="20"/>
          <w:szCs w:val="20"/>
          <w:color w:val="auto"/>
        </w:rPr>
      </w:pPr>
      <w:r>
        <w:rPr>
          <w:rFonts w:ascii="Arial" w:cs="Arial" w:eastAsia="Arial" w:hAnsi="Arial"/>
          <w:sz w:val="13"/>
          <w:szCs w:val="13"/>
          <w:color w:val="auto"/>
        </w:rPr>
        <w:t>During 2019, Norvax had a senior secured revolving credit facility (the “Predecessor Credit Facility”) with The Huntington National Bank (formerly FirstMerit Bank N.A.). In connection with the Acquisition, this facility was paid off and retired. The Predecessor Credit Facility provided for borrowings up to a maximum of $16.0 million based upon 80% of eligible trade accounts receivable, plus 40% of certain earned enrollment/commission fees. Norvax paid a variable interest rate on borrowings equal to, at Norvax’s discretion, Prime minus 50 basis points or LIBOR plus 250 basis points. The Predecessor Credit Facility was collateralized by substantially all of the assets of Norvax and was subject to certain financial covenants.</w:t>
      </w:r>
    </w:p>
    <w:p>
      <w:pPr>
        <w:spacing w:after="0" w:line="150" w:lineRule="exact"/>
        <w:rPr>
          <w:sz w:val="20"/>
          <w:szCs w:val="20"/>
          <w:color w:val="auto"/>
        </w:rPr>
      </w:pPr>
    </w:p>
    <w:p>
      <w:pPr>
        <w:ind w:right="8000" w:firstLine="5"/>
        <w:spacing w:after="0" w:line="523" w:lineRule="auto"/>
        <w:tabs>
          <w:tab w:leader="none" w:pos="142" w:val="left"/>
        </w:tabs>
        <w:numPr>
          <w:ilvl w:val="0"/>
          <w:numId w:val="42"/>
        </w:numPr>
        <w:rPr>
          <w:rFonts w:ascii="Arial" w:cs="Arial" w:eastAsia="Arial" w:hAnsi="Arial"/>
          <w:sz w:val="13"/>
          <w:szCs w:val="13"/>
          <w:b w:val="1"/>
          <w:bCs w:val="1"/>
          <w:color w:val="0A2299"/>
        </w:rPr>
      </w:pPr>
      <w:r>
        <w:rPr>
          <w:rFonts w:ascii="Arial" w:cs="Arial" w:eastAsia="Arial" w:hAnsi="Arial"/>
          <w:sz w:val="13"/>
          <w:szCs w:val="13"/>
          <w:b w:val="1"/>
          <w:bCs w:val="1"/>
          <w:color w:val="0A2299"/>
        </w:rPr>
        <w:t xml:space="preserve">STOCKHOLDERS' EQUITY AND MEMBERS' EQUITY </w:t>
      </w:r>
      <w:r>
        <w:rPr>
          <w:rFonts w:ascii="Arial" w:cs="Arial" w:eastAsia="Arial" w:hAnsi="Arial"/>
          <w:sz w:val="13"/>
          <w:szCs w:val="13"/>
          <w:b w:val="1"/>
          <w:bCs w:val="1"/>
          <w:color w:val="000000"/>
        </w:rPr>
        <w:t>Successor</w:t>
      </w:r>
    </w:p>
    <w:p>
      <w:pPr>
        <w:spacing w:after="0" w:line="1" w:lineRule="exact"/>
        <w:rPr>
          <w:sz w:val="20"/>
          <w:szCs w:val="20"/>
          <w:color w:val="auto"/>
        </w:rPr>
      </w:pPr>
    </w:p>
    <w:p>
      <w:pPr>
        <w:ind w:right="40"/>
        <w:spacing w:after="0" w:line="241" w:lineRule="auto"/>
        <w:rPr>
          <w:sz w:val="20"/>
          <w:szCs w:val="20"/>
          <w:color w:val="auto"/>
        </w:rPr>
      </w:pPr>
      <w:r>
        <w:rPr>
          <w:rFonts w:ascii="Arial" w:cs="Arial" w:eastAsia="Arial" w:hAnsi="Arial"/>
          <w:sz w:val="13"/>
          <w:szCs w:val="13"/>
          <w:color w:val="auto"/>
        </w:rPr>
        <w:t>In connection with the Company’s IPO in July 2020, the Company’s Board of Directors approved an amended and restated certificate of incorporation and amended and restated bylaws. The amended and restated certificate of incorporation authorizes the issuance of up to 1,100,000 shares of Class A common stock, 690,000 shares of Class B common stock and 20,000 shares of preferred stock, each having a par value of $0.0001 per share. The number of shares of Class B common stock authorized is reduced for redemptions and forfeitures as they occur.</w:t>
      </w:r>
    </w:p>
    <w:p>
      <w:pPr>
        <w:spacing w:after="0" w:line="165" w:lineRule="exact"/>
        <w:rPr>
          <w:sz w:val="20"/>
          <w:szCs w:val="20"/>
          <w:color w:val="auto"/>
        </w:rPr>
      </w:pPr>
    </w:p>
    <w:p>
      <w:pPr>
        <w:ind w:right="20"/>
        <w:spacing w:after="0" w:line="239" w:lineRule="auto"/>
        <w:rPr>
          <w:sz w:val="20"/>
          <w:szCs w:val="20"/>
          <w:color w:val="auto"/>
        </w:rPr>
      </w:pPr>
      <w:r>
        <w:rPr>
          <w:rFonts w:ascii="Arial" w:cs="Arial" w:eastAsia="Arial" w:hAnsi="Arial"/>
          <w:sz w:val="13"/>
          <w:szCs w:val="13"/>
          <w:color w:val="auto"/>
        </w:rPr>
        <w:t>The Company’s amended and restated certificate of incorporation and the GoHealth Holdings, LLC Agreement require that the Company and GoHealth Holdings, LLC at all times maintain a one-to-one ratio between the number of shares of Class A common stock issued by the Company and the number of LLC Interests owned by the Company, except as otherwise determined by the Company. Additionally, the Company’s amended and restated certificate of incorporation and the GoHealth Holdings, LLC Agreement require that the Company and GoHealth Holdings, LLC at all times maintain a one-to-one ratio between the number of shares of Class B common stock owned by the Continuing Equity Owners and their respective permitted transferees and the number of LLC Interests owned by the Continuing Equity Owners and their respective permitted transferees, except as otherwise determined by the Company. Only the Continuing Equity Owners and the permitted transferees of Class B common stock are permitted to hold shares of Class B common stock. Shares of Class B common stock are transferable for shares of Class A common stock only together with an equal number of LLC Interests.</w:t>
      </w:r>
    </w:p>
    <w:p>
      <w:pPr>
        <w:spacing w:after="0" w:line="167" w:lineRule="exact"/>
        <w:rPr>
          <w:sz w:val="20"/>
          <w:szCs w:val="20"/>
          <w:color w:val="auto"/>
        </w:rPr>
      </w:pPr>
    </w:p>
    <w:p>
      <w:pPr>
        <w:ind w:right="100"/>
        <w:spacing w:after="0" w:line="262" w:lineRule="auto"/>
        <w:rPr>
          <w:sz w:val="20"/>
          <w:szCs w:val="20"/>
          <w:color w:val="auto"/>
        </w:rPr>
      </w:pPr>
      <w:r>
        <w:rPr>
          <w:rFonts w:ascii="Arial" w:cs="Arial" w:eastAsia="Arial" w:hAnsi="Arial"/>
          <w:sz w:val="12"/>
          <w:szCs w:val="12"/>
          <w:color w:val="auto"/>
        </w:rPr>
        <w:t>Holders of shares of the Company’s Class A common stock are entitled to one vote for each share held of record on all matters submitted to a vote of stockholders. Each share of Class B common stock entitles its holders to one vote per share on all matters presented to the Company’s stockholders generally. Holders of shares of Class B common stock will vote together with holders of the Company’s Class A common stock as a single class on all matters presented to the Company’s stockholders for their vote or approval, except for certain amendments to the Company’s amended and restated certificate of incorporation or as otherwise required by applicable law or the amended and restated certificate of incorporation. Holders of our Class B common stock are not entitled to participate in any dividends declared by our board of directors. Under the terms of the Company’s amended and restated certificate of incorporation, the Company’s board of directors is authorized to direct the Company to issue shares of preferred stock in one or more series without stockholder approval. The Company’s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55" w:lineRule="exact"/>
        <w:rPr>
          <w:sz w:val="20"/>
          <w:szCs w:val="20"/>
          <w:color w:val="auto"/>
        </w:rPr>
      </w:pPr>
    </w:p>
    <w:p>
      <w:pPr>
        <w:ind w:right="40"/>
        <w:spacing w:after="0"/>
        <w:rPr>
          <w:sz w:val="20"/>
          <w:szCs w:val="20"/>
          <w:color w:val="auto"/>
        </w:rPr>
      </w:pPr>
      <w:r>
        <w:rPr>
          <w:rFonts w:ascii="Arial" w:cs="Arial" w:eastAsia="Arial" w:hAnsi="Arial"/>
          <w:sz w:val="13"/>
          <w:szCs w:val="13"/>
          <w:color w:val="auto"/>
        </w:rPr>
        <w:t>The Continuing Equity Owners may, subject to certain exceptions, from time to time at each of their options require GoHealth Holdings, LLC to redeem all or a portion of their LLC Interests in exchange for, at the Company’s election (determined by at least two of the Company’s independent directors who are disinterested), newly-issued shares of Class A common stock on a one-for-one basis, or to the extent there is cash available from a secondary offering, a cash payment equal to a volume weighted average market price of one share of the Company’s Class A common stock for each LLC Interest so redeemed, in each case, in accordance with the terms of the GoHealth Holdings, LLC Agreement.</w:t>
      </w:r>
    </w:p>
    <w:p>
      <w:pPr>
        <w:spacing w:after="0" w:line="166" w:lineRule="exact"/>
        <w:rPr>
          <w:sz w:val="20"/>
          <w:szCs w:val="20"/>
          <w:color w:val="auto"/>
        </w:rPr>
      </w:pPr>
    </w:p>
    <w:p>
      <w:pPr>
        <w:ind w:right="20"/>
        <w:spacing w:after="0"/>
        <w:rPr>
          <w:sz w:val="20"/>
          <w:szCs w:val="20"/>
          <w:color w:val="auto"/>
        </w:rPr>
      </w:pPr>
      <w:r>
        <w:rPr>
          <w:rFonts w:ascii="Arial" w:cs="Arial" w:eastAsia="Arial" w:hAnsi="Arial"/>
          <w:sz w:val="13"/>
          <w:szCs w:val="13"/>
          <w:color w:val="auto"/>
        </w:rPr>
        <w:t>Upon the Company’s dissolution or liquidation, after payment in full of all amounts required to be paid to creditors and to the holders of preferred stock having liquidation preferences, if any, holders of Class A common stock and Class B common stock will be entitled to receive ratable portions of the Company’s remaining assets available for distribution; provided, that the holders of Class B common stock shall not be entitled to receive more than $0.0001 per share of Class B common stock and upon receiving such amount, shall not be entitled to receive any of the Company’s other assets or funds with respect to such shares of Class B common stock.</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Predecessor</w:t>
      </w:r>
    </w:p>
    <w:p>
      <w:pPr>
        <w:spacing w:after="0" w:line="185" w:lineRule="exact"/>
        <w:rPr>
          <w:sz w:val="20"/>
          <w:szCs w:val="20"/>
          <w:color w:val="auto"/>
        </w:rPr>
      </w:pPr>
    </w:p>
    <w:p>
      <w:pPr>
        <w:ind w:right="180"/>
        <w:spacing w:after="0" w:line="239" w:lineRule="auto"/>
        <w:rPr>
          <w:sz w:val="20"/>
          <w:szCs w:val="20"/>
          <w:color w:val="auto"/>
        </w:rPr>
      </w:pPr>
      <w:r>
        <w:rPr>
          <w:rFonts w:ascii="Arial" w:cs="Arial" w:eastAsia="Arial" w:hAnsi="Arial"/>
          <w:sz w:val="13"/>
          <w:szCs w:val="13"/>
          <w:color w:val="auto"/>
        </w:rPr>
        <w:t>The Norvax operating agreement (“Norvax Operating Agreement”) provided for classes of units, allocation of profits and losses, distribution rights, and other member rights. The Norvax Operating Agreement allowed for equity units (Class A units and Class B units) and profits interests units (Class C units). Class A and Class B units had voting rights. Except for board of manager composition, any action taken by the Class A and Class B members required a majority of members holding the outstanding Class A and Class B units, voting together as a single class. Class C units were nonvoting and represented profit interests’ units and entailed no initial capital contribution. Members were limited in their liability to their capital contributions. Immediately prior to the Acquisition, all Class B units converted to Class A units.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84</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85" w:right="319" w:bottom="1440" w:gutter="0" w:footer="0" w:header="0"/>
        </w:sectPr>
      </w:pPr>
    </w:p>
    <w:bookmarkStart w:id="87" w:name="page88"/>
    <w:bookmarkEnd w:id="87"/>
    <w:p>
      <w:pPr>
        <w:spacing w:after="0"/>
        <w:rPr>
          <w:sz w:val="20"/>
          <w:szCs w:val="20"/>
          <w:color w:val="auto"/>
        </w:rPr>
      </w:pPr>
      <w:r>
        <w:rPr>
          <w:rFonts w:ascii="Arial" w:cs="Arial" w:eastAsia="Arial" w:hAnsi="Arial"/>
          <w:sz w:val="13"/>
          <w:szCs w:val="13"/>
          <w:i w:val="1"/>
          <w:iCs w:val="1"/>
          <w:color w:val="auto"/>
        </w:rPr>
        <w:t>Distribution Rights</w:t>
      </w:r>
    </w:p>
    <w:p>
      <w:pPr>
        <w:spacing w:after="0" w:line="181" w:lineRule="exact"/>
        <w:rPr>
          <w:sz w:val="20"/>
          <w:szCs w:val="20"/>
          <w:color w:val="auto"/>
        </w:rPr>
      </w:pPr>
    </w:p>
    <w:p>
      <w:pPr>
        <w:jc w:val="both"/>
        <w:ind w:right="200"/>
        <w:spacing w:after="0" w:line="241" w:lineRule="auto"/>
        <w:rPr>
          <w:sz w:val="20"/>
          <w:szCs w:val="20"/>
          <w:color w:val="auto"/>
        </w:rPr>
      </w:pPr>
      <w:r>
        <w:rPr>
          <w:rFonts w:ascii="Arial" w:cs="Arial" w:eastAsia="Arial" w:hAnsi="Arial"/>
          <w:sz w:val="13"/>
          <w:szCs w:val="13"/>
          <w:color w:val="auto"/>
        </w:rPr>
        <w:t>Class A and Class B unit holders were entitled to distributions on a pro-rata basis, as approved by the board of managers. To the extent that Norvax had available cash, it distributed to each Class A and Class B unit holder a tax distribution in an amount equal to the product of the aggregate total of all taxable income allocable to the members multiplied by the tax rate. The tax rate is 45% as set forth in the Norvax Operating Agreement.</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Voting Rights</w:t>
      </w:r>
    </w:p>
    <w:p>
      <w:pPr>
        <w:spacing w:after="0" w:line="181" w:lineRule="exact"/>
        <w:rPr>
          <w:sz w:val="20"/>
          <w:szCs w:val="20"/>
          <w:color w:val="auto"/>
        </w:rPr>
      </w:pPr>
    </w:p>
    <w:p>
      <w:pPr>
        <w:ind w:right="40"/>
        <w:spacing w:after="0" w:line="244" w:lineRule="auto"/>
        <w:rPr>
          <w:sz w:val="20"/>
          <w:szCs w:val="20"/>
          <w:color w:val="auto"/>
        </w:rPr>
      </w:pPr>
      <w:r>
        <w:rPr>
          <w:rFonts w:ascii="Arial" w:cs="Arial" w:eastAsia="Arial" w:hAnsi="Arial"/>
          <w:sz w:val="13"/>
          <w:szCs w:val="13"/>
          <w:color w:val="auto"/>
        </w:rPr>
        <w:t>Each Class A and Class B unit had equal voting rights and preferences, except Norwest Equity partners (“NEP”) was granted authority to approve certain actions. The Class A and Class B unit holders also elected the members of the board of managers of Norvax.</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Anti-dilution Rights</w:t>
      </w:r>
    </w:p>
    <w:p>
      <w:pPr>
        <w:spacing w:after="0" w:line="181" w:lineRule="exact"/>
        <w:rPr>
          <w:sz w:val="20"/>
          <w:szCs w:val="20"/>
          <w:color w:val="auto"/>
        </w:rPr>
      </w:pPr>
    </w:p>
    <w:p>
      <w:pPr>
        <w:ind w:right="80"/>
        <w:spacing w:after="0" w:line="241" w:lineRule="auto"/>
        <w:rPr>
          <w:sz w:val="20"/>
          <w:szCs w:val="20"/>
          <w:color w:val="auto"/>
        </w:rPr>
      </w:pPr>
      <w:r>
        <w:rPr>
          <w:rFonts w:ascii="Arial" w:cs="Arial" w:eastAsia="Arial" w:hAnsi="Arial"/>
          <w:sz w:val="13"/>
          <w:szCs w:val="13"/>
          <w:color w:val="auto"/>
        </w:rPr>
        <w:t>Class B units contained an anti-dilution feature that required an adjustment to the conversion ratio in the event of subsequent issuances of securities by Norvax at a price below the conversion price in effect immediately prior to each such issuance. The Class B conversion ratio could be adjusted in the event that grants of options or changes in option prices or conversion rates on convertible securities resulted in prices below the conversion price in effect immediately prior to each such grant or change.</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Liquidation Preference</w:t>
      </w:r>
    </w:p>
    <w:p>
      <w:pPr>
        <w:spacing w:after="0" w:line="181" w:lineRule="exact"/>
        <w:rPr>
          <w:sz w:val="20"/>
          <w:szCs w:val="20"/>
          <w:color w:val="auto"/>
        </w:rPr>
      </w:pPr>
    </w:p>
    <w:p>
      <w:pPr>
        <w:ind w:right="100"/>
        <w:spacing w:after="0" w:line="241" w:lineRule="auto"/>
        <w:rPr>
          <w:sz w:val="20"/>
          <w:szCs w:val="20"/>
          <w:color w:val="auto"/>
        </w:rPr>
      </w:pPr>
      <w:r>
        <w:rPr>
          <w:rFonts w:ascii="Arial" w:cs="Arial" w:eastAsia="Arial" w:hAnsi="Arial"/>
          <w:sz w:val="13"/>
          <w:szCs w:val="13"/>
          <w:color w:val="auto"/>
        </w:rPr>
        <w:t>Upon a liquidity event defined as: (a) sale or disposition of all or substantially all of the assets of Norvax; (b) the liquidation, dissolution or winding up of Norvax; or (c) any consolidation or merger of Norvax in which the Class A and Class B unit holders owned less than 50% of the voting power of the outstanding securities immediately after the consolidation or merger, the Class B units are first to be paid proceeds at a liquidation amount of $10.00 per unit, and from time to time, was decreased by subtracting distributions (other than tax distributions) made in respect of Class B units.</w:t>
      </w:r>
    </w:p>
    <w:p>
      <w:pPr>
        <w:spacing w:after="0" w:line="165" w:lineRule="exact"/>
        <w:rPr>
          <w:sz w:val="20"/>
          <w:szCs w:val="20"/>
          <w:color w:val="auto"/>
        </w:rPr>
      </w:pPr>
    </w:p>
    <w:p>
      <w:pPr>
        <w:ind w:right="60"/>
        <w:spacing w:after="0"/>
        <w:rPr>
          <w:sz w:val="20"/>
          <w:szCs w:val="20"/>
          <w:color w:val="auto"/>
        </w:rPr>
      </w:pPr>
      <w:r>
        <w:rPr>
          <w:rFonts w:ascii="Arial" w:cs="Arial" w:eastAsia="Arial" w:hAnsi="Arial"/>
          <w:sz w:val="13"/>
          <w:szCs w:val="13"/>
          <w:color w:val="auto"/>
        </w:rPr>
        <w:t>Upon the occurrence of a Dissolution Event, Norvax continued solely for the purposes of winding up its affairs in an orderly manner, liquidating its assets, and satisfying the claims of its creditors and members. A Dissolution Event is an event by the order of a court pursuant to Section 18-802 of the Delaware Code or by action of the members with NEP’s approval. Net income, net losses, and other items of Norvax’s income, gain, loss, or deduction was to continue to be allocated in the manner provided in the Norvax Operating Agreement. In a Dissolution Event, Class B units received the liquidation preference specified above.</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Involuntary Transfer Rights</w:t>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color w:val="auto"/>
        </w:rPr>
        <w:t>Upon any involuntary transfer, Norvax had the first option, and the purchase option unit holders had the subsequent options, to purchase all or any portion of the units subject to the involuntary transfer.</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Right of First Refusal</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color w:val="auto"/>
        </w:rPr>
        <w:t>A unit holder could transfer, sell, or assign any Class A or Class B units in a permitted transfer, given that Norvax first had the option to purchase the units being transferred.</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Class B Put Option</w:t>
      </w:r>
    </w:p>
    <w:p>
      <w:pPr>
        <w:spacing w:after="0" w:line="181" w:lineRule="exact"/>
        <w:rPr>
          <w:sz w:val="20"/>
          <w:szCs w:val="20"/>
          <w:color w:val="auto"/>
        </w:rPr>
      </w:pPr>
    </w:p>
    <w:p>
      <w:pPr>
        <w:ind w:right="120"/>
        <w:spacing w:after="0" w:line="244" w:lineRule="auto"/>
        <w:rPr>
          <w:sz w:val="20"/>
          <w:szCs w:val="20"/>
          <w:color w:val="auto"/>
        </w:rPr>
      </w:pPr>
      <w:r>
        <w:rPr>
          <w:rFonts w:ascii="Arial" w:cs="Arial" w:eastAsia="Arial" w:hAnsi="Arial"/>
          <w:sz w:val="13"/>
          <w:szCs w:val="13"/>
          <w:color w:val="auto"/>
        </w:rPr>
        <w:t>Class B units are classified as temporary equity as they were redeemable upon exercise of the Class B put option, which was outside of Norvax’s control, for cash at a put price equal to the greater of the Class B unit fair value or their original cost. Because the Class B units were redeemable, the Company was accreting the change up to the maximum redemption amount.</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Immediately prior to the Acquisition, Norvax adjusted NEP’s Redeemable Class B units to their full redemption amounts and were then converted to Class A units.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0A2299"/>
        </w:rPr>
        <w:t>7. SHARE-BASED COMPENSATION PLANS</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share-based compensation expense by operating function for the periods presented:</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85</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49"/>
        </w:trPr>
        <w:tc>
          <w:tcPr>
            <w:tcW w:w="44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1"/>
                <w:szCs w:val="11"/>
                <w:b w:val="1"/>
                <w:bCs w:val="1"/>
                <w:color w:val="auto"/>
              </w:rPr>
              <w:t>Successor</w:t>
            </w:r>
          </w:p>
        </w:tc>
        <w:tc>
          <w:tcPr>
            <w:tcW w:w="1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center"/>
              <w:ind w:right="43"/>
              <w:spacing w:after="0"/>
              <w:rPr>
                <w:sz w:val="20"/>
                <w:szCs w:val="20"/>
                <w:color w:val="auto"/>
              </w:rPr>
            </w:pPr>
            <w:r>
              <w:rPr>
                <w:rFonts w:ascii="Arial" w:cs="Arial" w:eastAsia="Arial" w:hAnsi="Arial"/>
                <w:sz w:val="11"/>
                <w:szCs w:val="11"/>
                <w:b w:val="1"/>
                <w:bCs w:val="1"/>
                <w:color w:val="auto"/>
              </w:rPr>
              <w:t>Predecessor</w:t>
            </w:r>
          </w:p>
        </w:tc>
        <w:tc>
          <w:tcPr>
            <w:tcW w:w="0" w:type="dxa"/>
            <w:vAlign w:val="bottom"/>
          </w:tcPr>
          <w:p>
            <w:pPr>
              <w:spacing w:after="0"/>
              <w:rPr>
                <w:sz w:val="1"/>
                <w:szCs w:val="1"/>
                <w:color w:val="auto"/>
              </w:rPr>
            </w:pPr>
          </w:p>
        </w:tc>
      </w:tr>
      <w:tr>
        <w:trPr>
          <w:trHeight w:val="107"/>
        </w:trPr>
        <w:tc>
          <w:tcPr>
            <w:tcW w:w="4440" w:type="dxa"/>
            <w:vAlign w:val="bottom"/>
            <w:vMerge w:val="restart"/>
          </w:tcPr>
          <w:p>
            <w:pPr>
              <w:ind w:left="20"/>
              <w:spacing w:after="0"/>
              <w:rPr>
                <w:sz w:val="20"/>
                <w:szCs w:val="20"/>
                <w:color w:val="auto"/>
              </w:rPr>
            </w:pPr>
            <w:r>
              <w:rPr>
                <w:rFonts w:ascii="Arial" w:cs="Arial" w:eastAsia="Arial" w:hAnsi="Arial"/>
                <w:sz w:val="11"/>
                <w:szCs w:val="11"/>
                <w:color w:val="auto"/>
              </w:rPr>
              <w:t>(in thousands)</w:t>
            </w:r>
          </w:p>
        </w:tc>
        <w:tc>
          <w:tcPr>
            <w:tcW w:w="80" w:type="dxa"/>
            <w:vAlign w:val="bottom"/>
          </w:tcPr>
          <w:p>
            <w:pPr>
              <w:spacing w:after="0"/>
              <w:rPr>
                <w:sz w:val="9"/>
                <w:szCs w:val="9"/>
                <w:color w:val="auto"/>
              </w:rPr>
            </w:pPr>
          </w:p>
        </w:tc>
        <w:tc>
          <w:tcPr>
            <w:tcW w:w="1620" w:type="dxa"/>
            <w:vAlign w:val="bottom"/>
            <w:gridSpan w:val="2"/>
          </w:tcPr>
          <w:p>
            <w:pPr>
              <w:ind w:left="20"/>
              <w:spacing w:after="0" w:line="107" w:lineRule="exact"/>
              <w:rPr>
                <w:sz w:val="20"/>
                <w:szCs w:val="20"/>
                <w:color w:val="auto"/>
              </w:rPr>
            </w:pPr>
            <w:r>
              <w:rPr>
                <w:rFonts w:ascii="Arial" w:cs="Arial" w:eastAsia="Arial" w:hAnsi="Arial"/>
                <w:sz w:val="11"/>
                <w:szCs w:val="11"/>
                <w:b w:val="1"/>
                <w:bCs w:val="1"/>
                <w:color w:val="auto"/>
              </w:rPr>
              <w:t>Twelve months ended Dec.</w:t>
            </w:r>
          </w:p>
        </w:tc>
        <w:tc>
          <w:tcPr>
            <w:tcW w:w="1800" w:type="dxa"/>
            <w:vAlign w:val="bottom"/>
            <w:gridSpan w:val="3"/>
          </w:tcPr>
          <w:p>
            <w:pPr>
              <w:jc w:val="center"/>
              <w:ind w:right="80"/>
              <w:spacing w:after="0" w:line="107" w:lineRule="exact"/>
              <w:rPr>
                <w:sz w:val="20"/>
                <w:szCs w:val="20"/>
                <w:color w:val="auto"/>
              </w:rPr>
            </w:pPr>
            <w:r>
              <w:rPr>
                <w:rFonts w:ascii="Arial" w:cs="Arial" w:eastAsia="Arial" w:hAnsi="Arial"/>
                <w:sz w:val="11"/>
                <w:szCs w:val="11"/>
                <w:b w:val="1"/>
                <w:bCs w:val="1"/>
                <w:color w:val="auto"/>
              </w:rPr>
              <w:t>Twelve months ended Dec. 31,</w:t>
            </w:r>
          </w:p>
        </w:tc>
        <w:tc>
          <w:tcPr>
            <w:tcW w:w="100" w:type="dxa"/>
            <w:vAlign w:val="bottom"/>
          </w:tcPr>
          <w:p>
            <w:pPr>
              <w:spacing w:after="0"/>
              <w:rPr>
                <w:sz w:val="9"/>
                <w:szCs w:val="9"/>
                <w:color w:val="auto"/>
              </w:rPr>
            </w:pPr>
          </w:p>
        </w:tc>
        <w:tc>
          <w:tcPr>
            <w:tcW w:w="1620" w:type="dxa"/>
            <w:vAlign w:val="bottom"/>
            <w:tcBorders>
              <w:right w:val="single" w:sz="8" w:color="auto"/>
            </w:tcBorders>
            <w:gridSpan w:val="2"/>
          </w:tcPr>
          <w:p>
            <w:pPr>
              <w:jc w:val="center"/>
              <w:ind w:right="200"/>
              <w:spacing w:after="0" w:line="107" w:lineRule="exact"/>
              <w:rPr>
                <w:sz w:val="20"/>
                <w:szCs w:val="20"/>
                <w:color w:val="auto"/>
              </w:rPr>
            </w:pPr>
            <w:r>
              <w:rPr>
                <w:rFonts w:ascii="Arial" w:cs="Arial" w:eastAsia="Arial" w:hAnsi="Arial"/>
                <w:sz w:val="11"/>
                <w:szCs w:val="11"/>
                <w:b w:val="1"/>
                <w:bCs w:val="1"/>
                <w:color w:val="auto"/>
              </w:rPr>
              <w:t>Period from Sep. 13, 2019</w:t>
            </w:r>
          </w:p>
        </w:tc>
        <w:tc>
          <w:tcPr>
            <w:tcW w:w="120" w:type="dxa"/>
            <w:vAlign w:val="bottom"/>
          </w:tcPr>
          <w:p>
            <w:pPr>
              <w:spacing w:after="0"/>
              <w:rPr>
                <w:sz w:val="9"/>
                <w:szCs w:val="9"/>
                <w:color w:val="auto"/>
              </w:rPr>
            </w:pPr>
          </w:p>
        </w:tc>
        <w:tc>
          <w:tcPr>
            <w:tcW w:w="1500" w:type="dxa"/>
            <w:vAlign w:val="bottom"/>
          </w:tcPr>
          <w:p>
            <w:pPr>
              <w:jc w:val="center"/>
              <w:ind w:right="63"/>
              <w:spacing w:after="0" w:line="107" w:lineRule="exact"/>
              <w:rPr>
                <w:sz w:val="20"/>
                <w:szCs w:val="20"/>
                <w:color w:val="auto"/>
              </w:rPr>
            </w:pPr>
            <w:r>
              <w:rPr>
                <w:rFonts w:ascii="Arial" w:cs="Arial" w:eastAsia="Arial" w:hAnsi="Arial"/>
                <w:sz w:val="11"/>
                <w:szCs w:val="11"/>
                <w:b w:val="1"/>
                <w:bCs w:val="1"/>
                <w:color w:val="auto"/>
              </w:rPr>
              <w:t>Period from Jan. 1, 2019</w:t>
            </w:r>
          </w:p>
        </w:tc>
        <w:tc>
          <w:tcPr>
            <w:tcW w:w="0" w:type="dxa"/>
            <w:vAlign w:val="bottom"/>
          </w:tcPr>
          <w:p>
            <w:pPr>
              <w:spacing w:after="0"/>
              <w:rPr>
                <w:sz w:val="1"/>
                <w:szCs w:val="1"/>
                <w:color w:val="auto"/>
              </w:rPr>
            </w:pPr>
          </w:p>
        </w:tc>
      </w:tr>
      <w:tr>
        <w:trPr>
          <w:trHeight w:val="138"/>
        </w:trPr>
        <w:tc>
          <w:tcPr>
            <w:tcW w:w="44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Pr>
          <w:p>
            <w:pPr>
              <w:jc w:val="right"/>
              <w:ind w:right="523"/>
              <w:spacing w:after="0"/>
              <w:rPr>
                <w:sz w:val="20"/>
                <w:szCs w:val="20"/>
                <w:color w:val="auto"/>
              </w:rPr>
            </w:pPr>
            <w:r>
              <w:rPr>
                <w:rFonts w:ascii="Arial" w:cs="Arial" w:eastAsia="Arial" w:hAnsi="Arial"/>
                <w:sz w:val="11"/>
                <w:szCs w:val="11"/>
                <w:b w:val="1"/>
                <w:bCs w:val="1"/>
                <w:color w:val="auto"/>
              </w:rPr>
              <w:t>31, 2021</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60" w:type="dxa"/>
            <w:vAlign w:val="bottom"/>
          </w:tcPr>
          <w:p>
            <w:pPr>
              <w:jc w:val="center"/>
              <w:ind w:right="263"/>
              <w:spacing w:after="0"/>
              <w:rPr>
                <w:sz w:val="20"/>
                <w:szCs w:val="20"/>
                <w:color w:val="auto"/>
              </w:rPr>
            </w:pPr>
            <w:r>
              <w:rPr>
                <w:rFonts w:ascii="Arial" w:cs="Arial" w:eastAsia="Arial" w:hAnsi="Arial"/>
                <w:sz w:val="11"/>
                <w:szCs w:val="11"/>
                <w:b w:val="1"/>
                <w:bCs w:val="1"/>
                <w:color w:val="auto"/>
                <w:w w:val="97"/>
              </w:rPr>
              <w:t>2020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rPr>
              <w:t>through Dec. 31, 2019</w:t>
            </w:r>
          </w:p>
        </w:tc>
        <w:tc>
          <w:tcPr>
            <w:tcW w:w="120" w:type="dxa"/>
            <w:vAlign w:val="bottom"/>
          </w:tcPr>
          <w:p>
            <w:pPr>
              <w:spacing w:after="0"/>
              <w:rPr>
                <w:sz w:val="11"/>
                <w:szCs w:val="11"/>
                <w:color w:val="auto"/>
              </w:rPr>
            </w:pPr>
          </w:p>
        </w:tc>
        <w:tc>
          <w:tcPr>
            <w:tcW w:w="1500" w:type="dxa"/>
            <w:vAlign w:val="bottom"/>
          </w:tcPr>
          <w:p>
            <w:pPr>
              <w:jc w:val="center"/>
              <w:ind w:right="63"/>
              <w:spacing w:after="0"/>
              <w:rPr>
                <w:sz w:val="20"/>
                <w:szCs w:val="20"/>
                <w:color w:val="auto"/>
              </w:rPr>
            </w:pPr>
            <w:r>
              <w:rPr>
                <w:rFonts w:ascii="Arial" w:cs="Arial" w:eastAsia="Arial" w:hAnsi="Arial"/>
                <w:sz w:val="11"/>
                <w:szCs w:val="11"/>
                <w:b w:val="1"/>
                <w:bCs w:val="1"/>
                <w:color w:val="auto"/>
              </w:rPr>
              <w:t>through Sep. 12, 2019</w:t>
            </w:r>
          </w:p>
        </w:tc>
        <w:tc>
          <w:tcPr>
            <w:tcW w:w="0" w:type="dxa"/>
            <w:vAlign w:val="bottom"/>
          </w:tcPr>
          <w:p>
            <w:pPr>
              <w:spacing w:after="0"/>
              <w:rPr>
                <w:sz w:val="1"/>
                <w:szCs w:val="1"/>
                <w:color w:val="auto"/>
              </w:rPr>
            </w:pPr>
          </w:p>
        </w:tc>
      </w:tr>
      <w:tr>
        <w:trPr>
          <w:trHeight w:val="139"/>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Marketing and advertising</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2,108</w:t>
            </w:r>
          </w:p>
        </w:tc>
        <w:tc>
          <w:tcPr>
            <w:tcW w:w="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03"/>
              <w:spacing w:after="0"/>
              <w:rPr>
                <w:sz w:val="20"/>
                <w:szCs w:val="20"/>
                <w:color w:val="auto"/>
              </w:rPr>
            </w:pPr>
            <w:r>
              <w:rPr>
                <w:rFonts w:ascii="Arial" w:cs="Arial" w:eastAsia="Arial" w:hAnsi="Arial"/>
                <w:sz w:val="11"/>
                <w:szCs w:val="11"/>
                <w:color w:val="auto"/>
                <w:w w:val="97"/>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24,890</w:t>
            </w:r>
          </w:p>
        </w:tc>
        <w:tc>
          <w:tcPr>
            <w:tcW w:w="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53</w:t>
            </w:r>
          </w:p>
        </w:tc>
        <w:tc>
          <w:tcPr>
            <w:tcW w:w="100" w:type="dxa"/>
            <w:vAlign w:val="bottom"/>
            <w:tcBorders>
              <w:top w:val="single" w:sz="8" w:color="CCEEFF"/>
              <w:right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1,674</w:t>
            </w:r>
          </w:p>
        </w:tc>
        <w:tc>
          <w:tcPr>
            <w:tcW w:w="0" w:type="dxa"/>
            <w:vAlign w:val="bottom"/>
          </w:tcPr>
          <w:p>
            <w:pPr>
              <w:spacing w:after="0"/>
              <w:rPr>
                <w:sz w:val="1"/>
                <w:szCs w:val="1"/>
                <w:color w:val="auto"/>
              </w:rPr>
            </w:pPr>
          </w:p>
        </w:tc>
      </w:tr>
      <w:tr>
        <w:trPr>
          <w:trHeight w:val="149"/>
        </w:trPr>
        <w:tc>
          <w:tcPr>
            <w:tcW w:w="4440" w:type="dxa"/>
            <w:vAlign w:val="bottom"/>
          </w:tcPr>
          <w:p>
            <w:pPr>
              <w:ind w:left="20"/>
              <w:spacing w:after="0"/>
              <w:rPr>
                <w:sz w:val="20"/>
                <w:szCs w:val="20"/>
                <w:color w:val="auto"/>
              </w:rPr>
            </w:pPr>
            <w:r>
              <w:rPr>
                <w:rFonts w:ascii="Arial" w:cs="Arial" w:eastAsia="Arial" w:hAnsi="Arial"/>
                <w:sz w:val="11"/>
                <w:szCs w:val="11"/>
                <w:color w:val="auto"/>
              </w:rPr>
              <w:t>Customer care and enrollment</w:t>
            </w:r>
          </w:p>
        </w:tc>
        <w:tc>
          <w:tcPr>
            <w:tcW w:w="8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3,775</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12,599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1"/>
                <w:szCs w:val="11"/>
                <w:color w:val="auto"/>
              </w:rPr>
              <w:t>20</w:t>
            </w: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Technology</w:t>
            </w:r>
          </w:p>
        </w:tc>
        <w:tc>
          <w:tcPr>
            <w:tcW w:w="80" w:type="dxa"/>
            <w:vAlign w:val="bottom"/>
            <w:shd w:val="clear" w:color="auto" w:fill="CCEEFF"/>
          </w:tcPr>
          <w:p>
            <w:pPr>
              <w:spacing w:after="0"/>
              <w:rPr>
                <w:sz w:val="12"/>
                <w:szCs w:val="1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3,775</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33,085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w:t>
            </w: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27,059</w:t>
            </w:r>
          </w:p>
        </w:tc>
        <w:tc>
          <w:tcPr>
            <w:tcW w:w="0" w:type="dxa"/>
            <w:vAlign w:val="bottom"/>
          </w:tcPr>
          <w:p>
            <w:pPr>
              <w:spacing w:after="0"/>
              <w:rPr>
                <w:sz w:val="1"/>
                <w:szCs w:val="1"/>
                <w:color w:val="auto"/>
              </w:rPr>
            </w:pPr>
          </w:p>
        </w:tc>
      </w:tr>
      <w:tr>
        <w:trPr>
          <w:trHeight w:val="149"/>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General and administrative</w:t>
            </w:r>
          </w:p>
        </w:tc>
        <w:tc>
          <w:tcPr>
            <w:tcW w:w="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17,639</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145,655</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309</w:t>
            </w:r>
          </w:p>
        </w:tc>
        <w:tc>
          <w:tcPr>
            <w:tcW w:w="100" w:type="dxa"/>
            <w:vAlign w:val="bottom"/>
            <w:tcBorders>
              <w:bottom w:val="single" w:sz="8" w:color="CCEEFF"/>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58,327</w:t>
            </w:r>
          </w:p>
        </w:tc>
        <w:tc>
          <w:tcPr>
            <w:tcW w:w="0" w:type="dxa"/>
            <w:vAlign w:val="bottom"/>
          </w:tcPr>
          <w:p>
            <w:pPr>
              <w:spacing w:after="0"/>
              <w:rPr>
                <w:sz w:val="1"/>
                <w:szCs w:val="1"/>
                <w:color w:val="auto"/>
              </w:rPr>
            </w:pPr>
          </w:p>
        </w:tc>
      </w:tr>
      <w:tr>
        <w:trPr>
          <w:trHeight w:val="164"/>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share-based compensation expense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27,297</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1"/>
                <w:szCs w:val="11"/>
                <w:b w:val="1"/>
                <w:bCs w:val="1"/>
                <w:color w:val="auto"/>
                <w:w w:val="97"/>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216,229</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448</w:t>
            </w:r>
          </w:p>
        </w:tc>
        <w:tc>
          <w:tcPr>
            <w:tcW w:w="100" w:type="dxa"/>
            <w:vAlign w:val="bottom"/>
            <w:tcBorders>
              <w:bottom w:val="single" w:sz="8" w:color="CCEEFF"/>
              <w:right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87,060</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Successor</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Profit Units</w:t>
      </w:r>
    </w:p>
    <w:p>
      <w:pPr>
        <w:spacing w:after="0" w:line="181" w:lineRule="exact"/>
        <w:rPr>
          <w:sz w:val="20"/>
          <w:szCs w:val="20"/>
          <w:color w:val="auto"/>
        </w:rPr>
      </w:pPr>
    </w:p>
    <w:p>
      <w:pPr>
        <w:ind w:right="60"/>
        <w:spacing w:after="0" w:line="239" w:lineRule="auto"/>
        <w:rPr>
          <w:sz w:val="20"/>
          <w:szCs w:val="20"/>
          <w:color w:val="auto"/>
        </w:rPr>
      </w:pPr>
      <w:r>
        <w:rPr>
          <w:rFonts w:ascii="Arial" w:cs="Arial" w:eastAsia="Arial" w:hAnsi="Arial"/>
          <w:sz w:val="13"/>
          <w:szCs w:val="13"/>
          <w:color w:val="auto"/>
        </w:rPr>
        <w:t>Effective September 13, 2019 and in conjunction with the Acquisition, the Company authorized the grants of non-voting Profit Units. The Profit Units were issued by Blizzard Management Feeder, LLC (“Feeder”), to employees on behalf of the Company. One-third of the Profit Units granted to each employee will vest in 5 equal installments on the first through fifth anniversaries of the date of grant, so long as the employee remains employed by the Company through the applicable vesting date (“Time-Vesting Units”). Two-thirds of the Profit Units granted to each individual were to vest upon a liquidity event based on certain predetermined criteria (“Performance-Vesting Units”). Following the completion of the Transactions, each of the members of Feeder directly holds common units of Feeder that correspond to the LLC Interests (and associated shares of Class B common stock on a one-for-one basis) directly held by Feeder for each such member’s benefit.</w:t>
      </w:r>
    </w:p>
    <w:p>
      <w:pPr>
        <w:spacing w:after="0" w:line="168" w:lineRule="exact"/>
        <w:rPr>
          <w:sz w:val="20"/>
          <w:szCs w:val="20"/>
          <w:color w:val="auto"/>
        </w:rPr>
      </w:pPr>
    </w:p>
    <w:p>
      <w:pPr>
        <w:ind w:right="80"/>
        <w:spacing w:after="0"/>
        <w:rPr>
          <w:sz w:val="20"/>
          <w:szCs w:val="20"/>
          <w:color w:val="auto"/>
        </w:rPr>
      </w:pPr>
      <w:r>
        <w:rPr>
          <w:rFonts w:ascii="Arial" w:cs="Arial" w:eastAsia="Arial" w:hAnsi="Arial"/>
          <w:sz w:val="13"/>
          <w:szCs w:val="13"/>
          <w:color w:val="auto"/>
        </w:rPr>
        <w:t>Compensation expense for the Time-Vesting Units is recognized on a straight-line basis over the five-year requisite service period beginning on the grant date and will continue subsequent to the IPO. Performance-Vesting Units contain market conditions and an implied performance condition, which results in compensation cost being recognized when the performance condition is considered probable of being satisfied. Performance-Vesting Units vest upon the achievement of a contingent exit event that is defined as a transaction in which the ultimate parent disposes of all or substantially all of its investment in the Company. Such an exit event is not considered probable until it consummates.</w:t>
      </w:r>
    </w:p>
    <w:p>
      <w:pPr>
        <w:spacing w:after="0" w:line="166" w:lineRule="exact"/>
        <w:rPr>
          <w:sz w:val="20"/>
          <w:szCs w:val="20"/>
          <w:color w:val="auto"/>
        </w:rPr>
      </w:pPr>
    </w:p>
    <w:p>
      <w:pPr>
        <w:ind w:right="120"/>
        <w:spacing w:after="0"/>
        <w:rPr>
          <w:sz w:val="20"/>
          <w:szCs w:val="20"/>
          <w:color w:val="auto"/>
        </w:rPr>
      </w:pPr>
      <w:r>
        <w:rPr>
          <w:rFonts w:ascii="Arial" w:cs="Arial" w:eastAsia="Arial" w:hAnsi="Arial"/>
          <w:sz w:val="13"/>
          <w:szCs w:val="13"/>
          <w:color w:val="auto"/>
        </w:rPr>
        <w:t>In June 2020, the Company modified the terms of the Performance-Vesting Units such that the performance targets were measured against the public offering price of the IPO, which resulted in a modification and remeasurement of the Performance-Vesting Units. The completion of the IPO in July 2020 satisfied the implied performance condition and triggered an accelerated vesting of all Performance-Vesting Units, which are now issued and outstanding as of the IPO. The Company recorded the related share-based compensation expense of $209.3 million in the third quarter of 2020 with a corresponding increase to non-controlling interests.</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A summary of the Profit Units issued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900" w:type="dxa"/>
            <w:vAlign w:val="bottom"/>
            <w:vMerge w:val="restart"/>
          </w:tcPr>
          <w:p>
            <w:pPr>
              <w:ind w:left="20"/>
              <w:spacing w:after="0"/>
              <w:rPr>
                <w:sz w:val="20"/>
                <w:szCs w:val="20"/>
                <w:color w:val="auto"/>
              </w:rPr>
            </w:pPr>
            <w:r>
              <w:rPr>
                <w:rFonts w:ascii="Arial" w:cs="Arial" w:eastAsia="Arial" w:hAnsi="Arial"/>
                <w:sz w:val="11"/>
                <w:szCs w:val="11"/>
                <w:color w:val="auto"/>
              </w:rPr>
              <w:t>(in thousands except per share amounts)</w:t>
            </w:r>
          </w:p>
        </w:tc>
        <w:tc>
          <w:tcPr>
            <w:tcW w:w="17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Number of Time-Vesting Units</w:t>
            </w:r>
          </w:p>
        </w:tc>
        <w:tc>
          <w:tcPr>
            <w:tcW w:w="1640" w:type="dxa"/>
            <w:vAlign w:val="bottom"/>
            <w:gridSpan w:val="2"/>
          </w:tcPr>
          <w:p>
            <w:pPr>
              <w:ind w:left="20"/>
              <w:spacing w:after="0"/>
              <w:rPr>
                <w:sz w:val="20"/>
                <w:szCs w:val="20"/>
                <w:color w:val="auto"/>
              </w:rPr>
            </w:pPr>
            <w:r>
              <w:rPr>
                <w:rFonts w:ascii="Arial" w:cs="Arial" w:eastAsia="Arial" w:hAnsi="Arial"/>
                <w:sz w:val="11"/>
                <w:szCs w:val="11"/>
                <w:b w:val="1"/>
                <w:bCs w:val="1"/>
                <w:color w:val="auto"/>
              </w:rPr>
              <w:t>Weighted Average Grant Date</w:t>
            </w:r>
          </w:p>
        </w:tc>
        <w:tc>
          <w:tcPr>
            <w:tcW w:w="0" w:type="dxa"/>
            <w:vAlign w:val="bottom"/>
          </w:tcPr>
          <w:p>
            <w:pPr>
              <w:spacing w:after="0"/>
              <w:rPr>
                <w:sz w:val="1"/>
                <w:szCs w:val="1"/>
                <w:color w:val="auto"/>
              </w:rPr>
            </w:pPr>
          </w:p>
        </w:tc>
      </w:tr>
      <w:tr>
        <w:trPr>
          <w:trHeight w:val="138"/>
        </w:trPr>
        <w:tc>
          <w:tcPr>
            <w:tcW w:w="7900" w:type="dxa"/>
            <w:vAlign w:val="bottom"/>
            <w:vMerge w:val="continue"/>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320" w:type="dxa"/>
            <w:vAlign w:val="bottom"/>
          </w:tcPr>
          <w:p>
            <w:pPr>
              <w:jc w:val="right"/>
              <w:ind w:right="503"/>
              <w:spacing w:after="0"/>
              <w:rPr>
                <w:sz w:val="20"/>
                <w:szCs w:val="20"/>
                <w:color w:val="auto"/>
              </w:rPr>
            </w:pPr>
            <w:r>
              <w:rPr>
                <w:rFonts w:ascii="Arial" w:cs="Arial" w:eastAsia="Arial" w:hAnsi="Arial"/>
                <w:sz w:val="11"/>
                <w:szCs w:val="11"/>
                <w:b w:val="1"/>
                <w:bCs w:val="1"/>
                <w:color w:val="auto"/>
              </w:rPr>
              <w:t>Fair Value</w:t>
            </w:r>
          </w:p>
        </w:tc>
        <w:tc>
          <w:tcPr>
            <w:tcW w:w="0" w:type="dxa"/>
            <w:vAlign w:val="bottom"/>
          </w:tcPr>
          <w:p>
            <w:pPr>
              <w:spacing w:after="0"/>
              <w:rPr>
                <w:sz w:val="1"/>
                <w:szCs w:val="1"/>
                <w:color w:val="auto"/>
              </w:rPr>
            </w:pPr>
          </w:p>
        </w:tc>
      </w:tr>
      <w:tr>
        <w:trPr>
          <w:trHeight w:val="139"/>
        </w:trPr>
        <w:tc>
          <w:tcPr>
            <w:tcW w:w="7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Unvested units at Dec. 31, 2020</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6,265</w:t>
            </w: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1.53</w:t>
            </w:r>
          </w:p>
        </w:tc>
        <w:tc>
          <w:tcPr>
            <w:tcW w:w="0" w:type="dxa"/>
            <w:vAlign w:val="bottom"/>
          </w:tcPr>
          <w:p>
            <w:pPr>
              <w:spacing w:after="0"/>
              <w:rPr>
                <w:sz w:val="1"/>
                <w:szCs w:val="1"/>
                <w:color w:val="auto"/>
              </w:rPr>
            </w:pPr>
          </w:p>
        </w:tc>
      </w:tr>
      <w:tr>
        <w:trPr>
          <w:trHeight w:val="149"/>
        </w:trPr>
        <w:tc>
          <w:tcPr>
            <w:tcW w:w="7900" w:type="dxa"/>
            <w:vAlign w:val="bottom"/>
          </w:tcPr>
          <w:p>
            <w:pPr>
              <w:ind w:left="20"/>
              <w:spacing w:after="0"/>
              <w:rPr>
                <w:sz w:val="20"/>
                <w:szCs w:val="20"/>
                <w:color w:val="auto"/>
              </w:rPr>
            </w:pPr>
            <w:r>
              <w:rPr>
                <w:rFonts w:ascii="Arial" w:cs="Arial" w:eastAsia="Arial" w:hAnsi="Arial"/>
                <w:sz w:val="11"/>
                <w:szCs w:val="11"/>
                <w:color w:val="auto"/>
              </w:rPr>
              <w:t>Granted</w:t>
            </w:r>
          </w:p>
        </w:tc>
        <w:tc>
          <w:tcPr>
            <w:tcW w:w="1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Vested</w:t>
            </w:r>
          </w:p>
        </w:tc>
        <w:tc>
          <w:tcPr>
            <w:tcW w:w="1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(1,562)</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1.60</w:t>
            </w:r>
          </w:p>
        </w:tc>
        <w:tc>
          <w:tcPr>
            <w:tcW w:w="0" w:type="dxa"/>
            <w:vAlign w:val="bottom"/>
          </w:tcPr>
          <w:p>
            <w:pPr>
              <w:spacing w:after="0"/>
              <w:rPr>
                <w:sz w:val="1"/>
                <w:szCs w:val="1"/>
                <w:color w:val="auto"/>
              </w:rPr>
            </w:pPr>
          </w:p>
        </w:tc>
      </w:tr>
      <w:tr>
        <w:trPr>
          <w:trHeight w:val="149"/>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Forfeited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(616)</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1.50</w:t>
            </w:r>
          </w:p>
        </w:tc>
        <w:tc>
          <w:tcPr>
            <w:tcW w:w="0" w:type="dxa"/>
            <w:vAlign w:val="bottom"/>
          </w:tcPr>
          <w:p>
            <w:pPr>
              <w:spacing w:after="0"/>
              <w:rPr>
                <w:sz w:val="1"/>
                <w:szCs w:val="1"/>
                <w:color w:val="auto"/>
              </w:rPr>
            </w:pPr>
          </w:p>
        </w:tc>
      </w:tr>
      <w:tr>
        <w:trPr>
          <w:trHeight w:val="164"/>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Unvested units at Dec. 31, 2021</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4,088</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1.51</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3"/>
          <w:szCs w:val="13"/>
          <w:color w:val="auto"/>
        </w:rPr>
        <w:t>The fair value of the Profit Units was determined using a Monte Carlo simulation and the following assumptions: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900" w:type="dxa"/>
            <w:vAlign w:val="bottom"/>
          </w:tcPr>
          <w:p>
            <w:pPr>
              <w:spacing w:after="0"/>
              <w:rPr>
                <w:sz w:val="10"/>
                <w:szCs w:val="10"/>
                <w:color w:val="auto"/>
              </w:rPr>
            </w:pPr>
          </w:p>
        </w:tc>
        <w:tc>
          <w:tcPr>
            <w:tcW w:w="1740" w:type="dxa"/>
            <w:vAlign w:val="bottom"/>
            <w:gridSpan w:val="2"/>
          </w:tcPr>
          <w:p>
            <w:pPr>
              <w:ind w:left="120"/>
              <w:spacing w:after="0"/>
              <w:rPr>
                <w:sz w:val="20"/>
                <w:szCs w:val="20"/>
                <w:color w:val="auto"/>
              </w:rPr>
            </w:pPr>
            <w:r>
              <w:rPr>
                <w:rFonts w:ascii="Arial" w:cs="Arial" w:eastAsia="Arial" w:hAnsi="Arial"/>
                <w:sz w:val="11"/>
                <w:szCs w:val="11"/>
                <w:b w:val="1"/>
                <w:bCs w:val="1"/>
                <w:color w:val="auto"/>
              </w:rPr>
              <w:t>Twelve months ended Dec.</w:t>
            </w:r>
          </w:p>
        </w:tc>
        <w:tc>
          <w:tcPr>
            <w:tcW w:w="1640" w:type="dxa"/>
            <w:vAlign w:val="bottom"/>
          </w:tcPr>
          <w:p>
            <w:pPr>
              <w:jc w:val="center"/>
              <w:spacing w:after="0"/>
              <w:rPr>
                <w:sz w:val="20"/>
                <w:szCs w:val="20"/>
                <w:color w:val="auto"/>
              </w:rPr>
            </w:pPr>
            <w:r>
              <w:rPr>
                <w:rFonts w:ascii="Arial" w:cs="Arial" w:eastAsia="Arial" w:hAnsi="Arial"/>
                <w:sz w:val="11"/>
                <w:szCs w:val="11"/>
                <w:b w:val="1"/>
                <w:bCs w:val="1"/>
                <w:color w:val="auto"/>
              </w:rPr>
              <w:t>Period from Sep. 13, 2019</w:t>
            </w:r>
          </w:p>
        </w:tc>
      </w:tr>
      <w:tr>
        <w:trPr>
          <w:trHeight w:val="138"/>
        </w:trPr>
        <w:tc>
          <w:tcPr>
            <w:tcW w:w="7900" w:type="dxa"/>
            <w:vAlign w:val="bottom"/>
            <w:tcBorders>
              <w:bottom w:val="single" w:sz="8" w:color="CCEEFF"/>
            </w:tcBorders>
          </w:tcPr>
          <w:p>
            <w:pPr>
              <w:spacing w:after="0"/>
              <w:rPr>
                <w:sz w:val="11"/>
                <w:szCs w:val="11"/>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31, 2020</w:t>
            </w:r>
          </w:p>
        </w:tc>
        <w:tc>
          <w:tcPr>
            <w:tcW w:w="80" w:type="dxa"/>
            <w:vAlign w:val="bottom"/>
            <w:tcBorders>
              <w:bottom w:val="single" w:sz="8" w:color="CCEEFF"/>
            </w:tcBorders>
          </w:tcPr>
          <w:p>
            <w:pPr>
              <w:spacing w:after="0"/>
              <w:rPr>
                <w:sz w:val="11"/>
                <w:szCs w:val="11"/>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through Dec. 31, 2019</w:t>
            </w:r>
          </w:p>
        </w:tc>
      </w:tr>
      <w:tr>
        <w:trPr>
          <w:trHeight w:val="13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Risk free interest rate</w:t>
            </w:r>
          </w:p>
        </w:tc>
        <w:tc>
          <w:tcPr>
            <w:tcW w:w="16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1.40%</w:t>
            </w:r>
          </w:p>
        </w:tc>
        <w:tc>
          <w:tcPr>
            <w:tcW w:w="80" w:type="dxa"/>
            <w:vAlign w:val="bottom"/>
            <w:shd w:val="clear" w:color="auto" w:fill="CCEEFF"/>
          </w:tcPr>
          <w:p>
            <w:pPr>
              <w:spacing w:after="0"/>
              <w:rPr>
                <w:sz w:val="12"/>
                <w:szCs w:val="12"/>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1.73%</w:t>
            </w:r>
          </w:p>
        </w:tc>
      </w:tr>
      <w:tr>
        <w:trPr>
          <w:trHeight w:val="149"/>
        </w:trPr>
        <w:tc>
          <w:tcPr>
            <w:tcW w:w="7900" w:type="dxa"/>
            <w:vAlign w:val="bottom"/>
          </w:tcPr>
          <w:p>
            <w:pPr>
              <w:ind w:left="20"/>
              <w:spacing w:after="0"/>
              <w:rPr>
                <w:sz w:val="20"/>
                <w:szCs w:val="20"/>
                <w:color w:val="auto"/>
              </w:rPr>
            </w:pPr>
            <w:r>
              <w:rPr>
                <w:rFonts w:ascii="Arial" w:cs="Arial" w:eastAsia="Arial" w:hAnsi="Arial"/>
                <w:sz w:val="11"/>
                <w:szCs w:val="11"/>
                <w:color w:val="auto"/>
              </w:rPr>
              <w:t>Expected volatility</w:t>
            </w:r>
          </w:p>
        </w:tc>
        <w:tc>
          <w:tcPr>
            <w:tcW w:w="1660" w:type="dxa"/>
            <w:vAlign w:val="bottom"/>
          </w:tcPr>
          <w:p>
            <w:pPr>
              <w:jc w:val="center"/>
              <w:spacing w:after="0"/>
              <w:rPr>
                <w:sz w:val="20"/>
                <w:szCs w:val="20"/>
                <w:color w:val="auto"/>
              </w:rPr>
            </w:pPr>
            <w:r>
              <w:rPr>
                <w:rFonts w:ascii="Arial" w:cs="Arial" w:eastAsia="Arial" w:hAnsi="Arial"/>
                <w:sz w:val="11"/>
                <w:szCs w:val="11"/>
                <w:color w:val="auto"/>
              </w:rPr>
              <w:t>76.0%</w:t>
            </w:r>
          </w:p>
        </w:tc>
        <w:tc>
          <w:tcPr>
            <w:tcW w:w="80" w:type="dxa"/>
            <w:vAlign w:val="bottom"/>
          </w:tcPr>
          <w:p>
            <w:pPr>
              <w:spacing w:after="0"/>
              <w:rPr>
                <w:sz w:val="12"/>
                <w:szCs w:val="12"/>
                <w:color w:val="auto"/>
              </w:rPr>
            </w:pPr>
          </w:p>
        </w:tc>
        <w:tc>
          <w:tcPr>
            <w:tcW w:w="1640" w:type="dxa"/>
            <w:vAlign w:val="bottom"/>
          </w:tcPr>
          <w:p>
            <w:pPr>
              <w:jc w:val="center"/>
              <w:spacing w:after="0"/>
              <w:rPr>
                <w:sz w:val="20"/>
                <w:szCs w:val="20"/>
                <w:color w:val="auto"/>
              </w:rPr>
            </w:pPr>
            <w:r>
              <w:rPr>
                <w:rFonts w:ascii="Arial" w:cs="Arial" w:eastAsia="Arial" w:hAnsi="Arial"/>
                <w:sz w:val="11"/>
                <w:szCs w:val="11"/>
                <w:color w:val="auto"/>
              </w:rPr>
              <w:t>50.0%</w:t>
            </w:r>
          </w:p>
        </w:tc>
      </w:tr>
      <w:tr>
        <w:trPr>
          <w:trHeight w:val="14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Expected life (years)</w:t>
            </w:r>
          </w:p>
        </w:tc>
        <w:tc>
          <w:tcPr>
            <w:tcW w:w="16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4.60</w:t>
            </w:r>
          </w:p>
        </w:tc>
        <w:tc>
          <w:tcPr>
            <w:tcW w:w="80" w:type="dxa"/>
            <w:vAlign w:val="bottom"/>
            <w:shd w:val="clear" w:color="auto" w:fill="CCEEFF"/>
          </w:tcPr>
          <w:p>
            <w:pPr>
              <w:spacing w:after="0"/>
              <w:rPr>
                <w:sz w:val="12"/>
                <w:szCs w:val="12"/>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5.00</w:t>
            </w:r>
          </w:p>
        </w:tc>
      </w:tr>
      <w:tr>
        <w:trPr>
          <w:trHeight w:val="151"/>
        </w:trPr>
        <w:tc>
          <w:tcPr>
            <w:tcW w:w="7900" w:type="dxa"/>
            <w:vAlign w:val="bottom"/>
          </w:tcPr>
          <w:p>
            <w:pPr>
              <w:ind w:left="20"/>
              <w:spacing w:after="0"/>
              <w:rPr>
                <w:sz w:val="20"/>
                <w:szCs w:val="20"/>
                <w:color w:val="auto"/>
              </w:rPr>
            </w:pPr>
            <w:r>
              <w:rPr>
                <w:rFonts w:ascii="Arial" w:cs="Arial" w:eastAsia="Arial" w:hAnsi="Arial"/>
                <w:sz w:val="11"/>
                <w:szCs w:val="11"/>
                <w:color w:val="auto"/>
              </w:rPr>
              <w:t>Expected dividend yield</w:t>
            </w:r>
          </w:p>
        </w:tc>
        <w:tc>
          <w:tcPr>
            <w:tcW w:w="1660" w:type="dxa"/>
            <w:vAlign w:val="bottom"/>
          </w:tcPr>
          <w:p>
            <w:pPr>
              <w:jc w:val="center"/>
              <w:spacing w:after="0"/>
              <w:rPr>
                <w:sz w:val="20"/>
                <w:szCs w:val="20"/>
                <w:color w:val="auto"/>
              </w:rPr>
            </w:pPr>
            <w:r>
              <w:rPr>
                <w:rFonts w:ascii="Arial" w:cs="Arial" w:eastAsia="Arial" w:hAnsi="Arial"/>
                <w:sz w:val="11"/>
                <w:szCs w:val="11"/>
                <w:color w:val="auto"/>
              </w:rPr>
              <w:t>0.0%</w:t>
            </w:r>
          </w:p>
        </w:tc>
        <w:tc>
          <w:tcPr>
            <w:tcW w:w="8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Arial" w:cs="Arial" w:eastAsia="Arial" w:hAnsi="Arial"/>
                <w:sz w:val="11"/>
                <w:szCs w:val="11"/>
                <w:color w:val="auto"/>
                <w:w w:val="95"/>
              </w:rPr>
              <w:t>0.0%</w:t>
            </w:r>
          </w:p>
        </w:tc>
      </w:tr>
    </w:tbl>
    <w:p>
      <w:pPr>
        <w:spacing w:after="0" w:line="243" w:lineRule="exact"/>
        <w:rPr>
          <w:sz w:val="20"/>
          <w:szCs w:val="20"/>
          <w:color w:val="auto"/>
        </w:rPr>
      </w:pPr>
    </w:p>
    <w:p>
      <w:pPr>
        <w:spacing w:after="0"/>
        <w:rPr>
          <w:sz w:val="20"/>
          <w:szCs w:val="20"/>
          <w:color w:val="auto"/>
        </w:rPr>
      </w:pPr>
      <w:r>
        <w:rPr>
          <w:rFonts w:ascii="Arial" w:cs="Arial" w:eastAsia="Arial" w:hAnsi="Arial"/>
          <w:sz w:val="13"/>
          <w:szCs w:val="13"/>
          <w:color w:val="auto"/>
        </w:rPr>
        <w:t>The expected life was based on estimates of the likely timing of a liquidity event. Volatility was determined based on an analysis of publicly traded peers.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86</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05" w:right="319" w:bottom="1440" w:gutter="0" w:footer="0" w:header="0"/>
        </w:sectPr>
      </w:pPr>
    </w:p>
    <w:bookmarkStart w:id="89" w:name="page90"/>
    <w:bookmarkEnd w:id="89"/>
    <w:p>
      <w:pPr>
        <w:ind w:right="240"/>
        <w:spacing w:after="0" w:line="244" w:lineRule="auto"/>
        <w:rPr>
          <w:sz w:val="20"/>
          <w:szCs w:val="20"/>
          <w:color w:val="auto"/>
        </w:rPr>
      </w:pPr>
      <w:r>
        <w:rPr>
          <w:rFonts w:ascii="Arial" w:cs="Arial" w:eastAsia="Arial" w:hAnsi="Arial"/>
          <w:sz w:val="13"/>
          <w:szCs w:val="13"/>
          <w:color w:val="auto"/>
        </w:rPr>
        <w:t>As of December 31, 2021, there was $5.5 million of unamortized share-based compensation expense related to Time-Vesting Units and these costs are expected to be recognized over a remaining weighted average period of 2.9 years.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2020 Incentive Award Plan</w:t>
      </w:r>
    </w:p>
    <w:p>
      <w:pPr>
        <w:spacing w:after="0" w:line="181" w:lineRule="exact"/>
        <w:rPr>
          <w:sz w:val="20"/>
          <w:szCs w:val="20"/>
          <w:color w:val="auto"/>
        </w:rPr>
      </w:pPr>
    </w:p>
    <w:p>
      <w:pPr>
        <w:ind w:right="140"/>
        <w:spacing w:after="0"/>
        <w:rPr>
          <w:sz w:val="20"/>
          <w:szCs w:val="20"/>
          <w:color w:val="auto"/>
        </w:rPr>
      </w:pPr>
      <w:r>
        <w:rPr>
          <w:rFonts w:ascii="Arial" w:cs="Arial" w:eastAsia="Arial" w:hAnsi="Arial"/>
          <w:sz w:val="13"/>
          <w:szCs w:val="13"/>
          <w:color w:val="auto"/>
        </w:rPr>
        <w:t>On July 7, 2020, the Company adopted the 2020 Incentive Award Plan, which became effective on July 14, 2020. The number of shares initially available for issuance will be increased by an annual increase on January 1 of each calendar year beginning in 2021 and ending in and including 2030, equal to the lesser of (A) 5% of the shares of the Company’s Class A common stock outstanding on the final day of the immediately preceding calendar year and (B) a smaller number of shares as determined by the Company’s board of directors. The number of shares reserved for issuance at December 31, 2021 was 3,037 shares.</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2021 Employment Inducement Award Plan</w:t>
      </w:r>
    </w:p>
    <w:p>
      <w:pPr>
        <w:spacing w:after="0" w:line="181"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On December 19, 2021, the Company’s Board of Directors approved the adoption of the GoHealth, Inc. 2021 Employment Inducement Award Plan (the “Inducement Award Plan”). In accordance with Rule 5635(c)(4), awards under the Inducement Award Plan may only be made to a newly hired employee who has not previously been a member of the Board of Directors, or an employee who is being rehired following a bona fide period of non-employment by the Company or a subsidiary, as a material inducement to the employee’s entering into employment with the Company or its subsidiary. An aggregate of 4,000 shares of the Company’s Class A common stock have been reserved for issuance under the Inducement Award Plan. As of December 31, 2021, there were 3,280 shares available for grant under the Inducement Award Plan.</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Restricted Stock Units</w:t>
      </w:r>
    </w:p>
    <w:p>
      <w:pPr>
        <w:spacing w:after="0" w:line="181" w:lineRule="exact"/>
        <w:rPr>
          <w:sz w:val="20"/>
          <w:szCs w:val="20"/>
          <w:color w:val="auto"/>
        </w:rPr>
      </w:pPr>
    </w:p>
    <w:p>
      <w:pPr>
        <w:ind w:right="500"/>
        <w:spacing w:after="0" w:line="244" w:lineRule="auto"/>
        <w:rPr>
          <w:sz w:val="20"/>
          <w:szCs w:val="20"/>
          <w:color w:val="auto"/>
        </w:rPr>
      </w:pPr>
      <w:r>
        <w:rPr>
          <w:rFonts w:ascii="Arial" w:cs="Arial" w:eastAsia="Arial" w:hAnsi="Arial"/>
          <w:sz w:val="13"/>
          <w:szCs w:val="13"/>
          <w:color w:val="auto"/>
        </w:rPr>
        <w:t>The Company measures expense for RSUs based on the fair value of the awards on the grant date. The Company recognizes the grant date fair value of RSUs as compensation expense on a straight-line basis over the requisite service period of each award, which is generally three years.</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A summary of the RSUs issued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900" w:type="dxa"/>
            <w:vAlign w:val="bottom"/>
            <w:vMerge w:val="restart"/>
          </w:tcPr>
          <w:p>
            <w:pPr>
              <w:ind w:left="20"/>
              <w:spacing w:after="0"/>
              <w:rPr>
                <w:sz w:val="20"/>
                <w:szCs w:val="20"/>
                <w:color w:val="auto"/>
              </w:rPr>
            </w:pPr>
            <w:r>
              <w:rPr>
                <w:rFonts w:ascii="Arial" w:cs="Arial" w:eastAsia="Arial" w:hAnsi="Arial"/>
                <w:sz w:val="11"/>
                <w:szCs w:val="11"/>
                <w:color w:val="auto"/>
              </w:rPr>
              <w:t>(in thousands except per share amounts)</w:t>
            </w:r>
          </w:p>
        </w:tc>
        <w:tc>
          <w:tcPr>
            <w:tcW w:w="1740" w:type="dxa"/>
            <w:vAlign w:val="bottom"/>
            <w:gridSpan w:val="2"/>
            <w:vMerge w:val="restart"/>
          </w:tcPr>
          <w:p>
            <w:pPr>
              <w:ind w:left="380"/>
              <w:spacing w:after="0"/>
              <w:rPr>
                <w:sz w:val="20"/>
                <w:szCs w:val="20"/>
                <w:color w:val="auto"/>
              </w:rPr>
            </w:pPr>
            <w:r>
              <w:rPr>
                <w:rFonts w:ascii="Arial" w:cs="Arial" w:eastAsia="Arial" w:hAnsi="Arial"/>
                <w:sz w:val="11"/>
                <w:szCs w:val="11"/>
                <w:b w:val="1"/>
                <w:bCs w:val="1"/>
                <w:color w:val="auto"/>
              </w:rPr>
              <w:t>Number of RSUs</w:t>
            </w:r>
          </w:p>
        </w:tc>
        <w:tc>
          <w:tcPr>
            <w:tcW w:w="1640" w:type="dxa"/>
            <w:vAlign w:val="bottom"/>
            <w:gridSpan w:val="2"/>
          </w:tcPr>
          <w:p>
            <w:pPr>
              <w:ind w:left="20"/>
              <w:spacing w:after="0"/>
              <w:rPr>
                <w:sz w:val="20"/>
                <w:szCs w:val="20"/>
                <w:color w:val="auto"/>
              </w:rPr>
            </w:pPr>
            <w:r>
              <w:rPr>
                <w:rFonts w:ascii="Arial" w:cs="Arial" w:eastAsia="Arial" w:hAnsi="Arial"/>
                <w:sz w:val="11"/>
                <w:szCs w:val="11"/>
                <w:b w:val="1"/>
                <w:bCs w:val="1"/>
                <w:color w:val="auto"/>
              </w:rPr>
              <w:t>Weighted Average Grant Date</w:t>
            </w:r>
          </w:p>
        </w:tc>
        <w:tc>
          <w:tcPr>
            <w:tcW w:w="0" w:type="dxa"/>
            <w:vAlign w:val="bottom"/>
          </w:tcPr>
          <w:p>
            <w:pPr>
              <w:spacing w:after="0"/>
              <w:rPr>
                <w:sz w:val="1"/>
                <w:szCs w:val="1"/>
                <w:color w:val="auto"/>
              </w:rPr>
            </w:pPr>
          </w:p>
        </w:tc>
      </w:tr>
      <w:tr>
        <w:trPr>
          <w:trHeight w:val="138"/>
        </w:trPr>
        <w:tc>
          <w:tcPr>
            <w:tcW w:w="7900" w:type="dxa"/>
            <w:vAlign w:val="bottom"/>
            <w:vMerge w:val="continue"/>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320" w:type="dxa"/>
            <w:vAlign w:val="bottom"/>
          </w:tcPr>
          <w:p>
            <w:pPr>
              <w:jc w:val="right"/>
              <w:ind w:right="503"/>
              <w:spacing w:after="0"/>
              <w:rPr>
                <w:sz w:val="20"/>
                <w:szCs w:val="20"/>
                <w:color w:val="auto"/>
              </w:rPr>
            </w:pPr>
            <w:r>
              <w:rPr>
                <w:rFonts w:ascii="Arial" w:cs="Arial" w:eastAsia="Arial" w:hAnsi="Arial"/>
                <w:sz w:val="11"/>
                <w:szCs w:val="11"/>
                <w:b w:val="1"/>
                <w:bCs w:val="1"/>
                <w:color w:val="auto"/>
              </w:rPr>
              <w:t>Fair Value</w:t>
            </w:r>
          </w:p>
        </w:tc>
        <w:tc>
          <w:tcPr>
            <w:tcW w:w="0" w:type="dxa"/>
            <w:vAlign w:val="bottom"/>
          </w:tcPr>
          <w:p>
            <w:pPr>
              <w:spacing w:after="0"/>
              <w:rPr>
                <w:sz w:val="1"/>
                <w:szCs w:val="1"/>
                <w:color w:val="auto"/>
              </w:rPr>
            </w:pPr>
          </w:p>
        </w:tc>
      </w:tr>
      <w:tr>
        <w:trPr>
          <w:trHeight w:val="139"/>
        </w:trPr>
        <w:tc>
          <w:tcPr>
            <w:tcW w:w="7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Unvested units at Dec. 31, 2020</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288</w:t>
            </w: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21.00</w:t>
            </w:r>
          </w:p>
        </w:tc>
        <w:tc>
          <w:tcPr>
            <w:tcW w:w="0" w:type="dxa"/>
            <w:vAlign w:val="bottom"/>
          </w:tcPr>
          <w:p>
            <w:pPr>
              <w:spacing w:after="0"/>
              <w:rPr>
                <w:sz w:val="1"/>
                <w:szCs w:val="1"/>
                <w:color w:val="auto"/>
              </w:rPr>
            </w:pPr>
          </w:p>
        </w:tc>
      </w:tr>
      <w:tr>
        <w:trPr>
          <w:trHeight w:val="149"/>
        </w:trPr>
        <w:tc>
          <w:tcPr>
            <w:tcW w:w="7900" w:type="dxa"/>
            <w:vAlign w:val="bottom"/>
          </w:tcPr>
          <w:p>
            <w:pPr>
              <w:ind w:left="20"/>
              <w:spacing w:after="0"/>
              <w:rPr>
                <w:sz w:val="20"/>
                <w:szCs w:val="20"/>
                <w:color w:val="auto"/>
              </w:rPr>
            </w:pPr>
            <w:r>
              <w:rPr>
                <w:rFonts w:ascii="Arial" w:cs="Arial" w:eastAsia="Arial" w:hAnsi="Arial"/>
                <w:sz w:val="11"/>
                <w:szCs w:val="11"/>
                <w:color w:val="auto"/>
              </w:rPr>
              <w:t>Granted</w:t>
            </w:r>
          </w:p>
        </w:tc>
        <w:tc>
          <w:tcPr>
            <w:tcW w:w="1660" w:type="dxa"/>
            <w:vAlign w:val="bottom"/>
          </w:tcPr>
          <w:p>
            <w:pPr>
              <w:jc w:val="right"/>
              <w:spacing w:after="0"/>
              <w:rPr>
                <w:sz w:val="20"/>
                <w:szCs w:val="20"/>
                <w:color w:val="auto"/>
              </w:rPr>
            </w:pPr>
            <w:r>
              <w:rPr>
                <w:rFonts w:ascii="Arial" w:cs="Arial" w:eastAsia="Arial" w:hAnsi="Arial"/>
                <w:sz w:val="11"/>
                <w:szCs w:val="11"/>
                <w:color w:val="auto"/>
              </w:rPr>
              <w:t>2,456</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12.28</w:t>
            </w:r>
          </w:p>
        </w:tc>
        <w:tc>
          <w:tcPr>
            <w:tcW w:w="0" w:type="dxa"/>
            <w:vAlign w:val="bottom"/>
          </w:tcPr>
          <w:p>
            <w:pPr>
              <w:spacing w:after="0"/>
              <w:rPr>
                <w:sz w:val="1"/>
                <w:szCs w:val="1"/>
                <w:color w:val="auto"/>
              </w:rPr>
            </w:pPr>
          </w:p>
        </w:tc>
      </w:tr>
      <w:tr>
        <w:trPr>
          <w:trHeight w:val="14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Vested</w:t>
            </w:r>
          </w:p>
        </w:tc>
        <w:tc>
          <w:tcPr>
            <w:tcW w:w="1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17.76</w:t>
            </w:r>
          </w:p>
        </w:tc>
        <w:tc>
          <w:tcPr>
            <w:tcW w:w="0" w:type="dxa"/>
            <w:vAlign w:val="bottom"/>
          </w:tcPr>
          <w:p>
            <w:pPr>
              <w:spacing w:after="0"/>
              <w:rPr>
                <w:sz w:val="1"/>
                <w:szCs w:val="1"/>
                <w:color w:val="auto"/>
              </w:rPr>
            </w:pPr>
          </w:p>
        </w:tc>
      </w:tr>
      <w:tr>
        <w:trPr>
          <w:trHeight w:val="149"/>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Forfeited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(190)</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16.19</w:t>
            </w:r>
          </w:p>
        </w:tc>
        <w:tc>
          <w:tcPr>
            <w:tcW w:w="0" w:type="dxa"/>
            <w:vAlign w:val="bottom"/>
          </w:tcPr>
          <w:p>
            <w:pPr>
              <w:spacing w:after="0"/>
              <w:rPr>
                <w:sz w:val="1"/>
                <w:szCs w:val="1"/>
                <w:color w:val="auto"/>
              </w:rPr>
            </w:pPr>
          </w:p>
        </w:tc>
      </w:tr>
      <w:tr>
        <w:trPr>
          <w:trHeight w:val="164"/>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Unvested units at Dec. 31, 2021</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2,501</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12.89</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right="360"/>
        <w:spacing w:after="0" w:line="244" w:lineRule="auto"/>
        <w:rPr>
          <w:sz w:val="20"/>
          <w:szCs w:val="20"/>
          <w:color w:val="auto"/>
        </w:rPr>
      </w:pPr>
      <w:r>
        <w:rPr>
          <w:rFonts w:ascii="Arial" w:cs="Arial" w:eastAsia="Arial" w:hAnsi="Arial"/>
          <w:sz w:val="13"/>
          <w:szCs w:val="13"/>
          <w:color w:val="auto"/>
        </w:rPr>
        <w:t>As of December 31, 2021, there was $23.1 million of unamortized share-based compensation expense related to RSUs and these costs are expected to be recognized over a remaining weighted average period of 1.6 years.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Stock Options</w:t>
      </w:r>
    </w:p>
    <w:p>
      <w:pPr>
        <w:spacing w:after="0" w:line="181" w:lineRule="exact"/>
        <w:rPr>
          <w:sz w:val="20"/>
          <w:szCs w:val="20"/>
          <w:color w:val="auto"/>
        </w:rPr>
      </w:pPr>
    </w:p>
    <w:p>
      <w:pPr>
        <w:ind w:right="460"/>
        <w:spacing w:after="0" w:line="244" w:lineRule="auto"/>
        <w:rPr>
          <w:sz w:val="20"/>
          <w:szCs w:val="20"/>
          <w:color w:val="auto"/>
        </w:rPr>
      </w:pPr>
      <w:r>
        <w:rPr>
          <w:rFonts w:ascii="Arial" w:cs="Arial" w:eastAsia="Arial" w:hAnsi="Arial"/>
          <w:sz w:val="13"/>
          <w:szCs w:val="13"/>
          <w:color w:val="auto"/>
        </w:rPr>
        <w:t>The Company measures expense for stock options based on the fair value of the awards on the grant date. The Company recognizes the grant date fair value of stock options as compensation expense on a straight-line basis over the requisite service period of each award, which is generally three to four years.</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A summary of the stock options issued to employees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460" w:type="dxa"/>
            <w:vAlign w:val="bottom"/>
            <w:vMerge w:val="restart"/>
          </w:tcPr>
          <w:p>
            <w:pPr>
              <w:ind w:left="20"/>
              <w:spacing w:after="0"/>
              <w:rPr>
                <w:sz w:val="20"/>
                <w:szCs w:val="20"/>
                <w:color w:val="auto"/>
              </w:rPr>
            </w:pPr>
            <w:r>
              <w:rPr>
                <w:rFonts w:ascii="Arial" w:cs="Arial" w:eastAsia="Arial" w:hAnsi="Arial"/>
                <w:sz w:val="11"/>
                <w:szCs w:val="11"/>
                <w:color w:val="auto"/>
              </w:rPr>
              <w:t>(in thousands except per share amounts)</w:t>
            </w:r>
          </w:p>
        </w:tc>
        <w:tc>
          <w:tcPr>
            <w:tcW w:w="1640" w:type="dxa"/>
            <w:vAlign w:val="bottom"/>
            <w:vMerge w:val="restart"/>
          </w:tcPr>
          <w:p>
            <w:pPr>
              <w:jc w:val="right"/>
              <w:ind w:right="83"/>
              <w:spacing w:after="0"/>
              <w:rPr>
                <w:sz w:val="20"/>
                <w:szCs w:val="20"/>
                <w:color w:val="auto"/>
              </w:rPr>
            </w:pPr>
            <w:r>
              <w:rPr>
                <w:rFonts w:ascii="Arial" w:cs="Arial" w:eastAsia="Arial" w:hAnsi="Arial"/>
                <w:sz w:val="11"/>
                <w:szCs w:val="11"/>
                <w:b w:val="1"/>
                <w:bCs w:val="1"/>
                <w:color w:val="auto"/>
              </w:rPr>
              <w:t>Number of Stock Options</w:t>
            </w:r>
          </w:p>
        </w:tc>
        <w:tc>
          <w:tcPr>
            <w:tcW w:w="80" w:type="dxa"/>
            <w:vAlign w:val="bottom"/>
          </w:tcPr>
          <w:p>
            <w:pPr>
              <w:spacing w:after="0"/>
              <w:rPr>
                <w:sz w:val="10"/>
                <w:szCs w:val="10"/>
                <w:color w:val="auto"/>
              </w:rPr>
            </w:pPr>
          </w:p>
        </w:tc>
        <w:tc>
          <w:tcPr>
            <w:tcW w:w="1720" w:type="dxa"/>
            <w:vAlign w:val="bottom"/>
            <w:gridSpan w:val="3"/>
          </w:tcPr>
          <w:p>
            <w:pPr>
              <w:ind w:left="20"/>
              <w:spacing w:after="0"/>
              <w:rPr>
                <w:sz w:val="20"/>
                <w:szCs w:val="20"/>
                <w:color w:val="auto"/>
              </w:rPr>
            </w:pPr>
            <w:r>
              <w:rPr>
                <w:rFonts w:ascii="Arial" w:cs="Arial" w:eastAsia="Arial" w:hAnsi="Arial"/>
                <w:sz w:val="11"/>
                <w:szCs w:val="11"/>
                <w:b w:val="1"/>
                <w:bCs w:val="1"/>
                <w:color w:val="auto"/>
              </w:rPr>
              <w:t>Weighted Average Grant Date</w:t>
            </w:r>
          </w:p>
        </w:tc>
        <w:tc>
          <w:tcPr>
            <w:tcW w:w="1740" w:type="dxa"/>
            <w:vAlign w:val="bottom"/>
            <w:gridSpan w:val="2"/>
          </w:tcPr>
          <w:p>
            <w:pPr>
              <w:ind w:left="40"/>
              <w:spacing w:after="0"/>
              <w:rPr>
                <w:sz w:val="20"/>
                <w:szCs w:val="20"/>
                <w:color w:val="auto"/>
              </w:rPr>
            </w:pPr>
            <w:r>
              <w:rPr>
                <w:rFonts w:ascii="Arial" w:cs="Arial" w:eastAsia="Arial" w:hAnsi="Arial"/>
                <w:sz w:val="11"/>
                <w:szCs w:val="11"/>
                <w:b w:val="1"/>
                <w:bCs w:val="1"/>
                <w:color w:val="auto"/>
              </w:rPr>
              <w:t>Weighted Average Remaining</w:t>
            </w:r>
          </w:p>
        </w:tc>
        <w:tc>
          <w:tcPr>
            <w:tcW w:w="1640" w:type="dxa"/>
            <w:vAlign w:val="bottom"/>
            <w:gridSpan w:val="2"/>
            <w:vMerge w:val="restart"/>
          </w:tcPr>
          <w:p>
            <w:pPr>
              <w:jc w:val="right"/>
              <w:ind w:right="3"/>
              <w:spacing w:after="0"/>
              <w:rPr>
                <w:sz w:val="20"/>
                <w:szCs w:val="20"/>
                <w:color w:val="auto"/>
              </w:rPr>
            </w:pPr>
            <w:r>
              <w:rPr>
                <w:rFonts w:ascii="Arial" w:cs="Arial" w:eastAsia="Arial" w:hAnsi="Arial"/>
                <w:sz w:val="11"/>
                <w:szCs w:val="11"/>
                <w:b w:val="1"/>
                <w:bCs w:val="1"/>
                <w:color w:val="auto"/>
              </w:rPr>
              <w:t>Aggregate Intrinsic Value (1)</w:t>
            </w:r>
          </w:p>
        </w:tc>
        <w:tc>
          <w:tcPr>
            <w:tcW w:w="0" w:type="dxa"/>
            <w:vAlign w:val="bottom"/>
          </w:tcPr>
          <w:p>
            <w:pPr>
              <w:spacing w:after="0"/>
              <w:rPr>
                <w:sz w:val="1"/>
                <w:szCs w:val="1"/>
                <w:color w:val="auto"/>
              </w:rPr>
            </w:pPr>
          </w:p>
        </w:tc>
      </w:tr>
      <w:tr>
        <w:trPr>
          <w:trHeight w:val="138"/>
        </w:trPr>
        <w:tc>
          <w:tcPr>
            <w:tcW w:w="4460" w:type="dxa"/>
            <w:vAlign w:val="bottom"/>
            <w:tcBorders>
              <w:bottom w:val="single" w:sz="8" w:color="CCEEFF"/>
            </w:tcBorders>
            <w:vMerge w:val="continue"/>
          </w:tcPr>
          <w:p>
            <w:pPr>
              <w:spacing w:after="0"/>
              <w:rPr>
                <w:sz w:val="11"/>
                <w:szCs w:val="11"/>
                <w:color w:val="auto"/>
              </w:rPr>
            </w:pPr>
          </w:p>
        </w:tc>
        <w:tc>
          <w:tcPr>
            <w:tcW w:w="16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503"/>
              <w:spacing w:after="0"/>
              <w:rPr>
                <w:sz w:val="20"/>
                <w:szCs w:val="20"/>
                <w:color w:val="auto"/>
              </w:rPr>
            </w:pPr>
            <w:r>
              <w:rPr>
                <w:rFonts w:ascii="Arial" w:cs="Arial" w:eastAsia="Arial" w:hAnsi="Arial"/>
                <w:sz w:val="11"/>
                <w:szCs w:val="11"/>
                <w:b w:val="1"/>
                <w:bCs w:val="1"/>
                <w:color w:val="auto"/>
              </w:rPr>
              <w:t>Fair Value</w:t>
            </w:r>
          </w:p>
        </w:tc>
        <w:tc>
          <w:tcPr>
            <w:tcW w:w="80" w:type="dxa"/>
            <w:vAlign w:val="bottom"/>
            <w:tcBorders>
              <w:bottom w:val="single" w:sz="8" w:color="CCEEFF"/>
            </w:tcBorders>
          </w:tcPr>
          <w:p>
            <w:pPr>
              <w:spacing w:after="0"/>
              <w:rPr>
                <w:sz w:val="11"/>
                <w:szCs w:val="11"/>
                <w:color w:val="auto"/>
              </w:rPr>
            </w:pPr>
          </w:p>
        </w:tc>
        <w:tc>
          <w:tcPr>
            <w:tcW w:w="16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Contractual Term (Years)</w:t>
            </w:r>
          </w:p>
        </w:tc>
        <w:tc>
          <w:tcPr>
            <w:tcW w:w="80" w:type="dxa"/>
            <w:vAlign w:val="bottom"/>
            <w:tcBorders>
              <w:bottom w:val="single" w:sz="8" w:color="CCEEFF"/>
            </w:tcBorders>
          </w:tcPr>
          <w:p>
            <w:pPr>
              <w:spacing w:after="0"/>
              <w:rPr>
                <w:sz w:val="11"/>
                <w:szCs w:val="11"/>
                <w:color w:val="auto"/>
              </w:rPr>
            </w:pPr>
          </w:p>
        </w:tc>
        <w:tc>
          <w:tcPr>
            <w:tcW w:w="1640" w:type="dxa"/>
            <w:vAlign w:val="bottom"/>
            <w:tcBorders>
              <w:bottom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4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Outstanding at Dec. 31, 2020</w:t>
            </w:r>
          </w:p>
        </w:tc>
        <w:tc>
          <w:tcPr>
            <w:tcW w:w="16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2,307</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1"/>
                <w:szCs w:val="11"/>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10.88</w:t>
            </w:r>
          </w:p>
        </w:tc>
        <w:tc>
          <w:tcPr>
            <w:tcW w:w="80" w:type="dxa"/>
            <w:vAlign w:val="bottom"/>
            <w:shd w:val="clear" w:color="auto" w:fill="CCEEFF"/>
          </w:tcPr>
          <w:p>
            <w:pPr>
              <w:spacing w:after="0"/>
              <w:rPr>
                <w:sz w:val="12"/>
                <w:szCs w:val="12"/>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9.5</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03"/>
              <w:spacing w:after="0"/>
              <w:rPr>
                <w:sz w:val="20"/>
                <w:szCs w:val="20"/>
                <w:color w:val="auto"/>
              </w:rPr>
            </w:pPr>
            <w:r>
              <w:rPr>
                <w:rFonts w:ascii="Arial" w:cs="Arial" w:eastAsia="Arial" w:hAnsi="Arial"/>
                <w:sz w:val="11"/>
                <w:szCs w:val="11"/>
                <w:b w:val="1"/>
                <w:bCs w:val="1"/>
                <w:color w:val="auto"/>
                <w:w w:val="97"/>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49"/>
        </w:trPr>
        <w:tc>
          <w:tcPr>
            <w:tcW w:w="4460" w:type="dxa"/>
            <w:vAlign w:val="bottom"/>
          </w:tcPr>
          <w:p>
            <w:pPr>
              <w:ind w:left="20"/>
              <w:spacing w:after="0"/>
              <w:rPr>
                <w:sz w:val="20"/>
                <w:szCs w:val="20"/>
                <w:color w:val="auto"/>
              </w:rPr>
            </w:pPr>
            <w:r>
              <w:rPr>
                <w:rFonts w:ascii="Arial" w:cs="Arial" w:eastAsia="Arial" w:hAnsi="Arial"/>
                <w:sz w:val="11"/>
                <w:szCs w:val="11"/>
                <w:color w:val="auto"/>
              </w:rPr>
              <w:t>Granted</w:t>
            </w:r>
          </w:p>
        </w:tc>
        <w:tc>
          <w:tcPr>
            <w:tcW w:w="1640" w:type="dxa"/>
            <w:vAlign w:val="bottom"/>
          </w:tcPr>
          <w:p>
            <w:pPr>
              <w:jc w:val="right"/>
              <w:spacing w:after="0"/>
              <w:rPr>
                <w:sz w:val="20"/>
                <w:szCs w:val="20"/>
                <w:color w:val="auto"/>
              </w:rPr>
            </w:pPr>
            <w:r>
              <w:rPr>
                <w:rFonts w:ascii="Arial" w:cs="Arial" w:eastAsia="Arial" w:hAnsi="Arial"/>
                <w:sz w:val="11"/>
                <w:szCs w:val="11"/>
                <w:color w:val="auto"/>
              </w:rPr>
              <w:t>3,210</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7.19</w:t>
            </w:r>
          </w:p>
        </w:tc>
        <w:tc>
          <w:tcPr>
            <w:tcW w:w="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shd w:val="clear" w:color="auto" w:fill="CCEEFF"/>
          </w:tcPr>
          <w:p>
            <w:pPr>
              <w:ind w:left="20"/>
              <w:spacing w:after="0"/>
              <w:rPr>
                <w:sz w:val="20"/>
                <w:szCs w:val="20"/>
                <w:color w:val="auto"/>
              </w:rPr>
            </w:pPr>
            <w:r>
              <w:rPr>
                <w:rFonts w:ascii="Arial" w:cs="Arial" w:eastAsia="Arial" w:hAnsi="Arial"/>
                <w:sz w:val="11"/>
                <w:szCs w:val="11"/>
                <w:color w:val="auto"/>
              </w:rPr>
              <w:t>Exercised</w:t>
            </w:r>
          </w:p>
        </w:tc>
        <w:tc>
          <w:tcPr>
            <w:tcW w:w="1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Forfeited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(671)</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10.27</w:t>
            </w:r>
          </w:p>
        </w:tc>
        <w:tc>
          <w:tcPr>
            <w:tcW w:w="80" w:type="dxa"/>
            <w:vAlign w:val="bottom"/>
            <w:tcBorders>
              <w:bottom w:val="single" w:sz="8" w:color="CCEEFF"/>
            </w:tcBorders>
          </w:tcPr>
          <w:p>
            <w:pPr>
              <w:spacing w:after="0"/>
              <w:rPr>
                <w:sz w:val="12"/>
                <w:szCs w:val="12"/>
                <w:color w:val="auto"/>
              </w:rPr>
            </w:pPr>
          </w:p>
        </w:tc>
        <w:tc>
          <w:tcPr>
            <w:tcW w:w="16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4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Outstanding at Dec. 31, 2021</w:t>
            </w:r>
          </w:p>
        </w:tc>
        <w:tc>
          <w:tcPr>
            <w:tcW w:w="16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4,846</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1"/>
                <w:szCs w:val="11"/>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8.52</w:t>
            </w:r>
          </w:p>
        </w:tc>
        <w:tc>
          <w:tcPr>
            <w:tcW w:w="80" w:type="dxa"/>
            <w:vAlign w:val="bottom"/>
            <w:shd w:val="clear" w:color="auto" w:fill="CCEEFF"/>
          </w:tcPr>
          <w:p>
            <w:pPr>
              <w:spacing w:after="0"/>
              <w:rPr>
                <w:sz w:val="13"/>
                <w:szCs w:val="1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9.0</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603"/>
              <w:spacing w:after="0"/>
              <w:rPr>
                <w:sz w:val="20"/>
                <w:szCs w:val="20"/>
                <w:color w:val="auto"/>
              </w:rPr>
            </w:pPr>
            <w:r>
              <w:rPr>
                <w:rFonts w:ascii="Arial" w:cs="Arial" w:eastAsia="Arial" w:hAnsi="Arial"/>
                <w:sz w:val="11"/>
                <w:szCs w:val="11"/>
                <w:b w:val="1"/>
                <w:bCs w:val="1"/>
                <w:color w:val="auto"/>
                <w:w w:val="97"/>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105</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4460" w:type="dxa"/>
            <w:vAlign w:val="bottom"/>
          </w:tcPr>
          <w:p>
            <w:pPr>
              <w:ind w:left="20"/>
              <w:spacing w:after="0" w:line="111" w:lineRule="exact"/>
              <w:rPr>
                <w:sz w:val="20"/>
                <w:szCs w:val="20"/>
                <w:color w:val="auto"/>
              </w:rPr>
            </w:pPr>
            <w:r>
              <w:rPr>
                <w:rFonts w:ascii="Arial" w:cs="Arial" w:eastAsia="Arial" w:hAnsi="Arial"/>
                <w:sz w:val="11"/>
                <w:szCs w:val="11"/>
                <w:b w:val="1"/>
                <w:bCs w:val="1"/>
                <w:color w:val="auto"/>
              </w:rPr>
              <w:t>Exercisable at Dec. 31, 2021</w:t>
            </w:r>
          </w:p>
        </w:tc>
        <w:tc>
          <w:tcPr>
            <w:tcW w:w="1640" w:type="dxa"/>
            <w:vAlign w:val="bottom"/>
            <w:tcBorders>
              <w:bottom w:val="single" w:sz="8" w:color="auto"/>
            </w:tcBorders>
          </w:tcPr>
          <w:p>
            <w:pPr>
              <w:jc w:val="right"/>
              <w:spacing w:after="0" w:line="111" w:lineRule="exact"/>
              <w:rPr>
                <w:sz w:val="20"/>
                <w:szCs w:val="20"/>
                <w:color w:val="auto"/>
              </w:rPr>
            </w:pPr>
            <w:r>
              <w:rPr>
                <w:rFonts w:ascii="Arial" w:cs="Arial" w:eastAsia="Arial" w:hAnsi="Arial"/>
                <w:sz w:val="11"/>
                <w:szCs w:val="11"/>
                <w:b w:val="1"/>
                <w:bCs w:val="1"/>
                <w:color w:val="auto"/>
              </w:rPr>
              <w:t>585</w:t>
            </w:r>
          </w:p>
        </w:tc>
        <w:tc>
          <w:tcPr>
            <w:tcW w:w="400" w:type="dxa"/>
            <w:vAlign w:val="bottom"/>
            <w:gridSpan w:val="2"/>
          </w:tcPr>
          <w:p>
            <w:pPr>
              <w:ind w:left="100"/>
              <w:spacing w:after="0" w:line="111" w:lineRule="exact"/>
              <w:rPr>
                <w:sz w:val="20"/>
                <w:szCs w:val="20"/>
                <w:color w:val="auto"/>
              </w:rPr>
            </w:pPr>
            <w:r>
              <w:rPr>
                <w:rFonts w:ascii="Arial" w:cs="Arial" w:eastAsia="Arial" w:hAnsi="Arial"/>
                <w:sz w:val="11"/>
                <w:szCs w:val="11"/>
                <w:b w:val="1"/>
                <w:bCs w:val="1"/>
                <w:color w:val="auto"/>
              </w:rPr>
              <w:t>$</w:t>
            </w:r>
          </w:p>
        </w:tc>
        <w:tc>
          <w:tcPr>
            <w:tcW w:w="1320" w:type="dxa"/>
            <w:vAlign w:val="bottom"/>
          </w:tcPr>
          <w:p>
            <w:pPr>
              <w:jc w:val="right"/>
              <w:spacing w:after="0" w:line="111" w:lineRule="exact"/>
              <w:rPr>
                <w:sz w:val="20"/>
                <w:szCs w:val="20"/>
                <w:color w:val="auto"/>
              </w:rPr>
            </w:pPr>
            <w:r>
              <w:rPr>
                <w:rFonts w:ascii="Arial" w:cs="Arial" w:eastAsia="Arial" w:hAnsi="Arial"/>
                <w:sz w:val="11"/>
                <w:szCs w:val="11"/>
                <w:b w:val="1"/>
                <w:bCs w:val="1"/>
                <w:color w:val="auto"/>
              </w:rPr>
              <w:t>10.88</w:t>
            </w:r>
          </w:p>
        </w:tc>
        <w:tc>
          <w:tcPr>
            <w:tcW w:w="80" w:type="dxa"/>
            <w:vAlign w:val="bottom"/>
          </w:tcPr>
          <w:p>
            <w:pPr>
              <w:spacing w:after="0"/>
              <w:rPr>
                <w:sz w:val="9"/>
                <w:szCs w:val="9"/>
                <w:color w:val="auto"/>
              </w:rPr>
            </w:pPr>
          </w:p>
        </w:tc>
        <w:tc>
          <w:tcPr>
            <w:tcW w:w="1660" w:type="dxa"/>
            <w:vAlign w:val="bottom"/>
          </w:tcPr>
          <w:p>
            <w:pPr>
              <w:jc w:val="right"/>
              <w:spacing w:after="0" w:line="111" w:lineRule="exact"/>
              <w:rPr>
                <w:sz w:val="20"/>
                <w:szCs w:val="20"/>
                <w:color w:val="auto"/>
              </w:rPr>
            </w:pPr>
            <w:r>
              <w:rPr>
                <w:rFonts w:ascii="Arial" w:cs="Arial" w:eastAsia="Arial" w:hAnsi="Arial"/>
                <w:sz w:val="11"/>
                <w:szCs w:val="11"/>
                <w:b w:val="1"/>
                <w:bCs w:val="1"/>
                <w:color w:val="auto"/>
              </w:rPr>
              <w:t>8.5</w:t>
            </w:r>
          </w:p>
        </w:tc>
        <w:tc>
          <w:tcPr>
            <w:tcW w:w="80" w:type="dxa"/>
            <w:vAlign w:val="bottom"/>
          </w:tcPr>
          <w:p>
            <w:pPr>
              <w:spacing w:after="0"/>
              <w:rPr>
                <w:sz w:val="9"/>
                <w:szCs w:val="9"/>
                <w:color w:val="auto"/>
              </w:rPr>
            </w:pPr>
          </w:p>
        </w:tc>
        <w:tc>
          <w:tcPr>
            <w:tcW w:w="740" w:type="dxa"/>
            <w:vAlign w:val="bottom"/>
          </w:tcPr>
          <w:p>
            <w:pPr>
              <w:jc w:val="right"/>
              <w:ind w:right="603"/>
              <w:spacing w:after="0" w:line="111" w:lineRule="exact"/>
              <w:rPr>
                <w:sz w:val="20"/>
                <w:szCs w:val="20"/>
                <w:color w:val="auto"/>
              </w:rPr>
            </w:pPr>
            <w:r>
              <w:rPr>
                <w:rFonts w:ascii="Arial" w:cs="Arial" w:eastAsia="Arial" w:hAnsi="Arial"/>
                <w:sz w:val="11"/>
                <w:szCs w:val="11"/>
                <w:b w:val="1"/>
                <w:bCs w:val="1"/>
                <w:color w:val="auto"/>
                <w:w w:val="97"/>
              </w:rPr>
              <w:t>$</w:t>
            </w:r>
          </w:p>
        </w:tc>
        <w:tc>
          <w:tcPr>
            <w:tcW w:w="900" w:type="dxa"/>
            <w:vAlign w:val="bottom"/>
          </w:tcPr>
          <w:p>
            <w:pPr>
              <w:jc w:val="right"/>
              <w:spacing w:after="0" w:line="111"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20" w:right="360" w:hanging="260"/>
        <w:spacing w:after="0" w:line="283" w:lineRule="auto"/>
        <w:tabs>
          <w:tab w:leader="none" w:pos="510" w:val="left"/>
        </w:tabs>
        <w:numPr>
          <w:ilvl w:val="0"/>
          <w:numId w:val="43"/>
        </w:numPr>
        <w:rPr>
          <w:rFonts w:ascii="Arial" w:cs="Arial" w:eastAsia="Arial" w:hAnsi="Arial"/>
          <w:sz w:val="11"/>
          <w:szCs w:val="11"/>
          <w:i w:val="1"/>
          <w:iCs w:val="1"/>
          <w:color w:val="auto"/>
        </w:rPr>
      </w:pPr>
      <w:r>
        <w:rPr>
          <w:rFonts w:ascii="Arial" w:cs="Arial" w:eastAsia="Arial" w:hAnsi="Arial"/>
          <w:sz w:val="11"/>
          <w:szCs w:val="11"/>
          <w:i w:val="1"/>
          <w:iCs w:val="1"/>
          <w:color w:val="auto"/>
        </w:rPr>
        <w:t>The aggregate intrinsic value is calculated as the product between the Company’s closing stock price as of December 31, 2021 and the exercise price of in-the-money options, multiplied by the number of stock options outstanding as of December 31, 2021.</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87</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85" w:right="319" w:bottom="1440" w:gutter="0" w:footer="0" w:header="0"/>
        </w:sectPr>
      </w:pPr>
    </w:p>
    <w:bookmarkStart w:id="90" w:name="page91"/>
    <w:bookmarkEnd w:id="90"/>
    <w:p>
      <w:pPr>
        <w:spacing w:after="0"/>
        <w:rPr>
          <w:sz w:val="20"/>
          <w:szCs w:val="20"/>
          <w:color w:val="auto"/>
        </w:rPr>
      </w:pPr>
      <w:r>
        <w:rPr>
          <w:rFonts w:ascii="Arial" w:cs="Arial" w:eastAsia="Arial" w:hAnsi="Arial"/>
          <w:sz w:val="13"/>
          <w:szCs w:val="13"/>
          <w:color w:val="auto"/>
        </w:rPr>
        <w:t>The fair value of stock options with a requisite service period of three to four years is determined using the Black-Scholes option pricing model using the following ranges of assumptions: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7640" w:type="dxa"/>
            <w:vAlign w:val="bottom"/>
            <w:tcBorders>
              <w:bottom w:val="single" w:sz="8" w:color="CCEEFF"/>
            </w:tcBorders>
          </w:tcPr>
          <w:p>
            <w:pPr>
              <w:spacing w:after="0"/>
              <w:rPr>
                <w:sz w:val="12"/>
                <w:szCs w:val="12"/>
                <w:color w:val="auto"/>
              </w:rPr>
            </w:pPr>
          </w:p>
        </w:tc>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rPr>
              <w:t>Twelve months ended Dec. 31, 2021</w:t>
            </w:r>
          </w:p>
        </w:tc>
      </w:tr>
      <w:tr>
        <w:trPr>
          <w:trHeight w:val="139"/>
        </w:trPr>
        <w:tc>
          <w:tcPr>
            <w:tcW w:w="7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Risk free interest rate</w:t>
            </w:r>
          </w:p>
        </w:tc>
        <w:tc>
          <w:tcPr>
            <w:tcW w:w="1360" w:type="dxa"/>
            <w:vAlign w:val="bottom"/>
            <w:shd w:val="clear" w:color="auto" w:fill="CCEEFF"/>
          </w:tcPr>
          <w:p>
            <w:pPr>
              <w:jc w:val="center"/>
              <w:ind w:left="223"/>
              <w:spacing w:after="0"/>
              <w:rPr>
                <w:sz w:val="20"/>
                <w:szCs w:val="20"/>
                <w:color w:val="auto"/>
              </w:rPr>
            </w:pPr>
            <w:r>
              <w:rPr>
                <w:rFonts w:ascii="Arial" w:cs="Arial" w:eastAsia="Arial" w:hAnsi="Arial"/>
                <w:sz w:val="11"/>
                <w:szCs w:val="11"/>
                <w:color w:val="auto"/>
              </w:rPr>
              <w:t>0.51%</w:t>
            </w:r>
          </w:p>
        </w:tc>
        <w:tc>
          <w:tcPr>
            <w:tcW w:w="9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0"/>
              </w:rPr>
              <w:t>—</w:t>
            </w:r>
          </w:p>
        </w:tc>
        <w:tc>
          <w:tcPr>
            <w:tcW w:w="1360" w:type="dxa"/>
            <w:vAlign w:val="bottom"/>
            <w:shd w:val="clear" w:color="auto" w:fill="CCEEFF"/>
          </w:tcPr>
          <w:p>
            <w:pPr>
              <w:jc w:val="center"/>
              <w:ind w:right="223"/>
              <w:spacing w:after="0"/>
              <w:rPr>
                <w:sz w:val="20"/>
                <w:szCs w:val="20"/>
                <w:color w:val="auto"/>
              </w:rPr>
            </w:pPr>
            <w:r>
              <w:rPr>
                <w:rFonts w:ascii="Arial" w:cs="Arial" w:eastAsia="Arial" w:hAnsi="Arial"/>
                <w:sz w:val="11"/>
                <w:szCs w:val="11"/>
                <w:color w:val="auto"/>
              </w:rPr>
              <w:t>1.33%</w:t>
            </w:r>
          </w:p>
        </w:tc>
      </w:tr>
      <w:tr>
        <w:trPr>
          <w:trHeight w:val="149"/>
        </w:trPr>
        <w:tc>
          <w:tcPr>
            <w:tcW w:w="7640" w:type="dxa"/>
            <w:vAlign w:val="bottom"/>
          </w:tcPr>
          <w:p>
            <w:pPr>
              <w:ind w:left="20"/>
              <w:spacing w:after="0"/>
              <w:rPr>
                <w:sz w:val="20"/>
                <w:szCs w:val="20"/>
                <w:color w:val="auto"/>
              </w:rPr>
            </w:pPr>
            <w:r>
              <w:rPr>
                <w:rFonts w:ascii="Arial" w:cs="Arial" w:eastAsia="Arial" w:hAnsi="Arial"/>
                <w:sz w:val="11"/>
                <w:szCs w:val="11"/>
                <w:color w:val="auto"/>
              </w:rPr>
              <w:t>Expected volatility</w:t>
            </w:r>
          </w:p>
        </w:tc>
        <w:tc>
          <w:tcPr>
            <w:tcW w:w="1360" w:type="dxa"/>
            <w:vAlign w:val="bottom"/>
          </w:tcPr>
          <w:p>
            <w:pPr>
              <w:jc w:val="center"/>
              <w:ind w:left="223"/>
              <w:spacing w:after="0"/>
              <w:rPr>
                <w:sz w:val="20"/>
                <w:szCs w:val="20"/>
                <w:color w:val="auto"/>
              </w:rPr>
            </w:pPr>
            <w:r>
              <w:rPr>
                <w:rFonts w:ascii="Arial" w:cs="Arial" w:eastAsia="Arial" w:hAnsi="Arial"/>
                <w:sz w:val="11"/>
                <w:szCs w:val="11"/>
                <w:color w:val="auto"/>
              </w:rPr>
              <w:t>67.4%</w:t>
            </w:r>
          </w:p>
        </w:tc>
        <w:tc>
          <w:tcPr>
            <w:tcW w:w="90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360" w:type="dxa"/>
            <w:vAlign w:val="bottom"/>
          </w:tcPr>
          <w:p>
            <w:pPr>
              <w:jc w:val="center"/>
              <w:ind w:right="223"/>
              <w:spacing w:after="0"/>
              <w:rPr>
                <w:sz w:val="20"/>
                <w:szCs w:val="20"/>
                <w:color w:val="auto"/>
              </w:rPr>
            </w:pPr>
            <w:r>
              <w:rPr>
                <w:rFonts w:ascii="Arial" w:cs="Arial" w:eastAsia="Arial" w:hAnsi="Arial"/>
                <w:sz w:val="11"/>
                <w:szCs w:val="11"/>
                <w:color w:val="auto"/>
              </w:rPr>
              <w:t>73.4%</w:t>
            </w:r>
          </w:p>
        </w:tc>
      </w:tr>
      <w:tr>
        <w:trPr>
          <w:trHeight w:val="149"/>
        </w:trPr>
        <w:tc>
          <w:tcPr>
            <w:tcW w:w="7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Expected life (years)</w:t>
            </w:r>
          </w:p>
        </w:tc>
        <w:tc>
          <w:tcPr>
            <w:tcW w:w="1360" w:type="dxa"/>
            <w:vAlign w:val="bottom"/>
            <w:shd w:val="clear" w:color="auto" w:fill="CCEEFF"/>
          </w:tcPr>
          <w:p>
            <w:pPr>
              <w:jc w:val="center"/>
              <w:ind w:left="203"/>
              <w:spacing w:after="0"/>
              <w:rPr>
                <w:sz w:val="20"/>
                <w:szCs w:val="20"/>
                <w:color w:val="auto"/>
              </w:rPr>
            </w:pPr>
            <w:r>
              <w:rPr>
                <w:rFonts w:ascii="Arial" w:cs="Arial" w:eastAsia="Arial" w:hAnsi="Arial"/>
                <w:sz w:val="11"/>
                <w:szCs w:val="11"/>
                <w:color w:val="auto"/>
              </w:rPr>
              <w:t>6.00</w:t>
            </w:r>
          </w:p>
        </w:tc>
        <w:tc>
          <w:tcPr>
            <w:tcW w:w="9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0"/>
              </w:rPr>
              <w:t>—</w:t>
            </w:r>
          </w:p>
        </w:tc>
        <w:tc>
          <w:tcPr>
            <w:tcW w:w="1360" w:type="dxa"/>
            <w:vAlign w:val="bottom"/>
            <w:shd w:val="clear" w:color="auto" w:fill="CCEEFF"/>
          </w:tcPr>
          <w:p>
            <w:pPr>
              <w:jc w:val="center"/>
              <w:ind w:right="243"/>
              <w:spacing w:after="0"/>
              <w:rPr>
                <w:sz w:val="20"/>
                <w:szCs w:val="20"/>
                <w:color w:val="auto"/>
              </w:rPr>
            </w:pPr>
            <w:r>
              <w:rPr>
                <w:rFonts w:ascii="Arial" w:cs="Arial" w:eastAsia="Arial" w:hAnsi="Arial"/>
                <w:sz w:val="11"/>
                <w:szCs w:val="11"/>
                <w:color w:val="auto"/>
              </w:rPr>
              <w:t>6.00</w:t>
            </w:r>
          </w:p>
        </w:tc>
      </w:tr>
      <w:tr>
        <w:trPr>
          <w:trHeight w:val="151"/>
        </w:trPr>
        <w:tc>
          <w:tcPr>
            <w:tcW w:w="7640" w:type="dxa"/>
            <w:vAlign w:val="bottom"/>
          </w:tcPr>
          <w:p>
            <w:pPr>
              <w:ind w:left="20"/>
              <w:spacing w:after="0"/>
              <w:rPr>
                <w:sz w:val="20"/>
                <w:szCs w:val="20"/>
                <w:color w:val="auto"/>
              </w:rPr>
            </w:pPr>
            <w:r>
              <w:rPr>
                <w:rFonts w:ascii="Arial" w:cs="Arial" w:eastAsia="Arial" w:hAnsi="Arial"/>
                <w:sz w:val="11"/>
                <w:szCs w:val="11"/>
                <w:color w:val="auto"/>
              </w:rPr>
              <w:t>Expected dividend yield</w:t>
            </w:r>
          </w:p>
        </w:tc>
        <w:tc>
          <w:tcPr>
            <w:tcW w:w="1360" w:type="dxa"/>
            <w:vAlign w:val="bottom"/>
          </w:tcPr>
          <w:p>
            <w:pPr>
              <w:jc w:val="center"/>
              <w:ind w:left="203"/>
              <w:spacing w:after="0"/>
              <w:rPr>
                <w:sz w:val="20"/>
                <w:szCs w:val="20"/>
                <w:color w:val="auto"/>
              </w:rPr>
            </w:pPr>
            <w:r>
              <w:rPr>
                <w:rFonts w:ascii="Arial" w:cs="Arial" w:eastAsia="Arial" w:hAnsi="Arial"/>
                <w:sz w:val="11"/>
                <w:szCs w:val="11"/>
                <w:color w:val="auto"/>
              </w:rPr>
              <w:t>0.0%</w:t>
            </w:r>
          </w:p>
        </w:tc>
        <w:tc>
          <w:tcPr>
            <w:tcW w:w="90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360" w:type="dxa"/>
            <w:vAlign w:val="bottom"/>
          </w:tcPr>
          <w:p>
            <w:pPr>
              <w:jc w:val="center"/>
              <w:ind w:right="223"/>
              <w:spacing w:after="0"/>
              <w:rPr>
                <w:sz w:val="20"/>
                <w:szCs w:val="20"/>
                <w:color w:val="auto"/>
              </w:rPr>
            </w:pPr>
            <w:r>
              <w:rPr>
                <w:rFonts w:ascii="Arial" w:cs="Arial" w:eastAsia="Arial" w:hAnsi="Arial"/>
                <w:sz w:val="11"/>
                <w:szCs w:val="11"/>
                <w:color w:val="auto"/>
                <w:w w:val="95"/>
              </w:rPr>
              <w:t>0.0%</w:t>
            </w:r>
          </w:p>
        </w:tc>
      </w:tr>
    </w:tbl>
    <w:p>
      <w:pPr>
        <w:spacing w:after="0" w:line="243" w:lineRule="exact"/>
        <w:rPr>
          <w:sz w:val="20"/>
          <w:szCs w:val="20"/>
          <w:color w:val="auto"/>
        </w:rPr>
      </w:pPr>
    </w:p>
    <w:p>
      <w:pPr>
        <w:ind w:right="500"/>
        <w:spacing w:after="0" w:line="244" w:lineRule="auto"/>
        <w:rPr>
          <w:sz w:val="20"/>
          <w:szCs w:val="20"/>
          <w:color w:val="auto"/>
        </w:rPr>
      </w:pPr>
      <w:r>
        <w:rPr>
          <w:rFonts w:ascii="Arial" w:cs="Arial" w:eastAsia="Arial" w:hAnsi="Arial"/>
          <w:sz w:val="13"/>
          <w:szCs w:val="13"/>
          <w:color w:val="auto"/>
        </w:rPr>
        <w:t>As of December 31, 2021, there was $26.4 million of unamortized share-based compensation expense related to stock options and these costs are expected to be recognized over a remaining weighted average period of 1.5 years.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Performance Stock Units (“PSUs”)</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2"/>
          <w:szCs w:val="12"/>
          <w:color w:val="auto"/>
        </w:rPr>
        <w:t>The criteria for the market-based PSUs is based on the Company’s total shareholder return (“TSR”) relative to the TSR of the common stock of a pre-defined industry peer group. TSR is measured at the end of the performance period, which is generally the period commencing on the grant date and ending on the three-year anniversary of the grant date. Depending on the relative TSR achieved, the number of PSUs earned can vary from 0% of the target award to a maximum of 200% of the target award. The Company estimated the grant-date fair value of the awards subject to a market condition using a Monte Carlo simulation model, using the following weighted-average assumptions: risk-free interest rate of 0.2% and annualized volatility of 72.0%. The grant date fair value of the PSUs was $22.17. The Company recognizes the grant date fair value of PSUs as compensation expense on a straight-line basis over the three-year performance period.</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A summary of the PSUs issued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900" w:type="dxa"/>
            <w:vAlign w:val="bottom"/>
          </w:tcPr>
          <w:p>
            <w:pPr>
              <w:spacing w:after="0"/>
              <w:rPr>
                <w:sz w:val="10"/>
                <w:szCs w:val="10"/>
                <w:color w:val="auto"/>
              </w:rPr>
            </w:pPr>
          </w:p>
        </w:tc>
        <w:tc>
          <w:tcPr>
            <w:tcW w:w="1360" w:type="dxa"/>
            <w:vAlign w:val="bottom"/>
            <w:vMerge w:val="restart"/>
          </w:tcPr>
          <w:p>
            <w:pPr>
              <w:ind w:left="380"/>
              <w:spacing w:after="0"/>
              <w:rPr>
                <w:sz w:val="20"/>
                <w:szCs w:val="20"/>
                <w:color w:val="auto"/>
              </w:rPr>
            </w:pPr>
            <w:r>
              <w:rPr>
                <w:rFonts w:ascii="Arial" w:cs="Arial" w:eastAsia="Arial" w:hAnsi="Arial"/>
                <w:sz w:val="11"/>
                <w:szCs w:val="11"/>
                <w:b w:val="1"/>
                <w:bCs w:val="1"/>
                <w:color w:val="auto"/>
              </w:rPr>
              <w:t>Number of PSUs</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gridSpan w:val="2"/>
          </w:tcPr>
          <w:p>
            <w:pPr>
              <w:jc w:val="right"/>
              <w:spacing w:after="0"/>
              <w:rPr>
                <w:sz w:val="20"/>
                <w:szCs w:val="20"/>
                <w:color w:val="auto"/>
              </w:rPr>
            </w:pPr>
            <w:r>
              <w:rPr>
                <w:rFonts w:ascii="Arial" w:cs="Arial" w:eastAsia="Arial" w:hAnsi="Arial"/>
                <w:sz w:val="11"/>
                <w:szCs w:val="11"/>
                <w:b w:val="1"/>
                <w:bCs w:val="1"/>
                <w:color w:val="auto"/>
              </w:rPr>
              <w:t>Weighted Average Fair Value</w:t>
            </w:r>
          </w:p>
        </w:tc>
        <w:tc>
          <w:tcPr>
            <w:tcW w:w="0" w:type="dxa"/>
            <w:vAlign w:val="bottom"/>
          </w:tcPr>
          <w:p>
            <w:pPr>
              <w:spacing w:after="0"/>
              <w:rPr>
                <w:sz w:val="1"/>
                <w:szCs w:val="1"/>
                <w:color w:val="auto"/>
              </w:rPr>
            </w:pPr>
          </w:p>
        </w:tc>
      </w:tr>
      <w:tr>
        <w:trPr>
          <w:trHeight w:val="138"/>
        </w:trPr>
        <w:tc>
          <w:tcPr>
            <w:tcW w:w="7900" w:type="dxa"/>
            <w:vAlign w:val="bottom"/>
            <w:tcBorders>
              <w:bottom w:val="single" w:sz="8" w:color="CCEEFF"/>
            </w:tcBorders>
          </w:tcPr>
          <w:p>
            <w:pPr>
              <w:spacing w:after="0"/>
              <w:rPr>
                <w:sz w:val="11"/>
                <w:szCs w:val="11"/>
                <w:color w:val="auto"/>
              </w:rPr>
            </w:pPr>
          </w:p>
        </w:tc>
        <w:tc>
          <w:tcPr>
            <w:tcW w:w="1360" w:type="dxa"/>
            <w:vAlign w:val="bottom"/>
            <w:tcBorders>
              <w:bottom w:val="single" w:sz="8" w:color="auto"/>
            </w:tcBorders>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at Date of Grant Per Unit</w:t>
            </w:r>
          </w:p>
        </w:tc>
        <w:tc>
          <w:tcPr>
            <w:tcW w:w="0" w:type="dxa"/>
            <w:vAlign w:val="bottom"/>
          </w:tcPr>
          <w:p>
            <w:pPr>
              <w:spacing w:after="0"/>
              <w:rPr>
                <w:sz w:val="1"/>
                <w:szCs w:val="1"/>
                <w:color w:val="auto"/>
              </w:rPr>
            </w:pPr>
          </w:p>
        </w:tc>
      </w:tr>
      <w:tr>
        <w:trPr>
          <w:trHeight w:val="13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Unvested units at December 31, 2020</w:t>
            </w:r>
          </w:p>
        </w:tc>
        <w:tc>
          <w:tcPr>
            <w:tcW w:w="136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39"/>
        </w:trPr>
        <w:tc>
          <w:tcPr>
            <w:tcW w:w="9260" w:type="dxa"/>
            <w:vAlign w:val="bottom"/>
            <w:gridSpan w:val="2"/>
          </w:tcPr>
          <w:p>
            <w:pPr>
              <w:ind w:left="20"/>
              <w:spacing w:after="0"/>
              <w:rPr>
                <w:sz w:val="20"/>
                <w:szCs w:val="20"/>
                <w:color w:val="auto"/>
              </w:rPr>
            </w:pPr>
            <w:r>
              <w:rPr>
                <w:rFonts w:ascii="Arial" w:cs="Arial" w:eastAsia="Arial" w:hAnsi="Arial"/>
                <w:sz w:val="11"/>
                <w:szCs w:val="11"/>
                <w:color w:val="auto"/>
              </w:rPr>
              <w:t>Granted</w:t>
            </w:r>
          </w:p>
        </w:tc>
        <w:tc>
          <w:tcPr>
            <w:tcW w:w="300" w:type="dxa"/>
            <w:vAlign w:val="bottom"/>
          </w:tcPr>
          <w:p>
            <w:pPr>
              <w:jc w:val="right"/>
              <w:spacing w:after="0"/>
              <w:rPr>
                <w:sz w:val="20"/>
                <w:szCs w:val="20"/>
                <w:color w:val="auto"/>
              </w:rPr>
            </w:pPr>
            <w:r>
              <w:rPr>
                <w:rFonts w:ascii="Arial" w:cs="Arial" w:eastAsia="Arial" w:hAnsi="Arial"/>
                <w:sz w:val="11"/>
                <w:szCs w:val="11"/>
                <w:color w:val="auto"/>
              </w:rPr>
              <w:t>489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1"/>
                <w:szCs w:val="11"/>
                <w:color w:val="auto"/>
              </w:rPr>
              <w:t>22.17</w:t>
            </w:r>
          </w:p>
        </w:tc>
        <w:tc>
          <w:tcPr>
            <w:tcW w:w="0" w:type="dxa"/>
            <w:vAlign w:val="bottom"/>
          </w:tcPr>
          <w:p>
            <w:pPr>
              <w:spacing w:after="0"/>
              <w:rPr>
                <w:sz w:val="1"/>
                <w:szCs w:val="1"/>
                <w:color w:val="auto"/>
              </w:rPr>
            </w:pPr>
          </w:p>
        </w:tc>
      </w:tr>
      <w:tr>
        <w:trPr>
          <w:trHeight w:val="149"/>
        </w:trPr>
        <w:tc>
          <w:tcPr>
            <w:tcW w:w="92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Vested</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Forfeited</w:t>
            </w:r>
          </w:p>
        </w:tc>
        <w:tc>
          <w:tcPr>
            <w:tcW w:w="13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22.17</w:t>
            </w:r>
          </w:p>
        </w:tc>
        <w:tc>
          <w:tcPr>
            <w:tcW w:w="0" w:type="dxa"/>
            <w:vAlign w:val="bottom"/>
          </w:tcPr>
          <w:p>
            <w:pPr>
              <w:spacing w:after="0"/>
              <w:rPr>
                <w:sz w:val="1"/>
                <w:szCs w:val="1"/>
                <w:color w:val="auto"/>
              </w:rPr>
            </w:pPr>
          </w:p>
        </w:tc>
      </w:tr>
      <w:tr>
        <w:trPr>
          <w:trHeight w:val="159"/>
        </w:trPr>
        <w:tc>
          <w:tcPr>
            <w:tcW w:w="9260" w:type="dxa"/>
            <w:vAlign w:val="bottom"/>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Unvested units at December 31, 2021</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472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22.17</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right="440"/>
        <w:spacing w:after="0" w:line="244" w:lineRule="auto"/>
        <w:rPr>
          <w:sz w:val="20"/>
          <w:szCs w:val="20"/>
          <w:color w:val="auto"/>
        </w:rPr>
      </w:pPr>
      <w:r>
        <w:rPr>
          <w:rFonts w:ascii="Arial" w:cs="Arial" w:eastAsia="Arial" w:hAnsi="Arial"/>
          <w:sz w:val="13"/>
          <w:szCs w:val="13"/>
          <w:color w:val="auto"/>
        </w:rPr>
        <w:t>As of December 31, 2021, there was $7.4 million of unamortized share-based compensation expense related to PSUs and these costs are expected to be recognized over a remaining weighted average period of 2.1 years.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2020 Employee Stock Purchase Plan (“2020 ESPP”)</w:t>
      </w:r>
    </w:p>
    <w:p>
      <w:pPr>
        <w:spacing w:after="0" w:line="181" w:lineRule="exact"/>
        <w:rPr>
          <w:sz w:val="20"/>
          <w:szCs w:val="20"/>
          <w:color w:val="auto"/>
        </w:rPr>
      </w:pPr>
    </w:p>
    <w:p>
      <w:pPr>
        <w:ind w:right="20"/>
        <w:spacing w:after="0"/>
        <w:rPr>
          <w:sz w:val="20"/>
          <w:szCs w:val="20"/>
          <w:color w:val="auto"/>
        </w:rPr>
      </w:pPr>
      <w:r>
        <w:rPr>
          <w:rFonts w:ascii="Arial" w:cs="Arial" w:eastAsia="Arial" w:hAnsi="Arial"/>
          <w:sz w:val="13"/>
          <w:szCs w:val="13"/>
          <w:color w:val="auto"/>
        </w:rPr>
        <w:t>On July 7, 2020, the Company adopted the 2020 Employee Stock Purchase Plan (“ESPP”), which became effective on the same date. The number of shares available for issuance under the ESPP will be annually increased on January 1 of each calendar year beginning in 2021 and ending in 2030, by an amount equal to the lesser of: (i) 1% of the aggregate number of shares of the Company’s Class A common stock outstanding on the final day of the immediately preceding calendar year and (ii) such smaller number of shares as is determined by the Company’s board of directors. The number of shares reserved for issuance at December 31, 2021 was 1,441 shares</w:t>
      </w:r>
    </w:p>
    <w:p>
      <w:pPr>
        <w:spacing w:after="0" w:line="166" w:lineRule="exact"/>
        <w:rPr>
          <w:sz w:val="20"/>
          <w:szCs w:val="20"/>
          <w:color w:val="auto"/>
        </w:rPr>
      </w:pPr>
    </w:p>
    <w:p>
      <w:pPr>
        <w:ind w:right="120"/>
        <w:spacing w:after="0"/>
        <w:rPr>
          <w:sz w:val="20"/>
          <w:szCs w:val="20"/>
          <w:color w:val="auto"/>
        </w:rPr>
      </w:pPr>
      <w:r>
        <w:rPr>
          <w:rFonts w:ascii="Arial" w:cs="Arial" w:eastAsia="Arial" w:hAnsi="Arial"/>
          <w:sz w:val="13"/>
          <w:szCs w:val="13"/>
          <w:color w:val="auto"/>
        </w:rPr>
        <w:t>The purpose of the 2020 ESPP is to provide the Company's eligible employees with an opportunity to purchase designated shares of the Company’s Class A common stock at a price equal to 85% of the lower of the closing price at the beginning or end of each offering period. During the twelve months ended December 31, 2021, the Company issued 209 shares of Class A common stock through the ESPP. For the twelve months ended December 31, 2021, the Company recorded share-based compensation expense related to the 2020 ESPP of $0.4 million. No shares were issued under the ESPP in 2020.</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Predecessor</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Class C Incentive Plan</w:t>
      </w:r>
    </w:p>
    <w:p>
      <w:pPr>
        <w:spacing w:after="0" w:line="181" w:lineRule="exact"/>
        <w:rPr>
          <w:sz w:val="20"/>
          <w:szCs w:val="20"/>
          <w:color w:val="auto"/>
        </w:rPr>
      </w:pPr>
    </w:p>
    <w:p>
      <w:pPr>
        <w:ind w:right="80"/>
        <w:spacing w:after="0" w:line="244" w:lineRule="auto"/>
        <w:rPr>
          <w:sz w:val="20"/>
          <w:szCs w:val="20"/>
          <w:color w:val="auto"/>
        </w:rPr>
      </w:pPr>
      <w:r>
        <w:rPr>
          <w:rFonts w:ascii="Arial" w:cs="Arial" w:eastAsia="Arial" w:hAnsi="Arial"/>
          <w:sz w:val="13"/>
          <w:szCs w:val="13"/>
          <w:color w:val="auto"/>
        </w:rPr>
        <w:t>Norvax had a Class C Incentive Plan (the “Class C Plan”), which Norvax accounted for as a liability award. Class C units granted under the plan represented profit interests’ units and entailed no initial capital contribution. Class C units had no voting rights.</w:t>
      </w:r>
    </w:p>
    <w:p>
      <w:pPr>
        <w:spacing w:after="0" w:line="163" w:lineRule="exact"/>
        <w:rPr>
          <w:sz w:val="20"/>
          <w:szCs w:val="20"/>
          <w:color w:val="auto"/>
        </w:rPr>
      </w:pPr>
    </w:p>
    <w:p>
      <w:pPr>
        <w:ind w:right="340"/>
        <w:spacing w:after="0" w:line="244" w:lineRule="auto"/>
        <w:rPr>
          <w:sz w:val="20"/>
          <w:szCs w:val="20"/>
          <w:color w:val="auto"/>
        </w:rPr>
      </w:pPr>
      <w:r>
        <w:rPr>
          <w:rFonts w:ascii="Arial" w:cs="Arial" w:eastAsia="Arial" w:hAnsi="Arial"/>
          <w:sz w:val="13"/>
          <w:szCs w:val="13"/>
          <w:color w:val="auto"/>
        </w:rPr>
        <w:t>On September 13, 2019, GoHealth Holdings, LLC acquired a 100% interest in Norvax. Per the Class C Plan, all eligible unvested units became vested and the Company recorded $73.9 million of compensation expense in the Predecessor 2019 Period.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88</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85" w:right="319" w:bottom="1440" w:gutter="0" w:footer="0" w:header="0"/>
        </w:sectPr>
      </w:pPr>
    </w:p>
    <w:bookmarkStart w:id="91" w:name="page92"/>
    <w:bookmarkEnd w:id="91"/>
    <w:p>
      <w:pPr>
        <w:spacing w:after="0"/>
        <w:rPr>
          <w:sz w:val="20"/>
          <w:szCs w:val="20"/>
          <w:color w:val="auto"/>
        </w:rPr>
      </w:pPr>
      <w:r>
        <w:rPr>
          <w:rFonts w:ascii="Arial" w:cs="Arial" w:eastAsia="Arial" w:hAnsi="Arial"/>
          <w:sz w:val="13"/>
          <w:szCs w:val="13"/>
          <w:i w:val="1"/>
          <w:iCs w:val="1"/>
          <w:color w:val="auto"/>
        </w:rPr>
        <w:t>Incentive Share Plan</w:t>
      </w:r>
    </w:p>
    <w:p>
      <w:pPr>
        <w:spacing w:after="0" w:line="181"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Norvax had an Incentive Share Plan, which Norvax accounted for as a liability award. The plan consisted of incentive share grants made to employees that provided for cash payments to participants upon the occurrence of a triggering event. Triggering events included a change in control or an employee’s involuntary termination without cause. In the event of a change in control, the triggering event value per share was the average per share purchase price of the common stock giving rise to such change in control.</w:t>
      </w:r>
    </w:p>
    <w:p>
      <w:pPr>
        <w:spacing w:after="0" w:line="165" w:lineRule="exact"/>
        <w:rPr>
          <w:sz w:val="20"/>
          <w:szCs w:val="20"/>
          <w:color w:val="auto"/>
        </w:rPr>
      </w:pPr>
    </w:p>
    <w:p>
      <w:pPr>
        <w:ind w:right="40"/>
        <w:spacing w:after="0" w:line="244" w:lineRule="auto"/>
        <w:rPr>
          <w:sz w:val="20"/>
          <w:szCs w:val="20"/>
          <w:color w:val="auto"/>
        </w:rPr>
      </w:pPr>
      <w:r>
        <w:rPr>
          <w:rFonts w:ascii="Arial" w:cs="Arial" w:eastAsia="Arial" w:hAnsi="Arial"/>
          <w:sz w:val="13"/>
          <w:szCs w:val="13"/>
          <w:color w:val="auto"/>
        </w:rPr>
        <w:t>On September 13, 2019, GHH, LLC acquired a 100% interest in Norvax. Per the Incentive Share Plan, a change in control triggering event occurred and employees granted incentive shares under this plan became eligible for cash payments and as a result, the Company recorded $13.1 million in incentive share expense in the Predecessor 2019 Period.</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color w:val="0A2299"/>
        </w:rPr>
        <w:t>8. NET LOSS PER SHARE</w:t>
      </w:r>
    </w:p>
    <w:p>
      <w:pPr>
        <w:spacing w:after="0" w:line="185" w:lineRule="exact"/>
        <w:rPr>
          <w:sz w:val="20"/>
          <w:szCs w:val="20"/>
          <w:color w:val="auto"/>
        </w:rPr>
      </w:pPr>
    </w:p>
    <w:p>
      <w:pPr>
        <w:jc w:val="both"/>
        <w:ind w:right="80"/>
        <w:spacing w:after="0" w:line="241" w:lineRule="auto"/>
        <w:rPr>
          <w:sz w:val="20"/>
          <w:szCs w:val="20"/>
          <w:color w:val="auto"/>
        </w:rPr>
      </w:pPr>
      <w:r>
        <w:rPr>
          <w:rFonts w:ascii="Arial" w:cs="Arial" w:eastAsia="Arial" w:hAnsi="Arial"/>
          <w:sz w:val="13"/>
          <w:szCs w:val="13"/>
          <w:color w:val="auto"/>
        </w:rPr>
        <w:t>Basic loss per share is computed by dividing net loss attributable to GoHealth, Inc. by the weighted-average number of shares of Class A common stock outstanding during the period. Diluted loss per share is computed giving effect to all potentially dilutive shares. Diluted loss per share for all periods presented is the same as basic loss per share as the inclusion of potentially issuable shares would be antidilutive.</w:t>
      </w:r>
    </w:p>
    <w:p>
      <w:pPr>
        <w:spacing w:after="0" w:line="165" w:lineRule="exact"/>
        <w:rPr>
          <w:sz w:val="20"/>
          <w:szCs w:val="20"/>
          <w:color w:val="auto"/>
        </w:rPr>
      </w:pPr>
    </w:p>
    <w:p>
      <w:pPr>
        <w:ind w:right="80"/>
        <w:spacing w:after="0"/>
        <w:rPr>
          <w:sz w:val="20"/>
          <w:szCs w:val="20"/>
          <w:color w:val="auto"/>
        </w:rPr>
      </w:pPr>
      <w:r>
        <w:rPr>
          <w:rFonts w:ascii="Arial" w:cs="Arial" w:eastAsia="Arial" w:hAnsi="Arial"/>
          <w:sz w:val="13"/>
          <w:szCs w:val="13"/>
          <w:color w:val="auto"/>
        </w:rPr>
        <w:t>Prior to the IPO, the GHH, LLC membership structure included Preferred units, Senior Preferred Earnout Units, Class A common units, Class B common units and Profit Units. The Company analyzed the calculation of earnings per unit for periods prior to the IPO using the two-class method and determined that it resulted in values that would not be meaningful to the users of these Consolidated Financial Statements. Therefore, earnings per share information has not been presented for periods prior to the IPO on July 17, 2020. The basic and diluted earnings per share represent only the period from July 17, 2020 to December 31, 2020, and the period from January 1, 2021 to December 31, 2021.</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A reconciliation of the numerator and denominator used in the calculation of basic and diluted net loss per share of Class A common stock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900" w:type="dxa"/>
            <w:vAlign w:val="bottom"/>
            <w:vMerge w:val="restart"/>
          </w:tcPr>
          <w:p>
            <w:pPr>
              <w:ind w:left="20"/>
              <w:spacing w:after="0"/>
              <w:rPr>
                <w:sz w:val="20"/>
                <w:szCs w:val="20"/>
                <w:color w:val="auto"/>
              </w:rPr>
            </w:pPr>
            <w:r>
              <w:rPr>
                <w:rFonts w:ascii="Arial" w:cs="Arial" w:eastAsia="Arial" w:hAnsi="Arial"/>
                <w:sz w:val="11"/>
                <w:szCs w:val="11"/>
                <w:color w:val="auto"/>
              </w:rPr>
              <w:t>(in thousands, except per share amounts)</w:t>
            </w:r>
          </w:p>
        </w:tc>
        <w:tc>
          <w:tcPr>
            <w:tcW w:w="10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Twelve months ended Dec.</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Twelve months ended Dec.</w:t>
            </w:r>
          </w:p>
        </w:tc>
        <w:tc>
          <w:tcPr>
            <w:tcW w:w="0" w:type="dxa"/>
            <w:vAlign w:val="bottom"/>
          </w:tcPr>
          <w:p>
            <w:pPr>
              <w:spacing w:after="0"/>
              <w:rPr>
                <w:sz w:val="1"/>
                <w:szCs w:val="1"/>
                <w:color w:val="auto"/>
              </w:rPr>
            </w:pPr>
          </w:p>
        </w:tc>
      </w:tr>
      <w:tr>
        <w:trPr>
          <w:trHeight w:val="138"/>
        </w:trPr>
        <w:tc>
          <w:tcPr>
            <w:tcW w:w="7900" w:type="dxa"/>
            <w:vAlign w:val="bottom"/>
            <w:tcBorders>
              <w:bottom w:val="single" w:sz="8" w:color="CCEEFF"/>
            </w:tcBorders>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jc w:val="right"/>
              <w:ind w:right="543"/>
              <w:spacing w:after="0"/>
              <w:rPr>
                <w:sz w:val="20"/>
                <w:szCs w:val="20"/>
                <w:color w:val="auto"/>
              </w:rPr>
            </w:pPr>
            <w:r>
              <w:rPr>
                <w:rFonts w:ascii="Arial" w:cs="Arial" w:eastAsia="Arial" w:hAnsi="Arial"/>
                <w:sz w:val="11"/>
                <w:szCs w:val="11"/>
                <w:b w:val="1"/>
                <w:bCs w:val="1"/>
                <w:color w:val="auto"/>
              </w:rPr>
              <w:t>31, 2021</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jc w:val="right"/>
              <w:ind w:right="543"/>
              <w:spacing w:after="0"/>
              <w:rPr>
                <w:sz w:val="20"/>
                <w:szCs w:val="20"/>
                <w:color w:val="auto"/>
              </w:rPr>
            </w:pPr>
            <w:r>
              <w:rPr>
                <w:rFonts w:ascii="Arial" w:cs="Arial" w:eastAsia="Arial" w:hAnsi="Arial"/>
                <w:sz w:val="11"/>
                <w:szCs w:val="11"/>
                <w:b w:val="1"/>
                <w:bCs w:val="1"/>
                <w:color w:val="auto"/>
              </w:rPr>
              <w:t>31, 2020</w:t>
            </w:r>
          </w:p>
        </w:tc>
        <w:tc>
          <w:tcPr>
            <w:tcW w:w="0" w:type="dxa"/>
            <w:vAlign w:val="bottom"/>
          </w:tcPr>
          <w:p>
            <w:pPr>
              <w:spacing w:after="0"/>
              <w:rPr>
                <w:sz w:val="1"/>
                <w:szCs w:val="1"/>
                <w:color w:val="auto"/>
              </w:rPr>
            </w:pPr>
          </w:p>
        </w:tc>
      </w:tr>
      <w:tr>
        <w:trPr>
          <w:trHeight w:val="12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i w:val="1"/>
                <w:iCs w:val="1"/>
                <w:color w:val="auto"/>
              </w:rPr>
              <w:t>Numerator:</w:t>
            </w:r>
          </w:p>
        </w:tc>
        <w:tc>
          <w:tcPr>
            <w:tcW w:w="10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900" w:type="dxa"/>
            <w:vAlign w:val="bottom"/>
          </w:tcPr>
          <w:p>
            <w:pPr>
              <w:ind w:left="180"/>
              <w:spacing w:after="0"/>
              <w:rPr>
                <w:sz w:val="20"/>
                <w:szCs w:val="20"/>
                <w:color w:val="auto"/>
              </w:rPr>
            </w:pPr>
            <w:r>
              <w:rPr>
                <w:rFonts w:ascii="Arial" w:cs="Arial" w:eastAsia="Arial" w:hAnsi="Arial"/>
                <w:sz w:val="11"/>
                <w:szCs w:val="11"/>
                <w:color w:val="auto"/>
              </w:rPr>
              <w:t>Net loss</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560" w:type="dxa"/>
            <w:vAlign w:val="bottom"/>
          </w:tcPr>
          <w:p>
            <w:pPr>
              <w:jc w:val="right"/>
              <w:spacing w:after="0"/>
              <w:rPr>
                <w:sz w:val="20"/>
                <w:szCs w:val="20"/>
                <w:color w:val="auto"/>
              </w:rPr>
            </w:pPr>
            <w:r>
              <w:rPr>
                <w:rFonts w:ascii="Arial" w:cs="Arial" w:eastAsia="Arial" w:hAnsi="Arial"/>
                <w:sz w:val="11"/>
                <w:szCs w:val="11"/>
                <w:color w:val="auto"/>
              </w:rPr>
              <w:t>(534,194)</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560" w:type="dxa"/>
            <w:vAlign w:val="bottom"/>
          </w:tcPr>
          <w:p>
            <w:pPr>
              <w:jc w:val="right"/>
              <w:spacing w:after="0"/>
              <w:rPr>
                <w:sz w:val="20"/>
                <w:szCs w:val="20"/>
                <w:color w:val="auto"/>
              </w:rPr>
            </w:pPr>
            <w:r>
              <w:rPr>
                <w:rFonts w:ascii="Arial" w:cs="Arial" w:eastAsia="Arial" w:hAnsi="Arial"/>
                <w:sz w:val="11"/>
                <w:szCs w:val="11"/>
                <w:color w:val="auto"/>
              </w:rPr>
              <w:t>(97,200)</w:t>
            </w:r>
          </w:p>
        </w:tc>
        <w:tc>
          <w:tcPr>
            <w:tcW w:w="0" w:type="dxa"/>
            <w:vAlign w:val="bottom"/>
          </w:tcPr>
          <w:p>
            <w:pPr>
              <w:spacing w:after="0"/>
              <w:rPr>
                <w:sz w:val="1"/>
                <w:szCs w:val="1"/>
                <w:color w:val="auto"/>
              </w:rPr>
            </w:pPr>
          </w:p>
        </w:tc>
      </w:tr>
      <w:tr>
        <w:trPr>
          <w:trHeight w:val="149"/>
        </w:trPr>
        <w:tc>
          <w:tcPr>
            <w:tcW w:w="79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Less: Net loss attributable to GoHealth, Inc. prior to the IPO</w:t>
            </w:r>
          </w:p>
        </w:tc>
        <w:tc>
          <w:tcPr>
            <w:tcW w:w="10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(25,465)</w:t>
            </w:r>
          </w:p>
        </w:tc>
        <w:tc>
          <w:tcPr>
            <w:tcW w:w="0" w:type="dxa"/>
            <w:vAlign w:val="bottom"/>
          </w:tcPr>
          <w:p>
            <w:pPr>
              <w:spacing w:after="0"/>
              <w:rPr>
                <w:sz w:val="1"/>
                <w:szCs w:val="1"/>
                <w:color w:val="auto"/>
              </w:rPr>
            </w:pPr>
          </w:p>
        </w:tc>
      </w:tr>
      <w:tr>
        <w:trPr>
          <w:trHeight w:val="149"/>
        </w:trPr>
        <w:tc>
          <w:tcPr>
            <w:tcW w:w="790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Less: Net loss attributable to non-controlling interests subsequent to the IPO</w:t>
            </w:r>
          </w:p>
        </w:tc>
        <w:tc>
          <w:tcPr>
            <w:tcW w:w="1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(344,837)</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(52,933)</w:t>
            </w:r>
          </w:p>
        </w:tc>
        <w:tc>
          <w:tcPr>
            <w:tcW w:w="0" w:type="dxa"/>
            <w:vAlign w:val="bottom"/>
          </w:tcPr>
          <w:p>
            <w:pPr>
              <w:spacing w:after="0"/>
              <w:rPr>
                <w:sz w:val="1"/>
                <w:szCs w:val="1"/>
                <w:color w:val="auto"/>
              </w:rPr>
            </w:pPr>
          </w:p>
        </w:tc>
      </w:tr>
      <w:tr>
        <w:trPr>
          <w:trHeight w:val="13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loss attributable to GoHealth, Inc.</w:t>
            </w:r>
          </w:p>
        </w:tc>
        <w:tc>
          <w:tcPr>
            <w:tcW w:w="100" w:type="dxa"/>
            <w:vAlign w:val="bottom"/>
            <w:tcBorders>
              <w:bottom w:val="single" w:sz="8" w:color="auto"/>
            </w:tcBorders>
            <w:shd w:val="clear" w:color="auto" w:fill="CCEEFF"/>
          </w:tcPr>
          <w:p>
            <w:pPr>
              <w:spacing w:after="0"/>
              <w:rPr>
                <w:sz w:val="12"/>
                <w:szCs w:val="1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(189,357)</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(18,802)</w:t>
            </w:r>
          </w:p>
        </w:tc>
        <w:tc>
          <w:tcPr>
            <w:tcW w:w="0" w:type="dxa"/>
            <w:vAlign w:val="bottom"/>
          </w:tcPr>
          <w:p>
            <w:pPr>
              <w:spacing w:after="0"/>
              <w:rPr>
                <w:sz w:val="1"/>
                <w:szCs w:val="1"/>
                <w:color w:val="auto"/>
              </w:rPr>
            </w:pPr>
          </w:p>
        </w:tc>
      </w:tr>
      <w:tr>
        <w:trPr>
          <w:trHeight w:val="129"/>
        </w:trPr>
        <w:tc>
          <w:tcPr>
            <w:tcW w:w="7900" w:type="dxa"/>
            <w:vAlign w:val="bottom"/>
          </w:tcPr>
          <w:p>
            <w:pPr>
              <w:ind w:left="20"/>
              <w:spacing w:after="0"/>
              <w:rPr>
                <w:sz w:val="20"/>
                <w:szCs w:val="20"/>
                <w:color w:val="auto"/>
              </w:rPr>
            </w:pPr>
            <w:r>
              <w:rPr>
                <w:rFonts w:ascii="Arial" w:cs="Arial" w:eastAsia="Arial" w:hAnsi="Arial"/>
                <w:sz w:val="11"/>
                <w:szCs w:val="11"/>
                <w:i w:val="1"/>
                <w:iCs w:val="1"/>
                <w:color w:val="auto"/>
              </w:rPr>
              <w:t>Denominator:</w:t>
            </w: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9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Weighted-average shares of Class A common stock outstanding—basic</w:t>
            </w:r>
          </w:p>
        </w:tc>
        <w:tc>
          <w:tcPr>
            <w:tcW w:w="100" w:type="dxa"/>
            <w:vAlign w:val="bottom"/>
            <w:shd w:val="clear" w:color="auto" w:fill="CCEEFF"/>
          </w:tcPr>
          <w:p>
            <w:pPr>
              <w:spacing w:after="0"/>
              <w:rPr>
                <w:sz w:val="12"/>
                <w:szCs w:val="12"/>
                <w:color w:val="auto"/>
              </w:rPr>
            </w:pPr>
          </w:p>
        </w:tc>
        <w:tc>
          <w:tcPr>
            <w:tcW w:w="1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105,991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84,189</w:t>
            </w:r>
          </w:p>
        </w:tc>
        <w:tc>
          <w:tcPr>
            <w:tcW w:w="0" w:type="dxa"/>
            <w:vAlign w:val="bottom"/>
          </w:tcPr>
          <w:p>
            <w:pPr>
              <w:spacing w:after="0"/>
              <w:rPr>
                <w:sz w:val="1"/>
                <w:szCs w:val="1"/>
                <w:color w:val="auto"/>
              </w:rPr>
            </w:pPr>
          </w:p>
        </w:tc>
      </w:tr>
      <w:tr>
        <w:trPr>
          <w:trHeight w:val="149"/>
        </w:trPr>
        <w:tc>
          <w:tcPr>
            <w:tcW w:w="7900" w:type="dxa"/>
            <w:vAlign w:val="bottom"/>
          </w:tcPr>
          <w:p>
            <w:pPr>
              <w:ind w:left="180"/>
              <w:spacing w:after="0"/>
              <w:rPr>
                <w:sz w:val="20"/>
                <w:szCs w:val="20"/>
                <w:color w:val="auto"/>
              </w:rPr>
            </w:pPr>
            <w:r>
              <w:rPr>
                <w:rFonts w:ascii="Arial" w:cs="Arial" w:eastAsia="Arial" w:hAnsi="Arial"/>
                <w:sz w:val="11"/>
                <w:szCs w:val="11"/>
                <w:color w:val="auto"/>
              </w:rPr>
              <w:t>Effect of dilutive securities</w:t>
            </w:r>
          </w:p>
        </w:tc>
        <w:tc>
          <w:tcPr>
            <w:tcW w:w="100" w:type="dxa"/>
            <w:vAlign w:val="bottom"/>
          </w:tcPr>
          <w:p>
            <w:pPr>
              <w:spacing w:after="0"/>
              <w:rPr>
                <w:sz w:val="12"/>
                <w:szCs w:val="12"/>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7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Weighted-average shares of Class A common stock outstanding—diluted</w:t>
            </w: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5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105,991</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84,189</w:t>
            </w:r>
          </w:p>
        </w:tc>
        <w:tc>
          <w:tcPr>
            <w:tcW w:w="0" w:type="dxa"/>
            <w:vAlign w:val="bottom"/>
          </w:tcPr>
          <w:p>
            <w:pPr>
              <w:spacing w:after="0"/>
              <w:rPr>
                <w:sz w:val="1"/>
                <w:szCs w:val="1"/>
                <w:color w:val="auto"/>
              </w:rPr>
            </w:pPr>
          </w:p>
        </w:tc>
      </w:tr>
      <w:tr>
        <w:trPr>
          <w:trHeight w:val="139"/>
        </w:trPr>
        <w:tc>
          <w:tcPr>
            <w:tcW w:w="7900" w:type="dxa"/>
            <w:vAlign w:val="bottom"/>
          </w:tcPr>
          <w:p>
            <w:pPr>
              <w:ind w:left="20"/>
              <w:spacing w:after="0"/>
              <w:rPr>
                <w:sz w:val="20"/>
                <w:szCs w:val="20"/>
                <w:color w:val="auto"/>
              </w:rPr>
            </w:pPr>
            <w:r>
              <w:rPr>
                <w:rFonts w:ascii="Arial" w:cs="Arial" w:eastAsia="Arial" w:hAnsi="Arial"/>
                <w:sz w:val="11"/>
                <w:szCs w:val="11"/>
                <w:b w:val="1"/>
                <w:bCs w:val="1"/>
                <w:color w:val="auto"/>
              </w:rPr>
              <w:t>Net loss per share of Class A common stock—basic and diluted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(1.79)</w:t>
            </w: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(0.22)</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number of shares were excluded from the calculation of diluted loss per share because the effect of including such potentially dilutive shares would have been antidilutive: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166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1"/>
                <w:szCs w:val="11"/>
                <w:b w:val="1"/>
                <w:bCs w:val="1"/>
                <w:color w:val="auto"/>
              </w:rPr>
              <w:t>December 31, 2021</w:t>
            </w:r>
          </w:p>
        </w:tc>
        <w:tc>
          <w:tcPr>
            <w:tcW w:w="80" w:type="dxa"/>
            <w:vAlign w:val="bottom"/>
            <w:tcBorders>
              <w:bottom w:val="single" w:sz="8" w:color="CCEEFF"/>
            </w:tcBorders>
          </w:tcPr>
          <w:p>
            <w:pPr>
              <w:spacing w:after="0"/>
              <w:rPr>
                <w:sz w:val="13"/>
                <w:szCs w:val="13"/>
                <w:color w:val="auto"/>
              </w:rPr>
            </w:pPr>
          </w:p>
        </w:tc>
        <w:tc>
          <w:tcPr>
            <w:tcW w:w="164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rPr>
              <w:t>December 31, 2020</w:t>
            </w:r>
          </w:p>
        </w:tc>
      </w:tr>
      <w:tr>
        <w:trPr>
          <w:trHeight w:val="13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Class A common stock issuable pursuant to equity awards</w:t>
            </w:r>
          </w:p>
        </w:tc>
        <w:tc>
          <w:tcPr>
            <w:tcW w:w="16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7,347</w:t>
            </w:r>
          </w:p>
        </w:tc>
        <w:tc>
          <w:tcPr>
            <w:tcW w:w="8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2,665</w:t>
            </w:r>
          </w:p>
        </w:tc>
      </w:tr>
      <w:tr>
        <w:trPr>
          <w:trHeight w:val="151"/>
        </w:trPr>
        <w:tc>
          <w:tcPr>
            <w:tcW w:w="7900" w:type="dxa"/>
            <w:vAlign w:val="bottom"/>
          </w:tcPr>
          <w:p>
            <w:pPr>
              <w:ind w:left="20"/>
              <w:spacing w:after="0"/>
              <w:rPr>
                <w:sz w:val="20"/>
                <w:szCs w:val="20"/>
                <w:color w:val="auto"/>
              </w:rPr>
            </w:pPr>
            <w:r>
              <w:rPr>
                <w:rFonts w:ascii="Arial" w:cs="Arial" w:eastAsia="Arial" w:hAnsi="Arial"/>
                <w:sz w:val="11"/>
                <w:szCs w:val="11"/>
                <w:color w:val="auto"/>
              </w:rPr>
              <w:t>Class B common stock</w:t>
            </w:r>
          </w:p>
        </w:tc>
        <w:tc>
          <w:tcPr>
            <w:tcW w:w="1660" w:type="dxa"/>
            <w:vAlign w:val="bottom"/>
          </w:tcPr>
          <w:p>
            <w:pPr>
              <w:jc w:val="right"/>
              <w:ind w:right="3"/>
              <w:spacing w:after="0"/>
              <w:rPr>
                <w:sz w:val="20"/>
                <w:szCs w:val="20"/>
                <w:color w:val="auto"/>
              </w:rPr>
            </w:pPr>
            <w:r>
              <w:rPr>
                <w:rFonts w:ascii="Arial" w:cs="Arial" w:eastAsia="Arial" w:hAnsi="Arial"/>
                <w:sz w:val="11"/>
                <w:szCs w:val="11"/>
                <w:color w:val="auto"/>
              </w:rPr>
              <w:t>205,352</w:t>
            </w:r>
          </w:p>
        </w:tc>
        <w:tc>
          <w:tcPr>
            <w:tcW w:w="8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1"/>
                <w:szCs w:val="11"/>
                <w:color w:val="auto"/>
              </w:rPr>
              <w:t>236,997</w:t>
            </w:r>
          </w:p>
        </w:tc>
      </w:tr>
    </w:tbl>
    <w:p>
      <w:pPr>
        <w:spacing w:after="0" w:line="233" w:lineRule="exact"/>
        <w:rPr>
          <w:sz w:val="20"/>
          <w:szCs w:val="20"/>
          <w:color w:val="auto"/>
        </w:rPr>
      </w:pPr>
    </w:p>
    <w:p>
      <w:pPr>
        <w:ind w:right="80"/>
        <w:spacing w:after="0" w:line="241" w:lineRule="auto"/>
        <w:rPr>
          <w:sz w:val="20"/>
          <w:szCs w:val="20"/>
          <w:color w:val="auto"/>
        </w:rPr>
      </w:pPr>
      <w:r>
        <w:rPr>
          <w:rFonts w:ascii="Arial" w:cs="Arial" w:eastAsia="Arial" w:hAnsi="Arial"/>
          <w:sz w:val="13"/>
          <w:szCs w:val="13"/>
          <w:color w:val="auto"/>
        </w:rPr>
        <w:t>Shares of Class B common stock do not share in earnings and are not participating securities. Accordingly, separate presentation of loss per share of Class B common stock under the two-class method has not been presented. Shares of Class B common stock are, however, considered potentially dilutive shares of Class A common stock. After evaluating the potential dilutive effect, shares of Class B common stock were determined to be anti-dilutive and have therefore been excluded from the computation of diluted earnings per share of Class A common stock.</w:t>
      </w:r>
    </w:p>
    <w:p>
      <w:pPr>
        <w:spacing w:after="0" w:line="165" w:lineRule="exact"/>
        <w:rPr>
          <w:sz w:val="20"/>
          <w:szCs w:val="20"/>
          <w:color w:val="auto"/>
        </w:rPr>
      </w:pPr>
    </w:p>
    <w:p>
      <w:pPr>
        <w:ind w:right="100"/>
        <w:spacing w:after="0"/>
        <w:rPr>
          <w:sz w:val="20"/>
          <w:szCs w:val="20"/>
          <w:color w:val="auto"/>
        </w:rPr>
      </w:pPr>
      <w:r>
        <w:rPr>
          <w:rFonts w:ascii="Arial" w:cs="Arial" w:eastAsia="Arial" w:hAnsi="Arial"/>
          <w:sz w:val="13"/>
          <w:szCs w:val="13"/>
          <w:color w:val="auto"/>
        </w:rPr>
        <w:t>For periods prior to the Transactions and the IPO, the reported income taxes represent those of GHH, LLC. As a result of the Transactions and the IPO, the Company became subject to U.S. federal and certain state and local income taxes with respect to its allocable share of any taxable income or loss generated by GHH, LLC. There was no pro forma impact on loss per share to reflect income tax expense at an effective tax rate as the Company determined it is not more likely than not that the tax benefits associated with the deferred tax assets arising from the Transactions and the IPO will be realized.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89</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92" w:name="page93"/>
    <w:bookmarkEnd w:id="92"/>
    <w:p>
      <w:pPr>
        <w:spacing w:after="0"/>
        <w:rPr>
          <w:sz w:val="20"/>
          <w:szCs w:val="20"/>
          <w:color w:val="auto"/>
        </w:rPr>
      </w:pPr>
      <w:r>
        <w:rPr>
          <w:rFonts w:ascii="Arial" w:cs="Arial" w:eastAsia="Arial" w:hAnsi="Arial"/>
          <w:sz w:val="13"/>
          <w:szCs w:val="13"/>
          <w:b w:val="1"/>
          <w:bCs w:val="1"/>
          <w:color w:val="0A2299"/>
        </w:rPr>
        <w:t>9. INCOME TAXES</w:t>
      </w:r>
    </w:p>
    <w:p>
      <w:pPr>
        <w:spacing w:after="0" w:line="185" w:lineRule="exact"/>
        <w:rPr>
          <w:sz w:val="20"/>
          <w:szCs w:val="20"/>
          <w:color w:val="auto"/>
        </w:rPr>
      </w:pPr>
    </w:p>
    <w:p>
      <w:pPr>
        <w:ind w:right="200"/>
        <w:spacing w:after="0" w:line="239" w:lineRule="auto"/>
        <w:rPr>
          <w:sz w:val="20"/>
          <w:szCs w:val="20"/>
          <w:color w:val="auto"/>
        </w:rPr>
      </w:pPr>
      <w:r>
        <w:rPr>
          <w:rFonts w:ascii="Arial" w:cs="Arial" w:eastAsia="Arial" w:hAnsi="Arial"/>
          <w:sz w:val="13"/>
          <w:szCs w:val="13"/>
          <w:color w:val="auto"/>
        </w:rPr>
        <w:t>The Company is taxed as a corporation for income tax purposes and is subject to federal, state, and local taxes on the income allocated to it from GHH, LLC based upon the Company’s economic interest in GHH, LLC. The Company is the sole managing member of GHH, LLC and, as a result, consolidates the financial results of GHH, LLC. GHH, LLC is a limited liability company taxed as a partnership for income tax purposes, and the subsidiaries of GHH, LLC are limited liability companies for income tax purposes except for a subsidiary and its foreign subsidiary, which are taxed as a corporation and foreign disregarded entity, respectively. As such, GHH, LLC does not pay any federal income taxes, as income or loss is included in the tax returns of the individual members. Additionally, certain wholly-owned entities taxed as corporations are subject to federal, state, and foreign income taxes in the jurisdictions in which they operate, and accruals for such taxes are included in the Consolidated Financial Statements. For periods prior to the IPO, the Company’s taxes represent those of GHH, LLC.</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The components of income (loss) before income taxes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1"/>
                <w:szCs w:val="11"/>
                <w:b w:val="1"/>
                <w:bCs w:val="1"/>
                <w:color w:val="auto"/>
              </w:rPr>
              <w:t>Successor</w:t>
            </w:r>
          </w:p>
        </w:tc>
        <w:tc>
          <w:tcPr>
            <w:tcW w:w="1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center"/>
              <w:ind w:right="83"/>
              <w:spacing w:after="0"/>
              <w:rPr>
                <w:sz w:val="20"/>
                <w:szCs w:val="20"/>
                <w:color w:val="auto"/>
              </w:rPr>
            </w:pPr>
            <w:r>
              <w:rPr>
                <w:rFonts w:ascii="Arial" w:cs="Arial" w:eastAsia="Arial" w:hAnsi="Arial"/>
                <w:sz w:val="11"/>
                <w:szCs w:val="11"/>
                <w:b w:val="1"/>
                <w:bCs w:val="1"/>
                <w:color w:val="auto"/>
              </w:rPr>
              <w:t>Predecessor</w:t>
            </w:r>
          </w:p>
        </w:tc>
        <w:tc>
          <w:tcPr>
            <w:tcW w:w="0" w:type="dxa"/>
            <w:vAlign w:val="bottom"/>
          </w:tcPr>
          <w:p>
            <w:pPr>
              <w:spacing w:after="0"/>
              <w:rPr>
                <w:sz w:val="1"/>
                <w:szCs w:val="1"/>
                <w:color w:val="auto"/>
              </w:rPr>
            </w:pPr>
          </w:p>
        </w:tc>
      </w:tr>
      <w:tr>
        <w:trPr>
          <w:trHeight w:val="107"/>
        </w:trPr>
        <w:tc>
          <w:tcPr>
            <w:tcW w:w="4460" w:type="dxa"/>
            <w:vAlign w:val="bottom"/>
            <w:vMerge w:val="restart"/>
          </w:tcPr>
          <w:p>
            <w:pPr>
              <w:ind w:left="20"/>
              <w:spacing w:after="0"/>
              <w:rPr>
                <w:sz w:val="20"/>
                <w:szCs w:val="20"/>
                <w:color w:val="auto"/>
              </w:rPr>
            </w:pPr>
            <w:r>
              <w:rPr>
                <w:rFonts w:ascii="Arial" w:cs="Arial" w:eastAsia="Arial" w:hAnsi="Arial"/>
                <w:sz w:val="11"/>
                <w:szCs w:val="11"/>
                <w:color w:val="auto"/>
              </w:rPr>
              <w:t>(in thousands)</w:t>
            </w:r>
          </w:p>
        </w:tc>
        <w:tc>
          <w:tcPr>
            <w:tcW w:w="80" w:type="dxa"/>
            <w:vAlign w:val="bottom"/>
          </w:tcPr>
          <w:p>
            <w:pPr>
              <w:spacing w:after="0"/>
              <w:rPr>
                <w:sz w:val="9"/>
                <w:szCs w:val="9"/>
                <w:color w:val="auto"/>
              </w:rPr>
            </w:pPr>
          </w:p>
        </w:tc>
        <w:tc>
          <w:tcPr>
            <w:tcW w:w="1640" w:type="dxa"/>
            <w:vAlign w:val="bottom"/>
            <w:gridSpan w:val="2"/>
          </w:tcPr>
          <w:p>
            <w:pPr>
              <w:ind w:left="20"/>
              <w:spacing w:after="0" w:line="107" w:lineRule="exact"/>
              <w:rPr>
                <w:sz w:val="20"/>
                <w:szCs w:val="20"/>
                <w:color w:val="auto"/>
              </w:rPr>
            </w:pPr>
            <w:r>
              <w:rPr>
                <w:rFonts w:ascii="Arial" w:cs="Arial" w:eastAsia="Arial" w:hAnsi="Arial"/>
                <w:sz w:val="11"/>
                <w:szCs w:val="11"/>
                <w:b w:val="1"/>
                <w:bCs w:val="1"/>
                <w:color w:val="auto"/>
              </w:rPr>
              <w:t>Twelve months ended Dec.</w:t>
            </w:r>
          </w:p>
        </w:tc>
        <w:tc>
          <w:tcPr>
            <w:tcW w:w="80" w:type="dxa"/>
            <w:vAlign w:val="bottom"/>
          </w:tcPr>
          <w:p>
            <w:pPr>
              <w:spacing w:after="0"/>
              <w:rPr>
                <w:sz w:val="9"/>
                <w:szCs w:val="9"/>
                <w:color w:val="auto"/>
              </w:rPr>
            </w:pPr>
          </w:p>
        </w:tc>
        <w:tc>
          <w:tcPr>
            <w:tcW w:w="1640" w:type="dxa"/>
            <w:vAlign w:val="bottom"/>
            <w:gridSpan w:val="2"/>
          </w:tcPr>
          <w:p>
            <w:pPr>
              <w:jc w:val="center"/>
              <w:ind w:right="160"/>
              <w:spacing w:after="0" w:line="107" w:lineRule="exact"/>
              <w:rPr>
                <w:sz w:val="20"/>
                <w:szCs w:val="20"/>
                <w:color w:val="auto"/>
              </w:rPr>
            </w:pPr>
            <w:r>
              <w:rPr>
                <w:rFonts w:ascii="Arial" w:cs="Arial" w:eastAsia="Arial" w:hAnsi="Arial"/>
                <w:sz w:val="11"/>
                <w:szCs w:val="11"/>
                <w:b w:val="1"/>
                <w:bCs w:val="1"/>
                <w:color w:val="auto"/>
              </w:rPr>
              <w:t>Twelve months ended Dec.</w:t>
            </w:r>
          </w:p>
        </w:tc>
        <w:tc>
          <w:tcPr>
            <w:tcW w:w="120" w:type="dxa"/>
            <w:vAlign w:val="bottom"/>
          </w:tcPr>
          <w:p>
            <w:pPr>
              <w:spacing w:after="0"/>
              <w:rPr>
                <w:sz w:val="9"/>
                <w:szCs w:val="9"/>
                <w:color w:val="auto"/>
              </w:rPr>
            </w:pPr>
          </w:p>
        </w:tc>
        <w:tc>
          <w:tcPr>
            <w:tcW w:w="1640" w:type="dxa"/>
            <w:vAlign w:val="bottom"/>
            <w:tcBorders>
              <w:right w:val="single" w:sz="8" w:color="auto"/>
            </w:tcBorders>
            <w:gridSpan w:val="2"/>
          </w:tcPr>
          <w:p>
            <w:pPr>
              <w:jc w:val="center"/>
              <w:ind w:right="220"/>
              <w:spacing w:after="0" w:line="107" w:lineRule="exact"/>
              <w:rPr>
                <w:sz w:val="20"/>
                <w:szCs w:val="20"/>
                <w:color w:val="auto"/>
              </w:rPr>
            </w:pPr>
            <w:r>
              <w:rPr>
                <w:rFonts w:ascii="Arial" w:cs="Arial" w:eastAsia="Arial" w:hAnsi="Arial"/>
                <w:sz w:val="11"/>
                <w:szCs w:val="11"/>
                <w:b w:val="1"/>
                <w:bCs w:val="1"/>
                <w:color w:val="auto"/>
              </w:rPr>
              <w:t>Period from Sep. 13, 2019</w:t>
            </w:r>
          </w:p>
        </w:tc>
        <w:tc>
          <w:tcPr>
            <w:tcW w:w="120" w:type="dxa"/>
            <w:vAlign w:val="bottom"/>
          </w:tcPr>
          <w:p>
            <w:pPr>
              <w:spacing w:after="0"/>
              <w:rPr>
                <w:sz w:val="9"/>
                <w:szCs w:val="9"/>
                <w:color w:val="auto"/>
              </w:rPr>
            </w:pPr>
          </w:p>
        </w:tc>
        <w:tc>
          <w:tcPr>
            <w:tcW w:w="1500" w:type="dxa"/>
            <w:vAlign w:val="bottom"/>
          </w:tcPr>
          <w:p>
            <w:pPr>
              <w:jc w:val="center"/>
              <w:ind w:right="63"/>
              <w:spacing w:after="0" w:line="107" w:lineRule="exact"/>
              <w:rPr>
                <w:sz w:val="20"/>
                <w:szCs w:val="20"/>
                <w:color w:val="auto"/>
              </w:rPr>
            </w:pPr>
            <w:r>
              <w:rPr>
                <w:rFonts w:ascii="Arial" w:cs="Arial" w:eastAsia="Arial" w:hAnsi="Arial"/>
                <w:sz w:val="11"/>
                <w:szCs w:val="11"/>
                <w:b w:val="1"/>
                <w:bCs w:val="1"/>
                <w:color w:val="auto"/>
              </w:rPr>
              <w:t>Period from Jan. 1, 2019</w:t>
            </w:r>
          </w:p>
        </w:tc>
        <w:tc>
          <w:tcPr>
            <w:tcW w:w="0" w:type="dxa"/>
            <w:vAlign w:val="bottom"/>
          </w:tcPr>
          <w:p>
            <w:pPr>
              <w:spacing w:after="0"/>
              <w:rPr>
                <w:sz w:val="1"/>
                <w:szCs w:val="1"/>
                <w:color w:val="auto"/>
              </w:rPr>
            </w:pPr>
          </w:p>
        </w:tc>
      </w:tr>
      <w:tr>
        <w:trPr>
          <w:trHeight w:val="138"/>
        </w:trPr>
        <w:tc>
          <w:tcPr>
            <w:tcW w:w="4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jc w:val="right"/>
              <w:ind w:right="543"/>
              <w:spacing w:after="0"/>
              <w:rPr>
                <w:sz w:val="20"/>
                <w:szCs w:val="20"/>
                <w:color w:val="auto"/>
              </w:rPr>
            </w:pPr>
            <w:r>
              <w:rPr>
                <w:rFonts w:ascii="Arial" w:cs="Arial" w:eastAsia="Arial" w:hAnsi="Arial"/>
                <w:sz w:val="11"/>
                <w:szCs w:val="11"/>
                <w:b w:val="1"/>
                <w:bCs w:val="1"/>
                <w:color w:val="auto"/>
              </w:rPr>
              <w:t>31, 2021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jc w:val="center"/>
              <w:ind w:right="23"/>
              <w:spacing w:after="0"/>
              <w:rPr>
                <w:sz w:val="20"/>
                <w:szCs w:val="20"/>
                <w:color w:val="auto"/>
              </w:rPr>
            </w:pPr>
            <w:r>
              <w:rPr>
                <w:rFonts w:ascii="Arial" w:cs="Arial" w:eastAsia="Arial" w:hAnsi="Arial"/>
                <w:sz w:val="11"/>
                <w:szCs w:val="11"/>
                <w:b w:val="1"/>
                <w:bCs w:val="1"/>
                <w:color w:val="auto"/>
              </w:rPr>
              <w:t>31, 2020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rPr>
              <w:t>through Dec. 31, 2019</w:t>
            </w:r>
          </w:p>
        </w:tc>
        <w:tc>
          <w:tcPr>
            <w:tcW w:w="120" w:type="dxa"/>
            <w:vAlign w:val="bottom"/>
          </w:tcPr>
          <w:p>
            <w:pPr>
              <w:spacing w:after="0"/>
              <w:rPr>
                <w:sz w:val="11"/>
                <w:szCs w:val="11"/>
                <w:color w:val="auto"/>
              </w:rPr>
            </w:pPr>
          </w:p>
        </w:tc>
        <w:tc>
          <w:tcPr>
            <w:tcW w:w="1500" w:type="dxa"/>
            <w:vAlign w:val="bottom"/>
          </w:tcPr>
          <w:p>
            <w:pPr>
              <w:jc w:val="center"/>
              <w:ind w:right="63"/>
              <w:spacing w:after="0"/>
              <w:rPr>
                <w:sz w:val="20"/>
                <w:szCs w:val="20"/>
                <w:color w:val="auto"/>
              </w:rPr>
            </w:pPr>
            <w:r>
              <w:rPr>
                <w:rFonts w:ascii="Arial" w:cs="Arial" w:eastAsia="Arial" w:hAnsi="Arial"/>
                <w:sz w:val="11"/>
                <w:szCs w:val="11"/>
                <w:b w:val="1"/>
                <w:bCs w:val="1"/>
                <w:color w:val="auto"/>
              </w:rPr>
              <w:t>through Sep. 12, 2019</w:t>
            </w:r>
          </w:p>
        </w:tc>
        <w:tc>
          <w:tcPr>
            <w:tcW w:w="0" w:type="dxa"/>
            <w:vAlign w:val="bottom"/>
          </w:tcPr>
          <w:p>
            <w:pPr>
              <w:spacing w:after="0"/>
              <w:rPr>
                <w:sz w:val="1"/>
                <w:szCs w:val="1"/>
                <w:color w:val="auto"/>
              </w:rPr>
            </w:pPr>
          </w:p>
        </w:tc>
      </w:tr>
      <w:tr>
        <w:trPr>
          <w:trHeight w:val="139"/>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Domestic</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(534,929)</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(98,297)</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15,514</w:t>
            </w:r>
          </w:p>
        </w:tc>
        <w:tc>
          <w:tcPr>
            <w:tcW w:w="100" w:type="dxa"/>
            <w:vAlign w:val="bottom"/>
            <w:tcBorders>
              <w:top w:val="single" w:sz="8" w:color="CCEEFF"/>
              <w:right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(57,227)</w:t>
            </w:r>
          </w:p>
        </w:tc>
        <w:tc>
          <w:tcPr>
            <w:tcW w:w="0" w:type="dxa"/>
            <w:vAlign w:val="bottom"/>
          </w:tcPr>
          <w:p>
            <w:pPr>
              <w:spacing w:after="0"/>
              <w:rPr>
                <w:sz w:val="1"/>
                <w:szCs w:val="1"/>
                <w:color w:val="auto"/>
              </w:rPr>
            </w:pPr>
          </w:p>
        </w:tc>
      </w:tr>
      <w:tr>
        <w:trPr>
          <w:trHeight w:val="149"/>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Foreign</w:t>
            </w:r>
          </w:p>
        </w:tc>
        <w:tc>
          <w:tcPr>
            <w:tcW w:w="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711</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1,140</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525</w:t>
            </w:r>
          </w:p>
        </w:tc>
        <w:tc>
          <w:tcPr>
            <w:tcW w:w="100" w:type="dxa"/>
            <w:vAlign w:val="bottom"/>
            <w:tcBorders>
              <w:bottom w:val="single" w:sz="8" w:color="CCEEFF"/>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98</w:t>
            </w:r>
          </w:p>
        </w:tc>
        <w:tc>
          <w:tcPr>
            <w:tcW w:w="0" w:type="dxa"/>
            <w:vAlign w:val="bottom"/>
          </w:tcPr>
          <w:p>
            <w:pPr>
              <w:spacing w:after="0"/>
              <w:rPr>
                <w:sz w:val="1"/>
                <w:szCs w:val="1"/>
                <w:color w:val="auto"/>
              </w:rPr>
            </w:pPr>
          </w:p>
        </w:tc>
      </w:tr>
      <w:tr>
        <w:trPr>
          <w:trHeight w:val="164"/>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Income (loss) before income taxes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(534,218)</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(97,157)</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16,039</w:t>
            </w:r>
          </w:p>
        </w:tc>
        <w:tc>
          <w:tcPr>
            <w:tcW w:w="100" w:type="dxa"/>
            <w:vAlign w:val="bottom"/>
            <w:tcBorders>
              <w:bottom w:val="single" w:sz="8" w:color="CCEEFF"/>
              <w:right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(57,129)</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3"/>
          <w:szCs w:val="13"/>
          <w:color w:val="auto"/>
        </w:rPr>
        <w:t>The components of income tax expense (benefit)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1"/>
                <w:szCs w:val="11"/>
                <w:b w:val="1"/>
                <w:bCs w:val="1"/>
                <w:color w:val="auto"/>
              </w:rPr>
              <w:t>Successor</w:t>
            </w:r>
          </w:p>
        </w:tc>
        <w:tc>
          <w:tcPr>
            <w:tcW w:w="1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center"/>
              <w:ind w:right="83"/>
              <w:spacing w:after="0"/>
              <w:rPr>
                <w:sz w:val="20"/>
                <w:szCs w:val="20"/>
                <w:color w:val="auto"/>
              </w:rPr>
            </w:pPr>
            <w:r>
              <w:rPr>
                <w:rFonts w:ascii="Arial" w:cs="Arial" w:eastAsia="Arial" w:hAnsi="Arial"/>
                <w:sz w:val="11"/>
                <w:szCs w:val="11"/>
                <w:b w:val="1"/>
                <w:bCs w:val="1"/>
                <w:color w:val="auto"/>
              </w:rPr>
              <w:t>Predecessor</w:t>
            </w:r>
          </w:p>
        </w:tc>
        <w:tc>
          <w:tcPr>
            <w:tcW w:w="0" w:type="dxa"/>
            <w:vAlign w:val="bottom"/>
          </w:tcPr>
          <w:p>
            <w:pPr>
              <w:spacing w:after="0"/>
              <w:rPr>
                <w:sz w:val="1"/>
                <w:szCs w:val="1"/>
                <w:color w:val="auto"/>
              </w:rPr>
            </w:pPr>
          </w:p>
        </w:tc>
      </w:tr>
      <w:tr>
        <w:trPr>
          <w:trHeight w:val="107"/>
        </w:trPr>
        <w:tc>
          <w:tcPr>
            <w:tcW w:w="4460" w:type="dxa"/>
            <w:vAlign w:val="bottom"/>
            <w:vMerge w:val="restart"/>
          </w:tcPr>
          <w:p>
            <w:pPr>
              <w:ind w:left="20"/>
              <w:spacing w:after="0"/>
              <w:rPr>
                <w:sz w:val="20"/>
                <w:szCs w:val="20"/>
                <w:color w:val="auto"/>
              </w:rPr>
            </w:pPr>
            <w:r>
              <w:rPr>
                <w:rFonts w:ascii="Arial" w:cs="Arial" w:eastAsia="Arial" w:hAnsi="Arial"/>
                <w:sz w:val="11"/>
                <w:szCs w:val="11"/>
                <w:color w:val="auto"/>
              </w:rPr>
              <w:t>(in thousands)</w:t>
            </w:r>
          </w:p>
        </w:tc>
        <w:tc>
          <w:tcPr>
            <w:tcW w:w="80" w:type="dxa"/>
            <w:vAlign w:val="bottom"/>
          </w:tcPr>
          <w:p>
            <w:pPr>
              <w:spacing w:after="0"/>
              <w:rPr>
                <w:sz w:val="9"/>
                <w:szCs w:val="9"/>
                <w:color w:val="auto"/>
              </w:rPr>
            </w:pPr>
          </w:p>
        </w:tc>
        <w:tc>
          <w:tcPr>
            <w:tcW w:w="1640" w:type="dxa"/>
            <w:vAlign w:val="bottom"/>
            <w:gridSpan w:val="2"/>
          </w:tcPr>
          <w:p>
            <w:pPr>
              <w:ind w:left="20"/>
              <w:spacing w:after="0" w:line="107" w:lineRule="exact"/>
              <w:rPr>
                <w:sz w:val="20"/>
                <w:szCs w:val="20"/>
                <w:color w:val="auto"/>
              </w:rPr>
            </w:pPr>
            <w:r>
              <w:rPr>
                <w:rFonts w:ascii="Arial" w:cs="Arial" w:eastAsia="Arial" w:hAnsi="Arial"/>
                <w:sz w:val="11"/>
                <w:szCs w:val="11"/>
                <w:b w:val="1"/>
                <w:bCs w:val="1"/>
                <w:color w:val="auto"/>
              </w:rPr>
              <w:t>Twelve months ended Dec.</w:t>
            </w:r>
          </w:p>
        </w:tc>
        <w:tc>
          <w:tcPr>
            <w:tcW w:w="80" w:type="dxa"/>
            <w:vAlign w:val="bottom"/>
          </w:tcPr>
          <w:p>
            <w:pPr>
              <w:spacing w:after="0"/>
              <w:rPr>
                <w:sz w:val="9"/>
                <w:szCs w:val="9"/>
                <w:color w:val="auto"/>
              </w:rPr>
            </w:pPr>
          </w:p>
        </w:tc>
        <w:tc>
          <w:tcPr>
            <w:tcW w:w="1640" w:type="dxa"/>
            <w:vAlign w:val="bottom"/>
            <w:gridSpan w:val="2"/>
          </w:tcPr>
          <w:p>
            <w:pPr>
              <w:jc w:val="center"/>
              <w:ind w:right="160"/>
              <w:spacing w:after="0" w:line="107" w:lineRule="exact"/>
              <w:rPr>
                <w:sz w:val="20"/>
                <w:szCs w:val="20"/>
                <w:color w:val="auto"/>
              </w:rPr>
            </w:pPr>
            <w:r>
              <w:rPr>
                <w:rFonts w:ascii="Arial" w:cs="Arial" w:eastAsia="Arial" w:hAnsi="Arial"/>
                <w:sz w:val="11"/>
                <w:szCs w:val="11"/>
                <w:b w:val="1"/>
                <w:bCs w:val="1"/>
                <w:color w:val="auto"/>
              </w:rPr>
              <w:t>Twelve months ended Dec.</w:t>
            </w:r>
          </w:p>
        </w:tc>
        <w:tc>
          <w:tcPr>
            <w:tcW w:w="120" w:type="dxa"/>
            <w:vAlign w:val="bottom"/>
          </w:tcPr>
          <w:p>
            <w:pPr>
              <w:spacing w:after="0"/>
              <w:rPr>
                <w:sz w:val="9"/>
                <w:szCs w:val="9"/>
                <w:color w:val="auto"/>
              </w:rPr>
            </w:pPr>
          </w:p>
        </w:tc>
        <w:tc>
          <w:tcPr>
            <w:tcW w:w="1640" w:type="dxa"/>
            <w:vAlign w:val="bottom"/>
            <w:tcBorders>
              <w:right w:val="single" w:sz="8" w:color="auto"/>
            </w:tcBorders>
            <w:gridSpan w:val="2"/>
          </w:tcPr>
          <w:p>
            <w:pPr>
              <w:jc w:val="center"/>
              <w:ind w:right="220"/>
              <w:spacing w:after="0" w:line="107" w:lineRule="exact"/>
              <w:rPr>
                <w:sz w:val="20"/>
                <w:szCs w:val="20"/>
                <w:color w:val="auto"/>
              </w:rPr>
            </w:pPr>
            <w:r>
              <w:rPr>
                <w:rFonts w:ascii="Arial" w:cs="Arial" w:eastAsia="Arial" w:hAnsi="Arial"/>
                <w:sz w:val="11"/>
                <w:szCs w:val="11"/>
                <w:b w:val="1"/>
                <w:bCs w:val="1"/>
                <w:color w:val="auto"/>
              </w:rPr>
              <w:t>Period from Sep. 13, 2019</w:t>
            </w:r>
          </w:p>
        </w:tc>
        <w:tc>
          <w:tcPr>
            <w:tcW w:w="120" w:type="dxa"/>
            <w:vAlign w:val="bottom"/>
          </w:tcPr>
          <w:p>
            <w:pPr>
              <w:spacing w:after="0"/>
              <w:rPr>
                <w:sz w:val="9"/>
                <w:szCs w:val="9"/>
                <w:color w:val="auto"/>
              </w:rPr>
            </w:pPr>
          </w:p>
        </w:tc>
        <w:tc>
          <w:tcPr>
            <w:tcW w:w="1500" w:type="dxa"/>
            <w:vAlign w:val="bottom"/>
          </w:tcPr>
          <w:p>
            <w:pPr>
              <w:jc w:val="center"/>
              <w:ind w:right="63"/>
              <w:spacing w:after="0" w:line="107" w:lineRule="exact"/>
              <w:rPr>
                <w:sz w:val="20"/>
                <w:szCs w:val="20"/>
                <w:color w:val="auto"/>
              </w:rPr>
            </w:pPr>
            <w:r>
              <w:rPr>
                <w:rFonts w:ascii="Arial" w:cs="Arial" w:eastAsia="Arial" w:hAnsi="Arial"/>
                <w:sz w:val="11"/>
                <w:szCs w:val="11"/>
                <w:b w:val="1"/>
                <w:bCs w:val="1"/>
                <w:color w:val="auto"/>
              </w:rPr>
              <w:t>Period from Jan. 1, 2019</w:t>
            </w:r>
          </w:p>
        </w:tc>
        <w:tc>
          <w:tcPr>
            <w:tcW w:w="0" w:type="dxa"/>
            <w:vAlign w:val="bottom"/>
          </w:tcPr>
          <w:p>
            <w:pPr>
              <w:spacing w:after="0"/>
              <w:rPr>
                <w:sz w:val="1"/>
                <w:szCs w:val="1"/>
                <w:color w:val="auto"/>
              </w:rPr>
            </w:pPr>
          </w:p>
        </w:tc>
      </w:tr>
      <w:tr>
        <w:trPr>
          <w:trHeight w:val="138"/>
        </w:trPr>
        <w:tc>
          <w:tcPr>
            <w:tcW w:w="4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jc w:val="right"/>
              <w:ind w:right="543"/>
              <w:spacing w:after="0"/>
              <w:rPr>
                <w:sz w:val="20"/>
                <w:szCs w:val="20"/>
                <w:color w:val="auto"/>
              </w:rPr>
            </w:pPr>
            <w:r>
              <w:rPr>
                <w:rFonts w:ascii="Arial" w:cs="Arial" w:eastAsia="Arial" w:hAnsi="Arial"/>
                <w:sz w:val="11"/>
                <w:szCs w:val="11"/>
                <w:b w:val="1"/>
                <w:bCs w:val="1"/>
                <w:color w:val="auto"/>
              </w:rPr>
              <w:t>31, 2021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jc w:val="center"/>
              <w:ind w:right="23"/>
              <w:spacing w:after="0"/>
              <w:rPr>
                <w:sz w:val="20"/>
                <w:szCs w:val="20"/>
                <w:color w:val="auto"/>
              </w:rPr>
            </w:pPr>
            <w:r>
              <w:rPr>
                <w:rFonts w:ascii="Arial" w:cs="Arial" w:eastAsia="Arial" w:hAnsi="Arial"/>
                <w:sz w:val="11"/>
                <w:szCs w:val="11"/>
                <w:b w:val="1"/>
                <w:bCs w:val="1"/>
                <w:color w:val="auto"/>
              </w:rPr>
              <w:t>31, 2020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rPr>
              <w:t>through Dec. 31, 2019</w:t>
            </w:r>
          </w:p>
        </w:tc>
        <w:tc>
          <w:tcPr>
            <w:tcW w:w="120" w:type="dxa"/>
            <w:vAlign w:val="bottom"/>
          </w:tcPr>
          <w:p>
            <w:pPr>
              <w:spacing w:after="0"/>
              <w:rPr>
                <w:sz w:val="11"/>
                <w:szCs w:val="11"/>
                <w:color w:val="auto"/>
              </w:rPr>
            </w:pPr>
          </w:p>
        </w:tc>
        <w:tc>
          <w:tcPr>
            <w:tcW w:w="1500" w:type="dxa"/>
            <w:vAlign w:val="bottom"/>
          </w:tcPr>
          <w:p>
            <w:pPr>
              <w:jc w:val="center"/>
              <w:ind w:right="63"/>
              <w:spacing w:after="0"/>
              <w:rPr>
                <w:sz w:val="20"/>
                <w:szCs w:val="20"/>
                <w:color w:val="auto"/>
              </w:rPr>
            </w:pPr>
            <w:r>
              <w:rPr>
                <w:rFonts w:ascii="Arial" w:cs="Arial" w:eastAsia="Arial" w:hAnsi="Arial"/>
                <w:sz w:val="11"/>
                <w:szCs w:val="11"/>
                <w:b w:val="1"/>
                <w:bCs w:val="1"/>
                <w:color w:val="auto"/>
              </w:rPr>
              <w:t>through Sep. 12, 2019</w:t>
            </w:r>
          </w:p>
        </w:tc>
        <w:tc>
          <w:tcPr>
            <w:tcW w:w="0" w:type="dxa"/>
            <w:vAlign w:val="bottom"/>
          </w:tcPr>
          <w:p>
            <w:pPr>
              <w:spacing w:after="0"/>
              <w:rPr>
                <w:sz w:val="1"/>
                <w:szCs w:val="1"/>
                <w:color w:val="auto"/>
              </w:rPr>
            </w:pPr>
          </w:p>
        </w:tc>
      </w:tr>
      <w:tr>
        <w:trPr>
          <w:trHeight w:val="129"/>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i w:val="1"/>
                <w:iCs w:val="1"/>
                <w:color w:val="auto"/>
              </w:rPr>
              <w:t>Current income taxes:</w:t>
            </w:r>
          </w:p>
        </w:tc>
        <w:tc>
          <w:tcPr>
            <w:tcW w:w="80" w:type="dxa"/>
            <w:vAlign w:val="bottom"/>
            <w:tcBorders>
              <w:top w:val="single" w:sz="8" w:color="auto"/>
            </w:tcBorders>
            <w:shd w:val="clear" w:color="auto" w:fill="CCEEFF"/>
          </w:tcPr>
          <w:p>
            <w:pPr>
              <w:spacing w:after="0"/>
              <w:rPr>
                <w:sz w:val="11"/>
                <w:szCs w:val="11"/>
                <w:color w:val="auto"/>
              </w:rPr>
            </w:pPr>
          </w:p>
        </w:tc>
        <w:tc>
          <w:tcPr>
            <w:tcW w:w="1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5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right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5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60" w:type="dxa"/>
            <w:vAlign w:val="bottom"/>
          </w:tcPr>
          <w:p>
            <w:pPr>
              <w:ind w:left="180"/>
              <w:spacing w:after="0"/>
              <w:rPr>
                <w:sz w:val="20"/>
                <w:szCs w:val="20"/>
                <w:color w:val="auto"/>
              </w:rPr>
            </w:pPr>
            <w:r>
              <w:rPr>
                <w:rFonts w:ascii="Arial" w:cs="Arial" w:eastAsia="Arial" w:hAnsi="Arial"/>
                <w:sz w:val="11"/>
                <w:szCs w:val="11"/>
                <w:color w:val="auto"/>
              </w:rPr>
              <w:t>Federal</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560" w:type="dxa"/>
            <w:vAlign w:val="bottom"/>
          </w:tcPr>
          <w:p>
            <w:pPr>
              <w:jc w:val="right"/>
              <w:spacing w:after="0"/>
              <w:rPr>
                <w:sz w:val="20"/>
                <w:szCs w:val="20"/>
                <w:color w:val="auto"/>
              </w:rPr>
            </w:pPr>
            <w:r>
              <w:rPr>
                <w:rFonts w:ascii="Arial" w:cs="Arial" w:eastAsia="Arial" w:hAnsi="Arial"/>
                <w:sz w:val="11"/>
                <w:szCs w:val="11"/>
                <w:color w:val="auto"/>
              </w:rPr>
              <w:t>(87)</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560" w:type="dxa"/>
            <w:vAlign w:val="bottom"/>
          </w:tcPr>
          <w:p>
            <w:pPr>
              <w:jc w:val="right"/>
              <w:spacing w:after="0"/>
              <w:rPr>
                <w:sz w:val="20"/>
                <w:szCs w:val="20"/>
                <w:color w:val="auto"/>
              </w:rPr>
            </w:pPr>
            <w:r>
              <w:rPr>
                <w:rFonts w:ascii="Arial" w:cs="Arial" w:eastAsia="Arial" w:hAnsi="Arial"/>
                <w:sz w:val="11"/>
                <w:szCs w:val="11"/>
                <w:color w:val="auto"/>
              </w:rPr>
              <w:t>(89)</w:t>
            </w:r>
          </w:p>
        </w:tc>
        <w:tc>
          <w:tcPr>
            <w:tcW w:w="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540" w:type="dxa"/>
            <w:vAlign w:val="bottom"/>
          </w:tcPr>
          <w:p>
            <w:pPr>
              <w:jc w:val="right"/>
              <w:spacing w:after="0"/>
              <w:rPr>
                <w:sz w:val="20"/>
                <w:szCs w:val="20"/>
                <w:color w:val="auto"/>
              </w:rPr>
            </w:pPr>
            <w:r>
              <w:rPr>
                <w:rFonts w:ascii="Arial" w:cs="Arial" w:eastAsia="Arial" w:hAnsi="Arial"/>
                <w:sz w:val="11"/>
                <w:szCs w:val="11"/>
                <w:color w:val="auto"/>
              </w:rPr>
              <w:t>(3)</w:t>
            </w:r>
          </w:p>
        </w:tc>
        <w:tc>
          <w:tcPr>
            <w:tcW w:w="100" w:type="dxa"/>
            <w:vAlign w:val="bottom"/>
            <w:tcBorders>
              <w:right w:val="single" w:sz="8" w:color="auto"/>
            </w:tcBorders>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5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44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State and local</w:t>
            </w: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w:t>
            </w:r>
          </w:p>
        </w:tc>
        <w:tc>
          <w:tcPr>
            <w:tcW w:w="0" w:type="dxa"/>
            <w:vAlign w:val="bottom"/>
          </w:tcPr>
          <w:p>
            <w:pPr>
              <w:spacing w:after="0"/>
              <w:rPr>
                <w:sz w:val="1"/>
                <w:szCs w:val="1"/>
                <w:color w:val="auto"/>
              </w:rPr>
            </w:pPr>
          </w:p>
        </w:tc>
      </w:tr>
      <w:tr>
        <w:trPr>
          <w:trHeight w:val="149"/>
        </w:trPr>
        <w:tc>
          <w:tcPr>
            <w:tcW w:w="446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Foreign</w:t>
            </w:r>
          </w:p>
        </w:tc>
        <w:tc>
          <w:tcPr>
            <w:tcW w:w="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256</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91</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110</w:t>
            </w:r>
          </w:p>
        </w:tc>
        <w:tc>
          <w:tcPr>
            <w:tcW w:w="100" w:type="dxa"/>
            <w:vAlign w:val="bottom"/>
            <w:tcBorders>
              <w:bottom w:val="single" w:sz="8" w:color="CCEEFF"/>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139"/>
        </w:trPr>
        <w:tc>
          <w:tcPr>
            <w:tcW w:w="446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current income taxes</w:t>
            </w:r>
          </w:p>
        </w:tc>
        <w:tc>
          <w:tcPr>
            <w:tcW w:w="80" w:type="dxa"/>
            <w:vAlign w:val="bottom"/>
            <w:tcBorders>
              <w:bottom w:val="single" w:sz="8" w:color="auto"/>
            </w:tcBorders>
            <w:shd w:val="clear" w:color="auto" w:fill="CCEEFF"/>
          </w:tcPr>
          <w:p>
            <w:pPr>
              <w:spacing w:after="0"/>
              <w:rPr>
                <w:sz w:val="12"/>
                <w:szCs w:val="12"/>
                <w:color w:val="auto"/>
              </w:rPr>
            </w:pPr>
          </w:p>
        </w:tc>
        <w:tc>
          <w:tcPr>
            <w:tcW w:w="1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234</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233</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106</w:t>
            </w: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78</w:t>
            </w:r>
          </w:p>
        </w:tc>
        <w:tc>
          <w:tcPr>
            <w:tcW w:w="0" w:type="dxa"/>
            <w:vAlign w:val="bottom"/>
          </w:tcPr>
          <w:p>
            <w:pPr>
              <w:spacing w:after="0"/>
              <w:rPr>
                <w:sz w:val="1"/>
                <w:szCs w:val="1"/>
                <w:color w:val="auto"/>
              </w:rPr>
            </w:pPr>
          </w:p>
        </w:tc>
      </w:tr>
      <w:tr>
        <w:trPr>
          <w:trHeight w:val="129"/>
        </w:trPr>
        <w:tc>
          <w:tcPr>
            <w:tcW w:w="4460" w:type="dxa"/>
            <w:vAlign w:val="bottom"/>
          </w:tcPr>
          <w:p>
            <w:pPr>
              <w:ind w:left="20"/>
              <w:spacing w:after="0"/>
              <w:rPr>
                <w:sz w:val="20"/>
                <w:szCs w:val="20"/>
                <w:color w:val="auto"/>
              </w:rPr>
            </w:pPr>
            <w:r>
              <w:rPr>
                <w:rFonts w:ascii="Arial" w:cs="Arial" w:eastAsia="Arial" w:hAnsi="Arial"/>
                <w:sz w:val="11"/>
                <w:szCs w:val="11"/>
                <w:i w:val="1"/>
                <w:iCs w:val="1"/>
                <w:color w:val="auto"/>
              </w:rPr>
              <w:t>Deferred income taxes:</w:t>
            </w:r>
          </w:p>
        </w:tc>
        <w:tc>
          <w:tcPr>
            <w:tcW w:w="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Federal</w:t>
            </w: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w:t>
            </w: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(114)</w:t>
            </w:r>
          </w:p>
        </w:tc>
        <w:tc>
          <w:tcPr>
            <w:tcW w:w="0" w:type="dxa"/>
            <w:vAlign w:val="bottom"/>
          </w:tcPr>
          <w:p>
            <w:pPr>
              <w:spacing w:after="0"/>
              <w:rPr>
                <w:sz w:val="1"/>
                <w:szCs w:val="1"/>
                <w:color w:val="auto"/>
              </w:rPr>
            </w:pPr>
          </w:p>
        </w:tc>
      </w:tr>
      <w:tr>
        <w:trPr>
          <w:trHeight w:val="149"/>
        </w:trPr>
        <w:tc>
          <w:tcPr>
            <w:tcW w:w="4460" w:type="dxa"/>
            <w:vAlign w:val="bottom"/>
          </w:tcPr>
          <w:p>
            <w:pPr>
              <w:ind w:left="180"/>
              <w:spacing w:after="0"/>
              <w:rPr>
                <w:sz w:val="20"/>
                <w:szCs w:val="20"/>
                <w:color w:val="auto"/>
              </w:rPr>
            </w:pPr>
            <w:r>
              <w:rPr>
                <w:rFonts w:ascii="Arial" w:cs="Arial" w:eastAsia="Arial" w:hAnsi="Arial"/>
                <w:sz w:val="11"/>
                <w:szCs w:val="11"/>
                <w:color w:val="auto"/>
              </w:rPr>
              <w:t>State and local</w:t>
            </w:r>
          </w:p>
        </w:tc>
        <w:tc>
          <w:tcPr>
            <w:tcW w:w="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(68)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(84)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right"/>
              <w:ind w:right="3"/>
              <w:spacing w:after="0"/>
              <w:rPr>
                <w:sz w:val="20"/>
                <w:szCs w:val="20"/>
                <w:color w:val="auto"/>
              </w:rPr>
            </w:pPr>
            <w:r>
              <w:rPr>
                <w:rFonts w:ascii="Arial" w:cs="Arial" w:eastAsia="Arial" w:hAnsi="Arial"/>
                <w:sz w:val="11"/>
                <w:szCs w:val="11"/>
                <w:color w:val="auto"/>
              </w:rPr>
              <w:t>13</w:t>
            </w: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(30)</w:t>
            </w:r>
          </w:p>
        </w:tc>
        <w:tc>
          <w:tcPr>
            <w:tcW w:w="0" w:type="dxa"/>
            <w:vAlign w:val="bottom"/>
          </w:tcPr>
          <w:p>
            <w:pPr>
              <w:spacing w:after="0"/>
              <w:rPr>
                <w:sz w:val="1"/>
                <w:szCs w:val="1"/>
                <w:color w:val="auto"/>
              </w:rPr>
            </w:pPr>
          </w:p>
        </w:tc>
      </w:tr>
      <w:tr>
        <w:trPr>
          <w:trHeight w:val="149"/>
        </w:trPr>
        <w:tc>
          <w:tcPr>
            <w:tcW w:w="44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Foreign</w:t>
            </w:r>
          </w:p>
        </w:tc>
        <w:tc>
          <w:tcPr>
            <w:tcW w:w="8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16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deferred income taxes</w:t>
            </w:r>
          </w:p>
        </w:tc>
        <w:tc>
          <w:tcPr>
            <w:tcW w:w="80" w:type="dxa"/>
            <w:vAlign w:val="bottom"/>
            <w:tcBorders>
              <w:top w:val="single" w:sz="8" w:color="auto"/>
              <w:bottom w:val="single" w:sz="8" w:color="auto"/>
            </w:tcBorders>
          </w:tcPr>
          <w:p>
            <w:pPr>
              <w:spacing w:after="0"/>
              <w:rPr>
                <w:sz w:val="12"/>
                <w:szCs w:val="1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(258)</w:t>
            </w:r>
          </w:p>
        </w:tc>
        <w:tc>
          <w:tcPr>
            <w:tcW w:w="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(190)</w:t>
            </w: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(62)</w:t>
            </w:r>
          </w:p>
        </w:tc>
        <w:tc>
          <w:tcPr>
            <w:tcW w:w="100" w:type="dxa"/>
            <w:vAlign w:val="bottom"/>
            <w:tcBorders>
              <w:bottom w:val="single" w:sz="8" w:color="CCEEFF"/>
              <w:right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(144)</w:t>
            </w:r>
          </w:p>
        </w:tc>
        <w:tc>
          <w:tcPr>
            <w:tcW w:w="0" w:type="dxa"/>
            <w:vAlign w:val="bottom"/>
          </w:tcPr>
          <w:p>
            <w:pPr>
              <w:spacing w:after="0"/>
              <w:rPr>
                <w:sz w:val="1"/>
                <w:szCs w:val="1"/>
                <w:color w:val="auto"/>
              </w:rPr>
            </w:pPr>
          </w:p>
        </w:tc>
      </w:tr>
      <w:tr>
        <w:trPr>
          <w:trHeight w:val="164"/>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Income tax expense (benefit)</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(24)</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43</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44</w:t>
            </w:r>
          </w:p>
        </w:tc>
        <w:tc>
          <w:tcPr>
            <w:tcW w:w="100" w:type="dxa"/>
            <w:vAlign w:val="bottom"/>
            <w:tcBorders>
              <w:bottom w:val="single" w:sz="8" w:color="CCEEFF"/>
              <w:right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(66)</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3"/>
          <w:szCs w:val="13"/>
          <w:color w:val="auto"/>
        </w:rPr>
        <w:t>A reconciliation of the U.S. statutory income tax rate to our effective income tax rate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60" w:type="dxa"/>
            <w:vAlign w:val="bottom"/>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jc w:val="right"/>
              <w:ind w:right="603"/>
              <w:spacing w:after="0"/>
              <w:rPr>
                <w:sz w:val="20"/>
                <w:szCs w:val="20"/>
                <w:color w:val="auto"/>
              </w:rPr>
            </w:pPr>
            <w:r>
              <w:rPr>
                <w:rFonts w:ascii="Arial" w:cs="Arial" w:eastAsia="Arial" w:hAnsi="Arial"/>
                <w:sz w:val="11"/>
                <w:szCs w:val="11"/>
                <w:b w:val="1"/>
                <w:bCs w:val="1"/>
                <w:color w:val="auto"/>
              </w:rPr>
              <w:t>Successor</w:t>
            </w:r>
          </w:p>
        </w:tc>
        <w:tc>
          <w:tcPr>
            <w:tcW w:w="1620" w:type="dxa"/>
            <w:vAlign w:val="bottom"/>
            <w:tcBorders>
              <w:bottom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Predecessor</w:t>
            </w:r>
          </w:p>
        </w:tc>
      </w:tr>
      <w:tr>
        <w:trPr>
          <w:trHeight w:val="107"/>
        </w:trPr>
        <w:tc>
          <w:tcPr>
            <w:tcW w:w="4360" w:type="dxa"/>
            <w:vAlign w:val="bottom"/>
          </w:tcPr>
          <w:p>
            <w:pPr>
              <w:spacing w:after="0"/>
              <w:rPr>
                <w:sz w:val="9"/>
                <w:szCs w:val="9"/>
                <w:color w:val="auto"/>
              </w:rPr>
            </w:pPr>
          </w:p>
        </w:tc>
        <w:tc>
          <w:tcPr>
            <w:tcW w:w="1760" w:type="dxa"/>
            <w:vAlign w:val="bottom"/>
            <w:gridSpan w:val="2"/>
          </w:tcPr>
          <w:p>
            <w:pPr>
              <w:ind w:left="20"/>
              <w:spacing w:after="0" w:line="107" w:lineRule="exact"/>
              <w:rPr>
                <w:sz w:val="20"/>
                <w:szCs w:val="20"/>
                <w:color w:val="auto"/>
              </w:rPr>
            </w:pPr>
            <w:r>
              <w:rPr>
                <w:rFonts w:ascii="Arial" w:cs="Arial" w:eastAsia="Arial" w:hAnsi="Arial"/>
                <w:sz w:val="11"/>
                <w:szCs w:val="11"/>
                <w:b w:val="1"/>
                <w:bCs w:val="1"/>
                <w:color w:val="auto"/>
              </w:rPr>
              <w:t>Twelve months ended Dec. 31,</w:t>
            </w:r>
          </w:p>
        </w:tc>
        <w:tc>
          <w:tcPr>
            <w:tcW w:w="1760" w:type="dxa"/>
            <w:vAlign w:val="bottom"/>
          </w:tcPr>
          <w:p>
            <w:pPr>
              <w:jc w:val="right"/>
              <w:ind w:right="43"/>
              <w:spacing w:after="0" w:line="107" w:lineRule="exact"/>
              <w:rPr>
                <w:sz w:val="20"/>
                <w:szCs w:val="20"/>
                <w:color w:val="auto"/>
              </w:rPr>
            </w:pPr>
            <w:r>
              <w:rPr>
                <w:rFonts w:ascii="Arial" w:cs="Arial" w:eastAsia="Arial" w:hAnsi="Arial"/>
                <w:sz w:val="11"/>
                <w:szCs w:val="11"/>
                <w:b w:val="1"/>
                <w:bCs w:val="1"/>
                <w:color w:val="auto"/>
              </w:rPr>
              <w:t>Twelve months ended Dec. 31,</w:t>
            </w:r>
          </w:p>
        </w:tc>
        <w:tc>
          <w:tcPr>
            <w:tcW w:w="1720" w:type="dxa"/>
            <w:vAlign w:val="bottom"/>
            <w:tcBorders>
              <w:right w:val="single" w:sz="8" w:color="auto"/>
            </w:tcBorders>
            <w:gridSpan w:val="2"/>
          </w:tcPr>
          <w:p>
            <w:pPr>
              <w:jc w:val="center"/>
              <w:ind w:right="180"/>
              <w:spacing w:after="0" w:line="107" w:lineRule="exact"/>
              <w:rPr>
                <w:sz w:val="20"/>
                <w:szCs w:val="20"/>
                <w:color w:val="auto"/>
              </w:rPr>
            </w:pPr>
            <w:r>
              <w:rPr>
                <w:rFonts w:ascii="Arial" w:cs="Arial" w:eastAsia="Arial" w:hAnsi="Arial"/>
                <w:sz w:val="11"/>
                <w:szCs w:val="11"/>
                <w:b w:val="1"/>
                <w:bCs w:val="1"/>
                <w:color w:val="auto"/>
              </w:rPr>
              <w:t>Period from Sep. 13, 2019</w:t>
            </w:r>
          </w:p>
        </w:tc>
        <w:tc>
          <w:tcPr>
            <w:tcW w:w="168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Period from Jan. 1, 2019</w:t>
            </w:r>
          </w:p>
        </w:tc>
      </w:tr>
      <w:tr>
        <w:trPr>
          <w:trHeight w:val="138"/>
        </w:trPr>
        <w:tc>
          <w:tcPr>
            <w:tcW w:w="4360" w:type="dxa"/>
            <w:vAlign w:val="bottom"/>
          </w:tcPr>
          <w:p>
            <w:pPr>
              <w:spacing w:after="0"/>
              <w:rPr>
                <w:sz w:val="11"/>
                <w:szCs w:val="11"/>
                <w:color w:val="auto"/>
              </w:rPr>
            </w:pPr>
          </w:p>
        </w:tc>
        <w:tc>
          <w:tcPr>
            <w:tcW w:w="1680" w:type="dxa"/>
            <w:vAlign w:val="bottom"/>
          </w:tcPr>
          <w:p>
            <w:pPr>
              <w:jc w:val="right"/>
              <w:ind w:right="663"/>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1"/>
                <w:szCs w:val="11"/>
                <w:color w:val="auto"/>
              </w:rPr>
            </w:pPr>
          </w:p>
        </w:tc>
        <w:tc>
          <w:tcPr>
            <w:tcW w:w="1760" w:type="dxa"/>
            <w:vAlign w:val="bottom"/>
          </w:tcPr>
          <w:p>
            <w:pPr>
              <w:jc w:val="right"/>
              <w:ind w:right="723"/>
              <w:spacing w:after="0"/>
              <w:rPr>
                <w:sz w:val="20"/>
                <w:szCs w:val="20"/>
                <w:color w:val="auto"/>
              </w:rPr>
            </w:pPr>
            <w:r>
              <w:rPr>
                <w:rFonts w:ascii="Arial" w:cs="Arial" w:eastAsia="Arial" w:hAnsi="Arial"/>
                <w:sz w:val="11"/>
                <w:szCs w:val="11"/>
                <w:b w:val="1"/>
                <w:bCs w:val="1"/>
                <w:color w:val="auto"/>
              </w:rPr>
              <w:t>2020</w:t>
            </w:r>
          </w:p>
        </w:tc>
        <w:tc>
          <w:tcPr>
            <w:tcW w:w="172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11"/>
                <w:szCs w:val="11"/>
                <w:b w:val="1"/>
                <w:bCs w:val="1"/>
                <w:color w:val="auto"/>
              </w:rPr>
              <w:t>through Dec. 31, 2019</w:t>
            </w:r>
          </w:p>
        </w:tc>
        <w:tc>
          <w:tcPr>
            <w:tcW w:w="1680" w:type="dxa"/>
            <w:vAlign w:val="bottom"/>
          </w:tcPr>
          <w:p>
            <w:pPr>
              <w:jc w:val="center"/>
              <w:spacing w:after="0"/>
              <w:rPr>
                <w:sz w:val="20"/>
                <w:szCs w:val="20"/>
                <w:color w:val="auto"/>
              </w:rPr>
            </w:pPr>
            <w:r>
              <w:rPr>
                <w:rFonts w:ascii="Arial" w:cs="Arial" w:eastAsia="Arial" w:hAnsi="Arial"/>
                <w:sz w:val="11"/>
                <w:szCs w:val="11"/>
                <w:b w:val="1"/>
                <w:bCs w:val="1"/>
                <w:color w:val="auto"/>
              </w:rPr>
              <w:t>through Sep. 12, 2019</w:t>
            </w:r>
          </w:p>
        </w:tc>
      </w:tr>
      <w:tr>
        <w:trPr>
          <w:trHeight w:val="139"/>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U.S. statutory tax rate</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21.0 %</w:t>
            </w:r>
          </w:p>
        </w:tc>
        <w:tc>
          <w:tcPr>
            <w:tcW w:w="80" w:type="dxa"/>
            <w:vAlign w:val="bottom"/>
            <w:tcBorders>
              <w:top w:val="single" w:sz="8" w:color="CCEEFF"/>
            </w:tcBorders>
            <w:shd w:val="clear" w:color="auto" w:fill="CCEEFF"/>
          </w:tcPr>
          <w:p>
            <w:pPr>
              <w:spacing w:after="0"/>
              <w:rPr>
                <w:sz w:val="12"/>
                <w:szCs w:val="12"/>
                <w:color w:val="auto"/>
              </w:rPr>
            </w:pPr>
          </w:p>
        </w:tc>
        <w:tc>
          <w:tcPr>
            <w:tcW w:w="17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21.0 %</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21.0 %</w:t>
            </w:r>
          </w:p>
        </w:tc>
        <w:tc>
          <w:tcPr>
            <w:tcW w:w="100" w:type="dxa"/>
            <w:vAlign w:val="bottom"/>
            <w:tcBorders>
              <w:top w:val="single" w:sz="8" w:color="CCEEFF"/>
              <w:right w:val="single" w:sz="8" w:color="auto"/>
            </w:tcBorders>
            <w:shd w:val="clear" w:color="auto" w:fill="CCEEFF"/>
          </w:tcPr>
          <w:p>
            <w:pPr>
              <w:spacing w:after="0"/>
              <w:rPr>
                <w:sz w:val="12"/>
                <w:szCs w:val="12"/>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21.0 %</w:t>
            </w:r>
          </w:p>
        </w:tc>
      </w:tr>
      <w:tr>
        <w:trPr>
          <w:trHeight w:val="149"/>
        </w:trPr>
        <w:tc>
          <w:tcPr>
            <w:tcW w:w="4360" w:type="dxa"/>
            <w:vAlign w:val="bottom"/>
          </w:tcPr>
          <w:p>
            <w:pPr>
              <w:ind w:left="20"/>
              <w:spacing w:after="0"/>
              <w:rPr>
                <w:sz w:val="20"/>
                <w:szCs w:val="20"/>
                <w:color w:val="auto"/>
              </w:rPr>
            </w:pPr>
            <w:r>
              <w:rPr>
                <w:rFonts w:ascii="Arial" w:cs="Arial" w:eastAsia="Arial" w:hAnsi="Arial"/>
                <w:sz w:val="11"/>
                <w:szCs w:val="11"/>
                <w:color w:val="auto"/>
              </w:rPr>
              <w:t>State taxes, net of the federal benefit</w:t>
            </w:r>
          </w:p>
        </w:tc>
        <w:tc>
          <w:tcPr>
            <w:tcW w:w="1680" w:type="dxa"/>
            <w:vAlign w:val="bottom"/>
          </w:tcPr>
          <w:p>
            <w:pPr>
              <w:jc w:val="right"/>
              <w:spacing w:after="0"/>
              <w:rPr>
                <w:sz w:val="20"/>
                <w:szCs w:val="20"/>
                <w:color w:val="auto"/>
              </w:rPr>
            </w:pPr>
            <w:r>
              <w:rPr>
                <w:rFonts w:ascii="Arial" w:cs="Arial" w:eastAsia="Arial" w:hAnsi="Arial"/>
                <w:sz w:val="11"/>
                <w:szCs w:val="11"/>
                <w:color w:val="auto"/>
              </w:rPr>
              <w:t>1.6 %</w:t>
            </w:r>
          </w:p>
        </w:tc>
        <w:tc>
          <w:tcPr>
            <w:tcW w:w="80" w:type="dxa"/>
            <w:vAlign w:val="bottom"/>
          </w:tcPr>
          <w:p>
            <w:pPr>
              <w:spacing w:after="0"/>
              <w:rPr>
                <w:sz w:val="12"/>
                <w:szCs w:val="12"/>
                <w:color w:val="auto"/>
              </w:rPr>
            </w:pPr>
          </w:p>
        </w:tc>
        <w:tc>
          <w:tcPr>
            <w:tcW w:w="1760" w:type="dxa"/>
            <w:vAlign w:val="bottom"/>
          </w:tcPr>
          <w:p>
            <w:pPr>
              <w:jc w:val="right"/>
              <w:ind w:right="23"/>
              <w:spacing w:after="0"/>
              <w:rPr>
                <w:sz w:val="20"/>
                <w:szCs w:val="20"/>
                <w:color w:val="auto"/>
              </w:rPr>
            </w:pPr>
            <w:r>
              <w:rPr>
                <w:rFonts w:ascii="Arial" w:cs="Arial" w:eastAsia="Arial" w:hAnsi="Arial"/>
                <w:sz w:val="11"/>
                <w:szCs w:val="11"/>
                <w:color w:val="auto"/>
              </w:rPr>
              <w:t>0.4 %</w:t>
            </w:r>
          </w:p>
        </w:tc>
        <w:tc>
          <w:tcPr>
            <w:tcW w:w="1620" w:type="dxa"/>
            <w:vAlign w:val="bottom"/>
          </w:tcPr>
          <w:p>
            <w:pPr>
              <w:jc w:val="right"/>
              <w:spacing w:after="0"/>
              <w:rPr>
                <w:sz w:val="20"/>
                <w:szCs w:val="20"/>
                <w:color w:val="auto"/>
              </w:rPr>
            </w:pPr>
            <w:r>
              <w:rPr>
                <w:rFonts w:ascii="Arial" w:cs="Arial" w:eastAsia="Arial" w:hAnsi="Arial"/>
                <w:sz w:val="11"/>
                <w:szCs w:val="11"/>
                <w:color w:val="auto"/>
              </w:rPr>
              <w:t>0.1 %</w:t>
            </w:r>
          </w:p>
        </w:tc>
        <w:tc>
          <w:tcPr>
            <w:tcW w:w="100" w:type="dxa"/>
            <w:vAlign w:val="bottom"/>
            <w:tcBorders>
              <w:right w:val="single" w:sz="8" w:color="auto"/>
            </w:tcBorders>
          </w:tcPr>
          <w:p>
            <w:pPr>
              <w:spacing w:after="0"/>
              <w:rPr>
                <w:sz w:val="12"/>
                <w:szCs w:val="12"/>
                <w:color w:val="auto"/>
              </w:rPr>
            </w:pPr>
          </w:p>
        </w:tc>
        <w:tc>
          <w:tcPr>
            <w:tcW w:w="1680" w:type="dxa"/>
            <w:vAlign w:val="bottom"/>
          </w:tcPr>
          <w:p>
            <w:pPr>
              <w:jc w:val="right"/>
              <w:spacing w:after="0"/>
              <w:rPr>
                <w:sz w:val="20"/>
                <w:szCs w:val="20"/>
                <w:color w:val="auto"/>
              </w:rPr>
            </w:pPr>
            <w:r>
              <w:rPr>
                <w:rFonts w:ascii="Arial" w:cs="Arial" w:eastAsia="Arial" w:hAnsi="Arial"/>
                <w:sz w:val="11"/>
                <w:szCs w:val="11"/>
                <w:color w:val="auto"/>
              </w:rPr>
              <w:t>0.0 %</w:t>
            </w:r>
          </w:p>
        </w:tc>
      </w:tr>
      <w:tr>
        <w:trPr>
          <w:trHeight w:val="149"/>
        </w:trPr>
        <w:tc>
          <w:tcPr>
            <w:tcW w:w="4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Loss attributable to non-controlling interests</w:t>
            </w:r>
          </w:p>
        </w:tc>
        <w:tc>
          <w:tcPr>
            <w:tcW w:w="1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(13.5)%</w:t>
            </w:r>
          </w:p>
        </w:tc>
        <w:tc>
          <w:tcPr>
            <w:tcW w:w="80" w:type="dxa"/>
            <w:vAlign w:val="bottom"/>
            <w:shd w:val="clear" w:color="auto" w:fill="CCEEFF"/>
          </w:tcPr>
          <w:p>
            <w:pPr>
              <w:spacing w:after="0"/>
              <w:rPr>
                <w:sz w:val="12"/>
                <w:szCs w:val="12"/>
                <w:color w:val="auto"/>
              </w:rPr>
            </w:pPr>
          </w:p>
        </w:tc>
        <w:tc>
          <w:tcPr>
            <w:tcW w:w="17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(11.4)%</w:t>
            </w:r>
          </w:p>
        </w:tc>
        <w:tc>
          <w:tcPr>
            <w:tcW w:w="1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0.0 %</w:t>
            </w:r>
          </w:p>
        </w:tc>
        <w:tc>
          <w:tcPr>
            <w:tcW w:w="100" w:type="dxa"/>
            <w:vAlign w:val="bottom"/>
            <w:tcBorders>
              <w:right w:val="single" w:sz="8" w:color="auto"/>
            </w:tcBorders>
            <w:shd w:val="clear" w:color="auto" w:fill="CCEEFF"/>
          </w:tcPr>
          <w:p>
            <w:pPr>
              <w:spacing w:after="0"/>
              <w:rPr>
                <w:sz w:val="12"/>
                <w:szCs w:val="12"/>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0.0 %</w:t>
            </w:r>
          </w:p>
        </w:tc>
      </w:tr>
      <w:tr>
        <w:trPr>
          <w:trHeight w:val="149"/>
        </w:trPr>
        <w:tc>
          <w:tcPr>
            <w:tcW w:w="4360" w:type="dxa"/>
            <w:vAlign w:val="bottom"/>
          </w:tcPr>
          <w:p>
            <w:pPr>
              <w:ind w:left="20"/>
              <w:spacing w:after="0"/>
              <w:rPr>
                <w:sz w:val="20"/>
                <w:szCs w:val="20"/>
                <w:color w:val="auto"/>
              </w:rPr>
            </w:pPr>
            <w:r>
              <w:rPr>
                <w:rFonts w:ascii="Arial" w:cs="Arial" w:eastAsia="Arial" w:hAnsi="Arial"/>
                <w:sz w:val="11"/>
                <w:szCs w:val="11"/>
                <w:color w:val="auto"/>
              </w:rPr>
              <w:t>Change in valuation allowance</w:t>
            </w:r>
          </w:p>
        </w:tc>
        <w:tc>
          <w:tcPr>
            <w:tcW w:w="1680" w:type="dxa"/>
            <w:vAlign w:val="bottom"/>
          </w:tcPr>
          <w:p>
            <w:pPr>
              <w:jc w:val="right"/>
              <w:spacing w:after="0"/>
              <w:rPr>
                <w:sz w:val="20"/>
                <w:szCs w:val="20"/>
                <w:color w:val="auto"/>
              </w:rPr>
            </w:pPr>
            <w:r>
              <w:rPr>
                <w:rFonts w:ascii="Arial" w:cs="Arial" w:eastAsia="Arial" w:hAnsi="Arial"/>
                <w:sz w:val="11"/>
                <w:szCs w:val="11"/>
                <w:color w:val="auto"/>
              </w:rPr>
              <w:t>(10.6)%</w:t>
            </w:r>
          </w:p>
        </w:tc>
        <w:tc>
          <w:tcPr>
            <w:tcW w:w="80" w:type="dxa"/>
            <w:vAlign w:val="bottom"/>
          </w:tcPr>
          <w:p>
            <w:pPr>
              <w:spacing w:after="0"/>
              <w:rPr>
                <w:sz w:val="12"/>
                <w:szCs w:val="12"/>
                <w:color w:val="auto"/>
              </w:rPr>
            </w:pPr>
          </w:p>
        </w:tc>
        <w:tc>
          <w:tcPr>
            <w:tcW w:w="1760" w:type="dxa"/>
            <w:vAlign w:val="bottom"/>
          </w:tcPr>
          <w:p>
            <w:pPr>
              <w:jc w:val="right"/>
              <w:ind w:right="23"/>
              <w:spacing w:after="0"/>
              <w:rPr>
                <w:sz w:val="20"/>
                <w:szCs w:val="20"/>
                <w:color w:val="auto"/>
              </w:rPr>
            </w:pPr>
            <w:r>
              <w:rPr>
                <w:rFonts w:ascii="Arial" w:cs="Arial" w:eastAsia="Arial" w:hAnsi="Arial"/>
                <w:sz w:val="11"/>
                <w:szCs w:val="11"/>
                <w:color w:val="auto"/>
              </w:rPr>
              <w:t>(3.7)%</w:t>
            </w:r>
          </w:p>
        </w:tc>
        <w:tc>
          <w:tcPr>
            <w:tcW w:w="1620" w:type="dxa"/>
            <w:vAlign w:val="bottom"/>
          </w:tcPr>
          <w:p>
            <w:pPr>
              <w:jc w:val="right"/>
              <w:spacing w:after="0"/>
              <w:rPr>
                <w:sz w:val="20"/>
                <w:szCs w:val="20"/>
                <w:color w:val="auto"/>
              </w:rPr>
            </w:pPr>
            <w:r>
              <w:rPr>
                <w:rFonts w:ascii="Arial" w:cs="Arial" w:eastAsia="Arial" w:hAnsi="Arial"/>
                <w:sz w:val="11"/>
                <w:szCs w:val="11"/>
                <w:color w:val="auto"/>
              </w:rPr>
              <w:t>0.0 %</w:t>
            </w:r>
          </w:p>
        </w:tc>
        <w:tc>
          <w:tcPr>
            <w:tcW w:w="100" w:type="dxa"/>
            <w:vAlign w:val="bottom"/>
            <w:tcBorders>
              <w:right w:val="single" w:sz="8" w:color="auto"/>
            </w:tcBorders>
          </w:tcPr>
          <w:p>
            <w:pPr>
              <w:spacing w:after="0"/>
              <w:rPr>
                <w:sz w:val="12"/>
                <w:szCs w:val="12"/>
                <w:color w:val="auto"/>
              </w:rPr>
            </w:pPr>
          </w:p>
        </w:tc>
        <w:tc>
          <w:tcPr>
            <w:tcW w:w="1680" w:type="dxa"/>
            <w:vAlign w:val="bottom"/>
          </w:tcPr>
          <w:p>
            <w:pPr>
              <w:jc w:val="right"/>
              <w:spacing w:after="0"/>
              <w:rPr>
                <w:sz w:val="20"/>
                <w:szCs w:val="20"/>
                <w:color w:val="auto"/>
              </w:rPr>
            </w:pPr>
            <w:r>
              <w:rPr>
                <w:rFonts w:ascii="Arial" w:cs="Arial" w:eastAsia="Arial" w:hAnsi="Arial"/>
                <w:sz w:val="11"/>
                <w:szCs w:val="11"/>
                <w:color w:val="auto"/>
              </w:rPr>
              <w:t>0.0 %</w:t>
            </w:r>
          </w:p>
        </w:tc>
      </w:tr>
      <w:tr>
        <w:trPr>
          <w:trHeight w:val="149"/>
        </w:trPr>
        <w:tc>
          <w:tcPr>
            <w:tcW w:w="4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Change in deferred tax rate</w:t>
            </w:r>
          </w:p>
        </w:tc>
        <w:tc>
          <w:tcPr>
            <w:tcW w:w="1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1.4 %</w:t>
            </w:r>
          </w:p>
        </w:tc>
        <w:tc>
          <w:tcPr>
            <w:tcW w:w="80" w:type="dxa"/>
            <w:vAlign w:val="bottom"/>
            <w:shd w:val="clear" w:color="auto" w:fill="CCEEFF"/>
          </w:tcPr>
          <w:p>
            <w:pPr>
              <w:spacing w:after="0"/>
              <w:rPr>
                <w:sz w:val="12"/>
                <w:szCs w:val="12"/>
                <w:color w:val="auto"/>
              </w:rPr>
            </w:pPr>
          </w:p>
        </w:tc>
        <w:tc>
          <w:tcPr>
            <w:tcW w:w="17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0.0 %</w:t>
            </w:r>
          </w:p>
        </w:tc>
        <w:tc>
          <w:tcPr>
            <w:tcW w:w="1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0.0 %</w:t>
            </w:r>
          </w:p>
        </w:tc>
        <w:tc>
          <w:tcPr>
            <w:tcW w:w="100" w:type="dxa"/>
            <w:vAlign w:val="bottom"/>
            <w:tcBorders>
              <w:right w:val="single" w:sz="8" w:color="auto"/>
            </w:tcBorders>
            <w:shd w:val="clear" w:color="auto" w:fill="CCEEFF"/>
          </w:tcPr>
          <w:p>
            <w:pPr>
              <w:spacing w:after="0"/>
              <w:rPr>
                <w:sz w:val="12"/>
                <w:szCs w:val="12"/>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0.0 %</w:t>
            </w:r>
          </w:p>
        </w:tc>
      </w:tr>
      <w:tr>
        <w:trPr>
          <w:trHeight w:val="149"/>
        </w:trPr>
        <w:tc>
          <w:tcPr>
            <w:tcW w:w="4360" w:type="dxa"/>
            <w:vAlign w:val="bottom"/>
          </w:tcPr>
          <w:p>
            <w:pPr>
              <w:ind w:left="20"/>
              <w:spacing w:after="0"/>
              <w:rPr>
                <w:sz w:val="20"/>
                <w:szCs w:val="20"/>
                <w:color w:val="auto"/>
              </w:rPr>
            </w:pPr>
            <w:r>
              <w:rPr>
                <w:rFonts w:ascii="Arial" w:cs="Arial" w:eastAsia="Arial" w:hAnsi="Arial"/>
                <w:sz w:val="11"/>
                <w:szCs w:val="11"/>
                <w:color w:val="auto"/>
              </w:rPr>
              <w:t>Non-deductible expenses</w:t>
            </w:r>
          </w:p>
        </w:tc>
        <w:tc>
          <w:tcPr>
            <w:tcW w:w="1680" w:type="dxa"/>
            <w:vAlign w:val="bottom"/>
          </w:tcPr>
          <w:p>
            <w:pPr>
              <w:jc w:val="right"/>
              <w:spacing w:after="0"/>
              <w:rPr>
                <w:sz w:val="20"/>
                <w:szCs w:val="20"/>
                <w:color w:val="auto"/>
              </w:rPr>
            </w:pPr>
            <w:r>
              <w:rPr>
                <w:rFonts w:ascii="Arial" w:cs="Arial" w:eastAsia="Arial" w:hAnsi="Arial"/>
                <w:sz w:val="11"/>
                <w:szCs w:val="11"/>
                <w:color w:val="auto"/>
              </w:rPr>
              <w:t>0.0 %</w:t>
            </w:r>
          </w:p>
        </w:tc>
        <w:tc>
          <w:tcPr>
            <w:tcW w:w="80" w:type="dxa"/>
            <w:vAlign w:val="bottom"/>
          </w:tcPr>
          <w:p>
            <w:pPr>
              <w:spacing w:after="0"/>
              <w:rPr>
                <w:sz w:val="12"/>
                <w:szCs w:val="12"/>
                <w:color w:val="auto"/>
              </w:rPr>
            </w:pPr>
          </w:p>
        </w:tc>
        <w:tc>
          <w:tcPr>
            <w:tcW w:w="1760" w:type="dxa"/>
            <w:vAlign w:val="bottom"/>
          </w:tcPr>
          <w:p>
            <w:pPr>
              <w:jc w:val="right"/>
              <w:ind w:right="23"/>
              <w:spacing w:after="0"/>
              <w:rPr>
                <w:sz w:val="20"/>
                <w:szCs w:val="20"/>
                <w:color w:val="auto"/>
              </w:rPr>
            </w:pPr>
            <w:r>
              <w:rPr>
                <w:rFonts w:ascii="Arial" w:cs="Arial" w:eastAsia="Arial" w:hAnsi="Arial"/>
                <w:sz w:val="11"/>
                <w:szCs w:val="11"/>
                <w:color w:val="auto"/>
              </w:rPr>
              <w:t>(5.5)%</w:t>
            </w:r>
          </w:p>
        </w:tc>
        <w:tc>
          <w:tcPr>
            <w:tcW w:w="1620" w:type="dxa"/>
            <w:vAlign w:val="bottom"/>
          </w:tcPr>
          <w:p>
            <w:pPr>
              <w:jc w:val="right"/>
              <w:spacing w:after="0"/>
              <w:rPr>
                <w:sz w:val="20"/>
                <w:szCs w:val="20"/>
                <w:color w:val="auto"/>
              </w:rPr>
            </w:pPr>
            <w:r>
              <w:rPr>
                <w:rFonts w:ascii="Arial" w:cs="Arial" w:eastAsia="Arial" w:hAnsi="Arial"/>
                <w:sz w:val="11"/>
                <w:szCs w:val="11"/>
                <w:color w:val="auto"/>
              </w:rPr>
              <w:t>0.0 %</w:t>
            </w:r>
          </w:p>
        </w:tc>
        <w:tc>
          <w:tcPr>
            <w:tcW w:w="100" w:type="dxa"/>
            <w:vAlign w:val="bottom"/>
            <w:tcBorders>
              <w:right w:val="single" w:sz="8" w:color="auto"/>
            </w:tcBorders>
          </w:tcPr>
          <w:p>
            <w:pPr>
              <w:spacing w:after="0"/>
              <w:rPr>
                <w:sz w:val="12"/>
                <w:szCs w:val="12"/>
                <w:color w:val="auto"/>
              </w:rPr>
            </w:pPr>
          </w:p>
        </w:tc>
        <w:tc>
          <w:tcPr>
            <w:tcW w:w="1680" w:type="dxa"/>
            <w:vAlign w:val="bottom"/>
          </w:tcPr>
          <w:p>
            <w:pPr>
              <w:jc w:val="right"/>
              <w:spacing w:after="0"/>
              <w:rPr>
                <w:sz w:val="20"/>
                <w:szCs w:val="20"/>
                <w:color w:val="auto"/>
              </w:rPr>
            </w:pPr>
            <w:r>
              <w:rPr>
                <w:rFonts w:ascii="Arial" w:cs="Arial" w:eastAsia="Arial" w:hAnsi="Arial"/>
                <w:sz w:val="11"/>
                <w:szCs w:val="11"/>
                <w:color w:val="auto"/>
              </w:rPr>
              <w:t>0.0 %</w:t>
            </w:r>
          </w:p>
        </w:tc>
      </w:tr>
      <w:tr>
        <w:trPr>
          <w:trHeight w:val="149"/>
        </w:trPr>
        <w:tc>
          <w:tcPr>
            <w:tcW w:w="4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Flow-through structure</w:t>
            </w:r>
          </w:p>
        </w:tc>
        <w:tc>
          <w:tcPr>
            <w:tcW w:w="1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0.0 %</w:t>
            </w:r>
          </w:p>
        </w:tc>
        <w:tc>
          <w:tcPr>
            <w:tcW w:w="80" w:type="dxa"/>
            <w:vAlign w:val="bottom"/>
            <w:shd w:val="clear" w:color="auto" w:fill="CCEEFF"/>
          </w:tcPr>
          <w:p>
            <w:pPr>
              <w:spacing w:after="0"/>
              <w:rPr>
                <w:sz w:val="12"/>
                <w:szCs w:val="12"/>
                <w:color w:val="auto"/>
              </w:rPr>
            </w:pPr>
          </w:p>
        </w:tc>
        <w:tc>
          <w:tcPr>
            <w:tcW w:w="17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0.0 %</w:t>
            </w:r>
          </w:p>
        </w:tc>
        <w:tc>
          <w:tcPr>
            <w:tcW w:w="1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(20.8)%</w:t>
            </w:r>
          </w:p>
        </w:tc>
        <w:tc>
          <w:tcPr>
            <w:tcW w:w="100" w:type="dxa"/>
            <w:vAlign w:val="bottom"/>
            <w:tcBorders>
              <w:right w:val="single" w:sz="8" w:color="auto"/>
            </w:tcBorders>
            <w:shd w:val="clear" w:color="auto" w:fill="CCEEFF"/>
          </w:tcPr>
          <w:p>
            <w:pPr>
              <w:spacing w:after="0"/>
              <w:rPr>
                <w:sz w:val="12"/>
                <w:szCs w:val="12"/>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w:t>
            </w:r>
          </w:p>
        </w:tc>
      </w:tr>
      <w:tr>
        <w:trPr>
          <w:trHeight w:val="149"/>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0.1 %</w:t>
            </w:r>
          </w:p>
        </w:tc>
        <w:tc>
          <w:tcPr>
            <w:tcW w:w="80" w:type="dxa"/>
            <w:vAlign w:val="bottom"/>
            <w:tcBorders>
              <w:bottom w:val="single" w:sz="8" w:color="CCEEFF"/>
            </w:tcBorders>
          </w:tcPr>
          <w:p>
            <w:pPr>
              <w:spacing w:after="0"/>
              <w:rPr>
                <w:sz w:val="12"/>
                <w:szCs w:val="12"/>
                <w:color w:val="auto"/>
              </w:rPr>
            </w:pPr>
          </w:p>
        </w:tc>
        <w:tc>
          <w:tcPr>
            <w:tcW w:w="17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(0.8)%</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0.0 %</w:t>
            </w:r>
          </w:p>
        </w:tc>
        <w:tc>
          <w:tcPr>
            <w:tcW w:w="100" w:type="dxa"/>
            <w:vAlign w:val="bottom"/>
            <w:tcBorders>
              <w:bottom w:val="single" w:sz="8" w:color="CCEEFF"/>
              <w:right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0.0 %</w:t>
            </w:r>
          </w:p>
        </w:tc>
      </w:tr>
      <w:tr>
        <w:trPr>
          <w:trHeight w:val="164"/>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Effective tax rate</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0.0 %</w:t>
            </w:r>
          </w:p>
        </w:tc>
        <w:tc>
          <w:tcPr>
            <w:tcW w:w="80" w:type="dxa"/>
            <w:vAlign w:val="bottom"/>
            <w:tcBorders>
              <w:bottom w:val="single" w:sz="8" w:color="CCEEFF"/>
            </w:tcBorders>
            <w:shd w:val="clear" w:color="auto" w:fill="CCEEFF"/>
          </w:tcPr>
          <w:p>
            <w:pPr>
              <w:spacing w:after="0"/>
              <w:rPr>
                <w:sz w:val="13"/>
                <w:szCs w:val="13"/>
                <w:color w:val="auto"/>
              </w:rPr>
            </w:pPr>
          </w:p>
        </w:tc>
        <w:tc>
          <w:tcPr>
            <w:tcW w:w="17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b w:val="1"/>
                <w:bCs w:val="1"/>
                <w:color w:val="auto"/>
              </w:rPr>
              <w:t>0.0 %</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0.3 %</w:t>
            </w:r>
          </w:p>
        </w:tc>
        <w:tc>
          <w:tcPr>
            <w:tcW w:w="100" w:type="dxa"/>
            <w:vAlign w:val="bottom"/>
            <w:tcBorders>
              <w:bottom w:val="single" w:sz="8" w:color="CCEEFF"/>
              <w:right w:val="single" w:sz="8" w:color="auto"/>
            </w:tcBorders>
            <w:shd w:val="clear" w:color="auto" w:fill="CCEEFF"/>
          </w:tcPr>
          <w:p>
            <w:pPr>
              <w:spacing w:after="0"/>
              <w:rPr>
                <w:sz w:val="13"/>
                <w:szCs w:val="1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0.0 %</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right="80"/>
        <w:spacing w:after="0"/>
        <w:rPr>
          <w:sz w:val="20"/>
          <w:szCs w:val="20"/>
          <w:color w:val="auto"/>
        </w:rPr>
      </w:pPr>
      <w:r>
        <w:rPr>
          <w:rFonts w:ascii="Arial" w:cs="Arial" w:eastAsia="Arial" w:hAnsi="Arial"/>
          <w:sz w:val="13"/>
          <w:szCs w:val="13"/>
          <w:color w:val="auto"/>
        </w:rPr>
        <w:t>The Company’s effective tax rate for the twelve months ended December 31, 2021, the twelve months ended December 31, 2020, the Successor 2019 Period, and the Predecessor 2019 Period, were 0.0%, 0.0%, 0.3%, and 0.0%, respectively. For the twelve months ended December 31, 2021, the effective tax rate was impacted by the change in deferred income tax rates, loss attributable to non-controlling interest, and change in valuation allowance. For the twelve months ended December 31, 2020, the effective tax rate was impacted by nondeductible expenses, loss attributable to non-controlling interest, and change in valuation</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90</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69" w:right="319" w:bottom="1440" w:gutter="0" w:footer="0" w:header="0"/>
        </w:sectPr>
      </w:pPr>
    </w:p>
    <w:bookmarkStart w:id="93" w:name="page94"/>
    <w:bookmarkEnd w:id="93"/>
    <w:p>
      <w:pPr>
        <w:ind w:right="180"/>
        <w:spacing w:after="0" w:line="244" w:lineRule="auto"/>
        <w:rPr>
          <w:sz w:val="20"/>
          <w:szCs w:val="20"/>
          <w:color w:val="auto"/>
        </w:rPr>
      </w:pPr>
      <w:r>
        <w:rPr>
          <w:rFonts w:ascii="Arial" w:cs="Arial" w:eastAsia="Arial" w:hAnsi="Arial"/>
          <w:sz w:val="13"/>
          <w:szCs w:val="13"/>
          <w:color w:val="auto"/>
        </w:rPr>
        <w:t>allowance. For periods prior to the Transactions and IPO, the effective tax rate was impacted by the flow-through entity structure in which certain partnerships and limited liability companies were not generally subject to income taxes.</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Deferred Taxes</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The components of deferred tax assets and liabilities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79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center"/>
              <w:ind w:right="143"/>
              <w:spacing w:after="0"/>
              <w:rPr>
                <w:sz w:val="20"/>
                <w:szCs w:val="20"/>
                <w:color w:val="auto"/>
              </w:rPr>
            </w:pPr>
            <w:r>
              <w:rPr>
                <w:rFonts w:ascii="Arial" w:cs="Arial" w:eastAsia="Arial" w:hAnsi="Arial"/>
                <w:sz w:val="11"/>
                <w:szCs w:val="11"/>
                <w:b w:val="1"/>
                <w:bCs w:val="1"/>
                <w:color w:val="auto"/>
              </w:rPr>
              <w:t>Successor</w:t>
            </w: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483"/>
              <w:spacing w:after="0"/>
              <w:rPr>
                <w:sz w:val="20"/>
                <w:szCs w:val="20"/>
                <w:color w:val="auto"/>
              </w:rPr>
            </w:pPr>
            <w:r>
              <w:rPr>
                <w:rFonts w:ascii="Arial" w:cs="Arial" w:eastAsia="Arial" w:hAnsi="Arial"/>
                <w:sz w:val="11"/>
                <w:szCs w:val="11"/>
                <w:b w:val="1"/>
                <w:bCs w:val="1"/>
                <w:color w:val="auto"/>
              </w:rPr>
              <w:t>Successor</w:t>
            </w:r>
          </w:p>
        </w:tc>
      </w:tr>
      <w:tr>
        <w:trPr>
          <w:trHeight w:val="139"/>
        </w:trPr>
        <w:tc>
          <w:tcPr>
            <w:tcW w:w="790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200" w:type="dxa"/>
            <w:vAlign w:val="bottom"/>
          </w:tcPr>
          <w:p>
            <w:pPr>
              <w:spacing w:after="0"/>
              <w:rPr>
                <w:sz w:val="12"/>
                <w:szCs w:val="12"/>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December 31, 2021</w:t>
            </w:r>
          </w:p>
        </w:tc>
        <w:tc>
          <w:tcPr>
            <w:tcW w:w="200" w:type="dxa"/>
            <w:vAlign w:val="bottom"/>
          </w:tcPr>
          <w:p>
            <w:pPr>
              <w:spacing w:after="0"/>
              <w:rPr>
                <w:sz w:val="12"/>
                <w:szCs w:val="12"/>
                <w:color w:val="auto"/>
              </w:rPr>
            </w:pPr>
          </w:p>
        </w:tc>
        <w:tc>
          <w:tcPr>
            <w:tcW w:w="1440" w:type="dxa"/>
            <w:vAlign w:val="bottom"/>
          </w:tcPr>
          <w:p>
            <w:pPr>
              <w:jc w:val="right"/>
              <w:ind w:right="243"/>
              <w:spacing w:after="0"/>
              <w:rPr>
                <w:sz w:val="20"/>
                <w:szCs w:val="20"/>
                <w:color w:val="auto"/>
              </w:rPr>
            </w:pPr>
            <w:r>
              <w:rPr>
                <w:rFonts w:ascii="Arial" w:cs="Arial" w:eastAsia="Arial" w:hAnsi="Arial"/>
                <w:sz w:val="11"/>
                <w:szCs w:val="11"/>
                <w:b w:val="1"/>
                <w:bCs w:val="1"/>
                <w:color w:val="auto"/>
              </w:rPr>
              <w:t>December 31, 2020</w:t>
            </w:r>
          </w:p>
        </w:tc>
      </w:tr>
      <w:tr>
        <w:trPr>
          <w:trHeight w:val="129"/>
        </w:trPr>
        <w:tc>
          <w:tcPr>
            <w:tcW w:w="7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i w:val="1"/>
                <w:iCs w:val="1"/>
                <w:color w:val="auto"/>
              </w:rPr>
              <w:t>Deferred tax assets:</w:t>
            </w:r>
          </w:p>
        </w:tc>
        <w:tc>
          <w:tcPr>
            <w:tcW w:w="200" w:type="dxa"/>
            <w:vAlign w:val="bottom"/>
            <w:tcBorders>
              <w:top w:val="single" w:sz="8" w:color="auto"/>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spacing w:after="0"/>
              <w:rPr>
                <w:sz w:val="11"/>
                <w:szCs w:val="11"/>
                <w:color w:val="auto"/>
              </w:rPr>
            </w:pPr>
          </w:p>
        </w:tc>
      </w:tr>
      <w:tr>
        <w:trPr>
          <w:trHeight w:val="149"/>
        </w:trPr>
        <w:tc>
          <w:tcPr>
            <w:tcW w:w="7900" w:type="dxa"/>
            <w:vAlign w:val="bottom"/>
          </w:tcPr>
          <w:p>
            <w:pPr>
              <w:ind w:left="180"/>
              <w:spacing w:after="0"/>
              <w:rPr>
                <w:sz w:val="20"/>
                <w:szCs w:val="20"/>
                <w:color w:val="auto"/>
              </w:rPr>
            </w:pPr>
            <w:r>
              <w:rPr>
                <w:rFonts w:ascii="Arial" w:cs="Arial" w:eastAsia="Arial" w:hAnsi="Arial"/>
                <w:sz w:val="11"/>
                <w:szCs w:val="11"/>
                <w:color w:val="auto"/>
              </w:rPr>
              <w:t>Basis in partnership investment</w:t>
            </w: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1460" w:type="dxa"/>
            <w:vAlign w:val="bottom"/>
          </w:tcPr>
          <w:p>
            <w:pPr>
              <w:jc w:val="right"/>
              <w:ind w:right="3"/>
              <w:spacing w:after="0"/>
              <w:rPr>
                <w:sz w:val="20"/>
                <w:szCs w:val="20"/>
                <w:color w:val="auto"/>
              </w:rPr>
            </w:pPr>
            <w:r>
              <w:rPr>
                <w:rFonts w:ascii="Arial" w:cs="Arial" w:eastAsia="Arial" w:hAnsi="Arial"/>
                <w:sz w:val="11"/>
                <w:szCs w:val="11"/>
                <w:color w:val="auto"/>
              </w:rPr>
              <w:t>162,277</w:t>
            </w:r>
          </w:p>
        </w:tc>
        <w:tc>
          <w:tcPr>
            <w:tcW w:w="80" w:type="dxa"/>
            <w:vAlign w:val="bottom"/>
          </w:tcPr>
          <w:p>
            <w:pPr>
              <w:spacing w:after="0"/>
              <w:rPr>
                <w:sz w:val="12"/>
                <w:szCs w:val="12"/>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1440" w:type="dxa"/>
            <w:vAlign w:val="bottom"/>
          </w:tcPr>
          <w:p>
            <w:pPr>
              <w:jc w:val="right"/>
              <w:spacing w:after="0"/>
              <w:rPr>
                <w:sz w:val="20"/>
                <w:szCs w:val="20"/>
                <w:color w:val="auto"/>
              </w:rPr>
            </w:pPr>
            <w:r>
              <w:rPr>
                <w:rFonts w:ascii="Arial" w:cs="Arial" w:eastAsia="Arial" w:hAnsi="Arial"/>
                <w:sz w:val="11"/>
                <w:szCs w:val="11"/>
                <w:color w:val="auto"/>
              </w:rPr>
              <w:t>94,910</w:t>
            </w:r>
          </w:p>
        </w:tc>
      </w:tr>
      <w:tr>
        <w:trPr>
          <w:trHeight w:val="149"/>
        </w:trPr>
        <w:tc>
          <w:tcPr>
            <w:tcW w:w="79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Net operating losses</w:t>
            </w:r>
          </w:p>
        </w:tc>
        <w:tc>
          <w:tcPr>
            <w:tcW w:w="20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59,001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15,555</w:t>
            </w:r>
          </w:p>
        </w:tc>
      </w:tr>
      <w:tr>
        <w:trPr>
          <w:trHeight w:val="149"/>
        </w:trPr>
        <w:tc>
          <w:tcPr>
            <w:tcW w:w="7900" w:type="dxa"/>
            <w:vAlign w:val="bottom"/>
          </w:tcPr>
          <w:p>
            <w:pPr>
              <w:ind w:left="180"/>
              <w:spacing w:after="0"/>
              <w:rPr>
                <w:sz w:val="20"/>
                <w:szCs w:val="20"/>
                <w:color w:val="auto"/>
              </w:rPr>
            </w:pPr>
            <w:r>
              <w:rPr>
                <w:rFonts w:ascii="Arial" w:cs="Arial" w:eastAsia="Arial" w:hAnsi="Arial"/>
                <w:sz w:val="11"/>
                <w:szCs w:val="11"/>
                <w:color w:val="auto"/>
              </w:rPr>
              <w:t>Disallowed business interest</w:t>
            </w:r>
          </w:p>
        </w:tc>
        <w:tc>
          <w:tcPr>
            <w:tcW w:w="200" w:type="dxa"/>
            <w:vAlign w:val="bottom"/>
          </w:tcPr>
          <w:p>
            <w:pPr>
              <w:spacing w:after="0"/>
              <w:rPr>
                <w:sz w:val="12"/>
                <w:szCs w:val="12"/>
                <w:color w:val="auto"/>
              </w:rPr>
            </w:pPr>
          </w:p>
        </w:tc>
        <w:tc>
          <w:tcPr>
            <w:tcW w:w="1460" w:type="dxa"/>
            <w:vAlign w:val="bottom"/>
          </w:tcPr>
          <w:p>
            <w:pPr>
              <w:jc w:val="right"/>
              <w:ind w:right="3"/>
              <w:spacing w:after="0"/>
              <w:rPr>
                <w:sz w:val="20"/>
                <w:szCs w:val="20"/>
                <w:color w:val="auto"/>
              </w:rPr>
            </w:pPr>
            <w:r>
              <w:rPr>
                <w:rFonts w:ascii="Arial" w:cs="Arial" w:eastAsia="Arial" w:hAnsi="Arial"/>
                <w:sz w:val="11"/>
                <w:szCs w:val="11"/>
                <w:color w:val="auto"/>
              </w:rPr>
              <w:t>4,776</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1,058</w:t>
            </w:r>
          </w:p>
        </w:tc>
      </w:tr>
      <w:tr>
        <w:trPr>
          <w:trHeight w:val="149"/>
        </w:trPr>
        <w:tc>
          <w:tcPr>
            <w:tcW w:w="79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Foreign tax credits</w:t>
            </w:r>
          </w:p>
        </w:tc>
        <w:tc>
          <w:tcPr>
            <w:tcW w:w="20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471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305</w:t>
            </w:r>
          </w:p>
        </w:tc>
      </w:tr>
      <w:tr>
        <w:trPr>
          <w:trHeight w:val="149"/>
        </w:trPr>
        <w:tc>
          <w:tcPr>
            <w:tcW w:w="7900" w:type="dxa"/>
            <w:vAlign w:val="bottom"/>
          </w:tcPr>
          <w:p>
            <w:pPr>
              <w:ind w:left="180"/>
              <w:spacing w:after="0"/>
              <w:rPr>
                <w:sz w:val="20"/>
                <w:szCs w:val="20"/>
                <w:color w:val="auto"/>
              </w:rPr>
            </w:pPr>
            <w:r>
              <w:rPr>
                <w:rFonts w:ascii="Arial" w:cs="Arial" w:eastAsia="Arial" w:hAnsi="Arial"/>
                <w:sz w:val="11"/>
                <w:szCs w:val="11"/>
                <w:color w:val="auto"/>
              </w:rPr>
              <w:t>Accrued liabilities</w:t>
            </w:r>
          </w:p>
        </w:tc>
        <w:tc>
          <w:tcPr>
            <w:tcW w:w="200" w:type="dxa"/>
            <w:vAlign w:val="bottom"/>
          </w:tcPr>
          <w:p>
            <w:pPr>
              <w:spacing w:after="0"/>
              <w:rPr>
                <w:sz w:val="12"/>
                <w:szCs w:val="12"/>
                <w:color w:val="auto"/>
              </w:rPr>
            </w:pPr>
          </w:p>
        </w:tc>
        <w:tc>
          <w:tcPr>
            <w:tcW w:w="1460" w:type="dxa"/>
            <w:vAlign w:val="bottom"/>
          </w:tcPr>
          <w:p>
            <w:pPr>
              <w:jc w:val="right"/>
              <w:ind w:right="3"/>
              <w:spacing w:after="0"/>
              <w:rPr>
                <w:sz w:val="20"/>
                <w:szCs w:val="20"/>
                <w:color w:val="auto"/>
              </w:rPr>
            </w:pPr>
            <w:r>
              <w:rPr>
                <w:rFonts w:ascii="Arial" w:cs="Arial" w:eastAsia="Arial" w:hAnsi="Arial"/>
                <w:sz w:val="11"/>
                <w:szCs w:val="11"/>
                <w:color w:val="auto"/>
              </w:rPr>
              <w:t>468</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224</w:t>
            </w:r>
          </w:p>
        </w:tc>
      </w:tr>
      <w:tr>
        <w:trPr>
          <w:trHeight w:val="149"/>
        </w:trPr>
        <w:tc>
          <w:tcPr>
            <w:tcW w:w="79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Lease liabilities</w:t>
            </w:r>
          </w:p>
        </w:tc>
        <w:tc>
          <w:tcPr>
            <w:tcW w:w="20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9"/>
        </w:trPr>
        <w:tc>
          <w:tcPr>
            <w:tcW w:w="7900" w:type="dxa"/>
            <w:vAlign w:val="bottom"/>
          </w:tcPr>
          <w:p>
            <w:pPr>
              <w:ind w:left="180"/>
              <w:spacing w:after="0"/>
              <w:rPr>
                <w:sz w:val="20"/>
                <w:szCs w:val="20"/>
                <w:color w:val="auto"/>
              </w:rPr>
            </w:pPr>
            <w:r>
              <w:rPr>
                <w:rFonts w:ascii="Arial" w:cs="Arial" w:eastAsia="Arial" w:hAnsi="Arial"/>
                <w:sz w:val="11"/>
                <w:szCs w:val="11"/>
                <w:color w:val="auto"/>
              </w:rPr>
              <w:t>Fixed assets</w:t>
            </w:r>
          </w:p>
        </w:tc>
        <w:tc>
          <w:tcPr>
            <w:tcW w:w="200" w:type="dxa"/>
            <w:vAlign w:val="bottom"/>
          </w:tcPr>
          <w:p>
            <w:pPr>
              <w:spacing w:after="0"/>
              <w:rPr>
                <w:sz w:val="12"/>
                <w:szCs w:val="12"/>
                <w:color w:val="auto"/>
              </w:rPr>
            </w:pPr>
          </w:p>
        </w:tc>
        <w:tc>
          <w:tcPr>
            <w:tcW w:w="1460" w:type="dxa"/>
            <w:vAlign w:val="bottom"/>
          </w:tcPr>
          <w:p>
            <w:pPr>
              <w:jc w:val="right"/>
              <w:ind w:right="3"/>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9"/>
        </w:trPr>
        <w:tc>
          <w:tcPr>
            <w:tcW w:w="79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Other</w:t>
            </w:r>
          </w:p>
        </w:tc>
        <w:tc>
          <w:tcPr>
            <w:tcW w:w="200" w:type="dxa"/>
            <w:vAlign w:val="bottom"/>
            <w:tcBorders>
              <w:bottom w:val="single" w:sz="8" w:color="auto"/>
            </w:tcBorders>
            <w:shd w:val="clear" w:color="auto" w:fill="CCEEFF"/>
          </w:tcPr>
          <w:p>
            <w:pPr>
              <w:spacing w:after="0"/>
              <w:rPr>
                <w:sz w:val="12"/>
                <w:szCs w:val="12"/>
                <w:color w:val="auto"/>
              </w:rPr>
            </w:pPr>
          </w:p>
        </w:tc>
        <w:tc>
          <w:tcPr>
            <w:tcW w:w="14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111</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w:t>
            </w:r>
          </w:p>
        </w:tc>
      </w:tr>
      <w:tr>
        <w:trPr>
          <w:trHeight w:val="139"/>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gross deferred tax assets</w:t>
            </w:r>
          </w:p>
        </w:tc>
        <w:tc>
          <w:tcPr>
            <w:tcW w:w="2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227,133</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112,067</w:t>
            </w:r>
          </w:p>
        </w:tc>
      </w:tr>
      <w:tr>
        <w:trPr>
          <w:trHeight w:val="13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Valuation allowance</w:t>
            </w:r>
          </w:p>
        </w:tc>
        <w:tc>
          <w:tcPr>
            <w:tcW w:w="200" w:type="dxa"/>
            <w:vAlign w:val="bottom"/>
            <w:tcBorders>
              <w:bottom w:val="single" w:sz="8" w:color="auto"/>
            </w:tcBorders>
            <w:shd w:val="clear" w:color="auto" w:fill="CCEEFF"/>
          </w:tcPr>
          <w:p>
            <w:pPr>
              <w:spacing w:after="0"/>
              <w:rPr>
                <w:sz w:val="12"/>
                <w:szCs w:val="1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(226,636)</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(111,843)</w:t>
            </w:r>
          </w:p>
        </w:tc>
      </w:tr>
      <w:tr>
        <w:trPr>
          <w:trHeight w:val="139"/>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deferred tax assets, net of valuation allowance</w:t>
            </w:r>
          </w:p>
        </w:tc>
        <w:tc>
          <w:tcPr>
            <w:tcW w:w="2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497</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224</w:t>
            </w:r>
          </w:p>
        </w:tc>
      </w:tr>
      <w:tr>
        <w:trPr>
          <w:trHeight w:val="12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i w:val="1"/>
                <w:iCs w:val="1"/>
                <w:color w:val="auto"/>
              </w:rPr>
              <w:t>Deferred tax liabilities:</w:t>
            </w:r>
          </w:p>
        </w:tc>
        <w:tc>
          <w:tcPr>
            <w:tcW w:w="20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r>
      <w:tr>
        <w:trPr>
          <w:trHeight w:val="149"/>
        </w:trPr>
        <w:tc>
          <w:tcPr>
            <w:tcW w:w="7900" w:type="dxa"/>
            <w:vAlign w:val="bottom"/>
          </w:tcPr>
          <w:p>
            <w:pPr>
              <w:ind w:left="180"/>
              <w:spacing w:after="0"/>
              <w:rPr>
                <w:sz w:val="20"/>
                <w:szCs w:val="20"/>
                <w:color w:val="auto"/>
              </w:rPr>
            </w:pPr>
            <w:r>
              <w:rPr>
                <w:rFonts w:ascii="Arial" w:cs="Arial" w:eastAsia="Arial" w:hAnsi="Arial"/>
                <w:sz w:val="11"/>
                <w:szCs w:val="11"/>
                <w:color w:val="auto"/>
              </w:rPr>
              <w:t>Lease assets</w:t>
            </w:r>
          </w:p>
        </w:tc>
        <w:tc>
          <w:tcPr>
            <w:tcW w:w="20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(24)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9"/>
        </w:trPr>
        <w:tc>
          <w:tcPr>
            <w:tcW w:w="79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Fixed assets</w:t>
            </w:r>
          </w:p>
        </w:tc>
        <w:tc>
          <w:tcPr>
            <w:tcW w:w="200" w:type="dxa"/>
            <w:vAlign w:val="bottom"/>
            <w:tcBorders>
              <w:bottom w:val="single" w:sz="8" w:color="auto"/>
            </w:tcBorders>
            <w:shd w:val="clear" w:color="auto" w:fill="CCEEFF"/>
          </w:tcPr>
          <w:p>
            <w:pPr>
              <w:spacing w:after="0"/>
              <w:rPr>
                <w:sz w:val="12"/>
                <w:szCs w:val="12"/>
                <w:color w:val="auto"/>
              </w:rPr>
            </w:pPr>
          </w:p>
        </w:tc>
        <w:tc>
          <w:tcPr>
            <w:tcW w:w="15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w:t>
            </w:r>
          </w:p>
        </w:tc>
      </w:tr>
      <w:tr>
        <w:trPr>
          <w:trHeight w:val="139"/>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gross deferred tax liabilities</w:t>
            </w:r>
          </w:p>
        </w:tc>
        <w:tc>
          <w:tcPr>
            <w:tcW w:w="2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w:t>
            </w:r>
          </w:p>
        </w:tc>
      </w:tr>
      <w:tr>
        <w:trPr>
          <w:trHeight w:val="164"/>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Net deferred tax assets</w:t>
            </w: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14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473</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215</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right="540"/>
        <w:spacing w:after="0" w:line="244" w:lineRule="auto"/>
        <w:rPr>
          <w:sz w:val="20"/>
          <w:szCs w:val="20"/>
          <w:color w:val="auto"/>
        </w:rPr>
      </w:pPr>
      <w:r>
        <w:rPr>
          <w:rFonts w:ascii="Arial" w:cs="Arial" w:eastAsia="Arial" w:hAnsi="Arial"/>
          <w:sz w:val="13"/>
          <w:szCs w:val="13"/>
          <w:color w:val="auto"/>
        </w:rPr>
        <w:t>As a result of the Transactions and the IPO, the Company acquired LLC Interests and has recognized a deferred tax asset for the difference between the financial reporting and tax basis of its investment in GHH, LLC.</w:t>
      </w:r>
    </w:p>
    <w:p>
      <w:pPr>
        <w:spacing w:after="0" w:line="163" w:lineRule="exact"/>
        <w:rPr>
          <w:sz w:val="20"/>
          <w:szCs w:val="20"/>
          <w:color w:val="auto"/>
        </w:rPr>
      </w:pPr>
    </w:p>
    <w:p>
      <w:pPr>
        <w:ind w:right="120"/>
        <w:spacing w:after="0" w:line="241" w:lineRule="auto"/>
        <w:rPr>
          <w:sz w:val="20"/>
          <w:szCs w:val="20"/>
          <w:color w:val="auto"/>
        </w:rPr>
      </w:pPr>
      <w:r>
        <w:rPr>
          <w:rFonts w:ascii="Arial" w:cs="Arial" w:eastAsia="Arial" w:hAnsi="Arial"/>
          <w:sz w:val="13"/>
          <w:szCs w:val="13"/>
          <w:color w:val="auto"/>
        </w:rPr>
        <w:t>In addition, the Company increased its ownership in GHH, LLC during the year ended December 31, 2021, primarily through the redemption of LLC Interests. The Company recognized a deferred tax asset in the amount of $58.1 million associated with the basis difference in our investment in GHH, LLC upon acquiring these LLC Interests. As of December 31, 2021, the total deferred tax asset related to the basis difference in the Company's investment in GHH, LLC was $162.3 million.</w:t>
      </w:r>
    </w:p>
    <w:p>
      <w:pPr>
        <w:spacing w:after="0" w:line="165" w:lineRule="exact"/>
        <w:rPr>
          <w:sz w:val="20"/>
          <w:szCs w:val="20"/>
          <w:color w:val="auto"/>
        </w:rPr>
      </w:pPr>
    </w:p>
    <w:p>
      <w:pPr>
        <w:ind w:right="60"/>
        <w:spacing w:after="0" w:line="239" w:lineRule="auto"/>
        <w:rPr>
          <w:sz w:val="20"/>
          <w:szCs w:val="20"/>
          <w:color w:val="auto"/>
        </w:rPr>
      </w:pPr>
      <w:r>
        <w:rPr>
          <w:rFonts w:ascii="Arial" w:cs="Arial" w:eastAsia="Arial" w:hAnsi="Arial"/>
          <w:sz w:val="13"/>
          <w:szCs w:val="13"/>
          <w:color w:val="auto"/>
        </w:rPr>
        <w:t>The Company records valuation allowances against its deferred tax assets when it is more likely than not that all or a portion of a deferred tax asset will not be realized. The Company routinely evaluates the realizability of its deferred tax assets by assessing the likelihood that its deferred tax assets will be recovered based on all available positive and negative evidence, including scheduled reversals of deferred tax liabilities, estimates of future taxable income, tax planning strategies and results of operations. In projecting future taxable income, the Company considers its historical results and incorporates certain assumptions, including revenue growth and operating margins, among others. Based on the lack of sufficient sources of taxable income, the Company has concluded that materially all of its deferred tax assets will not be realized and has recorded a valuation allowance against all deferred tax assets as of December 31, 2021.</w:t>
      </w:r>
    </w:p>
    <w:p>
      <w:pPr>
        <w:spacing w:after="0" w:line="168" w:lineRule="exact"/>
        <w:rPr>
          <w:sz w:val="20"/>
          <w:szCs w:val="20"/>
          <w:color w:val="auto"/>
        </w:rPr>
      </w:pPr>
    </w:p>
    <w:p>
      <w:pPr>
        <w:ind w:right="120"/>
        <w:spacing w:after="0"/>
        <w:rPr>
          <w:sz w:val="20"/>
          <w:szCs w:val="20"/>
          <w:color w:val="auto"/>
        </w:rPr>
      </w:pPr>
      <w:r>
        <w:rPr>
          <w:rFonts w:ascii="Arial" w:cs="Arial" w:eastAsia="Arial" w:hAnsi="Arial"/>
          <w:sz w:val="13"/>
          <w:szCs w:val="13"/>
          <w:color w:val="auto"/>
        </w:rPr>
        <w:t>As of December 31, 2021, the Company had gross U.S. federal net operating loss carryforwards and state tax net operating loss carryforwards of $230.9 million and $230.5 million, respectively. As of December 31, 2020, the Company had gross U.S. federal net operating loss carryforwards and state tax net operating loss carryforwards of $43.0 million and $41.9 million, respectively. The U.S. federal net operating losses can be carried forward indefinitely as they were generated after 2017. Certain state tax net operating loss carryforwards will begin to expire in 2025. As of December 31, 2021 and 2020, the Company had U.S. federal credits and incentives of $0.6 million and $0.2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Uncertain Tax Positions</w:t>
      </w:r>
    </w:p>
    <w:p>
      <w:pPr>
        <w:spacing w:after="0" w:line="185" w:lineRule="exact"/>
        <w:rPr>
          <w:sz w:val="20"/>
          <w:szCs w:val="20"/>
          <w:color w:val="auto"/>
        </w:rPr>
      </w:pPr>
    </w:p>
    <w:p>
      <w:pPr>
        <w:ind w:right="60"/>
        <w:spacing w:after="0"/>
        <w:rPr>
          <w:sz w:val="20"/>
          <w:szCs w:val="20"/>
          <w:color w:val="auto"/>
        </w:rPr>
      </w:pPr>
      <w:r>
        <w:rPr>
          <w:rFonts w:ascii="Arial" w:cs="Arial" w:eastAsia="Arial" w:hAnsi="Arial"/>
          <w:sz w:val="13"/>
          <w:szCs w:val="13"/>
          <w:color w:val="auto"/>
        </w:rPr>
        <w:t>There were no reserves for uncertain tax positions as of December 31, 2021 and 2020. GoHealth, Inc. was formed in March of 2020 and did not engage in any operations prior to the Transactions and the IPO. GoHealth, Inc. filed its first tax returns for the tax year 2020 in 2021, which is the first tax year subject to examination by taxing authorities for U.S. federal and state income tax purposes. Additionally, although GHH, LLC is treated as a partnership for U.S. federal and state income tax purposes, it is still required to file an annual U.S. Return of Partnership Income, which is subject to examination by taxing authorities for U.S. federal and state income tax purposes. The statute of limitations has expired for tax years through 2017 for GHH, LLC and Creatix, Inc.</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91</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85" w:right="319" w:bottom="1440" w:gutter="0" w:footer="0" w:header="0"/>
        </w:sectPr>
      </w:pPr>
    </w:p>
    <w:bookmarkStart w:id="94" w:name="page95"/>
    <w:bookmarkEnd w:id="94"/>
    <w:p>
      <w:pPr>
        <w:spacing w:after="0"/>
        <w:rPr>
          <w:sz w:val="20"/>
          <w:szCs w:val="20"/>
          <w:color w:val="auto"/>
        </w:rPr>
      </w:pPr>
      <w:r>
        <w:rPr>
          <w:rFonts w:ascii="Arial" w:cs="Arial" w:eastAsia="Arial" w:hAnsi="Arial"/>
          <w:sz w:val="13"/>
          <w:szCs w:val="13"/>
          <w:b w:val="1"/>
          <w:bCs w:val="1"/>
          <w:color w:val="auto"/>
        </w:rPr>
        <w:t>CARES Act</w:t>
      </w:r>
    </w:p>
    <w:p>
      <w:pPr>
        <w:spacing w:after="0" w:line="185" w:lineRule="exact"/>
        <w:rPr>
          <w:sz w:val="20"/>
          <w:szCs w:val="20"/>
          <w:color w:val="auto"/>
        </w:rPr>
      </w:pPr>
    </w:p>
    <w:p>
      <w:pPr>
        <w:ind w:right="100"/>
        <w:spacing w:after="0" w:line="267" w:lineRule="auto"/>
        <w:rPr>
          <w:sz w:val="20"/>
          <w:szCs w:val="20"/>
          <w:color w:val="auto"/>
        </w:rPr>
      </w:pPr>
      <w:r>
        <w:rPr>
          <w:rFonts w:ascii="Arial" w:cs="Arial" w:eastAsia="Arial" w:hAnsi="Arial"/>
          <w:sz w:val="12"/>
          <w:szCs w:val="12"/>
          <w:color w:val="auto"/>
        </w:rPr>
        <w:t>On March 27, 2020, the President signed the CARES Act to provide emergency relief related to the COVID-19 pandemic. The CARES Act contains federal income tax provisions which, among other things; (i) increases the amount of interest expense that businesses are allowed to deduct by increasing the adjusted taxable income limitation from 30% to 50% for tax years that begin in 2019 and 2020; (ii) permits businesses to carry back to each of the five tax years net operating losses arising from tax years beginning after December 31, 2017 and before January 1, 2021; and (iii) temporarily removes the 80% limitation on net operating losses until tax years beginning after 2020. The CARES Act provisions currently do not have a material impact on the Company’s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Tax Receivable Agreement</w:t>
      </w:r>
    </w:p>
    <w:p>
      <w:pPr>
        <w:spacing w:after="0" w:line="185" w:lineRule="exact"/>
        <w:rPr>
          <w:sz w:val="20"/>
          <w:szCs w:val="20"/>
          <w:color w:val="auto"/>
        </w:rPr>
      </w:pPr>
    </w:p>
    <w:p>
      <w:pPr>
        <w:ind w:right="100"/>
        <w:spacing w:after="0" w:line="239" w:lineRule="auto"/>
        <w:rPr>
          <w:sz w:val="20"/>
          <w:szCs w:val="20"/>
          <w:color w:val="auto"/>
        </w:rPr>
      </w:pPr>
      <w:r>
        <w:rPr>
          <w:rFonts w:ascii="Arial" w:cs="Arial" w:eastAsia="Arial" w:hAnsi="Arial"/>
          <w:sz w:val="13"/>
          <w:szCs w:val="13"/>
          <w:color w:val="auto"/>
        </w:rPr>
        <w:t>Pursuant to the Company’s election under Section 754 of the Internal Revenue Code (the “Code”), the Company expects to obtain an increase in its share of the tax basis in the net assets of GHH, LLC when LLC Interests are redeemed or exchanged by the Continuing Equity Owners. The Company intends to make an election under Section 754 of the Code for each taxable year in which a redemption or exchange of LLC Interest occurs. The Company intends to treat any redemptions and exchanges of LLC Interests by the Continuing Equity Owners as direct purchases of LLC Interests for U.S. federal income tax purposes. These increases in tax basis may reduce the amounts that the Company would otherwise pay in the future to various tax authorities. They may also decrease gains (or increase losses) on future dispositions of certain capital assets to the extent tax basis is allocated to those capital assets.</w:t>
      </w:r>
    </w:p>
    <w:p>
      <w:pPr>
        <w:spacing w:after="0" w:line="168"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In connection with the IPO, the Company entered into the Tax Receivable Agreement with GHH, LLC, the Continuing Equity Owners and the Blocker Shareholders that will provide for the payment by the Company to the Continuing Equity Owners and the Blocker Shareholders of 85% of the amount of tax benefits, if any, that the Company actually realizes (or in some circumstances is deemed to realize) as a result of (1) the Company’s allocable share of existing tax basis acquired in connection with the Transactions (including the Blocker Company’s share of existing tax basis) and increases to such allocable share of existing tax basis; (2) increases in tax basis resulting from (a) the Company’s purchase of LLC Interests directly from GHH, LLC and the partial redemption of LLC Interests by GHH, LLC, (b) future redemptions or exchanges (or deemed exchanges in certain circumstances) of LLC Interests for Class A common stock or cash, and (c) certain distributions (or deemed distributions) by GHH, LLC; and (3) certain additional tax benefits arising from payments made under the Tax Receivable Agreement. The Company may benefit from the remaining 15% of any tax benefits that the Company actually realizes.</w:t>
      </w:r>
    </w:p>
    <w:p>
      <w:pPr>
        <w:spacing w:after="0" w:line="167" w:lineRule="exact"/>
        <w:rPr>
          <w:sz w:val="20"/>
          <w:szCs w:val="20"/>
          <w:color w:val="auto"/>
        </w:rPr>
      </w:pPr>
    </w:p>
    <w:p>
      <w:pPr>
        <w:ind w:right="80"/>
        <w:spacing w:after="0" w:line="271" w:lineRule="auto"/>
        <w:rPr>
          <w:sz w:val="20"/>
          <w:szCs w:val="20"/>
          <w:color w:val="auto"/>
        </w:rPr>
      </w:pPr>
      <w:r>
        <w:rPr>
          <w:rFonts w:ascii="Arial" w:cs="Arial" w:eastAsia="Arial" w:hAnsi="Arial"/>
          <w:sz w:val="12"/>
          <w:szCs w:val="12"/>
          <w:color w:val="auto"/>
        </w:rPr>
        <w:t>The amounts payable under the Tax Receivable Agreement will vary depending upon a number of factors, including the amount, character, and timing of the taxable income of the Company in the future. As of December 31, 2021, the Company has determined there is no resulting liability related to the Tax Receivable Agreement arising from the Transactions and IPO. Should the Company determine that the Tax Receivable Agreement liability be considered probable at a future date based on new information, any changes will be recorded within income tax expense (benefit) at that time.</w:t>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b w:val="1"/>
          <w:bCs w:val="1"/>
          <w:color w:val="0A2299"/>
        </w:rPr>
        <w:t>10. REVENUE</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Revenue Recognition for Variable Consideration</w:t>
      </w:r>
    </w:p>
    <w:p>
      <w:pPr>
        <w:spacing w:after="0" w:line="185"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The Company’s variable consideration includes the total estimated lifetime value (“LTV”) it expects to receive for selling an insurance product after the carrier approves an application. The consideration is variable based on the amount of time it estimates a policy will remain in force, which is based on historical experience or carrier experience to the extent available, industry data, and expectations as to future retention rates. Additionally, the Company considers the application of a constraint and only recognizes the amount of variable consideration that it believes is probable that it will be entitled to receive and will not be subject to a significant revenue reversal in the future. Due to lower persistency observed during the annual enrollment period and declining LTV estimates, the Company applied an incremental 15% LTV constraint to all Medicare Advantage policies sold in the fourth quarter of 2021.</w:t>
      </w:r>
    </w:p>
    <w:p>
      <w:pPr>
        <w:spacing w:after="0" w:line="168" w:lineRule="exact"/>
        <w:rPr>
          <w:sz w:val="20"/>
          <w:szCs w:val="20"/>
          <w:color w:val="auto"/>
        </w:rPr>
      </w:pPr>
    </w:p>
    <w:p>
      <w:pPr>
        <w:ind w:right="40"/>
        <w:spacing w:after="0" w:line="239" w:lineRule="auto"/>
        <w:rPr>
          <w:sz w:val="20"/>
          <w:szCs w:val="20"/>
          <w:color w:val="auto"/>
        </w:rPr>
      </w:pPr>
      <w:r>
        <w:rPr>
          <w:rFonts w:ascii="Arial" w:cs="Arial" w:eastAsia="Arial" w:hAnsi="Arial"/>
          <w:sz w:val="13"/>
          <w:szCs w:val="13"/>
          <w:color w:val="auto"/>
        </w:rPr>
        <w:t>On a quarterly basis, the Company re-estimates LTV at a vintage level for outstanding vintages, reviews and monitors changes in the data used to estimate LTV, as well as the cash received for each vintage as compared to the original estimates. The difference between cash received for each vintage and the respective estimated LTV can be significant and may or may not be indicative of the need to adjust revenue for prior period vintages. Changes in LTV may result in an increase or a decrease to revenue and a corresponding change to commissions receivable. The Company analyzes these differences and to the extent the Company believes differences in the estimates are indicative of a change to prior period LTVs, the Company will adjust revenue for the affected vintages at the time such determination is made and when it is probable that a significant reversal in the amount of cumulative revenue recognized will not occur. As a result of this analysis, for the year ended December 31, 2021 and December 31, 2020, respectively, the Company recorded a negative revenue adjustment of $165.3 million and $2.0 million relating to performance obligations satisfied in prior periods. For the twelve months ended December 31, 2019, there were no revenue adjustments recorded relating to performance obligations satisfied in prior periods.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Disaggregation of Revenue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92</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69" w:right="319" w:bottom="1440" w:gutter="0" w:footer="0" w:header="0"/>
        </w:sectPr>
      </w:pPr>
    </w:p>
    <w:bookmarkStart w:id="95" w:name="page96"/>
    <w:bookmarkEnd w:id="95"/>
    <w:p>
      <w:pPr>
        <w:spacing w:after="0"/>
        <w:rPr>
          <w:sz w:val="20"/>
          <w:szCs w:val="20"/>
          <w:color w:val="auto"/>
        </w:rPr>
      </w:pPr>
      <w:r>
        <w:rPr>
          <w:rFonts w:ascii="Arial" w:cs="Arial" w:eastAsia="Arial" w:hAnsi="Arial"/>
          <w:sz w:val="13"/>
          <w:szCs w:val="13"/>
          <w:color w:val="auto"/>
        </w:rPr>
        <w:t>The table below depicts the disaggregation of revenue by product, and is consistent with how the Company evaluates its financial performance: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1"/>
                <w:szCs w:val="11"/>
                <w:b w:val="1"/>
                <w:bCs w:val="1"/>
                <w:color w:val="auto"/>
              </w:rPr>
              <w:t>Successor</w:t>
            </w:r>
          </w:p>
        </w:tc>
        <w:tc>
          <w:tcPr>
            <w:tcW w:w="1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center"/>
              <w:ind w:right="83"/>
              <w:spacing w:after="0"/>
              <w:rPr>
                <w:sz w:val="20"/>
                <w:szCs w:val="20"/>
                <w:color w:val="auto"/>
              </w:rPr>
            </w:pPr>
            <w:r>
              <w:rPr>
                <w:rFonts w:ascii="Arial" w:cs="Arial" w:eastAsia="Arial" w:hAnsi="Arial"/>
                <w:sz w:val="11"/>
                <w:szCs w:val="11"/>
                <w:b w:val="1"/>
                <w:bCs w:val="1"/>
                <w:color w:val="auto"/>
              </w:rPr>
              <w:t>Predecessor</w:t>
            </w:r>
          </w:p>
        </w:tc>
        <w:tc>
          <w:tcPr>
            <w:tcW w:w="0" w:type="dxa"/>
            <w:vAlign w:val="bottom"/>
          </w:tcPr>
          <w:p>
            <w:pPr>
              <w:spacing w:after="0"/>
              <w:rPr>
                <w:sz w:val="1"/>
                <w:szCs w:val="1"/>
                <w:color w:val="auto"/>
              </w:rPr>
            </w:pPr>
          </w:p>
        </w:tc>
      </w:tr>
      <w:tr>
        <w:trPr>
          <w:trHeight w:val="107"/>
        </w:trPr>
        <w:tc>
          <w:tcPr>
            <w:tcW w:w="4460" w:type="dxa"/>
            <w:vAlign w:val="bottom"/>
            <w:vMerge w:val="restart"/>
          </w:tcPr>
          <w:p>
            <w:pPr>
              <w:ind w:left="20"/>
              <w:spacing w:after="0"/>
              <w:rPr>
                <w:sz w:val="20"/>
                <w:szCs w:val="20"/>
                <w:color w:val="auto"/>
              </w:rPr>
            </w:pPr>
            <w:r>
              <w:rPr>
                <w:rFonts w:ascii="Arial" w:cs="Arial" w:eastAsia="Arial" w:hAnsi="Arial"/>
                <w:sz w:val="11"/>
                <w:szCs w:val="11"/>
                <w:color w:val="auto"/>
              </w:rPr>
              <w:t>(in thousands)</w:t>
            </w:r>
          </w:p>
        </w:tc>
        <w:tc>
          <w:tcPr>
            <w:tcW w:w="80" w:type="dxa"/>
            <w:vAlign w:val="bottom"/>
          </w:tcPr>
          <w:p>
            <w:pPr>
              <w:spacing w:after="0"/>
              <w:rPr>
                <w:sz w:val="9"/>
                <w:szCs w:val="9"/>
                <w:color w:val="auto"/>
              </w:rPr>
            </w:pPr>
          </w:p>
        </w:tc>
        <w:tc>
          <w:tcPr>
            <w:tcW w:w="1640" w:type="dxa"/>
            <w:vAlign w:val="bottom"/>
            <w:gridSpan w:val="2"/>
          </w:tcPr>
          <w:p>
            <w:pPr>
              <w:ind w:left="20"/>
              <w:spacing w:after="0" w:line="107" w:lineRule="exact"/>
              <w:rPr>
                <w:sz w:val="20"/>
                <w:szCs w:val="20"/>
                <w:color w:val="auto"/>
              </w:rPr>
            </w:pPr>
            <w:r>
              <w:rPr>
                <w:rFonts w:ascii="Arial" w:cs="Arial" w:eastAsia="Arial" w:hAnsi="Arial"/>
                <w:sz w:val="11"/>
                <w:szCs w:val="11"/>
                <w:b w:val="1"/>
                <w:bCs w:val="1"/>
                <w:color w:val="auto"/>
              </w:rPr>
              <w:t>Twelve months ended Dec.</w:t>
            </w:r>
          </w:p>
        </w:tc>
        <w:tc>
          <w:tcPr>
            <w:tcW w:w="80" w:type="dxa"/>
            <w:vAlign w:val="bottom"/>
          </w:tcPr>
          <w:p>
            <w:pPr>
              <w:spacing w:after="0"/>
              <w:rPr>
                <w:sz w:val="9"/>
                <w:szCs w:val="9"/>
                <w:color w:val="auto"/>
              </w:rPr>
            </w:pPr>
          </w:p>
        </w:tc>
        <w:tc>
          <w:tcPr>
            <w:tcW w:w="1640" w:type="dxa"/>
            <w:vAlign w:val="bottom"/>
            <w:gridSpan w:val="2"/>
          </w:tcPr>
          <w:p>
            <w:pPr>
              <w:jc w:val="center"/>
              <w:ind w:right="160"/>
              <w:spacing w:after="0" w:line="107" w:lineRule="exact"/>
              <w:rPr>
                <w:sz w:val="20"/>
                <w:szCs w:val="20"/>
                <w:color w:val="auto"/>
              </w:rPr>
            </w:pPr>
            <w:r>
              <w:rPr>
                <w:rFonts w:ascii="Arial" w:cs="Arial" w:eastAsia="Arial" w:hAnsi="Arial"/>
                <w:sz w:val="11"/>
                <w:szCs w:val="11"/>
                <w:b w:val="1"/>
                <w:bCs w:val="1"/>
                <w:color w:val="auto"/>
              </w:rPr>
              <w:t>Twelve months ended Dec.</w:t>
            </w:r>
          </w:p>
        </w:tc>
        <w:tc>
          <w:tcPr>
            <w:tcW w:w="120" w:type="dxa"/>
            <w:vAlign w:val="bottom"/>
          </w:tcPr>
          <w:p>
            <w:pPr>
              <w:spacing w:after="0"/>
              <w:rPr>
                <w:sz w:val="9"/>
                <w:szCs w:val="9"/>
                <w:color w:val="auto"/>
              </w:rPr>
            </w:pPr>
          </w:p>
        </w:tc>
        <w:tc>
          <w:tcPr>
            <w:tcW w:w="1640" w:type="dxa"/>
            <w:vAlign w:val="bottom"/>
            <w:tcBorders>
              <w:right w:val="single" w:sz="8" w:color="auto"/>
            </w:tcBorders>
            <w:gridSpan w:val="2"/>
          </w:tcPr>
          <w:p>
            <w:pPr>
              <w:jc w:val="center"/>
              <w:ind w:right="220"/>
              <w:spacing w:after="0" w:line="107" w:lineRule="exact"/>
              <w:rPr>
                <w:sz w:val="20"/>
                <w:szCs w:val="20"/>
                <w:color w:val="auto"/>
              </w:rPr>
            </w:pPr>
            <w:r>
              <w:rPr>
                <w:rFonts w:ascii="Arial" w:cs="Arial" w:eastAsia="Arial" w:hAnsi="Arial"/>
                <w:sz w:val="11"/>
                <w:szCs w:val="11"/>
                <w:b w:val="1"/>
                <w:bCs w:val="1"/>
                <w:color w:val="auto"/>
              </w:rPr>
              <w:t>Period from Sep. 13, 2019</w:t>
            </w:r>
          </w:p>
        </w:tc>
        <w:tc>
          <w:tcPr>
            <w:tcW w:w="120" w:type="dxa"/>
            <w:vAlign w:val="bottom"/>
          </w:tcPr>
          <w:p>
            <w:pPr>
              <w:spacing w:after="0"/>
              <w:rPr>
                <w:sz w:val="9"/>
                <w:szCs w:val="9"/>
                <w:color w:val="auto"/>
              </w:rPr>
            </w:pPr>
          </w:p>
        </w:tc>
        <w:tc>
          <w:tcPr>
            <w:tcW w:w="1500" w:type="dxa"/>
            <w:vAlign w:val="bottom"/>
          </w:tcPr>
          <w:p>
            <w:pPr>
              <w:jc w:val="center"/>
              <w:ind w:right="63"/>
              <w:spacing w:after="0" w:line="107" w:lineRule="exact"/>
              <w:rPr>
                <w:sz w:val="20"/>
                <w:szCs w:val="20"/>
                <w:color w:val="auto"/>
              </w:rPr>
            </w:pPr>
            <w:r>
              <w:rPr>
                <w:rFonts w:ascii="Arial" w:cs="Arial" w:eastAsia="Arial" w:hAnsi="Arial"/>
                <w:sz w:val="11"/>
                <w:szCs w:val="11"/>
                <w:b w:val="1"/>
                <w:bCs w:val="1"/>
                <w:color w:val="auto"/>
              </w:rPr>
              <w:t>Period from Jan. 1, 2019</w:t>
            </w:r>
          </w:p>
        </w:tc>
        <w:tc>
          <w:tcPr>
            <w:tcW w:w="0" w:type="dxa"/>
            <w:vAlign w:val="bottom"/>
          </w:tcPr>
          <w:p>
            <w:pPr>
              <w:spacing w:after="0"/>
              <w:rPr>
                <w:sz w:val="1"/>
                <w:szCs w:val="1"/>
                <w:color w:val="auto"/>
              </w:rPr>
            </w:pPr>
          </w:p>
        </w:tc>
      </w:tr>
      <w:tr>
        <w:trPr>
          <w:trHeight w:val="138"/>
        </w:trPr>
        <w:tc>
          <w:tcPr>
            <w:tcW w:w="4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jc w:val="right"/>
              <w:ind w:right="543"/>
              <w:spacing w:after="0"/>
              <w:rPr>
                <w:sz w:val="20"/>
                <w:szCs w:val="20"/>
                <w:color w:val="auto"/>
              </w:rPr>
            </w:pPr>
            <w:r>
              <w:rPr>
                <w:rFonts w:ascii="Arial" w:cs="Arial" w:eastAsia="Arial" w:hAnsi="Arial"/>
                <w:sz w:val="11"/>
                <w:szCs w:val="11"/>
                <w:b w:val="1"/>
                <w:bCs w:val="1"/>
                <w:color w:val="auto"/>
              </w:rPr>
              <w:t>31, 2021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jc w:val="center"/>
              <w:ind w:right="23"/>
              <w:spacing w:after="0"/>
              <w:rPr>
                <w:sz w:val="20"/>
                <w:szCs w:val="20"/>
                <w:color w:val="auto"/>
              </w:rPr>
            </w:pPr>
            <w:r>
              <w:rPr>
                <w:rFonts w:ascii="Arial" w:cs="Arial" w:eastAsia="Arial" w:hAnsi="Arial"/>
                <w:sz w:val="11"/>
                <w:szCs w:val="11"/>
                <w:b w:val="1"/>
                <w:bCs w:val="1"/>
                <w:color w:val="auto"/>
              </w:rPr>
              <w:t>31, 2020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rPr>
              <w:t>through Dec. 31, 2019</w:t>
            </w:r>
          </w:p>
        </w:tc>
        <w:tc>
          <w:tcPr>
            <w:tcW w:w="120" w:type="dxa"/>
            <w:vAlign w:val="bottom"/>
          </w:tcPr>
          <w:p>
            <w:pPr>
              <w:spacing w:after="0"/>
              <w:rPr>
                <w:sz w:val="11"/>
                <w:szCs w:val="11"/>
                <w:color w:val="auto"/>
              </w:rPr>
            </w:pPr>
          </w:p>
        </w:tc>
        <w:tc>
          <w:tcPr>
            <w:tcW w:w="1500" w:type="dxa"/>
            <w:vAlign w:val="bottom"/>
          </w:tcPr>
          <w:p>
            <w:pPr>
              <w:jc w:val="center"/>
              <w:ind w:right="63"/>
              <w:spacing w:after="0"/>
              <w:rPr>
                <w:sz w:val="20"/>
                <w:szCs w:val="20"/>
                <w:color w:val="auto"/>
              </w:rPr>
            </w:pPr>
            <w:r>
              <w:rPr>
                <w:rFonts w:ascii="Arial" w:cs="Arial" w:eastAsia="Arial" w:hAnsi="Arial"/>
                <w:sz w:val="11"/>
                <w:szCs w:val="11"/>
                <w:b w:val="1"/>
                <w:bCs w:val="1"/>
                <w:color w:val="auto"/>
              </w:rPr>
              <w:t>through Sep. 12, 2019</w:t>
            </w:r>
          </w:p>
        </w:tc>
        <w:tc>
          <w:tcPr>
            <w:tcW w:w="0" w:type="dxa"/>
            <w:vAlign w:val="bottom"/>
          </w:tcPr>
          <w:p>
            <w:pPr>
              <w:spacing w:after="0"/>
              <w:rPr>
                <w:sz w:val="1"/>
                <w:szCs w:val="1"/>
                <w:color w:val="auto"/>
              </w:rPr>
            </w:pPr>
          </w:p>
        </w:tc>
      </w:tr>
      <w:tr>
        <w:trPr>
          <w:trHeight w:val="129"/>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i w:val="1"/>
                <w:iCs w:val="1"/>
                <w:color w:val="auto"/>
              </w:rPr>
              <w:t>Commission revenue:</w:t>
            </w:r>
          </w:p>
        </w:tc>
        <w:tc>
          <w:tcPr>
            <w:tcW w:w="80" w:type="dxa"/>
            <w:vAlign w:val="bottom"/>
            <w:tcBorders>
              <w:top w:val="single" w:sz="8" w:color="auto"/>
            </w:tcBorders>
            <w:shd w:val="clear" w:color="auto" w:fill="CCEEFF"/>
          </w:tcPr>
          <w:p>
            <w:pPr>
              <w:spacing w:after="0"/>
              <w:rPr>
                <w:sz w:val="11"/>
                <w:szCs w:val="11"/>
                <w:color w:val="auto"/>
              </w:rPr>
            </w:pPr>
          </w:p>
        </w:tc>
        <w:tc>
          <w:tcPr>
            <w:tcW w:w="1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5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right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5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60" w:type="dxa"/>
            <w:vAlign w:val="bottom"/>
          </w:tcPr>
          <w:p>
            <w:pPr>
              <w:ind w:left="180"/>
              <w:spacing w:after="0"/>
              <w:rPr>
                <w:sz w:val="20"/>
                <w:szCs w:val="20"/>
                <w:color w:val="auto"/>
              </w:rPr>
            </w:pPr>
            <w:r>
              <w:rPr>
                <w:rFonts w:ascii="Arial" w:cs="Arial" w:eastAsia="Arial" w:hAnsi="Arial"/>
                <w:sz w:val="11"/>
                <w:szCs w:val="11"/>
                <w:i w:val="1"/>
                <w:iCs w:val="1"/>
                <w:color w:val="auto"/>
              </w:rPr>
              <w:t>Medicare:</w:t>
            </w: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shd w:val="clear" w:color="auto" w:fill="CCEEFF"/>
          </w:tcPr>
          <w:p>
            <w:pPr>
              <w:ind w:left="360"/>
              <w:spacing w:after="0"/>
              <w:rPr>
                <w:sz w:val="20"/>
                <w:szCs w:val="20"/>
                <w:color w:val="auto"/>
              </w:rPr>
            </w:pPr>
            <w:r>
              <w:rPr>
                <w:rFonts w:ascii="Arial" w:cs="Arial" w:eastAsia="Arial" w:hAnsi="Arial"/>
                <w:sz w:val="11"/>
                <w:szCs w:val="11"/>
                <w:color w:val="auto"/>
              </w:rPr>
              <w:t>Medicare Advantage</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858,623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630,260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217,763</w:t>
            </w: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119,828</w:t>
            </w:r>
          </w:p>
        </w:tc>
        <w:tc>
          <w:tcPr>
            <w:tcW w:w="0" w:type="dxa"/>
            <w:vAlign w:val="bottom"/>
          </w:tcPr>
          <w:p>
            <w:pPr>
              <w:spacing w:after="0"/>
              <w:rPr>
                <w:sz w:val="1"/>
                <w:szCs w:val="1"/>
                <w:color w:val="auto"/>
              </w:rPr>
            </w:pPr>
          </w:p>
        </w:tc>
      </w:tr>
      <w:tr>
        <w:trPr>
          <w:trHeight w:val="149"/>
        </w:trPr>
        <w:tc>
          <w:tcPr>
            <w:tcW w:w="4460" w:type="dxa"/>
            <w:vAlign w:val="bottom"/>
          </w:tcPr>
          <w:p>
            <w:pPr>
              <w:ind w:left="360"/>
              <w:spacing w:after="0"/>
              <w:rPr>
                <w:sz w:val="20"/>
                <w:szCs w:val="20"/>
                <w:color w:val="auto"/>
              </w:rPr>
            </w:pPr>
            <w:r>
              <w:rPr>
                <w:rFonts w:ascii="Arial" w:cs="Arial" w:eastAsia="Arial" w:hAnsi="Arial"/>
                <w:sz w:val="11"/>
                <w:szCs w:val="11"/>
                <w:color w:val="auto"/>
              </w:rPr>
              <w:t>Medicare Supplement</w:t>
            </w:r>
          </w:p>
        </w:tc>
        <w:tc>
          <w:tcPr>
            <w:tcW w:w="80" w:type="dxa"/>
            <w:vAlign w:val="bottom"/>
          </w:tcPr>
          <w:p>
            <w:pPr>
              <w:spacing w:after="0"/>
              <w:rPr>
                <w:sz w:val="12"/>
                <w:szCs w:val="12"/>
                <w:color w:val="auto"/>
              </w:rPr>
            </w:pPr>
          </w:p>
        </w:tc>
        <w:tc>
          <w:tcPr>
            <w:tcW w:w="1560" w:type="dxa"/>
            <w:vAlign w:val="bottom"/>
          </w:tcPr>
          <w:p>
            <w:pPr>
              <w:jc w:val="right"/>
              <w:ind w:right="3"/>
              <w:spacing w:after="0"/>
              <w:rPr>
                <w:sz w:val="20"/>
                <w:szCs w:val="20"/>
                <w:color w:val="auto"/>
              </w:rPr>
            </w:pPr>
            <w:r>
              <w:rPr>
                <w:rFonts w:ascii="Arial" w:cs="Arial" w:eastAsia="Arial" w:hAnsi="Arial"/>
                <w:sz w:val="11"/>
                <w:szCs w:val="11"/>
                <w:color w:val="auto"/>
              </w:rPr>
              <w:t>3,217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7,023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right"/>
              <w:ind w:right="3"/>
              <w:spacing w:after="0"/>
              <w:rPr>
                <w:sz w:val="20"/>
                <w:szCs w:val="20"/>
                <w:color w:val="auto"/>
              </w:rPr>
            </w:pPr>
            <w:r>
              <w:rPr>
                <w:rFonts w:ascii="Arial" w:cs="Arial" w:eastAsia="Arial" w:hAnsi="Arial"/>
                <w:sz w:val="11"/>
                <w:szCs w:val="11"/>
                <w:color w:val="auto"/>
              </w:rPr>
              <w:t>5,407</w:t>
            </w: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9,354</w:t>
            </w:r>
          </w:p>
        </w:tc>
        <w:tc>
          <w:tcPr>
            <w:tcW w:w="0" w:type="dxa"/>
            <w:vAlign w:val="bottom"/>
          </w:tcPr>
          <w:p>
            <w:pPr>
              <w:spacing w:after="0"/>
              <w:rPr>
                <w:sz w:val="1"/>
                <w:szCs w:val="1"/>
                <w:color w:val="auto"/>
              </w:rPr>
            </w:pPr>
          </w:p>
        </w:tc>
      </w:tr>
      <w:tr>
        <w:trPr>
          <w:trHeight w:val="149"/>
        </w:trPr>
        <w:tc>
          <w:tcPr>
            <w:tcW w:w="4460" w:type="dxa"/>
            <w:vAlign w:val="bottom"/>
            <w:shd w:val="clear" w:color="auto" w:fill="CCEEFF"/>
          </w:tcPr>
          <w:p>
            <w:pPr>
              <w:ind w:left="360"/>
              <w:spacing w:after="0"/>
              <w:rPr>
                <w:sz w:val="20"/>
                <w:szCs w:val="20"/>
                <w:color w:val="auto"/>
              </w:rPr>
            </w:pPr>
            <w:r>
              <w:rPr>
                <w:rFonts w:ascii="Arial" w:cs="Arial" w:eastAsia="Arial" w:hAnsi="Arial"/>
                <w:sz w:val="11"/>
                <w:szCs w:val="11"/>
                <w:color w:val="auto"/>
              </w:rPr>
              <w:t>Prescription Drug Plans</w:t>
            </w:r>
          </w:p>
        </w:tc>
        <w:tc>
          <w:tcPr>
            <w:tcW w:w="80" w:type="dxa"/>
            <w:vAlign w:val="bottom"/>
            <w:tcBorders>
              <w:bottom w:val="single" w:sz="8" w:color="auto"/>
            </w:tcBorders>
            <w:shd w:val="clear" w:color="auto" w:fill="CCEEFF"/>
          </w:tcPr>
          <w:p>
            <w:pPr>
              <w:spacing w:after="0"/>
              <w:rPr>
                <w:sz w:val="12"/>
                <w:szCs w:val="12"/>
                <w:color w:val="auto"/>
              </w:rPr>
            </w:pPr>
          </w:p>
        </w:tc>
        <w:tc>
          <w:tcPr>
            <w:tcW w:w="1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7,813</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3,579</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2,942</w:t>
            </w: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1,486</w:t>
            </w:r>
          </w:p>
        </w:tc>
        <w:tc>
          <w:tcPr>
            <w:tcW w:w="0" w:type="dxa"/>
            <w:vAlign w:val="bottom"/>
          </w:tcPr>
          <w:p>
            <w:pPr>
              <w:spacing w:after="0"/>
              <w:rPr>
                <w:sz w:val="1"/>
                <w:szCs w:val="1"/>
                <w:color w:val="auto"/>
              </w:rPr>
            </w:pPr>
          </w:p>
        </w:tc>
      </w:tr>
      <w:tr>
        <w:trPr>
          <w:trHeight w:val="139"/>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Medicare</w:t>
            </w:r>
          </w:p>
        </w:tc>
        <w:tc>
          <w:tcPr>
            <w:tcW w:w="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869,653</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640,862</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226,112</w:t>
            </w:r>
          </w:p>
        </w:tc>
        <w:tc>
          <w:tcPr>
            <w:tcW w:w="100" w:type="dxa"/>
            <w:vAlign w:val="bottom"/>
            <w:tcBorders>
              <w:bottom w:val="single" w:sz="8" w:color="CCEEFF"/>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130,668</w:t>
            </w:r>
          </w:p>
        </w:tc>
        <w:tc>
          <w:tcPr>
            <w:tcW w:w="0" w:type="dxa"/>
            <w:vAlign w:val="bottom"/>
          </w:tcPr>
          <w:p>
            <w:pPr>
              <w:spacing w:after="0"/>
              <w:rPr>
                <w:sz w:val="1"/>
                <w:szCs w:val="1"/>
                <w:color w:val="auto"/>
              </w:rPr>
            </w:pPr>
          </w:p>
        </w:tc>
      </w:tr>
      <w:tr>
        <w:trPr>
          <w:trHeight w:val="129"/>
        </w:trPr>
        <w:tc>
          <w:tcPr>
            <w:tcW w:w="4460" w:type="dxa"/>
            <w:vAlign w:val="bottom"/>
            <w:shd w:val="clear" w:color="auto" w:fill="CCEEFF"/>
          </w:tcPr>
          <w:p>
            <w:pPr>
              <w:ind w:left="180"/>
              <w:spacing w:after="0"/>
              <w:rPr>
                <w:sz w:val="20"/>
                <w:szCs w:val="20"/>
                <w:color w:val="auto"/>
              </w:rPr>
            </w:pPr>
            <w:r>
              <w:rPr>
                <w:rFonts w:ascii="Arial" w:cs="Arial" w:eastAsia="Arial" w:hAnsi="Arial"/>
                <w:sz w:val="11"/>
                <w:szCs w:val="11"/>
                <w:i w:val="1"/>
                <w:iCs w:val="1"/>
                <w:color w:val="auto"/>
              </w:rPr>
              <w:t>Individual and Family Plan:</w:t>
            </w:r>
          </w:p>
        </w:tc>
        <w:tc>
          <w:tcPr>
            <w:tcW w:w="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60" w:type="dxa"/>
            <w:vAlign w:val="bottom"/>
          </w:tcPr>
          <w:p>
            <w:pPr>
              <w:ind w:left="360"/>
              <w:spacing w:after="0"/>
              <w:rPr>
                <w:sz w:val="20"/>
                <w:szCs w:val="20"/>
                <w:color w:val="auto"/>
              </w:rPr>
            </w:pPr>
            <w:r>
              <w:rPr>
                <w:rFonts w:ascii="Arial" w:cs="Arial" w:eastAsia="Arial" w:hAnsi="Arial"/>
                <w:sz w:val="11"/>
                <w:szCs w:val="11"/>
                <w:color w:val="auto"/>
              </w:rPr>
              <w:t>Fixed Indemnity</w:t>
            </w:r>
          </w:p>
        </w:tc>
        <w:tc>
          <w:tcPr>
            <w:tcW w:w="80" w:type="dxa"/>
            <w:vAlign w:val="bottom"/>
          </w:tcPr>
          <w:p>
            <w:pPr>
              <w:spacing w:after="0"/>
              <w:rPr>
                <w:sz w:val="12"/>
                <w:szCs w:val="12"/>
                <w:color w:val="auto"/>
              </w:rPr>
            </w:pPr>
          </w:p>
        </w:tc>
        <w:tc>
          <w:tcPr>
            <w:tcW w:w="1560" w:type="dxa"/>
            <w:vAlign w:val="bottom"/>
          </w:tcPr>
          <w:p>
            <w:pPr>
              <w:jc w:val="right"/>
              <w:ind w:right="3"/>
              <w:spacing w:after="0"/>
              <w:rPr>
                <w:sz w:val="20"/>
                <w:szCs w:val="20"/>
                <w:color w:val="auto"/>
              </w:rPr>
            </w:pPr>
            <w:r>
              <w:rPr>
                <w:rFonts w:ascii="Arial" w:cs="Arial" w:eastAsia="Arial" w:hAnsi="Arial"/>
                <w:sz w:val="11"/>
                <w:szCs w:val="11"/>
                <w:color w:val="auto"/>
              </w:rPr>
              <w:t>4,867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15,966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right"/>
              <w:ind w:right="3"/>
              <w:spacing w:after="0"/>
              <w:rPr>
                <w:sz w:val="20"/>
                <w:szCs w:val="20"/>
                <w:color w:val="auto"/>
              </w:rPr>
            </w:pPr>
            <w:r>
              <w:rPr>
                <w:rFonts w:ascii="Arial" w:cs="Arial" w:eastAsia="Arial" w:hAnsi="Arial"/>
                <w:sz w:val="11"/>
                <w:szCs w:val="11"/>
                <w:color w:val="auto"/>
              </w:rPr>
              <w:t>12,080</w:t>
            </w: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35,320</w:t>
            </w:r>
          </w:p>
        </w:tc>
        <w:tc>
          <w:tcPr>
            <w:tcW w:w="0" w:type="dxa"/>
            <w:vAlign w:val="bottom"/>
          </w:tcPr>
          <w:p>
            <w:pPr>
              <w:spacing w:after="0"/>
              <w:rPr>
                <w:sz w:val="1"/>
                <w:szCs w:val="1"/>
                <w:color w:val="auto"/>
              </w:rPr>
            </w:pPr>
          </w:p>
        </w:tc>
      </w:tr>
      <w:tr>
        <w:trPr>
          <w:trHeight w:val="149"/>
        </w:trPr>
        <w:tc>
          <w:tcPr>
            <w:tcW w:w="4460" w:type="dxa"/>
            <w:vAlign w:val="bottom"/>
            <w:shd w:val="clear" w:color="auto" w:fill="CCEEFF"/>
          </w:tcPr>
          <w:p>
            <w:pPr>
              <w:ind w:left="360"/>
              <w:spacing w:after="0"/>
              <w:rPr>
                <w:sz w:val="20"/>
                <w:szCs w:val="20"/>
                <w:color w:val="auto"/>
              </w:rPr>
            </w:pPr>
            <w:r>
              <w:rPr>
                <w:rFonts w:ascii="Arial" w:cs="Arial" w:eastAsia="Arial" w:hAnsi="Arial"/>
                <w:sz w:val="11"/>
                <w:szCs w:val="11"/>
                <w:color w:val="auto"/>
              </w:rPr>
              <w:t>Short-term</w:t>
            </w: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1,140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5,710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2,272</w:t>
            </w: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2,906</w:t>
            </w:r>
          </w:p>
        </w:tc>
        <w:tc>
          <w:tcPr>
            <w:tcW w:w="0" w:type="dxa"/>
            <w:vAlign w:val="bottom"/>
          </w:tcPr>
          <w:p>
            <w:pPr>
              <w:spacing w:after="0"/>
              <w:rPr>
                <w:sz w:val="1"/>
                <w:szCs w:val="1"/>
                <w:color w:val="auto"/>
              </w:rPr>
            </w:pPr>
          </w:p>
        </w:tc>
      </w:tr>
      <w:tr>
        <w:trPr>
          <w:trHeight w:val="149"/>
        </w:trPr>
        <w:tc>
          <w:tcPr>
            <w:tcW w:w="4460" w:type="dxa"/>
            <w:vAlign w:val="bottom"/>
            <w:tcBorders>
              <w:bottom w:val="single" w:sz="8" w:color="CCEEFF"/>
            </w:tcBorders>
          </w:tcPr>
          <w:p>
            <w:pPr>
              <w:ind w:left="360"/>
              <w:spacing w:after="0"/>
              <w:rPr>
                <w:sz w:val="20"/>
                <w:szCs w:val="20"/>
                <w:color w:val="auto"/>
              </w:rPr>
            </w:pPr>
            <w:r>
              <w:rPr>
                <w:rFonts w:ascii="Arial" w:cs="Arial" w:eastAsia="Arial" w:hAnsi="Arial"/>
                <w:sz w:val="11"/>
                <w:szCs w:val="11"/>
                <w:color w:val="auto"/>
              </w:rPr>
              <w:t>Major Medical</w:t>
            </w:r>
          </w:p>
        </w:tc>
        <w:tc>
          <w:tcPr>
            <w:tcW w:w="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1,979</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3,089</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1,057</w:t>
            </w:r>
          </w:p>
        </w:tc>
        <w:tc>
          <w:tcPr>
            <w:tcW w:w="100" w:type="dxa"/>
            <w:vAlign w:val="bottom"/>
            <w:tcBorders>
              <w:bottom w:val="single" w:sz="8" w:color="CCEEFF"/>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412</w:t>
            </w:r>
          </w:p>
        </w:tc>
        <w:tc>
          <w:tcPr>
            <w:tcW w:w="0" w:type="dxa"/>
            <w:vAlign w:val="bottom"/>
          </w:tcPr>
          <w:p>
            <w:pPr>
              <w:spacing w:after="0"/>
              <w:rPr>
                <w:sz w:val="1"/>
                <w:szCs w:val="1"/>
                <w:color w:val="auto"/>
              </w:rPr>
            </w:pPr>
          </w:p>
        </w:tc>
      </w:tr>
      <w:tr>
        <w:trPr>
          <w:trHeight w:val="139"/>
        </w:trPr>
        <w:tc>
          <w:tcPr>
            <w:tcW w:w="446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Individual and Family Plan</w:t>
            </w:r>
          </w:p>
        </w:tc>
        <w:tc>
          <w:tcPr>
            <w:tcW w:w="80" w:type="dxa"/>
            <w:vAlign w:val="bottom"/>
            <w:tcBorders>
              <w:bottom w:val="single" w:sz="8" w:color="auto"/>
            </w:tcBorders>
            <w:shd w:val="clear" w:color="auto" w:fill="CCEEFF"/>
          </w:tcPr>
          <w:p>
            <w:pPr>
              <w:spacing w:after="0"/>
              <w:rPr>
                <w:sz w:val="12"/>
                <w:szCs w:val="12"/>
                <w:color w:val="auto"/>
              </w:rPr>
            </w:pPr>
          </w:p>
        </w:tc>
        <w:tc>
          <w:tcPr>
            <w:tcW w:w="1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7,986</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24,765</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15,409</w:t>
            </w: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38,638</w:t>
            </w:r>
          </w:p>
        </w:tc>
        <w:tc>
          <w:tcPr>
            <w:tcW w:w="0" w:type="dxa"/>
            <w:vAlign w:val="bottom"/>
          </w:tcPr>
          <w:p>
            <w:pPr>
              <w:spacing w:after="0"/>
              <w:rPr>
                <w:sz w:val="1"/>
                <w:szCs w:val="1"/>
                <w:color w:val="auto"/>
              </w:rPr>
            </w:pPr>
          </w:p>
        </w:tc>
      </w:tr>
      <w:tr>
        <w:trPr>
          <w:trHeight w:val="139"/>
        </w:trPr>
        <w:tc>
          <w:tcPr>
            <w:tcW w:w="4460" w:type="dxa"/>
            <w:vAlign w:val="bottom"/>
          </w:tcPr>
          <w:p>
            <w:pPr>
              <w:ind w:left="20"/>
              <w:spacing w:after="0"/>
              <w:rPr>
                <w:sz w:val="20"/>
                <w:szCs w:val="20"/>
                <w:color w:val="auto"/>
              </w:rPr>
            </w:pPr>
            <w:r>
              <w:rPr>
                <w:rFonts w:ascii="Arial" w:cs="Arial" w:eastAsia="Arial" w:hAnsi="Arial"/>
                <w:sz w:val="11"/>
                <w:szCs w:val="11"/>
                <w:color w:val="auto"/>
              </w:rPr>
              <w:t>Ancillary</w:t>
            </w:r>
          </w:p>
        </w:tc>
        <w:tc>
          <w:tcPr>
            <w:tcW w:w="80" w:type="dxa"/>
            <w:vAlign w:val="bottom"/>
          </w:tcPr>
          <w:p>
            <w:pPr>
              <w:spacing w:after="0"/>
              <w:rPr>
                <w:sz w:val="12"/>
                <w:szCs w:val="12"/>
                <w:color w:val="auto"/>
              </w:rPr>
            </w:pPr>
          </w:p>
        </w:tc>
        <w:tc>
          <w:tcPr>
            <w:tcW w:w="1560" w:type="dxa"/>
            <w:vAlign w:val="bottom"/>
          </w:tcPr>
          <w:p>
            <w:pPr>
              <w:jc w:val="right"/>
              <w:ind w:right="3"/>
              <w:spacing w:after="0"/>
              <w:rPr>
                <w:sz w:val="20"/>
                <w:szCs w:val="20"/>
                <w:color w:val="auto"/>
              </w:rPr>
            </w:pPr>
            <w:r>
              <w:rPr>
                <w:rFonts w:ascii="Arial" w:cs="Arial" w:eastAsia="Arial" w:hAnsi="Arial"/>
                <w:sz w:val="11"/>
                <w:szCs w:val="11"/>
                <w:color w:val="auto"/>
              </w:rPr>
              <w:t>3,491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4,728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right"/>
              <w:ind w:right="3"/>
              <w:spacing w:after="0"/>
              <w:rPr>
                <w:sz w:val="20"/>
                <w:szCs w:val="20"/>
                <w:color w:val="auto"/>
              </w:rPr>
            </w:pPr>
            <w:r>
              <w:rPr>
                <w:rFonts w:ascii="Arial" w:cs="Arial" w:eastAsia="Arial" w:hAnsi="Arial"/>
                <w:sz w:val="11"/>
                <w:szCs w:val="11"/>
                <w:color w:val="auto"/>
              </w:rPr>
              <w:t>1,428</w:t>
            </w: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5,483</w:t>
            </w:r>
          </w:p>
        </w:tc>
        <w:tc>
          <w:tcPr>
            <w:tcW w:w="0" w:type="dxa"/>
            <w:vAlign w:val="bottom"/>
          </w:tcPr>
          <w:p>
            <w:pPr>
              <w:spacing w:after="0"/>
              <w:rPr>
                <w:sz w:val="1"/>
                <w:szCs w:val="1"/>
                <w:color w:val="auto"/>
              </w:rPr>
            </w:pPr>
          </w:p>
        </w:tc>
      </w:tr>
      <w:tr>
        <w:trPr>
          <w:trHeight w:val="149"/>
        </w:trPr>
        <w:tc>
          <w:tcPr>
            <w:tcW w:w="4460" w:type="dxa"/>
            <w:vAlign w:val="bottom"/>
            <w:shd w:val="clear" w:color="auto" w:fill="CCEEFF"/>
          </w:tcPr>
          <w:p>
            <w:pPr>
              <w:ind w:left="20"/>
              <w:spacing w:after="0"/>
              <w:rPr>
                <w:sz w:val="20"/>
                <w:szCs w:val="20"/>
                <w:color w:val="auto"/>
              </w:rPr>
            </w:pPr>
            <w:r>
              <w:rPr>
                <w:rFonts w:ascii="Arial" w:cs="Arial" w:eastAsia="Arial" w:hAnsi="Arial"/>
                <w:sz w:val="11"/>
                <w:szCs w:val="11"/>
                <w:color w:val="auto"/>
              </w:rPr>
              <w:t>Small Group</w:t>
            </w:r>
          </w:p>
        </w:tc>
        <w:tc>
          <w:tcPr>
            <w:tcW w:w="80" w:type="dxa"/>
            <w:vAlign w:val="bottom"/>
            <w:tcBorders>
              <w:bottom w:val="single" w:sz="8" w:color="auto"/>
            </w:tcBorders>
            <w:shd w:val="clear" w:color="auto" w:fill="CCEEFF"/>
          </w:tcPr>
          <w:p>
            <w:pPr>
              <w:spacing w:after="0"/>
              <w:rPr>
                <w:sz w:val="12"/>
                <w:szCs w:val="12"/>
                <w:color w:val="auto"/>
              </w:rPr>
            </w:pPr>
          </w:p>
        </w:tc>
        <w:tc>
          <w:tcPr>
            <w:tcW w:w="1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133</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785</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398</w:t>
            </w: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1,045</w:t>
            </w:r>
          </w:p>
        </w:tc>
        <w:tc>
          <w:tcPr>
            <w:tcW w:w="0" w:type="dxa"/>
            <w:vAlign w:val="bottom"/>
          </w:tcPr>
          <w:p>
            <w:pPr>
              <w:spacing w:after="0"/>
              <w:rPr>
                <w:sz w:val="1"/>
                <w:szCs w:val="1"/>
                <w:color w:val="auto"/>
              </w:rPr>
            </w:pPr>
          </w:p>
        </w:tc>
      </w:tr>
      <w:tr>
        <w:trPr>
          <w:trHeight w:val="139"/>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commission revenue</w:t>
            </w:r>
          </w:p>
        </w:tc>
        <w:tc>
          <w:tcPr>
            <w:tcW w:w="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881,263</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671,140</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243,347</w:t>
            </w:r>
          </w:p>
        </w:tc>
        <w:tc>
          <w:tcPr>
            <w:tcW w:w="100" w:type="dxa"/>
            <w:vAlign w:val="bottom"/>
            <w:tcBorders>
              <w:bottom w:val="single" w:sz="8" w:color="CCEEFF"/>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175,834</w:t>
            </w:r>
          </w:p>
        </w:tc>
        <w:tc>
          <w:tcPr>
            <w:tcW w:w="0" w:type="dxa"/>
            <w:vAlign w:val="bottom"/>
          </w:tcPr>
          <w:p>
            <w:pPr>
              <w:spacing w:after="0"/>
              <w:rPr>
                <w:sz w:val="1"/>
                <w:szCs w:val="1"/>
                <w:color w:val="auto"/>
              </w:rPr>
            </w:pPr>
          </w:p>
        </w:tc>
      </w:tr>
      <w:tr>
        <w:trPr>
          <w:trHeight w:val="129"/>
        </w:trPr>
        <w:tc>
          <w:tcPr>
            <w:tcW w:w="4460" w:type="dxa"/>
            <w:vAlign w:val="bottom"/>
            <w:shd w:val="clear" w:color="auto" w:fill="CCEEFF"/>
          </w:tcPr>
          <w:p>
            <w:pPr>
              <w:ind w:left="20"/>
              <w:spacing w:after="0"/>
              <w:rPr>
                <w:sz w:val="20"/>
                <w:szCs w:val="20"/>
                <w:color w:val="auto"/>
              </w:rPr>
            </w:pPr>
            <w:r>
              <w:rPr>
                <w:rFonts w:ascii="Arial" w:cs="Arial" w:eastAsia="Arial" w:hAnsi="Arial"/>
                <w:sz w:val="11"/>
                <w:szCs w:val="11"/>
                <w:i w:val="1"/>
                <w:iCs w:val="1"/>
                <w:color w:val="auto"/>
              </w:rPr>
              <w:t>Enterprise revenue:</w:t>
            </w:r>
          </w:p>
        </w:tc>
        <w:tc>
          <w:tcPr>
            <w:tcW w:w="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60" w:type="dxa"/>
            <w:vAlign w:val="bottom"/>
          </w:tcPr>
          <w:p>
            <w:pPr>
              <w:ind w:left="180"/>
              <w:spacing w:after="0"/>
              <w:rPr>
                <w:sz w:val="20"/>
                <w:szCs w:val="20"/>
                <w:color w:val="auto"/>
              </w:rPr>
            </w:pPr>
            <w:r>
              <w:rPr>
                <w:rFonts w:ascii="Arial" w:cs="Arial" w:eastAsia="Arial" w:hAnsi="Arial"/>
                <w:sz w:val="11"/>
                <w:szCs w:val="11"/>
                <w:color w:val="auto"/>
              </w:rPr>
              <w:t>Partner Marketing and Enrollment Services</w:t>
            </w:r>
          </w:p>
        </w:tc>
        <w:tc>
          <w:tcPr>
            <w:tcW w:w="80" w:type="dxa"/>
            <w:vAlign w:val="bottom"/>
          </w:tcPr>
          <w:p>
            <w:pPr>
              <w:spacing w:after="0"/>
              <w:rPr>
                <w:sz w:val="12"/>
                <w:szCs w:val="12"/>
                <w:color w:val="auto"/>
              </w:rPr>
            </w:pPr>
          </w:p>
        </w:tc>
        <w:tc>
          <w:tcPr>
            <w:tcW w:w="1560" w:type="dxa"/>
            <w:vAlign w:val="bottom"/>
          </w:tcPr>
          <w:p>
            <w:pPr>
              <w:jc w:val="right"/>
              <w:ind w:right="3"/>
              <w:spacing w:after="0"/>
              <w:rPr>
                <w:sz w:val="20"/>
                <w:szCs w:val="20"/>
                <w:color w:val="auto"/>
              </w:rPr>
            </w:pPr>
            <w:r>
              <w:rPr>
                <w:rFonts w:ascii="Arial" w:cs="Arial" w:eastAsia="Arial" w:hAnsi="Arial"/>
                <w:sz w:val="11"/>
                <w:szCs w:val="11"/>
                <w:color w:val="auto"/>
              </w:rPr>
              <w:t>131,344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164,754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right"/>
              <w:ind w:right="3"/>
              <w:spacing w:after="0"/>
              <w:rPr>
                <w:sz w:val="20"/>
                <w:szCs w:val="20"/>
                <w:color w:val="auto"/>
              </w:rPr>
            </w:pPr>
            <w:r>
              <w:rPr>
                <w:rFonts w:ascii="Arial" w:cs="Arial" w:eastAsia="Arial" w:hAnsi="Arial"/>
                <w:sz w:val="11"/>
                <w:szCs w:val="11"/>
                <w:color w:val="auto"/>
              </w:rPr>
              <w:t>41,674</w:t>
            </w: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14,796</w:t>
            </w:r>
          </w:p>
        </w:tc>
        <w:tc>
          <w:tcPr>
            <w:tcW w:w="0" w:type="dxa"/>
            <w:vAlign w:val="bottom"/>
          </w:tcPr>
          <w:p>
            <w:pPr>
              <w:spacing w:after="0"/>
              <w:rPr>
                <w:sz w:val="1"/>
                <w:szCs w:val="1"/>
                <w:color w:val="auto"/>
              </w:rPr>
            </w:pPr>
          </w:p>
        </w:tc>
      </w:tr>
      <w:tr>
        <w:trPr>
          <w:trHeight w:val="149"/>
        </w:trPr>
        <w:tc>
          <w:tcPr>
            <w:tcW w:w="44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Direct Partner Campaigns</w:t>
            </w: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47,342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31,897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17,678</w:t>
            </w: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18,251</w:t>
            </w:r>
          </w:p>
        </w:tc>
        <w:tc>
          <w:tcPr>
            <w:tcW w:w="0" w:type="dxa"/>
            <w:vAlign w:val="bottom"/>
          </w:tcPr>
          <w:p>
            <w:pPr>
              <w:spacing w:after="0"/>
              <w:rPr>
                <w:sz w:val="1"/>
                <w:szCs w:val="1"/>
                <w:color w:val="auto"/>
              </w:rPr>
            </w:pPr>
          </w:p>
        </w:tc>
      </w:tr>
      <w:tr>
        <w:trPr>
          <w:trHeight w:val="149"/>
        </w:trPr>
        <w:tc>
          <w:tcPr>
            <w:tcW w:w="446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Other</w:t>
            </w:r>
          </w:p>
        </w:tc>
        <w:tc>
          <w:tcPr>
            <w:tcW w:w="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2,466</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9,559</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5,792</w:t>
            </w:r>
          </w:p>
        </w:tc>
        <w:tc>
          <w:tcPr>
            <w:tcW w:w="100" w:type="dxa"/>
            <w:vAlign w:val="bottom"/>
            <w:tcBorders>
              <w:bottom w:val="single" w:sz="8" w:color="CCEEFF"/>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22,129</w:t>
            </w:r>
          </w:p>
        </w:tc>
        <w:tc>
          <w:tcPr>
            <w:tcW w:w="0" w:type="dxa"/>
            <w:vAlign w:val="bottom"/>
          </w:tcPr>
          <w:p>
            <w:pPr>
              <w:spacing w:after="0"/>
              <w:rPr>
                <w:sz w:val="1"/>
                <w:szCs w:val="1"/>
                <w:color w:val="auto"/>
              </w:rPr>
            </w:pPr>
          </w:p>
        </w:tc>
      </w:tr>
      <w:tr>
        <w:trPr>
          <w:trHeight w:val="139"/>
        </w:trPr>
        <w:tc>
          <w:tcPr>
            <w:tcW w:w="446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enterprise revenue</w:t>
            </w:r>
          </w:p>
        </w:tc>
        <w:tc>
          <w:tcPr>
            <w:tcW w:w="80" w:type="dxa"/>
            <w:vAlign w:val="bottom"/>
            <w:tcBorders>
              <w:bottom w:val="single" w:sz="8" w:color="auto"/>
            </w:tcBorders>
            <w:shd w:val="clear" w:color="auto" w:fill="CCEEFF"/>
          </w:tcPr>
          <w:p>
            <w:pPr>
              <w:spacing w:after="0"/>
              <w:rPr>
                <w:sz w:val="12"/>
                <w:szCs w:val="12"/>
                <w:color w:val="auto"/>
              </w:rPr>
            </w:pPr>
          </w:p>
        </w:tc>
        <w:tc>
          <w:tcPr>
            <w:tcW w:w="1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181,152</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206,210</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65,144</w:t>
            </w: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55,176</w:t>
            </w:r>
          </w:p>
        </w:tc>
        <w:tc>
          <w:tcPr>
            <w:tcW w:w="0" w:type="dxa"/>
            <w:vAlign w:val="bottom"/>
          </w:tcPr>
          <w:p>
            <w:pPr>
              <w:spacing w:after="0"/>
              <w:rPr>
                <w:sz w:val="1"/>
                <w:szCs w:val="1"/>
                <w:color w:val="auto"/>
              </w:rPr>
            </w:pPr>
          </w:p>
        </w:tc>
      </w:tr>
      <w:tr>
        <w:trPr>
          <w:trHeight w:val="139"/>
        </w:trPr>
        <w:tc>
          <w:tcPr>
            <w:tcW w:w="4460" w:type="dxa"/>
            <w:vAlign w:val="bottom"/>
          </w:tcPr>
          <w:p>
            <w:pPr>
              <w:ind w:left="20"/>
              <w:spacing w:after="0"/>
              <w:rPr>
                <w:sz w:val="20"/>
                <w:szCs w:val="20"/>
                <w:color w:val="auto"/>
              </w:rPr>
            </w:pPr>
            <w:r>
              <w:rPr>
                <w:rFonts w:ascii="Arial" w:cs="Arial" w:eastAsia="Arial" w:hAnsi="Arial"/>
                <w:sz w:val="11"/>
                <w:szCs w:val="11"/>
                <w:b w:val="1"/>
                <w:bCs w:val="1"/>
                <w:color w:val="auto"/>
              </w:rPr>
              <w:t>Net revenues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1,062,415</w:t>
            </w: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877,350</w:t>
            </w:r>
          </w:p>
        </w:tc>
        <w:tc>
          <w:tcPr>
            <w:tcW w:w="80" w:type="dxa"/>
            <w:vAlign w:val="bottom"/>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308,491</w:t>
            </w:r>
          </w:p>
        </w:tc>
        <w:tc>
          <w:tcPr>
            <w:tcW w:w="100" w:type="dxa"/>
            <w:vAlign w:val="bottom"/>
            <w:tcBorders>
              <w:right w:val="single" w:sz="8" w:color="auto"/>
            </w:tcBorders>
          </w:tcPr>
          <w:p>
            <w:pPr>
              <w:spacing w:after="0"/>
              <w:rPr>
                <w:sz w:val="12"/>
                <w:szCs w:val="12"/>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231,010</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Contract Assets and Liabilities</w:t>
      </w:r>
    </w:p>
    <w:p>
      <w:pPr>
        <w:spacing w:after="0" w:line="185" w:lineRule="exact"/>
        <w:rPr>
          <w:sz w:val="20"/>
          <w:szCs w:val="20"/>
          <w:color w:val="auto"/>
        </w:rPr>
      </w:pPr>
    </w:p>
    <w:p>
      <w:pPr>
        <w:ind w:right="40"/>
        <w:spacing w:after="0" w:line="239" w:lineRule="auto"/>
        <w:rPr>
          <w:sz w:val="20"/>
          <w:szCs w:val="20"/>
          <w:color w:val="auto"/>
        </w:rPr>
      </w:pPr>
      <w:r>
        <w:rPr>
          <w:rFonts w:ascii="Arial" w:cs="Arial" w:eastAsia="Arial" w:hAnsi="Arial"/>
          <w:sz w:val="13"/>
          <w:szCs w:val="13"/>
          <w:color w:val="auto"/>
        </w:rPr>
        <w:t>The company records contract assets and contract liabilities from contracts with customers as it relates to commissions receivable, commissions payable and deferred revenue. Commissions receivable represents estimated variable consideration for commissions to be received from insurance carriers for performance obligations that have been satisfied. Commissions payable represents estimated commissions to be paid to the Company’s external agents and other partners. Deferred revenue includes amounts collected for partner marketing and enrollment services and technology licensing and implementation fees in advance of the Company satisfying its performance obligations for such customers. The Company had unbilled receivables for performance-based enrollment fees as of December 31, 2021 and 2020 of $20.1 million and $12.9 million, respectively, which were reclassified to prepaid expenses and other current assets from accounts receivable, net on the Consolidated Balance Sheets. The reclassification was based on the Company’s conditional rights to receive consideration based on the services transferred to the customer. Prior period amounts have been reclassified to match the current period presentation. There are no other material contract liabilities or contract assets recorded by the Company.</w:t>
      </w:r>
    </w:p>
    <w:p>
      <w:pPr>
        <w:spacing w:after="0" w:line="167" w:lineRule="exact"/>
        <w:rPr>
          <w:sz w:val="20"/>
          <w:szCs w:val="20"/>
          <w:color w:val="auto"/>
        </w:rPr>
      </w:pPr>
    </w:p>
    <w:p>
      <w:pPr>
        <w:ind w:right="80"/>
        <w:spacing w:after="0" w:line="244" w:lineRule="auto"/>
        <w:rPr>
          <w:sz w:val="20"/>
          <w:szCs w:val="20"/>
          <w:color w:val="auto"/>
        </w:rPr>
      </w:pPr>
      <w:r>
        <w:rPr>
          <w:rFonts w:ascii="Arial" w:cs="Arial" w:eastAsia="Arial" w:hAnsi="Arial"/>
          <w:sz w:val="13"/>
          <w:szCs w:val="13"/>
          <w:color w:val="auto"/>
        </w:rPr>
        <w:t>For the twelve months ended December 31, 2021, the Company recognized $0.2 million of revenue that was deferred as of December 31, 2020. For the twelve months ended December 31, 2020, the Company recognized $14.7 million of revenue that was deferred as of December 31, 2019.</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color w:val="0A2299"/>
        </w:rPr>
        <w:t>11. LEASES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Effect of Standard Adoption</w:t>
      </w:r>
    </w:p>
    <w:p>
      <w:pPr>
        <w:spacing w:after="0" w:line="173" w:lineRule="exact"/>
        <w:rPr>
          <w:sz w:val="20"/>
          <w:szCs w:val="20"/>
          <w:color w:val="auto"/>
        </w:rPr>
      </w:pPr>
    </w:p>
    <w:p>
      <w:pPr>
        <w:ind w:right="180"/>
        <w:spacing w:after="0" w:line="246" w:lineRule="auto"/>
        <w:rPr>
          <w:sz w:val="20"/>
          <w:szCs w:val="20"/>
          <w:color w:val="auto"/>
        </w:rPr>
      </w:pPr>
      <w:r>
        <w:rPr>
          <w:rFonts w:ascii="Arial" w:cs="Arial" w:eastAsia="Arial" w:hAnsi="Arial"/>
          <w:sz w:val="13"/>
          <w:szCs w:val="13"/>
          <w:color w:val="auto"/>
        </w:rPr>
        <w:t xml:space="preserve">We adopted ASU 2016-02, </w:t>
      </w:r>
      <w:r>
        <w:rPr>
          <w:rFonts w:ascii="Arial" w:cs="Arial" w:eastAsia="Arial" w:hAnsi="Arial"/>
          <w:sz w:val="13"/>
          <w:szCs w:val="13"/>
          <w:i w:val="1"/>
          <w:iCs w:val="1"/>
          <w:color w:val="auto"/>
        </w:rPr>
        <w:t>Leases</w:t>
      </w:r>
      <w:r>
        <w:rPr>
          <w:rFonts w:ascii="Arial" w:cs="Arial" w:eastAsia="Arial" w:hAnsi="Arial"/>
          <w:sz w:val="13"/>
          <w:szCs w:val="13"/>
          <w:color w:val="auto"/>
        </w:rPr>
        <w:t xml:space="preserve"> (Topic 842), effective January 1, 2021, using the optional transition method which allows entities to continue to apply historical accounting guidance in the comparative periods presented in the year of adoption. We elected the package of practical expedients permitted under the transition guidance within Accounting Standards Codification Topic 842 ("ASC 842") which, among other items, allowed us to carry forward the historical lease classifications. As such, we applied the modified retrospective approach as of the adoption date to those lease contracts for which we have taken possession of the property as of January 1, 2021.</w:t>
      </w:r>
    </w:p>
    <w:p>
      <w:pPr>
        <w:spacing w:after="0" w:line="163" w:lineRule="exact"/>
        <w:rPr>
          <w:sz w:val="20"/>
          <w:szCs w:val="20"/>
          <w:color w:val="auto"/>
        </w:rPr>
      </w:pPr>
    </w:p>
    <w:p>
      <w:pPr>
        <w:ind w:right="20"/>
        <w:spacing w:after="0" w:line="244" w:lineRule="auto"/>
        <w:rPr>
          <w:sz w:val="20"/>
          <w:szCs w:val="20"/>
          <w:color w:val="auto"/>
        </w:rPr>
      </w:pPr>
      <w:r>
        <w:rPr>
          <w:rFonts w:ascii="Arial" w:cs="Arial" w:eastAsia="Arial" w:hAnsi="Arial"/>
          <w:sz w:val="13"/>
          <w:szCs w:val="13"/>
          <w:color w:val="auto"/>
        </w:rPr>
        <w:t>Results for reporting periods beginning on or after January 1, 2021 are presented under ASC 842. Prior period amounts were not revised and continue to be reported in accordance with ASC Topic 840 ("ASC 840"), the accounting standard then in effect.</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Upon transition, on January 1, 2021, we recorded the following increases (decreases) to the respective line items on the Consolidated Balance Sheet:</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93</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85" w:right="31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27"/>
        </w:trPr>
        <w:tc>
          <w:tcPr>
            <w:tcW w:w="9640" w:type="dxa"/>
            <w:vAlign w:val="bottom"/>
            <w:vMerge w:val="restart"/>
          </w:tcPr>
          <w:p>
            <w:pPr>
              <w:ind w:left="20"/>
              <w:spacing w:after="0"/>
              <w:rPr>
                <w:sz w:val="20"/>
                <w:szCs w:val="20"/>
                <w:color w:val="auto"/>
              </w:rPr>
            </w:pPr>
            <w:r>
              <w:rPr>
                <w:rFonts w:ascii="Arial" w:cs="Arial" w:eastAsia="Arial" w:hAnsi="Arial"/>
                <w:sz w:val="11"/>
                <w:szCs w:val="11"/>
                <w:color w:val="auto"/>
              </w:rPr>
              <w:t>(in thousands)</w:t>
            </w:r>
          </w:p>
        </w:tc>
        <w:tc>
          <w:tcPr>
            <w:tcW w:w="1640" w:type="dxa"/>
            <w:vAlign w:val="bottom"/>
            <w:tcBorders>
              <w:top w:val="single" w:sz="8" w:color="auto"/>
            </w:tcBorders>
            <w:gridSpan w:val="2"/>
          </w:tcPr>
          <w:p>
            <w:pPr>
              <w:jc w:val="right"/>
              <w:ind w:right="3"/>
              <w:spacing w:after="0"/>
              <w:rPr>
                <w:sz w:val="20"/>
                <w:szCs w:val="20"/>
                <w:color w:val="auto"/>
              </w:rPr>
            </w:pPr>
            <w:r>
              <w:rPr>
                <w:rFonts w:ascii="Arial" w:cs="Arial" w:eastAsia="Arial" w:hAnsi="Arial"/>
                <w:sz w:val="11"/>
                <w:szCs w:val="11"/>
                <w:b w:val="1"/>
                <w:bCs w:val="1"/>
                <w:color w:val="auto"/>
              </w:rPr>
              <w:t>Adjustment as of January 1,</w:t>
            </w:r>
          </w:p>
        </w:tc>
        <w:tc>
          <w:tcPr>
            <w:tcW w:w="0" w:type="dxa"/>
            <w:vAlign w:val="bottom"/>
          </w:tcPr>
          <w:p>
            <w:pPr>
              <w:spacing w:after="0"/>
              <w:rPr>
                <w:sz w:val="1"/>
                <w:szCs w:val="1"/>
                <w:color w:val="auto"/>
              </w:rPr>
            </w:pPr>
          </w:p>
        </w:tc>
      </w:tr>
      <w:tr>
        <w:trPr>
          <w:trHeight w:val="138"/>
        </w:trPr>
        <w:tc>
          <w:tcPr>
            <w:tcW w:w="9640" w:type="dxa"/>
            <w:vAlign w:val="bottom"/>
            <w:tcBorders>
              <w:bottom w:val="single" w:sz="8" w:color="CCEEFF"/>
            </w:tcBorders>
            <w:vMerge w:val="continue"/>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643"/>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39"/>
        </w:trPr>
        <w:tc>
          <w:tcPr>
            <w:tcW w:w="9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Operating lease ROU asset</w:t>
            </w:r>
          </w:p>
        </w:tc>
        <w:tc>
          <w:tcPr>
            <w:tcW w:w="38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28,044</w:t>
            </w:r>
          </w:p>
        </w:tc>
        <w:tc>
          <w:tcPr>
            <w:tcW w:w="0" w:type="dxa"/>
            <w:vAlign w:val="bottom"/>
          </w:tcPr>
          <w:p>
            <w:pPr>
              <w:spacing w:after="0"/>
              <w:rPr>
                <w:sz w:val="1"/>
                <w:szCs w:val="1"/>
                <w:color w:val="auto"/>
              </w:rPr>
            </w:pPr>
          </w:p>
        </w:tc>
      </w:tr>
      <w:tr>
        <w:trPr>
          <w:trHeight w:val="149"/>
        </w:trPr>
        <w:tc>
          <w:tcPr>
            <w:tcW w:w="9640" w:type="dxa"/>
            <w:vAlign w:val="bottom"/>
          </w:tcPr>
          <w:p>
            <w:pPr>
              <w:ind w:left="20"/>
              <w:spacing w:after="0"/>
              <w:rPr>
                <w:sz w:val="20"/>
                <w:szCs w:val="20"/>
                <w:color w:val="auto"/>
              </w:rPr>
            </w:pPr>
            <w:r>
              <w:rPr>
                <w:rFonts w:ascii="Arial" w:cs="Arial" w:eastAsia="Arial" w:hAnsi="Arial"/>
                <w:sz w:val="11"/>
                <w:szCs w:val="11"/>
                <w:color w:val="auto"/>
              </w:rPr>
              <w:t>Property, equipment and capitalized software, net</w:t>
            </w:r>
          </w:p>
        </w:tc>
        <w:tc>
          <w:tcPr>
            <w:tcW w:w="3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(63)</w:t>
            </w:r>
          </w:p>
        </w:tc>
        <w:tc>
          <w:tcPr>
            <w:tcW w:w="0" w:type="dxa"/>
            <w:vAlign w:val="bottom"/>
          </w:tcPr>
          <w:p>
            <w:pPr>
              <w:spacing w:after="0"/>
              <w:rPr>
                <w:sz w:val="1"/>
                <w:szCs w:val="1"/>
                <w:color w:val="auto"/>
              </w:rPr>
            </w:pPr>
          </w:p>
        </w:tc>
      </w:tr>
      <w:tr>
        <w:trPr>
          <w:trHeight w:val="149"/>
        </w:trPr>
        <w:tc>
          <w:tcPr>
            <w:tcW w:w="9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Short-term operating lease liabilities</w:t>
            </w:r>
          </w:p>
        </w:tc>
        <w:tc>
          <w:tcPr>
            <w:tcW w:w="3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5,118</w:t>
            </w:r>
          </w:p>
        </w:tc>
        <w:tc>
          <w:tcPr>
            <w:tcW w:w="0" w:type="dxa"/>
            <w:vAlign w:val="bottom"/>
          </w:tcPr>
          <w:p>
            <w:pPr>
              <w:spacing w:after="0"/>
              <w:rPr>
                <w:sz w:val="1"/>
                <w:szCs w:val="1"/>
                <w:color w:val="auto"/>
              </w:rPr>
            </w:pPr>
          </w:p>
        </w:tc>
      </w:tr>
      <w:tr>
        <w:trPr>
          <w:trHeight w:val="149"/>
        </w:trPr>
        <w:tc>
          <w:tcPr>
            <w:tcW w:w="9640" w:type="dxa"/>
            <w:vAlign w:val="bottom"/>
          </w:tcPr>
          <w:p>
            <w:pPr>
              <w:ind w:left="20"/>
              <w:spacing w:after="0"/>
              <w:rPr>
                <w:sz w:val="20"/>
                <w:szCs w:val="20"/>
                <w:color w:val="auto"/>
              </w:rPr>
            </w:pPr>
            <w:r>
              <w:rPr>
                <w:rFonts w:ascii="Arial" w:cs="Arial" w:eastAsia="Arial" w:hAnsi="Arial"/>
                <w:sz w:val="11"/>
                <w:szCs w:val="11"/>
                <w:color w:val="auto"/>
              </w:rPr>
              <w:t>Other current liabilities</w:t>
            </w:r>
          </w:p>
        </w:tc>
        <w:tc>
          <w:tcPr>
            <w:tcW w:w="3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(1,231)</w:t>
            </w:r>
          </w:p>
        </w:tc>
        <w:tc>
          <w:tcPr>
            <w:tcW w:w="0" w:type="dxa"/>
            <w:vAlign w:val="bottom"/>
          </w:tcPr>
          <w:p>
            <w:pPr>
              <w:spacing w:after="0"/>
              <w:rPr>
                <w:sz w:val="1"/>
                <w:szCs w:val="1"/>
                <w:color w:val="auto"/>
              </w:rPr>
            </w:pPr>
          </w:p>
        </w:tc>
      </w:tr>
      <w:tr>
        <w:trPr>
          <w:trHeight w:val="149"/>
        </w:trPr>
        <w:tc>
          <w:tcPr>
            <w:tcW w:w="9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Long-term operating lease liabilities</w:t>
            </w:r>
          </w:p>
        </w:tc>
        <w:tc>
          <w:tcPr>
            <w:tcW w:w="3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24,156</w:t>
            </w:r>
          </w:p>
        </w:tc>
        <w:tc>
          <w:tcPr>
            <w:tcW w:w="0" w:type="dxa"/>
            <w:vAlign w:val="bottom"/>
          </w:tcPr>
          <w:p>
            <w:pPr>
              <w:spacing w:after="0"/>
              <w:rPr>
                <w:sz w:val="1"/>
                <w:szCs w:val="1"/>
                <w:color w:val="auto"/>
              </w:rPr>
            </w:pPr>
          </w:p>
        </w:tc>
      </w:tr>
      <w:tr>
        <w:trPr>
          <w:trHeight w:val="149"/>
        </w:trPr>
        <w:tc>
          <w:tcPr>
            <w:tcW w:w="9640" w:type="dxa"/>
            <w:vAlign w:val="bottom"/>
          </w:tcPr>
          <w:p>
            <w:pPr>
              <w:ind w:left="20"/>
              <w:spacing w:after="0"/>
              <w:rPr>
                <w:sz w:val="20"/>
                <w:szCs w:val="20"/>
                <w:color w:val="auto"/>
              </w:rPr>
            </w:pPr>
            <w:r>
              <w:rPr>
                <w:rFonts w:ascii="Arial" w:cs="Arial" w:eastAsia="Arial" w:hAnsi="Arial"/>
                <w:sz w:val="11"/>
                <w:szCs w:val="11"/>
                <w:color w:val="auto"/>
              </w:rPr>
              <w:t>Accumulated deficit</w:t>
            </w:r>
          </w:p>
        </w:tc>
        <w:tc>
          <w:tcPr>
            <w:tcW w:w="3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49"/>
        </w:trPr>
        <w:tc>
          <w:tcPr>
            <w:tcW w:w="9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Non-controlling interests</w:t>
            </w:r>
          </w:p>
        </w:tc>
        <w:tc>
          <w:tcPr>
            <w:tcW w:w="3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w:t>
            </w:r>
          </w:p>
        </w:tc>
        <w:tc>
          <w:tcPr>
            <w:tcW w:w="0" w:type="dxa"/>
            <w:vAlign w:val="bottom"/>
          </w:tcPr>
          <w:p>
            <w:pPr>
              <w:spacing w:after="0"/>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Nature of Leases</w:t>
      </w:r>
    </w:p>
    <w:p>
      <w:pPr>
        <w:spacing w:after="0" w:line="185" w:lineRule="exact"/>
        <w:rPr>
          <w:sz w:val="20"/>
          <w:szCs w:val="20"/>
          <w:color w:val="auto"/>
        </w:rPr>
      </w:pPr>
    </w:p>
    <w:p>
      <w:pPr>
        <w:ind w:right="180"/>
        <w:spacing w:after="0" w:line="244" w:lineRule="auto"/>
        <w:rPr>
          <w:sz w:val="20"/>
          <w:szCs w:val="20"/>
          <w:color w:val="auto"/>
        </w:rPr>
      </w:pPr>
      <w:r>
        <w:rPr>
          <w:rFonts w:ascii="Arial" w:cs="Arial" w:eastAsia="Arial" w:hAnsi="Arial"/>
          <w:sz w:val="13"/>
          <w:szCs w:val="13"/>
          <w:color w:val="auto"/>
        </w:rPr>
        <w:t>Under ASC 842, we determine if an arrangement is a lease at inception of the arrangement. We have entered into operating and finance lease agreements with lease periods expiring between 2022 and 2032. Operating leases primarily consist of real estate and data centers, and finance leases primarily consist of office equipment.</w:t>
      </w:r>
    </w:p>
    <w:p>
      <w:pPr>
        <w:spacing w:after="0" w:line="163" w:lineRule="exact"/>
        <w:rPr>
          <w:sz w:val="20"/>
          <w:szCs w:val="20"/>
          <w:color w:val="auto"/>
        </w:rPr>
      </w:pPr>
    </w:p>
    <w:p>
      <w:pPr>
        <w:ind w:right="20"/>
        <w:spacing w:after="0" w:line="239" w:lineRule="auto"/>
        <w:rPr>
          <w:sz w:val="20"/>
          <w:szCs w:val="20"/>
          <w:color w:val="auto"/>
        </w:rPr>
      </w:pPr>
      <w:r>
        <w:rPr>
          <w:rFonts w:ascii="Arial" w:cs="Arial" w:eastAsia="Arial" w:hAnsi="Arial"/>
          <w:sz w:val="13"/>
          <w:szCs w:val="13"/>
          <w:color w:val="auto"/>
        </w:rPr>
        <w:t>As of January 1, 2021, with the adoption of ASC 842, leases are included in operating lease right-of-use (“ROU”) assets and lease liabilities on our Consolidated Balance Sheets. Operating lease ROU assets and lease liabilities are recognized at the lease commencement date. Operating lease ROU assets represent our right to use an underlying asset and are based upon the lease liabilities adjusted for prepayments or accrued lease payments, initial direct costs, lease incentives, and impairment of operating lease assets. Lease liabilities represent the present value of lease payments over the lease term. The implicit rate within each lease is not readily determinable and therefore we use our incremental borrowing rate at the lease commencement date to determine the present value of the lease payments. The determination of the incremental borrowing rate requires judgement. We determined our incremental borrowing rate for each lease using indicative bank borrowing rates, adjusted for various factors including level of collateralization, term and treasury yield curves to align with the terms of the respective lease.</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The Company has elected the following practical expedients for all classes of leased assets:</w:t>
      </w:r>
    </w:p>
    <w:p>
      <w:pPr>
        <w:spacing w:after="0" w:line="169" w:lineRule="exact"/>
        <w:rPr>
          <w:sz w:val="20"/>
          <w:szCs w:val="20"/>
          <w:color w:val="auto"/>
        </w:rPr>
      </w:pPr>
    </w:p>
    <w:p>
      <w:pPr>
        <w:ind w:left="500" w:hanging="240"/>
        <w:spacing w:after="0"/>
        <w:tabs>
          <w:tab w:leader="none" w:pos="5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Adopt the short-term lease exception for leases with terms of twelve months or less and account for them as if they were operating leases under ASC 840; and</w:t>
      </w:r>
    </w:p>
    <w:p>
      <w:pPr>
        <w:spacing w:after="0" w:line="168" w:lineRule="exact"/>
        <w:rPr>
          <w:rFonts w:ascii="Arial" w:cs="Arial" w:eastAsia="Arial" w:hAnsi="Arial"/>
          <w:sz w:val="13"/>
          <w:szCs w:val="13"/>
          <w:color w:val="auto"/>
        </w:rPr>
      </w:pPr>
    </w:p>
    <w:p>
      <w:pPr>
        <w:ind w:left="500" w:hanging="240"/>
        <w:spacing w:after="0"/>
        <w:tabs>
          <w:tab w:leader="none" w:pos="5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Apply the practical expedient of combining lease and non-lease components.</w:t>
      </w:r>
    </w:p>
    <w:p>
      <w:pPr>
        <w:spacing w:after="0" w:line="169" w:lineRule="exact"/>
        <w:rPr>
          <w:sz w:val="20"/>
          <w:szCs w:val="20"/>
          <w:color w:val="auto"/>
        </w:rPr>
      </w:pPr>
    </w:p>
    <w:p>
      <w:pPr>
        <w:ind w:right="460"/>
        <w:spacing w:after="0" w:line="241" w:lineRule="auto"/>
        <w:rPr>
          <w:sz w:val="20"/>
          <w:szCs w:val="20"/>
          <w:color w:val="auto"/>
        </w:rPr>
      </w:pPr>
      <w:r>
        <w:rPr>
          <w:rFonts w:ascii="Arial" w:cs="Arial" w:eastAsia="Arial" w:hAnsi="Arial"/>
          <w:sz w:val="13"/>
          <w:szCs w:val="13"/>
          <w:color w:val="auto"/>
        </w:rPr>
        <w:t>Our lease terms may include options to extend or terminate the lease when it is reasonably certain that we will exercise that option. We do not include any renewal options in the lease terms for calculating lease liability, as the renewal options allow us to maintain operational flexibility and we are not reasonably certain that we will exercise these renewal options at the time of lease commencement.</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Lease expense for operating lease payments is recognized on a straight-line basis over the lease term.</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Components of lease expense are as follows, all recorded within operating expenses in the Consolidated Statement of Operations: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640" w:type="dxa"/>
            <w:vAlign w:val="bottom"/>
            <w:vMerge w:val="restart"/>
          </w:tcPr>
          <w:p>
            <w:pPr>
              <w:ind w:left="20"/>
              <w:spacing w:after="0"/>
              <w:rPr>
                <w:sz w:val="20"/>
                <w:szCs w:val="20"/>
                <w:color w:val="auto"/>
              </w:rPr>
            </w:pPr>
            <w:r>
              <w:rPr>
                <w:rFonts w:ascii="Arial" w:cs="Arial" w:eastAsia="Arial" w:hAnsi="Arial"/>
                <w:sz w:val="11"/>
                <w:szCs w:val="11"/>
                <w:color w:val="auto"/>
              </w:rPr>
              <w:t>(in thousands)</w:t>
            </w:r>
          </w:p>
        </w:tc>
        <w:tc>
          <w:tcPr>
            <w:tcW w:w="80" w:type="dxa"/>
            <w:vAlign w:val="bottom"/>
          </w:tcPr>
          <w:p>
            <w:pPr>
              <w:spacing w:after="0"/>
              <w:rPr>
                <w:sz w:val="10"/>
                <w:szCs w:val="10"/>
                <w:color w:val="auto"/>
              </w:rPr>
            </w:pPr>
          </w:p>
        </w:tc>
        <w:tc>
          <w:tcPr>
            <w:tcW w:w="1560" w:type="dxa"/>
            <w:vAlign w:val="bottom"/>
          </w:tcPr>
          <w:p>
            <w:pPr>
              <w:jc w:val="right"/>
              <w:ind w:right="43"/>
              <w:spacing w:after="0"/>
              <w:rPr>
                <w:sz w:val="20"/>
                <w:szCs w:val="20"/>
                <w:color w:val="auto"/>
              </w:rPr>
            </w:pPr>
            <w:r>
              <w:rPr>
                <w:rFonts w:ascii="Arial" w:cs="Arial" w:eastAsia="Arial" w:hAnsi="Arial"/>
                <w:sz w:val="11"/>
                <w:szCs w:val="11"/>
                <w:b w:val="1"/>
                <w:bCs w:val="1"/>
                <w:color w:val="auto"/>
              </w:rPr>
              <w:t>Twelve months ended Dec.</w:t>
            </w:r>
          </w:p>
        </w:tc>
        <w:tc>
          <w:tcPr>
            <w:tcW w:w="0" w:type="dxa"/>
            <w:vAlign w:val="bottom"/>
          </w:tcPr>
          <w:p>
            <w:pPr>
              <w:spacing w:after="0"/>
              <w:rPr>
                <w:sz w:val="1"/>
                <w:szCs w:val="1"/>
                <w:color w:val="auto"/>
              </w:rPr>
            </w:pPr>
          </w:p>
        </w:tc>
      </w:tr>
      <w:tr>
        <w:trPr>
          <w:trHeight w:val="138"/>
        </w:trPr>
        <w:tc>
          <w:tcPr>
            <w:tcW w:w="9640" w:type="dxa"/>
            <w:vAlign w:val="bottom"/>
            <w:tcBorders>
              <w:bottom w:val="single" w:sz="8" w:color="CCEEFF"/>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jc w:val="right"/>
              <w:ind w:right="543"/>
              <w:spacing w:after="0"/>
              <w:rPr>
                <w:sz w:val="20"/>
                <w:szCs w:val="20"/>
                <w:color w:val="auto"/>
              </w:rPr>
            </w:pPr>
            <w:r>
              <w:rPr>
                <w:rFonts w:ascii="Arial" w:cs="Arial" w:eastAsia="Arial" w:hAnsi="Arial"/>
                <w:sz w:val="11"/>
                <w:szCs w:val="11"/>
                <w:b w:val="1"/>
                <w:bCs w:val="1"/>
                <w:color w:val="auto"/>
              </w:rPr>
              <w:t>31, 2021</w:t>
            </w:r>
          </w:p>
        </w:tc>
        <w:tc>
          <w:tcPr>
            <w:tcW w:w="0" w:type="dxa"/>
            <w:vAlign w:val="bottom"/>
          </w:tcPr>
          <w:p>
            <w:pPr>
              <w:spacing w:after="0"/>
              <w:rPr>
                <w:sz w:val="1"/>
                <w:szCs w:val="1"/>
                <w:color w:val="auto"/>
              </w:rPr>
            </w:pPr>
          </w:p>
        </w:tc>
      </w:tr>
      <w:tr>
        <w:trPr>
          <w:trHeight w:val="139"/>
        </w:trPr>
        <w:tc>
          <w:tcPr>
            <w:tcW w:w="9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Finance lease cost (1)</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340</w:t>
            </w:r>
          </w:p>
        </w:tc>
        <w:tc>
          <w:tcPr>
            <w:tcW w:w="0" w:type="dxa"/>
            <w:vAlign w:val="bottom"/>
          </w:tcPr>
          <w:p>
            <w:pPr>
              <w:spacing w:after="0"/>
              <w:rPr>
                <w:sz w:val="1"/>
                <w:szCs w:val="1"/>
                <w:color w:val="auto"/>
              </w:rPr>
            </w:pPr>
          </w:p>
        </w:tc>
      </w:tr>
      <w:tr>
        <w:trPr>
          <w:trHeight w:val="149"/>
        </w:trPr>
        <w:tc>
          <w:tcPr>
            <w:tcW w:w="9640" w:type="dxa"/>
            <w:vAlign w:val="bottom"/>
          </w:tcPr>
          <w:p>
            <w:pPr>
              <w:ind w:left="20"/>
              <w:spacing w:after="0"/>
              <w:rPr>
                <w:sz w:val="20"/>
                <w:szCs w:val="20"/>
                <w:color w:val="auto"/>
              </w:rPr>
            </w:pPr>
            <w:r>
              <w:rPr>
                <w:rFonts w:ascii="Arial" w:cs="Arial" w:eastAsia="Arial" w:hAnsi="Arial"/>
                <w:sz w:val="11"/>
                <w:szCs w:val="11"/>
                <w:color w:val="auto"/>
              </w:rPr>
              <w:t>Operating lease cost</w:t>
            </w:r>
          </w:p>
        </w:tc>
        <w:tc>
          <w:tcPr>
            <w:tcW w:w="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7,815</w:t>
            </w:r>
          </w:p>
        </w:tc>
        <w:tc>
          <w:tcPr>
            <w:tcW w:w="0" w:type="dxa"/>
            <w:vAlign w:val="bottom"/>
          </w:tcPr>
          <w:p>
            <w:pPr>
              <w:spacing w:after="0"/>
              <w:rPr>
                <w:sz w:val="1"/>
                <w:szCs w:val="1"/>
                <w:color w:val="auto"/>
              </w:rPr>
            </w:pPr>
          </w:p>
        </w:tc>
      </w:tr>
      <w:tr>
        <w:trPr>
          <w:trHeight w:val="149"/>
        </w:trPr>
        <w:tc>
          <w:tcPr>
            <w:tcW w:w="9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Short-term lease cost (2)</w:t>
            </w: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474</w:t>
            </w:r>
          </w:p>
        </w:tc>
        <w:tc>
          <w:tcPr>
            <w:tcW w:w="0" w:type="dxa"/>
            <w:vAlign w:val="bottom"/>
          </w:tcPr>
          <w:p>
            <w:pPr>
              <w:spacing w:after="0"/>
              <w:rPr>
                <w:sz w:val="1"/>
                <w:szCs w:val="1"/>
                <w:color w:val="auto"/>
              </w:rPr>
            </w:pPr>
          </w:p>
        </w:tc>
      </w:tr>
      <w:tr>
        <w:trPr>
          <w:trHeight w:val="149"/>
        </w:trPr>
        <w:tc>
          <w:tcPr>
            <w:tcW w:w="9640" w:type="dxa"/>
            <w:vAlign w:val="bottom"/>
          </w:tcPr>
          <w:p>
            <w:pPr>
              <w:ind w:left="20"/>
              <w:spacing w:after="0"/>
              <w:rPr>
                <w:sz w:val="20"/>
                <w:szCs w:val="20"/>
                <w:color w:val="auto"/>
              </w:rPr>
            </w:pPr>
            <w:r>
              <w:rPr>
                <w:rFonts w:ascii="Arial" w:cs="Arial" w:eastAsia="Arial" w:hAnsi="Arial"/>
                <w:sz w:val="11"/>
                <w:szCs w:val="11"/>
                <w:color w:val="auto"/>
              </w:rPr>
              <w:t>Variable lease cost (3)</w:t>
            </w:r>
          </w:p>
        </w:tc>
        <w:tc>
          <w:tcPr>
            <w:tcW w:w="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134</w:t>
            </w:r>
          </w:p>
        </w:tc>
        <w:tc>
          <w:tcPr>
            <w:tcW w:w="0" w:type="dxa"/>
            <w:vAlign w:val="bottom"/>
          </w:tcPr>
          <w:p>
            <w:pPr>
              <w:spacing w:after="0"/>
              <w:rPr>
                <w:sz w:val="1"/>
                <w:szCs w:val="1"/>
                <w:color w:val="auto"/>
              </w:rPr>
            </w:pPr>
          </w:p>
        </w:tc>
      </w:tr>
      <w:tr>
        <w:trPr>
          <w:trHeight w:val="149"/>
        </w:trPr>
        <w:tc>
          <w:tcPr>
            <w:tcW w:w="9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Sublease income</w:t>
            </w:r>
          </w:p>
        </w:tc>
        <w:tc>
          <w:tcPr>
            <w:tcW w:w="80" w:type="dxa"/>
            <w:vAlign w:val="bottom"/>
            <w:tcBorders>
              <w:bottom w:val="single" w:sz="8" w:color="auto"/>
            </w:tcBorders>
            <w:shd w:val="clear" w:color="auto" w:fill="CCEEFF"/>
          </w:tcPr>
          <w:p>
            <w:pPr>
              <w:spacing w:after="0"/>
              <w:rPr>
                <w:sz w:val="12"/>
                <w:szCs w:val="1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(366)</w:t>
            </w:r>
          </w:p>
        </w:tc>
        <w:tc>
          <w:tcPr>
            <w:tcW w:w="0" w:type="dxa"/>
            <w:vAlign w:val="bottom"/>
          </w:tcPr>
          <w:p>
            <w:pPr>
              <w:spacing w:after="0"/>
              <w:rPr>
                <w:sz w:val="1"/>
                <w:szCs w:val="1"/>
                <w:color w:val="auto"/>
              </w:rPr>
            </w:pPr>
          </w:p>
        </w:tc>
      </w:tr>
      <w:tr>
        <w:trPr>
          <w:trHeight w:val="139"/>
        </w:trPr>
        <w:tc>
          <w:tcPr>
            <w:tcW w:w="9640" w:type="dxa"/>
            <w:vAlign w:val="bottom"/>
          </w:tcPr>
          <w:p>
            <w:pPr>
              <w:ind w:left="20"/>
              <w:spacing w:after="0"/>
              <w:rPr>
                <w:sz w:val="20"/>
                <w:szCs w:val="20"/>
                <w:color w:val="auto"/>
              </w:rPr>
            </w:pPr>
            <w:r>
              <w:rPr>
                <w:rFonts w:ascii="Arial" w:cs="Arial" w:eastAsia="Arial" w:hAnsi="Arial"/>
                <w:sz w:val="11"/>
                <w:szCs w:val="11"/>
                <w:b w:val="1"/>
                <w:bCs w:val="1"/>
                <w:color w:val="auto"/>
              </w:rPr>
              <w:t>Total net lease expense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8,397</w:t>
            </w:r>
          </w:p>
        </w:tc>
        <w:tc>
          <w:tcPr>
            <w:tcW w:w="0" w:type="dxa"/>
            <w:vAlign w:val="bottom"/>
          </w:tcPr>
          <w:p>
            <w:pPr>
              <w:spacing w:after="0"/>
              <w:rPr>
                <w:sz w:val="1"/>
                <w:szCs w:val="1"/>
                <w:color w:val="auto"/>
              </w:rPr>
            </w:pPr>
          </w:p>
        </w:tc>
      </w:tr>
      <w:tr>
        <w:trPr>
          <w:trHeight w:val="20"/>
        </w:trPr>
        <w:tc>
          <w:tcPr>
            <w:tcW w:w="9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20" w:right="480" w:hanging="260"/>
        <w:spacing w:after="0" w:line="252" w:lineRule="auto"/>
        <w:tabs>
          <w:tab w:leader="none" w:pos="510" w:val="left"/>
        </w:tabs>
        <w:numPr>
          <w:ilvl w:val="0"/>
          <w:numId w:val="45"/>
        </w:numPr>
        <w:rPr>
          <w:rFonts w:ascii="Arial" w:cs="Arial" w:eastAsia="Arial" w:hAnsi="Arial"/>
          <w:sz w:val="11"/>
          <w:szCs w:val="11"/>
          <w:i w:val="1"/>
          <w:iCs w:val="1"/>
          <w:color w:val="auto"/>
        </w:rPr>
      </w:pPr>
      <w:r>
        <w:rPr>
          <w:rFonts w:ascii="Arial" w:cs="Arial" w:eastAsia="Arial" w:hAnsi="Arial"/>
          <w:sz w:val="11"/>
          <w:szCs w:val="11"/>
          <w:i w:val="1"/>
          <w:iCs w:val="1"/>
          <w:color w:val="auto"/>
        </w:rPr>
        <w:t>Primarily consists of amortization of finance lease right-of-use assets and an immaterial amount of interest on finance lease liabilities recorded in operating expenses and interest expense in the consolidated statements of operations.</w:t>
      </w:r>
    </w:p>
    <w:p>
      <w:pPr>
        <w:spacing w:after="0" w:line="1" w:lineRule="exact"/>
        <w:rPr>
          <w:rFonts w:ascii="Arial" w:cs="Arial" w:eastAsia="Arial" w:hAnsi="Arial"/>
          <w:sz w:val="11"/>
          <w:szCs w:val="11"/>
          <w:i w:val="1"/>
          <w:iCs w:val="1"/>
          <w:color w:val="auto"/>
        </w:rPr>
      </w:pPr>
    </w:p>
    <w:p>
      <w:pPr>
        <w:ind w:left="500" w:hanging="240"/>
        <w:spacing w:after="0"/>
        <w:tabs>
          <w:tab w:leader="none" w:pos="500" w:val="left"/>
        </w:tabs>
        <w:numPr>
          <w:ilvl w:val="0"/>
          <w:numId w:val="45"/>
        </w:numPr>
        <w:rPr>
          <w:rFonts w:ascii="Arial" w:cs="Arial" w:eastAsia="Arial" w:hAnsi="Arial"/>
          <w:sz w:val="11"/>
          <w:szCs w:val="11"/>
          <w:i w:val="1"/>
          <w:iCs w:val="1"/>
          <w:color w:val="auto"/>
        </w:rPr>
      </w:pPr>
      <w:r>
        <w:rPr>
          <w:rFonts w:ascii="Arial" w:cs="Arial" w:eastAsia="Arial" w:hAnsi="Arial"/>
          <w:sz w:val="11"/>
          <w:szCs w:val="11"/>
          <w:i w:val="1"/>
          <w:iCs w:val="1"/>
          <w:color w:val="auto"/>
        </w:rPr>
        <w:t>Includes costs related to leases, which at the commencement date, have a lease term of 12 months or less.</w:t>
      </w:r>
    </w:p>
    <w:p>
      <w:pPr>
        <w:ind w:left="500" w:hanging="240"/>
        <w:spacing w:after="0"/>
        <w:tabs>
          <w:tab w:leader="none" w:pos="500" w:val="left"/>
        </w:tabs>
        <w:numPr>
          <w:ilvl w:val="0"/>
          <w:numId w:val="45"/>
        </w:numPr>
        <w:rPr>
          <w:rFonts w:ascii="Arial" w:cs="Arial" w:eastAsia="Arial" w:hAnsi="Arial"/>
          <w:sz w:val="11"/>
          <w:szCs w:val="11"/>
          <w:i w:val="1"/>
          <w:iCs w:val="1"/>
          <w:color w:val="auto"/>
        </w:rPr>
      </w:pPr>
      <w:r>
        <w:rPr>
          <w:rFonts w:ascii="Arial" w:cs="Arial" w:eastAsia="Arial" w:hAnsi="Arial"/>
          <w:sz w:val="11"/>
          <w:szCs w:val="11"/>
          <w:i w:val="1"/>
          <w:iCs w:val="1"/>
          <w:color w:val="auto"/>
        </w:rPr>
        <w:t>Includes costs made by the Company for the right to use an underlying asset that vary because of changes in facts or circumstances occurring after the commencement date, other than the passage of time.</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color w:val="auto"/>
        </w:rPr>
        <w:t>We recognized rent expense of $6.7 million, $2.0 million, and $3.1 million for the twelve months ended December 31, 2020, the Successor 2019 Period, and the Predecessor 2019 Period,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color w:val="auto"/>
        </w:rPr>
        <w:t>Supplemental balance sheet information related to leases are as follows: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94</w:t>
            </w:r>
          </w:p>
        </w:tc>
      </w:tr>
      <w:tr>
        <w:trPr>
          <w:trHeight w:val="15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85" w:right="31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59"/>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6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b w:val="1"/>
                <w:bCs w:val="1"/>
                <w:color w:val="auto"/>
              </w:rPr>
              <w:t>Balance Sheet Location</w:t>
            </w:r>
          </w:p>
        </w:tc>
        <w:tc>
          <w:tcPr>
            <w:tcW w:w="8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rPr>
              <w:t>December 31, 2021</w:t>
            </w:r>
          </w:p>
        </w:tc>
      </w:tr>
      <w:tr>
        <w:trPr>
          <w:trHeight w:val="129"/>
        </w:trPr>
        <w:tc>
          <w:tcPr>
            <w:tcW w:w="33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Assets</w:t>
            </w:r>
          </w:p>
        </w:tc>
        <w:tc>
          <w:tcPr>
            <w:tcW w:w="6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r>
      <w:tr>
        <w:trPr>
          <w:trHeight w:val="149"/>
        </w:trPr>
        <w:tc>
          <w:tcPr>
            <w:tcW w:w="3360" w:type="dxa"/>
            <w:vAlign w:val="bottom"/>
          </w:tcPr>
          <w:p>
            <w:pPr>
              <w:ind w:left="20"/>
              <w:spacing w:after="0"/>
              <w:rPr>
                <w:sz w:val="20"/>
                <w:szCs w:val="20"/>
                <w:color w:val="auto"/>
              </w:rPr>
            </w:pPr>
            <w:r>
              <w:rPr>
                <w:rFonts w:ascii="Arial" w:cs="Arial" w:eastAsia="Arial" w:hAnsi="Arial"/>
                <w:sz w:val="11"/>
                <w:szCs w:val="11"/>
                <w:color w:val="auto"/>
              </w:rPr>
              <w:t>Operating leases</w:t>
            </w:r>
          </w:p>
        </w:tc>
        <w:tc>
          <w:tcPr>
            <w:tcW w:w="6280" w:type="dxa"/>
            <w:vAlign w:val="bottom"/>
            <w:gridSpan w:val="2"/>
          </w:tcPr>
          <w:p>
            <w:pPr>
              <w:jc w:val="center"/>
              <w:ind w:right="80"/>
              <w:spacing w:after="0"/>
              <w:rPr>
                <w:sz w:val="20"/>
                <w:szCs w:val="20"/>
                <w:color w:val="auto"/>
              </w:rPr>
            </w:pPr>
            <w:r>
              <w:rPr>
                <w:rFonts w:ascii="Arial" w:cs="Arial" w:eastAsia="Arial" w:hAnsi="Arial"/>
                <w:sz w:val="11"/>
                <w:szCs w:val="11"/>
                <w:color w:val="auto"/>
              </w:rPr>
              <w:t>Operating lease ROU assets</w:t>
            </w:r>
          </w:p>
        </w:tc>
        <w:tc>
          <w:tcPr>
            <w:tcW w:w="20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23,462</w:t>
            </w:r>
          </w:p>
        </w:tc>
      </w:tr>
      <w:tr>
        <w:trPr>
          <w:trHeight w:val="149"/>
        </w:trPr>
        <w:tc>
          <w:tcPr>
            <w:tcW w:w="3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Finance leases</w:t>
            </w:r>
          </w:p>
        </w:tc>
        <w:tc>
          <w:tcPr>
            <w:tcW w:w="628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rPr>
              <w:t>Property and equipment, net</w:t>
            </w:r>
          </w:p>
        </w:tc>
        <w:tc>
          <w:tcPr>
            <w:tcW w:w="20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100</w:t>
            </w:r>
          </w:p>
        </w:tc>
      </w:tr>
      <w:tr>
        <w:trPr>
          <w:trHeight w:val="139"/>
        </w:trPr>
        <w:tc>
          <w:tcPr>
            <w:tcW w:w="3360" w:type="dxa"/>
            <w:vAlign w:val="bottom"/>
          </w:tcPr>
          <w:p>
            <w:pPr>
              <w:ind w:left="20"/>
              <w:spacing w:after="0"/>
              <w:rPr>
                <w:sz w:val="20"/>
                <w:szCs w:val="20"/>
                <w:color w:val="auto"/>
              </w:rPr>
            </w:pPr>
            <w:r>
              <w:rPr>
                <w:rFonts w:ascii="Arial" w:cs="Arial" w:eastAsia="Arial" w:hAnsi="Arial"/>
                <w:sz w:val="11"/>
                <w:szCs w:val="11"/>
                <w:b w:val="1"/>
                <w:bCs w:val="1"/>
                <w:color w:val="auto"/>
              </w:rPr>
              <w:t>Total right-of-use assets</w:t>
            </w:r>
          </w:p>
        </w:tc>
        <w:tc>
          <w:tcPr>
            <w:tcW w:w="6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23,562</w:t>
            </w: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31"/>
        </w:trPr>
        <w:tc>
          <w:tcPr>
            <w:tcW w:w="3360" w:type="dxa"/>
            <w:vAlign w:val="bottom"/>
            <w:shd w:val="clear" w:color="auto" w:fill="CCEEFF"/>
          </w:tcPr>
          <w:p>
            <w:pPr>
              <w:spacing w:after="0"/>
              <w:rPr>
                <w:sz w:val="11"/>
                <w:szCs w:val="11"/>
                <w:color w:val="auto"/>
              </w:rPr>
            </w:pPr>
          </w:p>
        </w:tc>
        <w:tc>
          <w:tcPr>
            <w:tcW w:w="6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r>
      <w:tr>
        <w:trPr>
          <w:trHeight w:val="149"/>
        </w:trPr>
        <w:tc>
          <w:tcPr>
            <w:tcW w:w="3360" w:type="dxa"/>
            <w:vAlign w:val="bottom"/>
          </w:tcPr>
          <w:p>
            <w:pPr>
              <w:ind w:left="20"/>
              <w:spacing w:after="0"/>
              <w:rPr>
                <w:sz w:val="20"/>
                <w:szCs w:val="20"/>
                <w:color w:val="auto"/>
              </w:rPr>
            </w:pPr>
            <w:r>
              <w:rPr>
                <w:rFonts w:ascii="Arial" w:cs="Arial" w:eastAsia="Arial" w:hAnsi="Arial"/>
                <w:sz w:val="11"/>
                <w:szCs w:val="11"/>
                <w:b w:val="1"/>
                <w:bCs w:val="1"/>
                <w:color w:val="auto"/>
              </w:rPr>
              <w:t>Liabilities</w:t>
            </w:r>
          </w:p>
        </w:tc>
        <w:tc>
          <w:tcPr>
            <w:tcW w:w="6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9"/>
        </w:trPr>
        <w:tc>
          <w:tcPr>
            <w:tcW w:w="3360" w:type="dxa"/>
            <w:vAlign w:val="bottom"/>
            <w:shd w:val="clear" w:color="auto" w:fill="CCEEFF"/>
          </w:tcPr>
          <w:p>
            <w:pPr>
              <w:ind w:left="20"/>
              <w:spacing w:after="0"/>
              <w:rPr>
                <w:sz w:val="20"/>
                <w:szCs w:val="20"/>
                <w:color w:val="auto"/>
              </w:rPr>
            </w:pPr>
            <w:r>
              <w:rPr>
                <w:rFonts w:ascii="Arial" w:cs="Arial" w:eastAsia="Arial" w:hAnsi="Arial"/>
                <w:sz w:val="11"/>
                <w:szCs w:val="11"/>
                <w:i w:val="1"/>
                <w:iCs w:val="1"/>
                <w:color w:val="auto"/>
              </w:rPr>
              <w:t>Current liabilities:</w:t>
            </w:r>
          </w:p>
        </w:tc>
        <w:tc>
          <w:tcPr>
            <w:tcW w:w="6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49"/>
        </w:trPr>
        <w:tc>
          <w:tcPr>
            <w:tcW w:w="3360" w:type="dxa"/>
            <w:vAlign w:val="bottom"/>
          </w:tcPr>
          <w:p>
            <w:pPr>
              <w:ind w:left="180"/>
              <w:spacing w:after="0"/>
              <w:rPr>
                <w:sz w:val="20"/>
                <w:szCs w:val="20"/>
                <w:color w:val="auto"/>
              </w:rPr>
            </w:pPr>
            <w:r>
              <w:rPr>
                <w:rFonts w:ascii="Arial" w:cs="Arial" w:eastAsia="Arial" w:hAnsi="Arial"/>
                <w:sz w:val="11"/>
                <w:szCs w:val="11"/>
                <w:color w:val="auto"/>
              </w:rPr>
              <w:t>Operating leases</w:t>
            </w:r>
          </w:p>
        </w:tc>
        <w:tc>
          <w:tcPr>
            <w:tcW w:w="6280" w:type="dxa"/>
            <w:vAlign w:val="bottom"/>
            <w:gridSpan w:val="2"/>
          </w:tcPr>
          <w:p>
            <w:pPr>
              <w:jc w:val="center"/>
              <w:ind w:right="80"/>
              <w:spacing w:after="0"/>
              <w:rPr>
                <w:sz w:val="20"/>
                <w:szCs w:val="20"/>
                <w:color w:val="auto"/>
              </w:rPr>
            </w:pPr>
            <w:r>
              <w:rPr>
                <w:rFonts w:ascii="Arial" w:cs="Arial" w:eastAsia="Arial" w:hAnsi="Arial"/>
                <w:sz w:val="11"/>
                <w:szCs w:val="11"/>
                <w:color w:val="auto"/>
              </w:rPr>
              <w:t>Operating lease liabilities - current</w:t>
            </w: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1440" w:type="dxa"/>
            <w:vAlign w:val="bottom"/>
          </w:tcPr>
          <w:p>
            <w:pPr>
              <w:jc w:val="right"/>
              <w:spacing w:after="0"/>
              <w:rPr>
                <w:sz w:val="20"/>
                <w:szCs w:val="20"/>
                <w:color w:val="auto"/>
              </w:rPr>
            </w:pPr>
            <w:r>
              <w:rPr>
                <w:rFonts w:ascii="Arial" w:cs="Arial" w:eastAsia="Arial" w:hAnsi="Arial"/>
                <w:sz w:val="11"/>
                <w:szCs w:val="11"/>
                <w:color w:val="auto"/>
              </w:rPr>
              <w:t>6,126</w:t>
            </w:r>
          </w:p>
        </w:tc>
      </w:tr>
      <w:tr>
        <w:trPr>
          <w:trHeight w:val="149"/>
        </w:trPr>
        <w:tc>
          <w:tcPr>
            <w:tcW w:w="33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Finance leases</w:t>
            </w:r>
          </w:p>
        </w:tc>
        <w:tc>
          <w:tcPr>
            <w:tcW w:w="62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rPr>
              <w:t>Other current liabilities</w:t>
            </w:r>
          </w:p>
        </w:tc>
        <w:tc>
          <w:tcPr>
            <w:tcW w:w="20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w:t>
            </w:r>
          </w:p>
        </w:tc>
      </w:tr>
      <w:tr>
        <w:trPr>
          <w:trHeight w:val="149"/>
        </w:trPr>
        <w:tc>
          <w:tcPr>
            <w:tcW w:w="3360" w:type="dxa"/>
            <w:vAlign w:val="bottom"/>
          </w:tcPr>
          <w:p>
            <w:pPr>
              <w:ind w:left="20"/>
              <w:spacing w:after="0"/>
              <w:rPr>
                <w:sz w:val="20"/>
                <w:szCs w:val="20"/>
                <w:color w:val="auto"/>
              </w:rPr>
            </w:pPr>
            <w:r>
              <w:rPr>
                <w:rFonts w:ascii="Arial" w:cs="Arial" w:eastAsia="Arial" w:hAnsi="Arial"/>
                <w:sz w:val="11"/>
                <w:szCs w:val="11"/>
                <w:i w:val="1"/>
                <w:iCs w:val="1"/>
                <w:color w:val="auto"/>
              </w:rPr>
              <w:t>Non-current liabilities:</w:t>
            </w:r>
          </w:p>
        </w:tc>
        <w:tc>
          <w:tcPr>
            <w:tcW w:w="6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9"/>
        </w:trPr>
        <w:tc>
          <w:tcPr>
            <w:tcW w:w="33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Operating leases</w:t>
            </w:r>
          </w:p>
        </w:tc>
        <w:tc>
          <w:tcPr>
            <w:tcW w:w="628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rPr>
              <w:t>Operating lease liabilities - non-current</w:t>
            </w:r>
          </w:p>
        </w:tc>
        <w:tc>
          <w:tcPr>
            <w:tcW w:w="20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19,776</w:t>
            </w:r>
          </w:p>
        </w:tc>
      </w:tr>
      <w:tr>
        <w:trPr>
          <w:trHeight w:val="139"/>
        </w:trPr>
        <w:tc>
          <w:tcPr>
            <w:tcW w:w="3360" w:type="dxa"/>
            <w:vAlign w:val="bottom"/>
          </w:tcPr>
          <w:p>
            <w:pPr>
              <w:ind w:left="20"/>
              <w:spacing w:after="0"/>
              <w:rPr>
                <w:sz w:val="20"/>
                <w:szCs w:val="20"/>
                <w:color w:val="auto"/>
              </w:rPr>
            </w:pPr>
            <w:r>
              <w:rPr>
                <w:rFonts w:ascii="Arial" w:cs="Arial" w:eastAsia="Arial" w:hAnsi="Arial"/>
                <w:sz w:val="11"/>
                <w:szCs w:val="11"/>
                <w:b w:val="1"/>
                <w:bCs w:val="1"/>
                <w:color w:val="auto"/>
              </w:rPr>
              <w:t>Total lease liability</w:t>
            </w:r>
          </w:p>
        </w:tc>
        <w:tc>
          <w:tcPr>
            <w:tcW w:w="6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26,005</w:t>
            </w:r>
          </w:p>
        </w:tc>
      </w:tr>
      <w:tr>
        <w:trPr>
          <w:trHeight w:val="20"/>
        </w:trPr>
        <w:tc>
          <w:tcPr>
            <w:tcW w:w="33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jc w:val="both"/>
        <w:ind w:right="20"/>
        <w:spacing w:after="0" w:line="258" w:lineRule="auto"/>
        <w:rPr>
          <w:sz w:val="20"/>
          <w:szCs w:val="20"/>
          <w:color w:val="auto"/>
        </w:rPr>
      </w:pPr>
      <w:r>
        <w:rPr>
          <w:rFonts w:ascii="Arial" w:cs="Arial" w:eastAsia="Arial" w:hAnsi="Arial"/>
          <w:sz w:val="12"/>
          <w:szCs w:val="12"/>
          <w:color w:val="auto"/>
        </w:rPr>
        <w:t>On May 12, 2020, the Company entered into a lease agreement with Wilson Tech 5 for a proposed site in Lindon, Utah, beginning in 2022. The Company will not have access to the leased premises until construction is complete, the “commencement date,” and is not deemed to be the owner during the construction period. This lease agreement expires ten years after the commencement date. The</w:t>
      </w:r>
    </w:p>
    <w:tbl>
      <w:tblPr>
        <w:tblLayout w:type="fixed"/>
        <w:tblInd w:w="0" w:type="dxa"/>
        <w:tblCellMar>
          <w:top w:w="0" w:type="dxa"/>
          <w:left w:w="0" w:type="dxa"/>
          <w:bottom w:w="0" w:type="dxa"/>
          <w:right w:w="0" w:type="dxa"/>
        </w:tblCellMar>
      </w:tblPr>
      <w:tr>
        <w:trPr>
          <w:trHeight w:val="149"/>
        </w:trPr>
        <w:tc>
          <w:tcPr>
            <w:tcW w:w="9900" w:type="dxa"/>
            <w:vAlign w:val="bottom"/>
            <w:gridSpan w:val="8"/>
          </w:tcPr>
          <w:p>
            <w:pPr>
              <w:spacing w:after="0"/>
              <w:rPr>
                <w:sz w:val="20"/>
                <w:szCs w:val="20"/>
                <w:color w:val="auto"/>
              </w:rPr>
            </w:pPr>
            <w:r>
              <w:rPr>
                <w:rFonts w:ascii="Arial" w:cs="Arial" w:eastAsia="Arial" w:hAnsi="Arial"/>
                <w:sz w:val="13"/>
                <w:szCs w:val="13"/>
                <w:color w:val="auto"/>
                <w:w w:val="97"/>
              </w:rPr>
              <w:t>Company did not make any lease payments during the twelve months ended December 31, 2021 and 2020 under this lease. The initial base annual rent will be approximately $</w:t>
            </w:r>
          </w:p>
        </w:tc>
        <w:tc>
          <w:tcPr>
            <w:tcW w:w="1380" w:type="dxa"/>
            <w:vAlign w:val="bottom"/>
          </w:tcPr>
          <w:p>
            <w:pPr>
              <w:jc w:val="right"/>
              <w:ind w:right="23"/>
              <w:spacing w:after="0"/>
              <w:rPr>
                <w:sz w:val="20"/>
                <w:szCs w:val="20"/>
                <w:color w:val="auto"/>
              </w:rPr>
            </w:pPr>
            <w:r>
              <w:rPr>
                <w:rFonts w:ascii="Arial" w:cs="Arial" w:eastAsia="Arial" w:hAnsi="Arial"/>
                <w:sz w:val="13"/>
                <w:szCs w:val="13"/>
                <w:color w:val="auto"/>
                <w:w w:val="96"/>
              </w:rPr>
              <w:t>4.6 million beginning in</w:t>
            </w:r>
          </w:p>
        </w:tc>
        <w:tc>
          <w:tcPr>
            <w:tcW w:w="0" w:type="dxa"/>
            <w:vAlign w:val="bottom"/>
          </w:tcPr>
          <w:p>
            <w:pPr>
              <w:spacing w:after="0"/>
              <w:rPr>
                <w:sz w:val="1"/>
                <w:szCs w:val="1"/>
                <w:color w:val="auto"/>
              </w:rPr>
            </w:pPr>
          </w:p>
        </w:tc>
      </w:tr>
      <w:tr>
        <w:trPr>
          <w:trHeight w:val="153"/>
        </w:trPr>
        <w:tc>
          <w:tcPr>
            <w:tcW w:w="4860" w:type="dxa"/>
            <w:vAlign w:val="bottom"/>
          </w:tcPr>
          <w:p>
            <w:pPr>
              <w:spacing w:after="0"/>
              <w:rPr>
                <w:sz w:val="20"/>
                <w:szCs w:val="20"/>
                <w:color w:val="auto"/>
              </w:rPr>
            </w:pPr>
            <w:r>
              <w:rPr>
                <w:rFonts w:ascii="Arial" w:cs="Arial" w:eastAsia="Arial" w:hAnsi="Arial"/>
                <w:sz w:val="13"/>
                <w:szCs w:val="13"/>
                <w:color w:val="auto"/>
              </w:rPr>
              <w:t>mid-2022.</w:t>
            </w: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8140" w:type="dxa"/>
            <w:vAlign w:val="bottom"/>
            <w:gridSpan w:val="5"/>
          </w:tcPr>
          <w:p>
            <w:pPr>
              <w:spacing w:after="0"/>
              <w:rPr>
                <w:sz w:val="20"/>
                <w:szCs w:val="20"/>
                <w:color w:val="auto"/>
              </w:rPr>
            </w:pPr>
            <w:r>
              <w:rPr>
                <w:rFonts w:ascii="Arial" w:cs="Arial" w:eastAsia="Arial" w:hAnsi="Arial"/>
                <w:sz w:val="13"/>
                <w:szCs w:val="13"/>
                <w:color w:val="auto"/>
              </w:rPr>
              <w:t>As of December 31, 2021, future minimum lease payments for finance and operating leases consisted of the following:</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2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Finance Leases</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center"/>
              <w:ind w:right="203"/>
              <w:spacing w:after="0"/>
              <w:rPr>
                <w:sz w:val="20"/>
                <w:szCs w:val="20"/>
                <w:color w:val="auto"/>
              </w:rPr>
            </w:pPr>
            <w:r>
              <w:rPr>
                <w:rFonts w:ascii="Arial" w:cs="Arial" w:eastAsia="Arial" w:hAnsi="Arial"/>
                <w:sz w:val="11"/>
                <w:szCs w:val="11"/>
                <w:b w:val="1"/>
                <w:bCs w:val="1"/>
                <w:color w:val="auto"/>
              </w:rPr>
              <w:t>Operating Leases</w:t>
            </w:r>
          </w:p>
        </w:tc>
        <w:tc>
          <w:tcPr>
            <w:tcW w:w="0" w:type="dxa"/>
            <w:vAlign w:val="bottom"/>
          </w:tcPr>
          <w:p>
            <w:pPr>
              <w:spacing w:after="0"/>
              <w:rPr>
                <w:sz w:val="1"/>
                <w:szCs w:val="1"/>
                <w:color w:val="auto"/>
              </w:rPr>
            </w:pPr>
          </w:p>
        </w:tc>
      </w:tr>
      <w:tr>
        <w:trPr>
          <w:trHeight w:val="139"/>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2022</w:t>
            </w:r>
          </w:p>
        </w:tc>
        <w:tc>
          <w:tcPr>
            <w:tcW w:w="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70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105</w:t>
            </w:r>
          </w:p>
        </w:tc>
        <w:tc>
          <w:tcPr>
            <w:tcW w:w="340" w:type="dxa"/>
            <w:vAlign w:val="bottom"/>
            <w:gridSpan w:val="2"/>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7,517</w:t>
            </w:r>
          </w:p>
        </w:tc>
        <w:tc>
          <w:tcPr>
            <w:tcW w:w="0" w:type="dxa"/>
            <w:vAlign w:val="bottom"/>
          </w:tcPr>
          <w:p>
            <w:pPr>
              <w:spacing w:after="0"/>
              <w:rPr>
                <w:sz w:val="1"/>
                <w:szCs w:val="1"/>
                <w:color w:val="auto"/>
              </w:rPr>
            </w:pPr>
          </w:p>
        </w:tc>
      </w:tr>
      <w:tr>
        <w:trPr>
          <w:trHeight w:val="149"/>
        </w:trPr>
        <w:tc>
          <w:tcPr>
            <w:tcW w:w="4860" w:type="dxa"/>
            <w:vAlign w:val="bottom"/>
          </w:tcPr>
          <w:p>
            <w:pPr>
              <w:ind w:left="20"/>
              <w:spacing w:after="0"/>
              <w:rPr>
                <w:sz w:val="20"/>
                <w:szCs w:val="20"/>
                <w:color w:val="auto"/>
              </w:rPr>
            </w:pPr>
            <w:r>
              <w:rPr>
                <w:rFonts w:ascii="Arial" w:cs="Arial" w:eastAsia="Arial" w:hAnsi="Arial"/>
                <w:sz w:val="11"/>
                <w:szCs w:val="11"/>
                <w:color w:val="auto"/>
              </w:rPr>
              <w:t>2023</w:t>
            </w:r>
          </w:p>
        </w:tc>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7,584</w:t>
            </w:r>
          </w:p>
        </w:tc>
        <w:tc>
          <w:tcPr>
            <w:tcW w:w="0" w:type="dxa"/>
            <w:vAlign w:val="bottom"/>
          </w:tcPr>
          <w:p>
            <w:pPr>
              <w:spacing w:after="0"/>
              <w:rPr>
                <w:sz w:val="1"/>
                <w:szCs w:val="1"/>
                <w:color w:val="auto"/>
              </w:rPr>
            </w:pPr>
          </w:p>
        </w:tc>
      </w:tr>
      <w:tr>
        <w:trPr>
          <w:trHeight w:val="149"/>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2024</w:t>
            </w:r>
          </w:p>
        </w:tc>
        <w:tc>
          <w:tcPr>
            <w:tcW w:w="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460" w:type="dxa"/>
            <w:vAlign w:val="bottom"/>
            <w:tcBorders>
              <w:lef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6,406</w:t>
            </w:r>
          </w:p>
        </w:tc>
        <w:tc>
          <w:tcPr>
            <w:tcW w:w="0" w:type="dxa"/>
            <w:vAlign w:val="bottom"/>
          </w:tcPr>
          <w:p>
            <w:pPr>
              <w:spacing w:after="0"/>
              <w:rPr>
                <w:sz w:val="1"/>
                <w:szCs w:val="1"/>
                <w:color w:val="auto"/>
              </w:rPr>
            </w:pPr>
          </w:p>
        </w:tc>
      </w:tr>
      <w:tr>
        <w:trPr>
          <w:trHeight w:val="149"/>
        </w:trPr>
        <w:tc>
          <w:tcPr>
            <w:tcW w:w="4860" w:type="dxa"/>
            <w:vAlign w:val="bottom"/>
          </w:tcPr>
          <w:p>
            <w:pPr>
              <w:ind w:left="20"/>
              <w:spacing w:after="0"/>
              <w:rPr>
                <w:sz w:val="20"/>
                <w:szCs w:val="20"/>
                <w:color w:val="auto"/>
              </w:rPr>
            </w:pPr>
            <w:r>
              <w:rPr>
                <w:rFonts w:ascii="Arial" w:cs="Arial" w:eastAsia="Arial" w:hAnsi="Arial"/>
                <w:sz w:val="11"/>
                <w:szCs w:val="11"/>
                <w:color w:val="auto"/>
              </w:rPr>
              <w:t>2025</w:t>
            </w:r>
          </w:p>
        </w:tc>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5,039</w:t>
            </w:r>
          </w:p>
        </w:tc>
        <w:tc>
          <w:tcPr>
            <w:tcW w:w="0" w:type="dxa"/>
            <w:vAlign w:val="bottom"/>
          </w:tcPr>
          <w:p>
            <w:pPr>
              <w:spacing w:after="0"/>
              <w:rPr>
                <w:sz w:val="1"/>
                <w:szCs w:val="1"/>
                <w:color w:val="auto"/>
              </w:rPr>
            </w:pPr>
          </w:p>
        </w:tc>
      </w:tr>
      <w:tr>
        <w:trPr>
          <w:trHeight w:val="149"/>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2026</w:t>
            </w:r>
          </w:p>
        </w:tc>
        <w:tc>
          <w:tcPr>
            <w:tcW w:w="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460" w:type="dxa"/>
            <w:vAlign w:val="bottom"/>
            <w:tcBorders>
              <w:lef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1,929</w:t>
            </w:r>
          </w:p>
        </w:tc>
        <w:tc>
          <w:tcPr>
            <w:tcW w:w="0" w:type="dxa"/>
            <w:vAlign w:val="bottom"/>
          </w:tcPr>
          <w:p>
            <w:pPr>
              <w:spacing w:after="0"/>
              <w:rPr>
                <w:sz w:val="1"/>
                <w:szCs w:val="1"/>
                <w:color w:val="auto"/>
              </w:rPr>
            </w:pPr>
          </w:p>
        </w:tc>
      </w:tr>
      <w:tr>
        <w:trPr>
          <w:trHeight w:val="149"/>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Thereafter</w:t>
            </w:r>
          </w:p>
        </w:tc>
        <w:tc>
          <w:tcPr>
            <w:tcW w:w="2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859</w:t>
            </w:r>
          </w:p>
        </w:tc>
        <w:tc>
          <w:tcPr>
            <w:tcW w:w="0" w:type="dxa"/>
            <w:vAlign w:val="bottom"/>
          </w:tcPr>
          <w:p>
            <w:pPr>
              <w:spacing w:after="0"/>
              <w:rPr>
                <w:sz w:val="1"/>
                <w:szCs w:val="1"/>
                <w:color w:val="auto"/>
              </w:rPr>
            </w:pPr>
          </w:p>
        </w:tc>
      </w:tr>
      <w:tr>
        <w:trPr>
          <w:trHeight w:val="159"/>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lease payments</w:t>
            </w:r>
          </w:p>
        </w:tc>
        <w:tc>
          <w:tcPr>
            <w:tcW w:w="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70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w:t>
            </w: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105</w:t>
            </w:r>
          </w:p>
        </w:tc>
        <w:tc>
          <w:tcPr>
            <w:tcW w:w="340" w:type="dxa"/>
            <w:vAlign w:val="bottom"/>
            <w:gridSpan w:val="2"/>
            <w:shd w:val="clear" w:color="auto" w:fill="CCEEFF"/>
          </w:tcPr>
          <w:p>
            <w:pPr>
              <w:jc w:val="right"/>
              <w:ind w:right="123"/>
              <w:spacing w:after="0"/>
              <w:rPr>
                <w:sz w:val="20"/>
                <w:szCs w:val="20"/>
                <w:color w:val="auto"/>
              </w:rPr>
            </w:pPr>
            <w:r>
              <w:rPr>
                <w:rFonts w:ascii="Arial" w:cs="Arial" w:eastAsia="Arial" w:hAnsi="Arial"/>
                <w:sz w:val="11"/>
                <w:szCs w:val="11"/>
                <w:b w:val="1"/>
                <w:bCs w:val="1"/>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29,334</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4860" w:type="dxa"/>
            <w:vAlign w:val="bottom"/>
            <w:tcBorders>
              <w:bottom w:val="single" w:sz="8" w:color="CCEEFF"/>
            </w:tcBorders>
          </w:tcPr>
          <w:p>
            <w:pPr>
              <w:ind w:left="20"/>
              <w:spacing w:after="0" w:line="111" w:lineRule="exact"/>
              <w:rPr>
                <w:sz w:val="20"/>
                <w:szCs w:val="20"/>
                <w:color w:val="auto"/>
              </w:rPr>
            </w:pPr>
            <w:r>
              <w:rPr>
                <w:rFonts w:ascii="Arial" w:cs="Arial" w:eastAsia="Arial" w:hAnsi="Arial"/>
                <w:sz w:val="11"/>
                <w:szCs w:val="11"/>
                <w:color w:val="auto"/>
              </w:rPr>
              <w:t>Less: Imputed interest</w:t>
            </w:r>
          </w:p>
        </w:tc>
        <w:tc>
          <w:tcPr>
            <w:tcW w:w="20" w:type="dxa"/>
            <w:vAlign w:val="bottom"/>
            <w:tcBorders>
              <w:bottom w:val="single" w:sz="8" w:color="CCEEFF"/>
            </w:tcBorders>
          </w:tcPr>
          <w:p>
            <w:pPr>
              <w:spacing w:after="0"/>
              <w:rPr>
                <w:sz w:val="9"/>
                <w:szCs w:val="9"/>
                <w:color w:val="auto"/>
              </w:rPr>
            </w:pPr>
          </w:p>
        </w:tc>
        <w:tc>
          <w:tcPr>
            <w:tcW w:w="1560" w:type="dxa"/>
            <w:vAlign w:val="bottom"/>
            <w:tcBorders>
              <w:bottom w:val="single" w:sz="8" w:color="CCEEFF"/>
            </w:tcBorders>
          </w:tcPr>
          <w:p>
            <w:pPr>
              <w:spacing w:after="0"/>
              <w:rPr>
                <w:sz w:val="9"/>
                <w:szCs w:val="9"/>
                <w:color w:val="auto"/>
              </w:rPr>
            </w:pPr>
          </w:p>
        </w:tc>
        <w:tc>
          <w:tcPr>
            <w:tcW w:w="1460" w:type="dxa"/>
            <w:vAlign w:val="bottom"/>
            <w:tcBorders>
              <w:bottom w:val="single" w:sz="8" w:color="CCEEFF"/>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jc w:val="right"/>
              <w:spacing w:after="0" w:line="111" w:lineRule="exact"/>
              <w:rPr>
                <w:sz w:val="20"/>
                <w:szCs w:val="20"/>
                <w:color w:val="auto"/>
              </w:rPr>
            </w:pPr>
            <w:r>
              <w:rPr>
                <w:rFonts w:ascii="Arial" w:cs="Arial" w:eastAsia="Arial" w:hAnsi="Arial"/>
                <w:sz w:val="11"/>
                <w:szCs w:val="11"/>
                <w:color w:val="auto"/>
              </w:rPr>
              <w:t>(2)</w:t>
            </w:r>
          </w:p>
        </w:tc>
        <w:tc>
          <w:tcPr>
            <w:tcW w:w="8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jc w:val="right"/>
              <w:spacing w:after="0" w:line="111" w:lineRule="exact"/>
              <w:rPr>
                <w:sz w:val="20"/>
                <w:szCs w:val="20"/>
                <w:color w:val="auto"/>
              </w:rPr>
            </w:pPr>
            <w:r>
              <w:rPr>
                <w:rFonts w:ascii="Arial" w:cs="Arial" w:eastAsia="Arial" w:hAnsi="Arial"/>
                <w:sz w:val="11"/>
                <w:szCs w:val="11"/>
                <w:color w:val="auto"/>
              </w:rPr>
              <w:t>(3,432)</w:t>
            </w:r>
          </w:p>
        </w:tc>
        <w:tc>
          <w:tcPr>
            <w:tcW w:w="0" w:type="dxa"/>
            <w:vAlign w:val="bottom"/>
          </w:tcPr>
          <w:p>
            <w:pPr>
              <w:spacing w:after="0"/>
              <w:rPr>
                <w:sz w:val="1"/>
                <w:szCs w:val="1"/>
                <w:color w:val="auto"/>
              </w:rPr>
            </w:pPr>
          </w:p>
        </w:tc>
      </w:tr>
      <w:tr>
        <w:trPr>
          <w:trHeight w:val="159"/>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Present value of lease liabilities</w:t>
            </w:r>
          </w:p>
        </w:tc>
        <w:tc>
          <w:tcPr>
            <w:tcW w:w="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70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w:t>
            </w: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103</w:t>
            </w:r>
          </w:p>
        </w:tc>
        <w:tc>
          <w:tcPr>
            <w:tcW w:w="340" w:type="dxa"/>
            <w:vAlign w:val="bottom"/>
            <w:gridSpan w:val="2"/>
            <w:shd w:val="clear" w:color="auto" w:fill="CCEEFF"/>
          </w:tcPr>
          <w:p>
            <w:pPr>
              <w:jc w:val="right"/>
              <w:ind w:right="123"/>
              <w:spacing w:after="0"/>
              <w:rPr>
                <w:sz w:val="20"/>
                <w:szCs w:val="20"/>
                <w:color w:val="auto"/>
              </w:rPr>
            </w:pPr>
            <w:r>
              <w:rPr>
                <w:rFonts w:ascii="Arial" w:cs="Arial" w:eastAsia="Arial" w:hAnsi="Arial"/>
                <w:sz w:val="11"/>
                <w:szCs w:val="11"/>
                <w:b w:val="1"/>
                <w:bCs w:val="1"/>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25,902</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color w:val="auto"/>
              </w:rPr>
              <w:t>Supplemental cash flow information related to leases are as follows:</w:t>
            </w:r>
          </w:p>
        </w:tc>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48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4860" w:type="dxa"/>
            <w:vAlign w:val="bottom"/>
            <w:vMerge w:val="restart"/>
          </w:tcPr>
          <w:p>
            <w:pPr>
              <w:ind w:left="20"/>
              <w:spacing w:after="0"/>
              <w:rPr>
                <w:sz w:val="20"/>
                <w:szCs w:val="20"/>
                <w:color w:val="auto"/>
              </w:rPr>
            </w:pPr>
            <w:r>
              <w:rPr>
                <w:rFonts w:ascii="Arial" w:cs="Arial" w:eastAsia="Arial" w:hAnsi="Arial"/>
                <w:sz w:val="11"/>
                <w:szCs w:val="11"/>
                <w:color w:val="auto"/>
              </w:rPr>
              <w:t>(in thousands)</w:t>
            </w: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2"/>
          </w:tcPr>
          <w:p>
            <w:pPr>
              <w:jc w:val="center"/>
              <w:spacing w:after="0"/>
              <w:rPr>
                <w:sz w:val="20"/>
                <w:szCs w:val="20"/>
                <w:color w:val="auto"/>
              </w:rPr>
            </w:pPr>
            <w:r>
              <w:rPr>
                <w:rFonts w:ascii="Arial" w:cs="Arial" w:eastAsia="Arial" w:hAnsi="Arial"/>
                <w:sz w:val="11"/>
                <w:szCs w:val="11"/>
                <w:b w:val="1"/>
                <w:bCs w:val="1"/>
                <w:color w:val="auto"/>
              </w:rPr>
              <w:t>Twelve months ended Dec.</w:t>
            </w:r>
          </w:p>
        </w:tc>
        <w:tc>
          <w:tcPr>
            <w:tcW w:w="0" w:type="dxa"/>
            <w:vAlign w:val="bottom"/>
          </w:tcPr>
          <w:p>
            <w:pPr>
              <w:spacing w:after="0"/>
              <w:rPr>
                <w:sz w:val="1"/>
                <w:szCs w:val="1"/>
                <w:color w:val="auto"/>
              </w:rPr>
            </w:pPr>
          </w:p>
        </w:tc>
      </w:tr>
      <w:tr>
        <w:trPr>
          <w:trHeight w:val="138"/>
        </w:trPr>
        <w:tc>
          <w:tcPr>
            <w:tcW w:w="4860" w:type="dxa"/>
            <w:vAlign w:val="bottom"/>
            <w:tcBorders>
              <w:bottom w:val="single" w:sz="8" w:color="CCEEFF"/>
            </w:tcBorders>
            <w:vMerge w:val="continue"/>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560" w:type="dxa"/>
            <w:vAlign w:val="bottom"/>
            <w:tcBorders>
              <w:bottom w:val="single" w:sz="8" w:color="CCEEFF"/>
            </w:tcBorders>
          </w:tcPr>
          <w:p>
            <w:pPr>
              <w:spacing w:after="0"/>
              <w:rPr>
                <w:sz w:val="11"/>
                <w:szCs w:val="11"/>
                <w:color w:val="auto"/>
              </w:rPr>
            </w:pPr>
          </w:p>
        </w:tc>
        <w:tc>
          <w:tcPr>
            <w:tcW w:w="146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14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center"/>
              <w:ind w:right="203"/>
              <w:spacing w:after="0"/>
              <w:rPr>
                <w:sz w:val="20"/>
                <w:szCs w:val="20"/>
                <w:color w:val="auto"/>
              </w:rPr>
            </w:pPr>
            <w:r>
              <w:rPr>
                <w:rFonts w:ascii="Arial" w:cs="Arial" w:eastAsia="Arial" w:hAnsi="Arial"/>
                <w:sz w:val="11"/>
                <w:szCs w:val="11"/>
                <w:b w:val="1"/>
                <w:bCs w:val="1"/>
                <w:color w:val="auto"/>
              </w:rPr>
              <w:t>31, 2021</w:t>
            </w:r>
          </w:p>
        </w:tc>
        <w:tc>
          <w:tcPr>
            <w:tcW w:w="0" w:type="dxa"/>
            <w:vAlign w:val="bottom"/>
          </w:tcPr>
          <w:p>
            <w:pPr>
              <w:spacing w:after="0"/>
              <w:rPr>
                <w:sz w:val="1"/>
                <w:szCs w:val="1"/>
                <w:color w:val="auto"/>
              </w:rPr>
            </w:pPr>
          </w:p>
        </w:tc>
      </w:tr>
      <w:tr>
        <w:trPr>
          <w:trHeight w:val="129"/>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i w:val="1"/>
                <w:iCs w:val="1"/>
                <w:color w:val="auto"/>
              </w:rPr>
              <w:t>Cash paid for amounts included in the measurement of lease liabilities:</w:t>
            </w:r>
          </w:p>
        </w:tc>
        <w:tc>
          <w:tcPr>
            <w:tcW w:w="2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460" w:type="dxa"/>
            <w:vAlign w:val="bottom"/>
            <w:tcBorders>
              <w:lef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60" w:type="dxa"/>
            <w:vAlign w:val="bottom"/>
          </w:tcPr>
          <w:p>
            <w:pPr>
              <w:ind w:left="180"/>
              <w:spacing w:after="0"/>
              <w:rPr>
                <w:sz w:val="20"/>
                <w:szCs w:val="20"/>
                <w:color w:val="auto"/>
              </w:rPr>
            </w:pPr>
            <w:r>
              <w:rPr>
                <w:rFonts w:ascii="Arial" w:cs="Arial" w:eastAsia="Arial" w:hAnsi="Arial"/>
                <w:sz w:val="11"/>
                <w:szCs w:val="11"/>
                <w:color w:val="auto"/>
              </w:rPr>
              <w:t>Operating cash flows from operating leases</w:t>
            </w:r>
          </w:p>
        </w:tc>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40" w:type="dxa"/>
            <w:vAlign w:val="bottom"/>
            <w:gridSpan w:val="2"/>
          </w:tcPr>
          <w:p>
            <w:pPr>
              <w:jc w:val="right"/>
              <w:ind w:right="123"/>
              <w:spacing w:after="0"/>
              <w:rPr>
                <w:sz w:val="20"/>
                <w:szCs w:val="20"/>
                <w:color w:val="auto"/>
              </w:rPr>
            </w:pPr>
            <w:r>
              <w:rPr>
                <w:rFonts w:ascii="Arial" w:cs="Arial" w:eastAsia="Arial" w:hAnsi="Arial"/>
                <w:sz w:val="11"/>
                <w:szCs w:val="11"/>
                <w:color w:val="auto"/>
              </w:rPr>
              <w:t>$</w:t>
            </w:r>
          </w:p>
        </w:tc>
        <w:tc>
          <w:tcPr>
            <w:tcW w:w="1380" w:type="dxa"/>
            <w:vAlign w:val="bottom"/>
          </w:tcPr>
          <w:p>
            <w:pPr>
              <w:jc w:val="right"/>
              <w:spacing w:after="0"/>
              <w:rPr>
                <w:sz w:val="20"/>
                <w:szCs w:val="20"/>
                <w:color w:val="auto"/>
              </w:rPr>
            </w:pPr>
            <w:r>
              <w:rPr>
                <w:rFonts w:ascii="Arial" w:cs="Arial" w:eastAsia="Arial" w:hAnsi="Arial"/>
                <w:sz w:val="11"/>
                <w:szCs w:val="11"/>
                <w:color w:val="auto"/>
              </w:rPr>
              <w:t>6,652</w:t>
            </w:r>
          </w:p>
        </w:tc>
        <w:tc>
          <w:tcPr>
            <w:tcW w:w="0" w:type="dxa"/>
            <w:vAlign w:val="bottom"/>
          </w:tcPr>
          <w:p>
            <w:pPr>
              <w:spacing w:after="0"/>
              <w:rPr>
                <w:sz w:val="1"/>
                <w:szCs w:val="1"/>
                <w:color w:val="auto"/>
              </w:rPr>
            </w:pPr>
          </w:p>
        </w:tc>
      </w:tr>
      <w:tr>
        <w:trPr>
          <w:trHeight w:val="149"/>
        </w:trPr>
        <w:tc>
          <w:tcPr>
            <w:tcW w:w="48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Operating cash flows from finance leases</w:t>
            </w:r>
          </w:p>
        </w:tc>
        <w:tc>
          <w:tcPr>
            <w:tcW w:w="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460" w:type="dxa"/>
            <w:vAlign w:val="bottom"/>
            <w:tcBorders>
              <w:lef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49"/>
        </w:trPr>
        <w:tc>
          <w:tcPr>
            <w:tcW w:w="4860" w:type="dxa"/>
            <w:vAlign w:val="bottom"/>
          </w:tcPr>
          <w:p>
            <w:pPr>
              <w:ind w:left="180"/>
              <w:spacing w:after="0"/>
              <w:rPr>
                <w:sz w:val="20"/>
                <w:szCs w:val="20"/>
                <w:color w:val="auto"/>
              </w:rPr>
            </w:pPr>
            <w:r>
              <w:rPr>
                <w:rFonts w:ascii="Arial" w:cs="Arial" w:eastAsia="Arial" w:hAnsi="Arial"/>
                <w:sz w:val="11"/>
                <w:szCs w:val="11"/>
                <w:color w:val="auto"/>
              </w:rPr>
              <w:t>Financing cash flows from finance leases</w:t>
            </w:r>
          </w:p>
        </w:tc>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40" w:type="dxa"/>
            <w:vAlign w:val="bottom"/>
            <w:gridSpan w:val="2"/>
          </w:tcPr>
          <w:p>
            <w:pPr>
              <w:jc w:val="right"/>
              <w:ind w:right="123"/>
              <w:spacing w:after="0"/>
              <w:rPr>
                <w:sz w:val="20"/>
                <w:szCs w:val="20"/>
                <w:color w:val="auto"/>
              </w:rPr>
            </w:pPr>
            <w:r>
              <w:rPr>
                <w:rFonts w:ascii="Arial" w:cs="Arial" w:eastAsia="Arial" w:hAnsi="Arial"/>
                <w:sz w:val="11"/>
                <w:szCs w:val="11"/>
                <w:color w:val="auto"/>
              </w:rPr>
              <w:t>$</w:t>
            </w:r>
          </w:p>
        </w:tc>
        <w:tc>
          <w:tcPr>
            <w:tcW w:w="1380" w:type="dxa"/>
            <w:vAlign w:val="bottom"/>
          </w:tcPr>
          <w:p>
            <w:pPr>
              <w:jc w:val="right"/>
              <w:spacing w:after="0"/>
              <w:rPr>
                <w:sz w:val="20"/>
                <w:szCs w:val="20"/>
                <w:color w:val="auto"/>
              </w:rPr>
            </w:pPr>
            <w:r>
              <w:rPr>
                <w:rFonts w:ascii="Arial" w:cs="Arial" w:eastAsia="Arial" w:hAnsi="Arial"/>
                <w:sz w:val="11"/>
                <w:szCs w:val="11"/>
                <w:color w:val="auto"/>
              </w:rPr>
              <w:t>318</w:t>
            </w:r>
          </w:p>
        </w:tc>
        <w:tc>
          <w:tcPr>
            <w:tcW w:w="0" w:type="dxa"/>
            <w:vAlign w:val="bottom"/>
          </w:tcPr>
          <w:p>
            <w:pPr>
              <w:spacing w:after="0"/>
              <w:rPr>
                <w:sz w:val="1"/>
                <w:szCs w:val="1"/>
                <w:color w:val="auto"/>
              </w:rPr>
            </w:pPr>
          </w:p>
        </w:tc>
      </w:tr>
      <w:tr>
        <w:trPr>
          <w:trHeight w:val="149"/>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i w:val="1"/>
                <w:iCs w:val="1"/>
                <w:color w:val="auto"/>
              </w:rPr>
              <w:t>Lease assets obtained in exchange for new lease obligations:</w:t>
            </w:r>
          </w:p>
        </w:tc>
        <w:tc>
          <w:tcPr>
            <w:tcW w:w="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460" w:type="dxa"/>
            <w:vAlign w:val="bottom"/>
            <w:tcBorders>
              <w:lef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860" w:type="dxa"/>
            <w:vAlign w:val="bottom"/>
          </w:tcPr>
          <w:p>
            <w:pPr>
              <w:ind w:left="180"/>
              <w:spacing w:after="0"/>
              <w:rPr>
                <w:sz w:val="20"/>
                <w:szCs w:val="20"/>
                <w:color w:val="auto"/>
              </w:rPr>
            </w:pPr>
            <w:r>
              <w:rPr>
                <w:rFonts w:ascii="Arial" w:cs="Arial" w:eastAsia="Arial" w:hAnsi="Arial"/>
                <w:sz w:val="11"/>
                <w:szCs w:val="11"/>
                <w:color w:val="auto"/>
              </w:rPr>
              <w:t>Operating leases</w:t>
            </w: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40" w:type="dxa"/>
            <w:vAlign w:val="bottom"/>
            <w:gridSpan w:val="2"/>
          </w:tcPr>
          <w:p>
            <w:pPr>
              <w:jc w:val="right"/>
              <w:ind w:right="123"/>
              <w:spacing w:after="0"/>
              <w:rPr>
                <w:sz w:val="20"/>
                <w:szCs w:val="20"/>
                <w:color w:val="auto"/>
              </w:rPr>
            </w:pPr>
            <w:r>
              <w:rPr>
                <w:rFonts w:ascii="Arial" w:cs="Arial" w:eastAsia="Arial" w:hAnsi="Arial"/>
                <w:sz w:val="11"/>
                <w:szCs w:val="11"/>
                <w:color w:val="auto"/>
              </w:rPr>
              <w:t>$</w:t>
            </w:r>
          </w:p>
        </w:tc>
        <w:tc>
          <w:tcPr>
            <w:tcW w:w="1380" w:type="dxa"/>
            <w:vAlign w:val="bottom"/>
          </w:tcPr>
          <w:p>
            <w:pPr>
              <w:jc w:val="right"/>
              <w:spacing w:after="0"/>
              <w:rPr>
                <w:sz w:val="20"/>
                <w:szCs w:val="20"/>
                <w:color w:val="auto"/>
              </w:rPr>
            </w:pPr>
            <w:r>
              <w:rPr>
                <w:rFonts w:ascii="Arial" w:cs="Arial" w:eastAsia="Arial" w:hAnsi="Arial"/>
                <w:sz w:val="11"/>
                <w:szCs w:val="11"/>
                <w:color w:val="auto"/>
              </w:rPr>
              <w:t>1,831</w:t>
            </w:r>
          </w:p>
        </w:tc>
        <w:tc>
          <w:tcPr>
            <w:tcW w:w="0" w:type="dxa"/>
            <w:vAlign w:val="bottom"/>
          </w:tcPr>
          <w:p>
            <w:pPr>
              <w:spacing w:after="0"/>
              <w:rPr>
                <w:sz w:val="1"/>
                <w:szCs w:val="1"/>
                <w:color w:val="auto"/>
              </w:rPr>
            </w:pPr>
          </w:p>
        </w:tc>
      </w:tr>
      <w:tr>
        <w:trPr>
          <w:trHeight w:val="397"/>
        </w:trPr>
        <w:tc>
          <w:tcPr>
            <w:tcW w:w="4860" w:type="dxa"/>
            <w:vAlign w:val="bottom"/>
          </w:tcPr>
          <w:p>
            <w:pPr>
              <w:spacing w:after="0"/>
              <w:rPr>
                <w:sz w:val="20"/>
                <w:szCs w:val="20"/>
                <w:color w:val="auto"/>
              </w:rPr>
            </w:pPr>
            <w:r>
              <w:rPr>
                <w:rFonts w:ascii="Arial" w:cs="Arial" w:eastAsia="Arial" w:hAnsi="Arial"/>
                <w:sz w:val="13"/>
                <w:szCs w:val="13"/>
                <w:color w:val="auto"/>
              </w:rPr>
              <w:t>The weighted average remaining lease term and discount rate are as follows:</w:t>
            </w: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4860" w:type="dxa"/>
            <w:vAlign w:val="bottom"/>
            <w:vMerge w:val="restart"/>
          </w:tcPr>
          <w:p>
            <w:pPr>
              <w:ind w:left="20"/>
              <w:spacing w:after="0"/>
              <w:rPr>
                <w:sz w:val="20"/>
                <w:szCs w:val="20"/>
                <w:color w:val="auto"/>
              </w:rPr>
            </w:pPr>
            <w:r>
              <w:rPr>
                <w:rFonts w:ascii="Arial" w:cs="Arial" w:eastAsia="Arial" w:hAnsi="Arial"/>
                <w:sz w:val="11"/>
                <w:szCs w:val="11"/>
                <w:color w:val="auto"/>
              </w:rPr>
              <w:t>(in thousands)</w:t>
            </w: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Arial" w:cs="Arial" w:eastAsia="Arial" w:hAnsi="Arial"/>
                <w:sz w:val="11"/>
                <w:szCs w:val="11"/>
                <w:b w:val="1"/>
                <w:bCs w:val="1"/>
                <w:color w:val="auto"/>
              </w:rPr>
              <w:t>Twelve months ended Dec. 31,</w:t>
            </w:r>
          </w:p>
        </w:tc>
        <w:tc>
          <w:tcPr>
            <w:tcW w:w="0" w:type="dxa"/>
            <w:vAlign w:val="bottom"/>
          </w:tcPr>
          <w:p>
            <w:pPr>
              <w:spacing w:after="0"/>
              <w:rPr>
                <w:sz w:val="1"/>
                <w:szCs w:val="1"/>
                <w:color w:val="auto"/>
              </w:rPr>
            </w:pPr>
          </w:p>
        </w:tc>
      </w:tr>
      <w:tr>
        <w:trPr>
          <w:trHeight w:val="138"/>
        </w:trPr>
        <w:tc>
          <w:tcPr>
            <w:tcW w:w="4860" w:type="dxa"/>
            <w:vAlign w:val="bottom"/>
            <w:tcBorders>
              <w:bottom w:val="single" w:sz="8" w:color="CCEEFF"/>
            </w:tcBorders>
            <w:vMerge w:val="continue"/>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560" w:type="dxa"/>
            <w:vAlign w:val="bottom"/>
            <w:tcBorders>
              <w:bottom w:val="single" w:sz="8" w:color="CCEEFF"/>
            </w:tcBorders>
          </w:tcPr>
          <w:p>
            <w:pPr>
              <w:spacing w:after="0"/>
              <w:rPr>
                <w:sz w:val="11"/>
                <w:szCs w:val="11"/>
                <w:color w:val="auto"/>
              </w:rPr>
            </w:pPr>
          </w:p>
        </w:tc>
        <w:tc>
          <w:tcPr>
            <w:tcW w:w="146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14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683"/>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29"/>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i w:val="1"/>
                <w:iCs w:val="1"/>
                <w:color w:val="auto"/>
              </w:rPr>
              <w:t>Weighted average remaining lease term (in years):</w:t>
            </w:r>
          </w:p>
        </w:tc>
        <w:tc>
          <w:tcPr>
            <w:tcW w:w="2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460" w:type="dxa"/>
            <w:vAlign w:val="bottom"/>
            <w:tcBorders>
              <w:lef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60" w:type="dxa"/>
            <w:vAlign w:val="bottom"/>
          </w:tcPr>
          <w:p>
            <w:pPr>
              <w:ind w:left="180"/>
              <w:spacing w:after="0"/>
              <w:rPr>
                <w:sz w:val="20"/>
                <w:szCs w:val="20"/>
                <w:color w:val="auto"/>
              </w:rPr>
            </w:pPr>
            <w:r>
              <w:rPr>
                <w:rFonts w:ascii="Arial" w:cs="Arial" w:eastAsia="Arial" w:hAnsi="Arial"/>
                <w:sz w:val="11"/>
                <w:szCs w:val="11"/>
                <w:color w:val="auto"/>
              </w:rPr>
              <w:t>Operating leases</w:t>
            </w:r>
          </w:p>
        </w:tc>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4.2 years</w:t>
            </w:r>
          </w:p>
        </w:tc>
        <w:tc>
          <w:tcPr>
            <w:tcW w:w="0" w:type="dxa"/>
            <w:vAlign w:val="bottom"/>
          </w:tcPr>
          <w:p>
            <w:pPr>
              <w:spacing w:after="0"/>
              <w:rPr>
                <w:sz w:val="1"/>
                <w:szCs w:val="1"/>
                <w:color w:val="auto"/>
              </w:rPr>
            </w:pPr>
          </w:p>
        </w:tc>
      </w:tr>
      <w:tr>
        <w:trPr>
          <w:trHeight w:val="149"/>
        </w:trPr>
        <w:tc>
          <w:tcPr>
            <w:tcW w:w="48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Finance leases</w:t>
            </w:r>
          </w:p>
        </w:tc>
        <w:tc>
          <w:tcPr>
            <w:tcW w:w="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460" w:type="dxa"/>
            <w:vAlign w:val="bottom"/>
            <w:tcBorders>
              <w:lef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0.4 years</w:t>
            </w:r>
          </w:p>
        </w:tc>
        <w:tc>
          <w:tcPr>
            <w:tcW w:w="0" w:type="dxa"/>
            <w:vAlign w:val="bottom"/>
          </w:tcPr>
          <w:p>
            <w:pPr>
              <w:spacing w:after="0"/>
              <w:rPr>
                <w:sz w:val="1"/>
                <w:szCs w:val="1"/>
                <w:color w:val="auto"/>
              </w:rPr>
            </w:pPr>
          </w:p>
        </w:tc>
      </w:tr>
      <w:tr>
        <w:trPr>
          <w:trHeight w:val="149"/>
        </w:trPr>
        <w:tc>
          <w:tcPr>
            <w:tcW w:w="4860" w:type="dxa"/>
            <w:vAlign w:val="bottom"/>
          </w:tcPr>
          <w:p>
            <w:pPr>
              <w:ind w:left="20"/>
              <w:spacing w:after="0"/>
              <w:rPr>
                <w:sz w:val="20"/>
                <w:szCs w:val="20"/>
                <w:color w:val="auto"/>
              </w:rPr>
            </w:pPr>
            <w:r>
              <w:rPr>
                <w:rFonts w:ascii="Arial" w:cs="Arial" w:eastAsia="Arial" w:hAnsi="Arial"/>
                <w:sz w:val="11"/>
                <w:szCs w:val="11"/>
                <w:i w:val="1"/>
                <w:iCs w:val="1"/>
                <w:color w:val="auto"/>
              </w:rPr>
              <w:t>Weighted average discount rate:</w:t>
            </w:r>
          </w:p>
        </w:tc>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Operating leases</w:t>
            </w:r>
          </w:p>
        </w:tc>
        <w:tc>
          <w:tcPr>
            <w:tcW w:w="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460" w:type="dxa"/>
            <w:vAlign w:val="bottom"/>
            <w:tcBorders>
              <w:lef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6.2 %</w:t>
            </w:r>
          </w:p>
        </w:tc>
        <w:tc>
          <w:tcPr>
            <w:tcW w:w="0" w:type="dxa"/>
            <w:vAlign w:val="bottom"/>
          </w:tcPr>
          <w:p>
            <w:pPr>
              <w:spacing w:after="0"/>
              <w:rPr>
                <w:sz w:val="1"/>
                <w:szCs w:val="1"/>
                <w:color w:val="auto"/>
              </w:rPr>
            </w:pPr>
          </w:p>
        </w:tc>
      </w:tr>
      <w:tr>
        <w:trPr>
          <w:trHeight w:val="151"/>
        </w:trPr>
        <w:tc>
          <w:tcPr>
            <w:tcW w:w="4860" w:type="dxa"/>
            <w:vAlign w:val="bottom"/>
          </w:tcPr>
          <w:p>
            <w:pPr>
              <w:ind w:left="180"/>
              <w:spacing w:after="0"/>
              <w:rPr>
                <w:sz w:val="20"/>
                <w:szCs w:val="20"/>
                <w:color w:val="auto"/>
              </w:rPr>
            </w:pPr>
            <w:r>
              <w:rPr>
                <w:rFonts w:ascii="Arial" w:cs="Arial" w:eastAsia="Arial" w:hAnsi="Arial"/>
                <w:sz w:val="11"/>
                <w:szCs w:val="11"/>
                <w:color w:val="auto"/>
              </w:rPr>
              <w:t>Finance leases</w:t>
            </w: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6.5 %</w:t>
            </w:r>
          </w:p>
        </w:tc>
        <w:tc>
          <w:tcPr>
            <w:tcW w:w="0" w:type="dxa"/>
            <w:vAlign w:val="bottom"/>
          </w:tcPr>
          <w:p>
            <w:pPr>
              <w:spacing w:after="0"/>
              <w:rPr>
                <w:sz w:val="1"/>
                <w:szCs w:val="1"/>
                <w:color w:val="auto"/>
              </w:rPr>
            </w:pPr>
          </w:p>
        </w:tc>
      </w:tr>
      <w:tr>
        <w:trPr>
          <w:trHeight w:val="397"/>
        </w:trPr>
        <w:tc>
          <w:tcPr>
            <w:tcW w:w="4860" w:type="dxa"/>
            <w:vAlign w:val="bottom"/>
          </w:tcPr>
          <w:p>
            <w:pPr>
              <w:spacing w:after="0"/>
              <w:rPr>
                <w:sz w:val="20"/>
                <w:szCs w:val="20"/>
                <w:color w:val="auto"/>
              </w:rPr>
            </w:pPr>
            <w:r>
              <w:rPr>
                <w:rFonts w:ascii="Arial" w:cs="Arial" w:eastAsia="Arial" w:hAnsi="Arial"/>
                <w:sz w:val="13"/>
                <w:szCs w:val="13"/>
                <w:b w:val="1"/>
                <w:bCs w:val="1"/>
                <w:color w:val="0A2299"/>
              </w:rPr>
              <w:t>12. COMMITMENTS AND CONTINGENCIES</w:t>
            </w: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4860" w:type="dxa"/>
            <w:vAlign w:val="bottom"/>
            <w:vMerge w:val="restart"/>
          </w:tcPr>
          <w:p>
            <w:pPr>
              <w:ind w:left="3760"/>
              <w:spacing w:after="0"/>
              <w:rPr>
                <w:sz w:val="20"/>
                <w:szCs w:val="20"/>
                <w:color w:val="auto"/>
              </w:rPr>
            </w:pPr>
            <w:r>
              <w:rPr>
                <w:rFonts w:ascii="Arial" w:cs="Arial" w:eastAsia="Arial" w:hAnsi="Arial"/>
                <w:sz w:val="11"/>
                <w:szCs w:val="11"/>
                <w:color w:val="auto"/>
              </w:rPr>
              <w:t>GoHealth, Inc.</w:t>
            </w:r>
          </w:p>
        </w:tc>
        <w:tc>
          <w:tcPr>
            <w:tcW w:w="20" w:type="dxa"/>
            <w:vAlign w:val="bottom"/>
          </w:tcPr>
          <w:p>
            <w:pPr>
              <w:spacing w:after="0"/>
              <w:rPr>
                <w:sz w:val="24"/>
                <w:szCs w:val="24"/>
                <w:color w:val="auto"/>
              </w:rPr>
            </w:pPr>
          </w:p>
        </w:tc>
        <w:tc>
          <w:tcPr>
            <w:tcW w:w="1560" w:type="dxa"/>
            <w:vAlign w:val="bottom"/>
            <w:vMerge w:val="restart"/>
          </w:tcPr>
          <w:p>
            <w:pPr>
              <w:ind w:left="360"/>
              <w:spacing w:after="0"/>
              <w:rPr>
                <w:sz w:val="20"/>
                <w:szCs w:val="20"/>
                <w:color w:val="auto"/>
              </w:rPr>
            </w:pPr>
            <w:r>
              <w:rPr>
                <w:rFonts w:ascii="Arial" w:cs="Arial" w:eastAsia="Arial" w:hAnsi="Arial"/>
                <w:sz w:val="11"/>
                <w:szCs w:val="11"/>
                <w:color w:val="auto"/>
              </w:rPr>
              <w:t>2021 Form 10-K</w:t>
            </w: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860" w:type="dxa"/>
            <w:vAlign w:val="bottom"/>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560" w:type="dxa"/>
            <w:vAlign w:val="bottom"/>
            <w:vMerge w:val="continue"/>
          </w:tcPr>
          <w:p>
            <w:pPr>
              <w:spacing w:after="0"/>
              <w:rPr>
                <w:sz w:val="12"/>
                <w:szCs w:val="12"/>
                <w:color w:val="auto"/>
              </w:rPr>
            </w:pPr>
          </w:p>
        </w:tc>
        <w:tc>
          <w:tcPr>
            <w:tcW w:w="1460" w:type="dxa"/>
            <w:vAlign w:val="bottom"/>
            <w:tcBorders>
              <w:left w:val="single" w:sz="8" w:color="auto"/>
            </w:tcBorders>
          </w:tcPr>
          <w:p>
            <w:pPr>
              <w:jc w:val="right"/>
              <w:ind w:right="1203"/>
              <w:spacing w:after="0"/>
              <w:rPr>
                <w:sz w:val="20"/>
                <w:szCs w:val="20"/>
                <w:color w:val="auto"/>
              </w:rPr>
            </w:pPr>
            <w:r>
              <w:rPr>
                <w:rFonts w:ascii="Arial" w:cs="Arial" w:eastAsia="Arial" w:hAnsi="Arial"/>
                <w:sz w:val="11"/>
                <w:szCs w:val="11"/>
                <w:color w:val="auto"/>
              </w:rPr>
              <w:t>95</w:t>
            </w: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8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85" w:right="319" w:bottom="1440" w:gutter="0" w:footer="0" w:header="0"/>
        </w:sectPr>
      </w:pPr>
    </w:p>
    <w:bookmarkStart w:id="98" w:name="page99"/>
    <w:bookmarkEnd w:id="98"/>
    <w:p>
      <w:pPr>
        <w:spacing w:after="0"/>
        <w:rPr>
          <w:sz w:val="20"/>
          <w:szCs w:val="20"/>
          <w:color w:val="auto"/>
        </w:rPr>
      </w:pPr>
      <w:r>
        <w:rPr>
          <w:rFonts w:ascii="Arial" w:cs="Arial" w:eastAsia="Arial" w:hAnsi="Arial"/>
          <w:sz w:val="13"/>
          <w:szCs w:val="13"/>
          <w:b w:val="1"/>
          <w:bCs w:val="1"/>
          <w:color w:val="auto"/>
        </w:rPr>
        <w:t>Legal Proceedings</w:t>
      </w:r>
    </w:p>
    <w:p>
      <w:pPr>
        <w:spacing w:after="0" w:line="185" w:lineRule="exact"/>
        <w:rPr>
          <w:sz w:val="20"/>
          <w:szCs w:val="20"/>
          <w:color w:val="auto"/>
        </w:rPr>
      </w:pPr>
    </w:p>
    <w:p>
      <w:pPr>
        <w:ind w:right="20"/>
        <w:spacing w:after="0" w:line="239" w:lineRule="auto"/>
        <w:rPr>
          <w:sz w:val="20"/>
          <w:szCs w:val="20"/>
          <w:color w:val="auto"/>
        </w:rPr>
      </w:pPr>
      <w:r>
        <w:rPr>
          <w:rFonts w:ascii="Arial" w:cs="Arial" w:eastAsia="Arial" w:hAnsi="Arial"/>
          <w:sz w:val="13"/>
          <w:szCs w:val="13"/>
          <w:color w:val="auto"/>
        </w:rPr>
        <w:t>In September 2020, three purported securities class action complaints were filed in the United States District Court for the Northern District of Illinois against the Company, certain of its officers and directors, and certain underwriters, private equity firms, and investment vehicles alleging violations of the Securities Act of 1933. On December 10, 2020, the court in the earliest filed action consolidated the three complaints, appointed lead plaintiffs and lead counsel for the consolidated action, and captioned the consolidated action In re GoHealth, Inc. Securities Litigation. Lead plaintiffs filed a consolidated complaint on February 25, 2021. Defendants filed responsive pleadings on April 26, 2021 to dismiss the complaint. On June 14, 2021, the plaintiffs filed an opposition brief, to which the defendants replied on July 6, 2021. On May 19, 2021, a derivative action against certain of the Company’s officers and directors was filed, alleging substantially the same allegations as the In re GoHealth, Inc. Securities Litigation. By suggestion of the plaintiff’s counsel, this lawsuit is stayed until at least as long as the motion to dismiss in the In re GoHealth, Inc. Securities Litigation is pending. The Company disputes each and every of plaintiffs’ claims and intends to defend these matters vigorously.</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color w:val="0A2299"/>
        </w:rPr>
        <w:t>13. RELATED PARTY TRANSACTIONS</w:t>
      </w:r>
    </w:p>
    <w:p>
      <w:pPr>
        <w:spacing w:after="0" w:line="185" w:lineRule="exact"/>
        <w:rPr>
          <w:sz w:val="20"/>
          <w:szCs w:val="20"/>
          <w:color w:val="auto"/>
        </w:rPr>
      </w:pPr>
    </w:p>
    <w:p>
      <w:pPr>
        <w:ind w:right="60"/>
        <w:spacing w:after="0"/>
        <w:rPr>
          <w:sz w:val="20"/>
          <w:szCs w:val="20"/>
          <w:color w:val="auto"/>
        </w:rPr>
      </w:pPr>
      <w:r>
        <w:rPr>
          <w:rFonts w:ascii="Arial" w:cs="Arial" w:eastAsia="Arial" w:hAnsi="Arial"/>
          <w:sz w:val="13"/>
          <w:szCs w:val="13"/>
          <w:color w:val="auto"/>
        </w:rPr>
        <w:t>The Company is party to various lease agreements with 214 W Huron LLC, 220 W Huron Street Holdings LLC, and 215 W Superior LLC, each of which are controlled by significant shareholders, to lease its corporate offices in Chicago, Illinois. The Company pays rent, operating expenses, maintenance, and utilities under the terms of the leases. For the twelve months ended December 31, 2021, the twelve months ended December 31, 2020, the Successor 2019 Period, and the Predecessor 2019 Period, the Company made aggregate lease payments of $1.3 million, $1.4 million, $0.3 million, and $0.8 million, respectively, under these leases.</w:t>
      </w:r>
    </w:p>
    <w:p>
      <w:pPr>
        <w:spacing w:after="0" w:line="166" w:lineRule="exact"/>
        <w:rPr>
          <w:sz w:val="20"/>
          <w:szCs w:val="20"/>
          <w:color w:val="auto"/>
        </w:rPr>
      </w:pPr>
    </w:p>
    <w:p>
      <w:pPr>
        <w:jc w:val="both"/>
        <w:spacing w:after="0"/>
        <w:rPr>
          <w:sz w:val="20"/>
          <w:szCs w:val="20"/>
          <w:color w:val="auto"/>
        </w:rPr>
      </w:pPr>
      <w:r>
        <w:rPr>
          <w:rFonts w:ascii="Arial" w:cs="Arial" w:eastAsia="Arial" w:hAnsi="Arial"/>
          <w:sz w:val="13"/>
          <w:szCs w:val="13"/>
          <w:color w:val="auto"/>
        </w:rPr>
        <w:t>On January 1, 2020, the Company entered into a non-exclusive aircraft dry lease agreement with an entity wholly-owned and controlled by significant shareholders. The agreement allows the Company to use an aircraft owned by this entity for business and on an as-needed basis. The agreement has no set term and is terminable without cause by either party upon 30 days’ prior written notice. Under the agreement, the Company is required to pay $6,036.94 per flight hour for use of the aircraft. For the twelve months ended December 31, 2021 and the twelve months ended December 31, 2020, the Company recorded expense of $1.2 million and $1.4 million, respectively, under this lease.</w:t>
      </w:r>
    </w:p>
    <w:p>
      <w:pPr>
        <w:spacing w:after="0" w:line="166" w:lineRule="exact"/>
        <w:rPr>
          <w:sz w:val="20"/>
          <w:szCs w:val="20"/>
          <w:color w:val="auto"/>
        </w:rPr>
      </w:pPr>
    </w:p>
    <w:p>
      <w:pPr>
        <w:ind w:right="40"/>
        <w:spacing w:after="0" w:line="244" w:lineRule="auto"/>
        <w:rPr>
          <w:sz w:val="20"/>
          <w:szCs w:val="20"/>
          <w:color w:val="auto"/>
        </w:rPr>
      </w:pPr>
      <w:r>
        <w:rPr>
          <w:rFonts w:ascii="Arial" w:cs="Arial" w:eastAsia="Arial" w:hAnsi="Arial"/>
          <w:sz w:val="13"/>
          <w:szCs w:val="13"/>
          <w:color w:val="auto"/>
        </w:rPr>
        <w:t>As discussed in Footnote 11 “Leases”, on May 12, 2020, the Company entered into a lease agreement with Wilson Tech 5, which is controlled by significant shareholders, for a proposed site in Lindon, Utah, beginning in 2022.</w:t>
      </w:r>
    </w:p>
    <w:p>
      <w:pPr>
        <w:spacing w:after="0" w:line="163" w:lineRule="exact"/>
        <w:rPr>
          <w:sz w:val="20"/>
          <w:szCs w:val="20"/>
          <w:color w:val="auto"/>
        </w:rPr>
      </w:pPr>
    </w:p>
    <w:p>
      <w:pPr>
        <w:ind w:right="160"/>
        <w:spacing w:after="0" w:line="244" w:lineRule="auto"/>
        <w:rPr>
          <w:sz w:val="20"/>
          <w:szCs w:val="20"/>
          <w:color w:val="auto"/>
        </w:rPr>
      </w:pPr>
      <w:r>
        <w:rPr>
          <w:rFonts w:ascii="Arial" w:cs="Arial" w:eastAsia="Arial" w:hAnsi="Arial"/>
          <w:sz w:val="13"/>
          <w:szCs w:val="13"/>
          <w:color w:val="auto"/>
        </w:rPr>
        <w:t>During the twelve months ended December 31, 2020, the Company provided a short-term advancement to NVX Holdings, Inc., which is controlled by significant shareholders, for which the Company recorded a receivable of $3.4 million. The advancement was collected by the Company during the twelve months ended December 31, 2021.</w:t>
      </w:r>
    </w:p>
    <w:p>
      <w:pPr>
        <w:spacing w:after="0" w:line="163" w:lineRule="exact"/>
        <w:rPr>
          <w:sz w:val="20"/>
          <w:szCs w:val="20"/>
          <w:color w:val="auto"/>
        </w:rPr>
      </w:pPr>
    </w:p>
    <w:p>
      <w:pPr>
        <w:ind w:right="280"/>
        <w:spacing w:after="0" w:line="244" w:lineRule="auto"/>
        <w:rPr>
          <w:sz w:val="20"/>
          <w:szCs w:val="20"/>
          <w:color w:val="auto"/>
        </w:rPr>
      </w:pPr>
      <w:r>
        <w:rPr>
          <w:rFonts w:ascii="Arial" w:cs="Arial" w:eastAsia="Arial" w:hAnsi="Arial"/>
          <w:sz w:val="13"/>
          <w:szCs w:val="13"/>
          <w:color w:val="auto"/>
        </w:rPr>
        <w:t>During 2020, the Company made a one-time tax distribution totaling $0.4 million to several current and former employees, including certain executive officers, related to taxable income allocated to such persons for 2019 relating to the Centerbridge transaction.</w:t>
      </w:r>
    </w:p>
    <w:p>
      <w:pPr>
        <w:spacing w:after="0" w:line="147" w:lineRule="exact"/>
        <w:rPr>
          <w:sz w:val="20"/>
          <w:szCs w:val="20"/>
          <w:color w:val="auto"/>
        </w:rPr>
      </w:pPr>
    </w:p>
    <w:p>
      <w:pPr>
        <w:ind w:right="7560" w:firstLine="5"/>
        <w:spacing w:after="0" w:line="523" w:lineRule="auto"/>
        <w:tabs>
          <w:tab w:leader="none" w:pos="212" w:val="left"/>
        </w:tabs>
        <w:numPr>
          <w:ilvl w:val="0"/>
          <w:numId w:val="46"/>
        </w:numPr>
        <w:rPr>
          <w:rFonts w:ascii="Arial" w:cs="Arial" w:eastAsia="Arial" w:hAnsi="Arial"/>
          <w:sz w:val="13"/>
          <w:szCs w:val="13"/>
          <w:b w:val="1"/>
          <w:bCs w:val="1"/>
          <w:color w:val="0A2299"/>
        </w:rPr>
      </w:pPr>
      <w:r>
        <w:rPr>
          <w:rFonts w:ascii="Arial" w:cs="Arial" w:eastAsia="Arial" w:hAnsi="Arial"/>
          <w:sz w:val="13"/>
          <w:szCs w:val="13"/>
          <w:b w:val="1"/>
          <w:bCs w:val="1"/>
          <w:color w:val="0A2299"/>
        </w:rPr>
        <w:t xml:space="preserve">OPERATING SEGMENTS AND SIGNIFICANT CUSTOMERS </w:t>
      </w:r>
      <w:r>
        <w:rPr>
          <w:rFonts w:ascii="Arial" w:cs="Arial" w:eastAsia="Arial" w:hAnsi="Arial"/>
          <w:sz w:val="13"/>
          <w:szCs w:val="13"/>
          <w:b w:val="1"/>
          <w:bCs w:val="1"/>
          <w:color w:val="000000"/>
        </w:rPr>
        <w:t>Operating Segments</w:t>
      </w:r>
    </w:p>
    <w:p>
      <w:pPr>
        <w:spacing w:after="0" w:line="1" w:lineRule="exact"/>
        <w:rPr>
          <w:sz w:val="20"/>
          <w:szCs w:val="20"/>
          <w:color w:val="auto"/>
        </w:rPr>
      </w:pPr>
    </w:p>
    <w:p>
      <w:pPr>
        <w:ind w:right="420"/>
        <w:spacing w:after="0" w:line="241" w:lineRule="auto"/>
        <w:rPr>
          <w:sz w:val="20"/>
          <w:szCs w:val="20"/>
          <w:color w:val="auto"/>
        </w:rPr>
      </w:pPr>
      <w:r>
        <w:rPr>
          <w:rFonts w:ascii="Arial" w:cs="Arial" w:eastAsia="Arial" w:hAnsi="Arial"/>
          <w:sz w:val="13"/>
          <w:szCs w:val="13"/>
          <w:color w:val="auto"/>
        </w:rPr>
        <w:t xml:space="preserve">The Company reports segment information based on how the Company’s chief operating decision maker (“CODM”) regularly reviews operating results, allocates resources and makes decisions regarding business operations. The performance measures of the segments include total revenue and profit (loss). For segment reporting purposes in accordance with ASC 280-10, </w:t>
      </w:r>
      <w:r>
        <w:rPr>
          <w:rFonts w:ascii="Arial" w:cs="Arial" w:eastAsia="Arial" w:hAnsi="Arial"/>
          <w:sz w:val="13"/>
          <w:szCs w:val="13"/>
          <w:i w:val="1"/>
          <w:iCs w:val="1"/>
          <w:color w:val="auto"/>
        </w:rPr>
        <w:t>Segment</w:t>
      </w:r>
      <w:r>
        <w:rPr>
          <w:rFonts w:ascii="Arial" w:cs="Arial" w:eastAsia="Arial" w:hAnsi="Arial"/>
          <w:sz w:val="13"/>
          <w:szCs w:val="13"/>
          <w:color w:val="auto"/>
        </w:rPr>
        <w:t xml:space="preserve"> </w:t>
      </w:r>
      <w:r>
        <w:rPr>
          <w:rFonts w:ascii="Arial" w:cs="Arial" w:eastAsia="Arial" w:hAnsi="Arial"/>
          <w:sz w:val="13"/>
          <w:szCs w:val="13"/>
          <w:i w:val="1"/>
          <w:iCs w:val="1"/>
          <w:color w:val="auto"/>
        </w:rPr>
        <w:t>Reporting</w:t>
      </w:r>
      <w:r>
        <w:rPr>
          <w:rFonts w:ascii="Arial" w:cs="Arial" w:eastAsia="Arial" w:hAnsi="Arial"/>
          <w:sz w:val="13"/>
          <w:szCs w:val="13"/>
          <w:color w:val="auto"/>
        </w:rPr>
        <w:t>, the Company’s business structure is comprised of four operating and reportable segments:</w:t>
      </w:r>
    </w:p>
    <w:p>
      <w:pPr>
        <w:spacing w:after="0" w:line="149" w:lineRule="exact"/>
        <w:rPr>
          <w:sz w:val="20"/>
          <w:szCs w:val="20"/>
          <w:color w:val="auto"/>
        </w:rPr>
      </w:pPr>
    </w:p>
    <w:p>
      <w:pPr>
        <w:ind w:right="380"/>
        <w:spacing w:after="0" w:line="270" w:lineRule="auto"/>
        <w:rPr>
          <w:sz w:val="20"/>
          <w:szCs w:val="20"/>
          <w:color w:val="auto"/>
        </w:rPr>
      </w:pPr>
      <w:r>
        <w:rPr>
          <w:rFonts w:ascii="Arial" w:cs="Arial" w:eastAsia="Arial" w:hAnsi="Arial"/>
          <w:sz w:val="13"/>
          <w:szCs w:val="13"/>
          <w:b w:val="1"/>
          <w:bCs w:val="1"/>
          <w:color w:val="auto"/>
        </w:rPr>
        <w:t xml:space="preserve">Medicare Internal and External: </w:t>
      </w:r>
      <w:r>
        <w:rPr>
          <w:rFonts w:ascii="Arial" w:cs="Arial" w:eastAsia="Arial" w:hAnsi="Arial"/>
          <w:sz w:val="13"/>
          <w:szCs w:val="13"/>
          <w:color w:val="auto"/>
        </w:rPr>
        <w:t>The Medicare internal and external segments consist primarily of revenues earned from sales of Medicare Advantage, Medicare Supplement, Prescription Drug</w:t>
      </w:r>
      <w:r>
        <w:rPr>
          <w:rFonts w:ascii="Arial" w:cs="Arial" w:eastAsia="Arial" w:hAnsi="Arial"/>
          <w:sz w:val="13"/>
          <w:szCs w:val="13"/>
          <w:b w:val="1"/>
          <w:bCs w:val="1"/>
          <w:color w:val="auto"/>
        </w:rPr>
        <w:t xml:space="preserve"> </w:t>
      </w:r>
      <w:r>
        <w:rPr>
          <w:rFonts w:ascii="Arial" w:cs="Arial" w:eastAsia="Arial" w:hAnsi="Arial"/>
          <w:sz w:val="13"/>
          <w:szCs w:val="13"/>
          <w:color w:val="auto"/>
        </w:rPr>
        <w:t>Plans, and Medicare Special Needs Plans (or “SNPs”), for multiple carriers.</w:t>
      </w:r>
    </w:p>
    <w:p>
      <w:pPr>
        <w:spacing w:after="0" w:line="130" w:lineRule="exact"/>
        <w:rPr>
          <w:sz w:val="20"/>
          <w:szCs w:val="20"/>
          <w:color w:val="auto"/>
        </w:rPr>
      </w:pPr>
    </w:p>
    <w:p>
      <w:pPr>
        <w:ind w:right="100"/>
        <w:spacing w:after="0" w:line="270" w:lineRule="auto"/>
        <w:rPr>
          <w:sz w:val="20"/>
          <w:szCs w:val="20"/>
          <w:color w:val="auto"/>
        </w:rPr>
      </w:pPr>
      <w:r>
        <w:rPr>
          <w:rFonts w:ascii="Arial" w:cs="Arial" w:eastAsia="Arial" w:hAnsi="Arial"/>
          <w:sz w:val="13"/>
          <w:szCs w:val="13"/>
          <w:b w:val="1"/>
          <w:bCs w:val="1"/>
          <w:color w:val="auto"/>
        </w:rPr>
        <w:t xml:space="preserve">Individual and Family Plan and Other (“IFP and Other”) Internal and External: </w:t>
      </w:r>
      <w:r>
        <w:rPr>
          <w:rFonts w:ascii="Arial" w:cs="Arial" w:eastAsia="Arial" w:hAnsi="Arial"/>
          <w:sz w:val="13"/>
          <w:szCs w:val="13"/>
          <w:color w:val="auto"/>
        </w:rPr>
        <w:t>The IFP and Other internal and external segments consist primarily of revenues earned from sales of individual and</w:t>
      </w:r>
      <w:r>
        <w:rPr>
          <w:rFonts w:ascii="Arial" w:cs="Arial" w:eastAsia="Arial" w:hAnsi="Arial"/>
          <w:sz w:val="13"/>
          <w:szCs w:val="13"/>
          <w:b w:val="1"/>
          <w:bCs w:val="1"/>
          <w:color w:val="auto"/>
        </w:rPr>
        <w:t xml:space="preserve"> </w:t>
      </w:r>
      <w:r>
        <w:rPr>
          <w:rFonts w:ascii="Arial" w:cs="Arial" w:eastAsia="Arial" w:hAnsi="Arial"/>
          <w:sz w:val="13"/>
          <w:szCs w:val="13"/>
          <w:color w:val="auto"/>
        </w:rPr>
        <w:t>family plans, dental plans, vision plans and other ancillary plans to individuals that are not Medicare-eligible.</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The Internal and External segments relative to both Medicare and IFP are defined as follows:</w:t>
      </w:r>
    </w:p>
    <w:p>
      <w:pPr>
        <w:spacing w:after="0" w:line="153" w:lineRule="exact"/>
        <w:rPr>
          <w:sz w:val="20"/>
          <w:szCs w:val="20"/>
          <w:color w:val="auto"/>
        </w:rPr>
      </w:pPr>
    </w:p>
    <w:p>
      <w:pPr>
        <w:ind w:right="60"/>
        <w:spacing w:after="0" w:line="270" w:lineRule="auto"/>
        <w:rPr>
          <w:sz w:val="20"/>
          <w:szCs w:val="20"/>
          <w:color w:val="auto"/>
        </w:rPr>
      </w:pPr>
      <w:r>
        <w:rPr>
          <w:rFonts w:ascii="Arial" w:cs="Arial" w:eastAsia="Arial" w:hAnsi="Arial"/>
          <w:sz w:val="13"/>
          <w:szCs w:val="13"/>
          <w:b w:val="1"/>
          <w:bCs w:val="1"/>
          <w:color w:val="auto"/>
        </w:rPr>
        <w:t xml:space="preserve">Internal: </w:t>
      </w:r>
      <w:r>
        <w:rPr>
          <w:rFonts w:ascii="Arial" w:cs="Arial" w:eastAsia="Arial" w:hAnsi="Arial"/>
          <w:sz w:val="13"/>
          <w:szCs w:val="13"/>
          <w:color w:val="auto"/>
        </w:rPr>
        <w:t>The two internal segments primarily consist of sales of products and plans by Company-employed agents offering qualified prospects plans from multiple carriers, Company-employed agents</w:t>
      </w:r>
      <w:r>
        <w:rPr>
          <w:rFonts w:ascii="Arial" w:cs="Arial" w:eastAsia="Arial" w:hAnsi="Arial"/>
          <w:sz w:val="13"/>
          <w:szCs w:val="13"/>
          <w:b w:val="1"/>
          <w:bCs w:val="1"/>
          <w:color w:val="auto"/>
        </w:rPr>
        <w:t xml:space="preserve"> </w:t>
      </w:r>
      <w:r>
        <w:rPr>
          <w:rFonts w:ascii="Arial" w:cs="Arial" w:eastAsia="Arial" w:hAnsi="Arial"/>
          <w:sz w:val="13"/>
          <w:szCs w:val="13"/>
          <w:color w:val="auto"/>
        </w:rPr>
        <w:t>offering qualified prospects plans on a carrier-specific basis, or sales of products and plans through our online platform without the assistance of our agents (do-it-yourself or</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96</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69" w:right="319" w:bottom="1440" w:gutter="0" w:footer="0" w:header="0"/>
        </w:sectPr>
      </w:pPr>
    </w:p>
    <w:bookmarkStart w:id="99" w:name="page100"/>
    <w:bookmarkEnd w:id="99"/>
    <w:p>
      <w:pPr>
        <w:ind w:right="180"/>
        <w:spacing w:after="0" w:line="244" w:lineRule="auto"/>
        <w:rPr>
          <w:sz w:val="20"/>
          <w:szCs w:val="20"/>
          <w:color w:val="auto"/>
        </w:rPr>
      </w:pPr>
      <w:r>
        <w:rPr>
          <w:rFonts w:ascii="Arial" w:cs="Arial" w:eastAsia="Arial" w:hAnsi="Arial"/>
          <w:sz w:val="13"/>
          <w:szCs w:val="13"/>
          <w:color w:val="auto"/>
        </w:rPr>
        <w:t>“DIY”). The Company earns revenue in this channel through commissions paid by carriers based on sales the Company generates, as well as enrollment fees, hourly fees and other fees for services performed for specific carriers and other partners.</w:t>
      </w:r>
    </w:p>
    <w:p>
      <w:pPr>
        <w:spacing w:after="0" w:line="147" w:lineRule="exact"/>
        <w:rPr>
          <w:sz w:val="20"/>
          <w:szCs w:val="20"/>
          <w:color w:val="auto"/>
        </w:rPr>
      </w:pPr>
    </w:p>
    <w:p>
      <w:pPr>
        <w:ind w:right="80"/>
        <w:spacing w:after="0" w:line="249" w:lineRule="auto"/>
        <w:rPr>
          <w:sz w:val="20"/>
          <w:szCs w:val="20"/>
          <w:color w:val="auto"/>
        </w:rPr>
      </w:pPr>
      <w:r>
        <w:rPr>
          <w:rFonts w:ascii="Arial" w:cs="Arial" w:eastAsia="Arial" w:hAnsi="Arial"/>
          <w:sz w:val="13"/>
          <w:szCs w:val="13"/>
          <w:b w:val="1"/>
          <w:bCs w:val="1"/>
          <w:color w:val="auto"/>
        </w:rPr>
        <w:t xml:space="preserve">External: </w:t>
      </w:r>
      <w:r>
        <w:rPr>
          <w:rFonts w:ascii="Arial" w:cs="Arial" w:eastAsia="Arial" w:hAnsi="Arial"/>
          <w:sz w:val="13"/>
          <w:szCs w:val="13"/>
          <w:color w:val="auto"/>
        </w:rPr>
        <w:t>The two external segments represent sales of products and plans under the Company’s carrier contracts using an independent, national network of agents who are not employed by</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These agents utilize the Company’s technology and platform to enroll consumers in health insurance plans and provide a means to earn a return on leads that otherwise may have not been addressed. The Company also sells insurance prospects (or “leads”) to agencies within this channel. The Company earns revenue in this channel through commissions paid by carriers as a result of policy sales, as well as sales of leads to external agencies.</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summary results of the Company’s operating segments for the periods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1"/>
                <w:szCs w:val="11"/>
                <w:b w:val="1"/>
                <w:bCs w:val="1"/>
                <w:color w:val="auto"/>
              </w:rPr>
              <w:t>Successor</w:t>
            </w:r>
          </w:p>
        </w:tc>
        <w:tc>
          <w:tcPr>
            <w:tcW w:w="1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center"/>
              <w:ind w:right="83"/>
              <w:spacing w:after="0"/>
              <w:rPr>
                <w:sz w:val="20"/>
                <w:szCs w:val="20"/>
                <w:color w:val="auto"/>
              </w:rPr>
            </w:pPr>
            <w:r>
              <w:rPr>
                <w:rFonts w:ascii="Arial" w:cs="Arial" w:eastAsia="Arial" w:hAnsi="Arial"/>
                <w:sz w:val="11"/>
                <w:szCs w:val="11"/>
                <w:b w:val="1"/>
                <w:bCs w:val="1"/>
                <w:color w:val="auto"/>
              </w:rPr>
              <w:t>Predecessor</w:t>
            </w:r>
          </w:p>
        </w:tc>
        <w:tc>
          <w:tcPr>
            <w:tcW w:w="0" w:type="dxa"/>
            <w:vAlign w:val="bottom"/>
          </w:tcPr>
          <w:p>
            <w:pPr>
              <w:spacing w:after="0"/>
              <w:rPr>
                <w:sz w:val="1"/>
                <w:szCs w:val="1"/>
                <w:color w:val="auto"/>
              </w:rPr>
            </w:pPr>
          </w:p>
        </w:tc>
      </w:tr>
      <w:tr>
        <w:trPr>
          <w:trHeight w:val="107"/>
        </w:trPr>
        <w:tc>
          <w:tcPr>
            <w:tcW w:w="4460" w:type="dxa"/>
            <w:vAlign w:val="bottom"/>
            <w:vMerge w:val="restart"/>
          </w:tcPr>
          <w:p>
            <w:pPr>
              <w:ind w:left="20"/>
              <w:spacing w:after="0"/>
              <w:rPr>
                <w:sz w:val="20"/>
                <w:szCs w:val="20"/>
                <w:color w:val="auto"/>
              </w:rPr>
            </w:pPr>
            <w:r>
              <w:rPr>
                <w:rFonts w:ascii="Arial" w:cs="Arial" w:eastAsia="Arial" w:hAnsi="Arial"/>
                <w:sz w:val="11"/>
                <w:szCs w:val="11"/>
                <w:color w:val="auto"/>
              </w:rPr>
              <w:t>(in thousands)</w:t>
            </w:r>
          </w:p>
        </w:tc>
        <w:tc>
          <w:tcPr>
            <w:tcW w:w="80" w:type="dxa"/>
            <w:vAlign w:val="bottom"/>
          </w:tcPr>
          <w:p>
            <w:pPr>
              <w:spacing w:after="0"/>
              <w:rPr>
                <w:sz w:val="9"/>
                <w:szCs w:val="9"/>
                <w:color w:val="auto"/>
              </w:rPr>
            </w:pPr>
          </w:p>
        </w:tc>
        <w:tc>
          <w:tcPr>
            <w:tcW w:w="1640" w:type="dxa"/>
            <w:vAlign w:val="bottom"/>
            <w:gridSpan w:val="2"/>
          </w:tcPr>
          <w:p>
            <w:pPr>
              <w:ind w:left="20"/>
              <w:spacing w:after="0" w:line="107" w:lineRule="exact"/>
              <w:rPr>
                <w:sz w:val="20"/>
                <w:szCs w:val="20"/>
                <w:color w:val="auto"/>
              </w:rPr>
            </w:pPr>
            <w:r>
              <w:rPr>
                <w:rFonts w:ascii="Arial" w:cs="Arial" w:eastAsia="Arial" w:hAnsi="Arial"/>
                <w:sz w:val="11"/>
                <w:szCs w:val="11"/>
                <w:b w:val="1"/>
                <w:bCs w:val="1"/>
                <w:color w:val="auto"/>
              </w:rPr>
              <w:t>Twelve months ended Dec.</w:t>
            </w:r>
          </w:p>
        </w:tc>
        <w:tc>
          <w:tcPr>
            <w:tcW w:w="80" w:type="dxa"/>
            <w:vAlign w:val="bottom"/>
          </w:tcPr>
          <w:p>
            <w:pPr>
              <w:spacing w:after="0"/>
              <w:rPr>
                <w:sz w:val="9"/>
                <w:szCs w:val="9"/>
                <w:color w:val="auto"/>
              </w:rPr>
            </w:pPr>
          </w:p>
        </w:tc>
        <w:tc>
          <w:tcPr>
            <w:tcW w:w="1640" w:type="dxa"/>
            <w:vAlign w:val="bottom"/>
            <w:gridSpan w:val="2"/>
          </w:tcPr>
          <w:p>
            <w:pPr>
              <w:jc w:val="center"/>
              <w:ind w:right="160"/>
              <w:spacing w:after="0" w:line="107" w:lineRule="exact"/>
              <w:rPr>
                <w:sz w:val="20"/>
                <w:szCs w:val="20"/>
                <w:color w:val="auto"/>
              </w:rPr>
            </w:pPr>
            <w:r>
              <w:rPr>
                <w:rFonts w:ascii="Arial" w:cs="Arial" w:eastAsia="Arial" w:hAnsi="Arial"/>
                <w:sz w:val="11"/>
                <w:szCs w:val="11"/>
                <w:b w:val="1"/>
                <w:bCs w:val="1"/>
                <w:color w:val="auto"/>
              </w:rPr>
              <w:t>Twelve months ended Dec.</w:t>
            </w:r>
          </w:p>
        </w:tc>
        <w:tc>
          <w:tcPr>
            <w:tcW w:w="120" w:type="dxa"/>
            <w:vAlign w:val="bottom"/>
          </w:tcPr>
          <w:p>
            <w:pPr>
              <w:spacing w:after="0"/>
              <w:rPr>
                <w:sz w:val="9"/>
                <w:szCs w:val="9"/>
                <w:color w:val="auto"/>
              </w:rPr>
            </w:pPr>
          </w:p>
        </w:tc>
        <w:tc>
          <w:tcPr>
            <w:tcW w:w="1640" w:type="dxa"/>
            <w:vAlign w:val="bottom"/>
            <w:tcBorders>
              <w:right w:val="single" w:sz="8" w:color="auto"/>
            </w:tcBorders>
            <w:gridSpan w:val="2"/>
          </w:tcPr>
          <w:p>
            <w:pPr>
              <w:jc w:val="center"/>
              <w:ind w:right="220"/>
              <w:spacing w:after="0" w:line="107" w:lineRule="exact"/>
              <w:rPr>
                <w:sz w:val="20"/>
                <w:szCs w:val="20"/>
                <w:color w:val="auto"/>
              </w:rPr>
            </w:pPr>
            <w:r>
              <w:rPr>
                <w:rFonts w:ascii="Arial" w:cs="Arial" w:eastAsia="Arial" w:hAnsi="Arial"/>
                <w:sz w:val="11"/>
                <w:szCs w:val="11"/>
                <w:b w:val="1"/>
                <w:bCs w:val="1"/>
                <w:color w:val="auto"/>
              </w:rPr>
              <w:t>Period from Sep. 13, 2019</w:t>
            </w:r>
          </w:p>
        </w:tc>
        <w:tc>
          <w:tcPr>
            <w:tcW w:w="120" w:type="dxa"/>
            <w:vAlign w:val="bottom"/>
          </w:tcPr>
          <w:p>
            <w:pPr>
              <w:spacing w:after="0"/>
              <w:rPr>
                <w:sz w:val="9"/>
                <w:szCs w:val="9"/>
                <w:color w:val="auto"/>
              </w:rPr>
            </w:pPr>
          </w:p>
        </w:tc>
        <w:tc>
          <w:tcPr>
            <w:tcW w:w="1500" w:type="dxa"/>
            <w:vAlign w:val="bottom"/>
          </w:tcPr>
          <w:p>
            <w:pPr>
              <w:jc w:val="center"/>
              <w:ind w:right="63"/>
              <w:spacing w:after="0" w:line="107" w:lineRule="exact"/>
              <w:rPr>
                <w:sz w:val="20"/>
                <w:szCs w:val="20"/>
                <w:color w:val="auto"/>
              </w:rPr>
            </w:pPr>
            <w:r>
              <w:rPr>
                <w:rFonts w:ascii="Arial" w:cs="Arial" w:eastAsia="Arial" w:hAnsi="Arial"/>
                <w:sz w:val="11"/>
                <w:szCs w:val="11"/>
                <w:b w:val="1"/>
                <w:bCs w:val="1"/>
                <w:color w:val="auto"/>
              </w:rPr>
              <w:t>Period from Jan. 1, 2019</w:t>
            </w:r>
          </w:p>
        </w:tc>
        <w:tc>
          <w:tcPr>
            <w:tcW w:w="0" w:type="dxa"/>
            <w:vAlign w:val="bottom"/>
          </w:tcPr>
          <w:p>
            <w:pPr>
              <w:spacing w:after="0"/>
              <w:rPr>
                <w:sz w:val="1"/>
                <w:szCs w:val="1"/>
                <w:color w:val="auto"/>
              </w:rPr>
            </w:pPr>
          </w:p>
        </w:tc>
      </w:tr>
      <w:tr>
        <w:trPr>
          <w:trHeight w:val="138"/>
        </w:trPr>
        <w:tc>
          <w:tcPr>
            <w:tcW w:w="4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jc w:val="right"/>
              <w:ind w:right="543"/>
              <w:spacing w:after="0"/>
              <w:rPr>
                <w:sz w:val="20"/>
                <w:szCs w:val="20"/>
                <w:color w:val="auto"/>
              </w:rPr>
            </w:pPr>
            <w:r>
              <w:rPr>
                <w:rFonts w:ascii="Arial" w:cs="Arial" w:eastAsia="Arial" w:hAnsi="Arial"/>
                <w:sz w:val="11"/>
                <w:szCs w:val="11"/>
                <w:b w:val="1"/>
                <w:bCs w:val="1"/>
                <w:color w:val="auto"/>
              </w:rPr>
              <w:t>31, 2021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jc w:val="center"/>
              <w:ind w:right="23"/>
              <w:spacing w:after="0"/>
              <w:rPr>
                <w:sz w:val="20"/>
                <w:szCs w:val="20"/>
                <w:color w:val="auto"/>
              </w:rPr>
            </w:pPr>
            <w:r>
              <w:rPr>
                <w:rFonts w:ascii="Arial" w:cs="Arial" w:eastAsia="Arial" w:hAnsi="Arial"/>
                <w:sz w:val="11"/>
                <w:szCs w:val="11"/>
                <w:b w:val="1"/>
                <w:bCs w:val="1"/>
                <w:color w:val="auto"/>
              </w:rPr>
              <w:t>31, 2020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rPr>
              <w:t>through Dec. 31, 2019</w:t>
            </w:r>
          </w:p>
        </w:tc>
        <w:tc>
          <w:tcPr>
            <w:tcW w:w="120" w:type="dxa"/>
            <w:vAlign w:val="bottom"/>
          </w:tcPr>
          <w:p>
            <w:pPr>
              <w:spacing w:after="0"/>
              <w:rPr>
                <w:sz w:val="11"/>
                <w:szCs w:val="11"/>
                <w:color w:val="auto"/>
              </w:rPr>
            </w:pPr>
          </w:p>
        </w:tc>
        <w:tc>
          <w:tcPr>
            <w:tcW w:w="1500" w:type="dxa"/>
            <w:vAlign w:val="bottom"/>
          </w:tcPr>
          <w:p>
            <w:pPr>
              <w:jc w:val="center"/>
              <w:ind w:right="63"/>
              <w:spacing w:after="0"/>
              <w:rPr>
                <w:sz w:val="20"/>
                <w:szCs w:val="20"/>
                <w:color w:val="auto"/>
              </w:rPr>
            </w:pPr>
            <w:r>
              <w:rPr>
                <w:rFonts w:ascii="Arial" w:cs="Arial" w:eastAsia="Arial" w:hAnsi="Arial"/>
                <w:sz w:val="11"/>
                <w:szCs w:val="11"/>
                <w:b w:val="1"/>
                <w:bCs w:val="1"/>
                <w:color w:val="auto"/>
              </w:rPr>
              <w:t>through Sep. 12, 2019</w:t>
            </w:r>
          </w:p>
        </w:tc>
        <w:tc>
          <w:tcPr>
            <w:tcW w:w="0" w:type="dxa"/>
            <w:vAlign w:val="bottom"/>
          </w:tcPr>
          <w:p>
            <w:pPr>
              <w:spacing w:after="0"/>
              <w:rPr>
                <w:sz w:val="1"/>
                <w:szCs w:val="1"/>
                <w:color w:val="auto"/>
              </w:rPr>
            </w:pPr>
          </w:p>
        </w:tc>
      </w:tr>
      <w:tr>
        <w:trPr>
          <w:trHeight w:val="129"/>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i w:val="1"/>
                <w:iCs w:val="1"/>
                <w:color w:val="auto"/>
              </w:rPr>
              <w:t>Revenues:</w:t>
            </w:r>
          </w:p>
        </w:tc>
        <w:tc>
          <w:tcPr>
            <w:tcW w:w="80" w:type="dxa"/>
            <w:vAlign w:val="bottom"/>
            <w:tcBorders>
              <w:top w:val="single" w:sz="8" w:color="auto"/>
            </w:tcBorders>
            <w:shd w:val="clear" w:color="auto" w:fill="CCEEFF"/>
          </w:tcPr>
          <w:p>
            <w:pPr>
              <w:spacing w:after="0"/>
              <w:rPr>
                <w:sz w:val="11"/>
                <w:szCs w:val="11"/>
                <w:color w:val="auto"/>
              </w:rPr>
            </w:pPr>
          </w:p>
        </w:tc>
        <w:tc>
          <w:tcPr>
            <w:tcW w:w="1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5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right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5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60" w:type="dxa"/>
            <w:vAlign w:val="bottom"/>
          </w:tcPr>
          <w:p>
            <w:pPr>
              <w:ind w:left="180"/>
              <w:spacing w:after="0"/>
              <w:rPr>
                <w:sz w:val="20"/>
                <w:szCs w:val="20"/>
                <w:color w:val="auto"/>
              </w:rPr>
            </w:pPr>
            <w:r>
              <w:rPr>
                <w:rFonts w:ascii="Arial" w:cs="Arial" w:eastAsia="Arial" w:hAnsi="Arial"/>
                <w:sz w:val="11"/>
                <w:szCs w:val="11"/>
                <w:i w:val="1"/>
                <w:iCs w:val="1"/>
                <w:color w:val="auto"/>
              </w:rPr>
              <w:t>Medicare:</w:t>
            </w: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shd w:val="clear" w:color="auto" w:fill="CCEEFF"/>
          </w:tcPr>
          <w:p>
            <w:pPr>
              <w:ind w:left="360"/>
              <w:spacing w:after="0"/>
              <w:rPr>
                <w:sz w:val="20"/>
                <w:szCs w:val="20"/>
                <w:color w:val="auto"/>
              </w:rPr>
            </w:pPr>
            <w:r>
              <w:rPr>
                <w:rFonts w:ascii="Arial" w:cs="Arial" w:eastAsia="Arial" w:hAnsi="Arial"/>
                <w:sz w:val="11"/>
                <w:szCs w:val="11"/>
                <w:color w:val="auto"/>
              </w:rPr>
              <w:t>Internal channel</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844,894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667,293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215,322</w:t>
            </w: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102,196</w:t>
            </w:r>
          </w:p>
        </w:tc>
        <w:tc>
          <w:tcPr>
            <w:tcW w:w="0" w:type="dxa"/>
            <w:vAlign w:val="bottom"/>
          </w:tcPr>
          <w:p>
            <w:pPr>
              <w:spacing w:after="0"/>
              <w:rPr>
                <w:sz w:val="1"/>
                <w:szCs w:val="1"/>
                <w:color w:val="auto"/>
              </w:rPr>
            </w:pPr>
          </w:p>
        </w:tc>
      </w:tr>
      <w:tr>
        <w:trPr>
          <w:trHeight w:val="149"/>
        </w:trPr>
        <w:tc>
          <w:tcPr>
            <w:tcW w:w="4460" w:type="dxa"/>
            <w:vAlign w:val="bottom"/>
            <w:tcBorders>
              <w:bottom w:val="single" w:sz="8" w:color="CCEEFF"/>
            </w:tcBorders>
          </w:tcPr>
          <w:p>
            <w:pPr>
              <w:ind w:left="360"/>
              <w:spacing w:after="0"/>
              <w:rPr>
                <w:sz w:val="20"/>
                <w:szCs w:val="20"/>
                <w:color w:val="auto"/>
              </w:rPr>
            </w:pPr>
            <w:r>
              <w:rPr>
                <w:rFonts w:ascii="Arial" w:cs="Arial" w:eastAsia="Arial" w:hAnsi="Arial"/>
                <w:sz w:val="11"/>
                <w:szCs w:val="11"/>
                <w:color w:val="auto"/>
              </w:rPr>
              <w:t>External channel</w:t>
            </w:r>
          </w:p>
        </w:tc>
        <w:tc>
          <w:tcPr>
            <w:tcW w:w="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189,563</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155,660</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59,152</w:t>
            </w:r>
          </w:p>
        </w:tc>
        <w:tc>
          <w:tcPr>
            <w:tcW w:w="100" w:type="dxa"/>
            <w:vAlign w:val="bottom"/>
            <w:tcBorders>
              <w:bottom w:val="single" w:sz="8" w:color="CCEEFF"/>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55,981</w:t>
            </w:r>
          </w:p>
        </w:tc>
        <w:tc>
          <w:tcPr>
            <w:tcW w:w="0" w:type="dxa"/>
            <w:vAlign w:val="bottom"/>
          </w:tcPr>
          <w:p>
            <w:pPr>
              <w:spacing w:after="0"/>
              <w:rPr>
                <w:sz w:val="1"/>
                <w:szCs w:val="1"/>
                <w:color w:val="auto"/>
              </w:rPr>
            </w:pPr>
          </w:p>
        </w:tc>
      </w:tr>
      <w:tr>
        <w:trPr>
          <w:trHeight w:val="139"/>
        </w:trPr>
        <w:tc>
          <w:tcPr>
            <w:tcW w:w="446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Medicare</w:t>
            </w:r>
          </w:p>
        </w:tc>
        <w:tc>
          <w:tcPr>
            <w:tcW w:w="80" w:type="dxa"/>
            <w:vAlign w:val="bottom"/>
            <w:tcBorders>
              <w:bottom w:val="single" w:sz="8" w:color="auto"/>
            </w:tcBorders>
            <w:shd w:val="clear" w:color="auto" w:fill="CCEEFF"/>
          </w:tcPr>
          <w:p>
            <w:pPr>
              <w:spacing w:after="0"/>
              <w:rPr>
                <w:sz w:val="12"/>
                <w:szCs w:val="12"/>
                <w:color w:val="auto"/>
              </w:rPr>
            </w:pPr>
          </w:p>
        </w:tc>
        <w:tc>
          <w:tcPr>
            <w:tcW w:w="1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1,034,457</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822,953</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274,474</w:t>
            </w: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158,177</w:t>
            </w:r>
          </w:p>
        </w:tc>
        <w:tc>
          <w:tcPr>
            <w:tcW w:w="0" w:type="dxa"/>
            <w:vAlign w:val="bottom"/>
          </w:tcPr>
          <w:p>
            <w:pPr>
              <w:spacing w:after="0"/>
              <w:rPr>
                <w:sz w:val="1"/>
                <w:szCs w:val="1"/>
                <w:color w:val="auto"/>
              </w:rPr>
            </w:pPr>
          </w:p>
        </w:tc>
      </w:tr>
      <w:tr>
        <w:trPr>
          <w:trHeight w:val="129"/>
        </w:trPr>
        <w:tc>
          <w:tcPr>
            <w:tcW w:w="4460" w:type="dxa"/>
            <w:vAlign w:val="bottom"/>
          </w:tcPr>
          <w:p>
            <w:pPr>
              <w:ind w:left="180"/>
              <w:spacing w:after="0"/>
              <w:rPr>
                <w:sz w:val="20"/>
                <w:szCs w:val="20"/>
                <w:color w:val="auto"/>
              </w:rPr>
            </w:pPr>
            <w:r>
              <w:rPr>
                <w:rFonts w:ascii="Arial" w:cs="Arial" w:eastAsia="Arial" w:hAnsi="Arial"/>
                <w:sz w:val="11"/>
                <w:szCs w:val="11"/>
                <w:i w:val="1"/>
                <w:iCs w:val="1"/>
                <w:color w:val="auto"/>
              </w:rPr>
              <w:t>IFP and Other:</w:t>
            </w:r>
          </w:p>
        </w:tc>
        <w:tc>
          <w:tcPr>
            <w:tcW w:w="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60" w:type="dxa"/>
            <w:vAlign w:val="bottom"/>
            <w:shd w:val="clear" w:color="auto" w:fill="CCEEFF"/>
          </w:tcPr>
          <w:p>
            <w:pPr>
              <w:ind w:left="360"/>
              <w:spacing w:after="0"/>
              <w:rPr>
                <w:sz w:val="20"/>
                <w:szCs w:val="20"/>
                <w:color w:val="auto"/>
              </w:rPr>
            </w:pPr>
            <w:r>
              <w:rPr>
                <w:rFonts w:ascii="Arial" w:cs="Arial" w:eastAsia="Arial" w:hAnsi="Arial"/>
                <w:sz w:val="11"/>
                <w:szCs w:val="11"/>
                <w:color w:val="auto"/>
              </w:rPr>
              <w:t>Internal channel</w:t>
            </w: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19,687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32,271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20,850</w:t>
            </w: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37,909</w:t>
            </w:r>
          </w:p>
        </w:tc>
        <w:tc>
          <w:tcPr>
            <w:tcW w:w="0" w:type="dxa"/>
            <w:vAlign w:val="bottom"/>
          </w:tcPr>
          <w:p>
            <w:pPr>
              <w:spacing w:after="0"/>
              <w:rPr>
                <w:sz w:val="1"/>
                <w:szCs w:val="1"/>
                <w:color w:val="auto"/>
              </w:rPr>
            </w:pPr>
          </w:p>
        </w:tc>
      </w:tr>
      <w:tr>
        <w:trPr>
          <w:trHeight w:val="149"/>
        </w:trPr>
        <w:tc>
          <w:tcPr>
            <w:tcW w:w="4460" w:type="dxa"/>
            <w:vAlign w:val="bottom"/>
            <w:tcBorders>
              <w:bottom w:val="single" w:sz="8" w:color="CCEEFF"/>
            </w:tcBorders>
          </w:tcPr>
          <w:p>
            <w:pPr>
              <w:ind w:left="360"/>
              <w:spacing w:after="0"/>
              <w:rPr>
                <w:sz w:val="20"/>
                <w:szCs w:val="20"/>
                <w:color w:val="auto"/>
              </w:rPr>
            </w:pPr>
            <w:r>
              <w:rPr>
                <w:rFonts w:ascii="Arial" w:cs="Arial" w:eastAsia="Arial" w:hAnsi="Arial"/>
                <w:sz w:val="11"/>
                <w:szCs w:val="11"/>
                <w:color w:val="auto"/>
              </w:rPr>
              <w:t>External channel</w:t>
            </w:r>
          </w:p>
        </w:tc>
        <w:tc>
          <w:tcPr>
            <w:tcW w:w="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8,271</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22,126</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13,167</w:t>
            </w:r>
          </w:p>
        </w:tc>
        <w:tc>
          <w:tcPr>
            <w:tcW w:w="100" w:type="dxa"/>
            <w:vAlign w:val="bottom"/>
            <w:tcBorders>
              <w:bottom w:val="single" w:sz="8" w:color="CCEEFF"/>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34,924</w:t>
            </w:r>
          </w:p>
        </w:tc>
        <w:tc>
          <w:tcPr>
            <w:tcW w:w="0" w:type="dxa"/>
            <w:vAlign w:val="bottom"/>
          </w:tcPr>
          <w:p>
            <w:pPr>
              <w:spacing w:after="0"/>
              <w:rPr>
                <w:sz w:val="1"/>
                <w:szCs w:val="1"/>
                <w:color w:val="auto"/>
              </w:rPr>
            </w:pPr>
          </w:p>
        </w:tc>
      </w:tr>
      <w:tr>
        <w:trPr>
          <w:trHeight w:val="139"/>
        </w:trPr>
        <w:tc>
          <w:tcPr>
            <w:tcW w:w="446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IFP and Other</w:t>
            </w:r>
          </w:p>
        </w:tc>
        <w:tc>
          <w:tcPr>
            <w:tcW w:w="80" w:type="dxa"/>
            <w:vAlign w:val="bottom"/>
            <w:tcBorders>
              <w:bottom w:val="single" w:sz="8" w:color="auto"/>
            </w:tcBorders>
            <w:shd w:val="clear" w:color="auto" w:fill="CCEEFF"/>
          </w:tcPr>
          <w:p>
            <w:pPr>
              <w:spacing w:after="0"/>
              <w:rPr>
                <w:sz w:val="12"/>
                <w:szCs w:val="12"/>
                <w:color w:val="auto"/>
              </w:rPr>
            </w:pPr>
          </w:p>
        </w:tc>
        <w:tc>
          <w:tcPr>
            <w:tcW w:w="1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27,958</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54,397</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34,017</w:t>
            </w: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72,833</w:t>
            </w:r>
          </w:p>
        </w:tc>
        <w:tc>
          <w:tcPr>
            <w:tcW w:w="0" w:type="dxa"/>
            <w:vAlign w:val="bottom"/>
          </w:tcPr>
          <w:p>
            <w:pPr>
              <w:spacing w:after="0"/>
              <w:rPr>
                <w:sz w:val="1"/>
                <w:szCs w:val="1"/>
                <w:color w:val="auto"/>
              </w:rPr>
            </w:pPr>
          </w:p>
        </w:tc>
      </w:tr>
      <w:tr>
        <w:trPr>
          <w:trHeight w:val="139"/>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Net revenues</w:t>
            </w:r>
          </w:p>
        </w:tc>
        <w:tc>
          <w:tcPr>
            <w:tcW w:w="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1,062,415</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877,350</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308,491</w:t>
            </w:r>
          </w:p>
        </w:tc>
        <w:tc>
          <w:tcPr>
            <w:tcW w:w="100" w:type="dxa"/>
            <w:vAlign w:val="bottom"/>
            <w:tcBorders>
              <w:bottom w:val="single" w:sz="8" w:color="CCEEFF"/>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231,010</w:t>
            </w:r>
          </w:p>
        </w:tc>
        <w:tc>
          <w:tcPr>
            <w:tcW w:w="0" w:type="dxa"/>
            <w:vAlign w:val="bottom"/>
          </w:tcPr>
          <w:p>
            <w:pPr>
              <w:spacing w:after="0"/>
              <w:rPr>
                <w:sz w:val="1"/>
                <w:szCs w:val="1"/>
                <w:color w:val="auto"/>
              </w:rPr>
            </w:pPr>
          </w:p>
        </w:tc>
      </w:tr>
      <w:tr>
        <w:trPr>
          <w:trHeight w:val="129"/>
        </w:trPr>
        <w:tc>
          <w:tcPr>
            <w:tcW w:w="4460" w:type="dxa"/>
            <w:vAlign w:val="bottom"/>
            <w:shd w:val="clear" w:color="auto" w:fill="CCEEFF"/>
          </w:tcPr>
          <w:p>
            <w:pPr>
              <w:ind w:left="20"/>
              <w:spacing w:after="0"/>
              <w:rPr>
                <w:sz w:val="20"/>
                <w:szCs w:val="20"/>
                <w:color w:val="auto"/>
              </w:rPr>
            </w:pPr>
            <w:r>
              <w:rPr>
                <w:rFonts w:ascii="Arial" w:cs="Arial" w:eastAsia="Arial" w:hAnsi="Arial"/>
                <w:sz w:val="11"/>
                <w:szCs w:val="11"/>
                <w:i w:val="1"/>
                <w:iCs w:val="1"/>
                <w:color w:val="auto"/>
              </w:rPr>
              <w:t>Segment profit (loss):</w:t>
            </w:r>
          </w:p>
        </w:tc>
        <w:tc>
          <w:tcPr>
            <w:tcW w:w="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60" w:type="dxa"/>
            <w:vAlign w:val="bottom"/>
          </w:tcPr>
          <w:p>
            <w:pPr>
              <w:ind w:left="180"/>
              <w:spacing w:after="0"/>
              <w:rPr>
                <w:sz w:val="20"/>
                <w:szCs w:val="20"/>
                <w:color w:val="auto"/>
              </w:rPr>
            </w:pPr>
            <w:r>
              <w:rPr>
                <w:rFonts w:ascii="Arial" w:cs="Arial" w:eastAsia="Arial" w:hAnsi="Arial"/>
                <w:sz w:val="11"/>
                <w:szCs w:val="11"/>
                <w:i w:val="1"/>
                <w:iCs w:val="1"/>
                <w:color w:val="auto"/>
              </w:rPr>
              <w:t>Medicare:</w:t>
            </w: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shd w:val="clear" w:color="auto" w:fill="CCEEFF"/>
          </w:tcPr>
          <w:p>
            <w:pPr>
              <w:ind w:left="360"/>
              <w:spacing w:after="0"/>
              <w:rPr>
                <w:sz w:val="20"/>
                <w:szCs w:val="20"/>
                <w:color w:val="auto"/>
              </w:rPr>
            </w:pPr>
            <w:r>
              <w:rPr>
                <w:rFonts w:ascii="Arial" w:cs="Arial" w:eastAsia="Arial" w:hAnsi="Arial"/>
                <w:sz w:val="11"/>
                <w:szCs w:val="11"/>
                <w:color w:val="auto"/>
              </w:rPr>
              <w:t>Internal channel</w:t>
            </w: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84,345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296,865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126,210</w:t>
            </w: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40,024</w:t>
            </w:r>
          </w:p>
        </w:tc>
        <w:tc>
          <w:tcPr>
            <w:tcW w:w="0" w:type="dxa"/>
            <w:vAlign w:val="bottom"/>
          </w:tcPr>
          <w:p>
            <w:pPr>
              <w:spacing w:after="0"/>
              <w:rPr>
                <w:sz w:val="1"/>
                <w:szCs w:val="1"/>
                <w:color w:val="auto"/>
              </w:rPr>
            </w:pPr>
          </w:p>
        </w:tc>
      </w:tr>
      <w:tr>
        <w:trPr>
          <w:trHeight w:val="149"/>
        </w:trPr>
        <w:tc>
          <w:tcPr>
            <w:tcW w:w="4460" w:type="dxa"/>
            <w:vAlign w:val="bottom"/>
            <w:tcBorders>
              <w:bottom w:val="single" w:sz="8" w:color="CCEEFF"/>
            </w:tcBorders>
          </w:tcPr>
          <w:p>
            <w:pPr>
              <w:ind w:left="360"/>
              <w:spacing w:after="0"/>
              <w:rPr>
                <w:sz w:val="20"/>
                <w:szCs w:val="20"/>
                <w:color w:val="auto"/>
              </w:rPr>
            </w:pPr>
            <w:r>
              <w:rPr>
                <w:rFonts w:ascii="Arial" w:cs="Arial" w:eastAsia="Arial" w:hAnsi="Arial"/>
                <w:sz w:val="11"/>
                <w:szCs w:val="11"/>
                <w:color w:val="auto"/>
              </w:rPr>
              <w:t>External channel</w:t>
            </w:r>
          </w:p>
        </w:tc>
        <w:tc>
          <w:tcPr>
            <w:tcW w:w="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2,622</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5,944</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10,584</w:t>
            </w:r>
          </w:p>
        </w:tc>
        <w:tc>
          <w:tcPr>
            <w:tcW w:w="100" w:type="dxa"/>
            <w:vAlign w:val="bottom"/>
            <w:tcBorders>
              <w:bottom w:val="single" w:sz="8" w:color="CCEEFF"/>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4,893</w:t>
            </w:r>
          </w:p>
        </w:tc>
        <w:tc>
          <w:tcPr>
            <w:tcW w:w="0" w:type="dxa"/>
            <w:vAlign w:val="bottom"/>
          </w:tcPr>
          <w:p>
            <w:pPr>
              <w:spacing w:after="0"/>
              <w:rPr>
                <w:sz w:val="1"/>
                <w:szCs w:val="1"/>
                <w:color w:val="auto"/>
              </w:rPr>
            </w:pPr>
          </w:p>
        </w:tc>
      </w:tr>
      <w:tr>
        <w:trPr>
          <w:trHeight w:val="139"/>
        </w:trPr>
        <w:tc>
          <w:tcPr>
            <w:tcW w:w="446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Medicare</w:t>
            </w:r>
          </w:p>
        </w:tc>
        <w:tc>
          <w:tcPr>
            <w:tcW w:w="80" w:type="dxa"/>
            <w:vAlign w:val="bottom"/>
            <w:tcBorders>
              <w:bottom w:val="single" w:sz="8" w:color="auto"/>
            </w:tcBorders>
            <w:shd w:val="clear" w:color="auto" w:fill="CCEEFF"/>
          </w:tcPr>
          <w:p>
            <w:pPr>
              <w:spacing w:after="0"/>
              <w:rPr>
                <w:sz w:val="12"/>
                <w:szCs w:val="12"/>
                <w:color w:val="auto"/>
              </w:rPr>
            </w:pPr>
          </w:p>
        </w:tc>
        <w:tc>
          <w:tcPr>
            <w:tcW w:w="1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86,967</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302,809</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136,794</w:t>
            </w: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44,917</w:t>
            </w:r>
          </w:p>
        </w:tc>
        <w:tc>
          <w:tcPr>
            <w:tcW w:w="0" w:type="dxa"/>
            <w:vAlign w:val="bottom"/>
          </w:tcPr>
          <w:p>
            <w:pPr>
              <w:spacing w:after="0"/>
              <w:rPr>
                <w:sz w:val="1"/>
                <w:szCs w:val="1"/>
                <w:color w:val="auto"/>
              </w:rPr>
            </w:pPr>
          </w:p>
        </w:tc>
      </w:tr>
      <w:tr>
        <w:trPr>
          <w:trHeight w:val="129"/>
        </w:trPr>
        <w:tc>
          <w:tcPr>
            <w:tcW w:w="4460" w:type="dxa"/>
            <w:vAlign w:val="bottom"/>
          </w:tcPr>
          <w:p>
            <w:pPr>
              <w:ind w:left="180"/>
              <w:spacing w:after="0"/>
              <w:rPr>
                <w:sz w:val="20"/>
                <w:szCs w:val="20"/>
                <w:color w:val="auto"/>
              </w:rPr>
            </w:pPr>
            <w:r>
              <w:rPr>
                <w:rFonts w:ascii="Arial" w:cs="Arial" w:eastAsia="Arial" w:hAnsi="Arial"/>
                <w:sz w:val="11"/>
                <w:szCs w:val="11"/>
                <w:i w:val="1"/>
                <w:iCs w:val="1"/>
                <w:color w:val="auto"/>
              </w:rPr>
              <w:t>IFP and Other:</w:t>
            </w:r>
          </w:p>
        </w:tc>
        <w:tc>
          <w:tcPr>
            <w:tcW w:w="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60" w:type="dxa"/>
            <w:vAlign w:val="bottom"/>
            <w:shd w:val="clear" w:color="auto" w:fill="CCEEFF"/>
          </w:tcPr>
          <w:p>
            <w:pPr>
              <w:ind w:left="360"/>
              <w:spacing w:after="0"/>
              <w:rPr>
                <w:sz w:val="20"/>
                <w:szCs w:val="20"/>
                <w:color w:val="auto"/>
              </w:rPr>
            </w:pPr>
            <w:r>
              <w:rPr>
                <w:rFonts w:ascii="Arial" w:cs="Arial" w:eastAsia="Arial" w:hAnsi="Arial"/>
                <w:sz w:val="11"/>
                <w:szCs w:val="11"/>
                <w:color w:val="auto"/>
              </w:rPr>
              <w:t>Internal channel</w:t>
            </w: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2,819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4,269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1,650</w:t>
            </w: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2,195</w:t>
            </w:r>
          </w:p>
        </w:tc>
        <w:tc>
          <w:tcPr>
            <w:tcW w:w="0" w:type="dxa"/>
            <w:vAlign w:val="bottom"/>
          </w:tcPr>
          <w:p>
            <w:pPr>
              <w:spacing w:after="0"/>
              <w:rPr>
                <w:sz w:val="1"/>
                <w:szCs w:val="1"/>
                <w:color w:val="auto"/>
              </w:rPr>
            </w:pPr>
          </w:p>
        </w:tc>
      </w:tr>
      <w:tr>
        <w:trPr>
          <w:trHeight w:val="149"/>
        </w:trPr>
        <w:tc>
          <w:tcPr>
            <w:tcW w:w="4460" w:type="dxa"/>
            <w:vAlign w:val="bottom"/>
            <w:tcBorders>
              <w:bottom w:val="single" w:sz="8" w:color="CCEEFF"/>
            </w:tcBorders>
          </w:tcPr>
          <w:p>
            <w:pPr>
              <w:ind w:left="360"/>
              <w:spacing w:after="0"/>
              <w:rPr>
                <w:sz w:val="20"/>
                <w:szCs w:val="20"/>
                <w:color w:val="auto"/>
              </w:rPr>
            </w:pPr>
            <w:r>
              <w:rPr>
                <w:rFonts w:ascii="Arial" w:cs="Arial" w:eastAsia="Arial" w:hAnsi="Arial"/>
                <w:sz w:val="11"/>
                <w:szCs w:val="11"/>
                <w:color w:val="auto"/>
              </w:rPr>
              <w:t>External channel</w:t>
            </w:r>
          </w:p>
        </w:tc>
        <w:tc>
          <w:tcPr>
            <w:tcW w:w="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245</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1,910</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584</w:t>
            </w:r>
          </w:p>
        </w:tc>
        <w:tc>
          <w:tcPr>
            <w:tcW w:w="100" w:type="dxa"/>
            <w:vAlign w:val="bottom"/>
            <w:tcBorders>
              <w:bottom w:val="single" w:sz="8" w:color="CCEEFF"/>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1,748</w:t>
            </w:r>
          </w:p>
        </w:tc>
        <w:tc>
          <w:tcPr>
            <w:tcW w:w="0" w:type="dxa"/>
            <w:vAlign w:val="bottom"/>
          </w:tcPr>
          <w:p>
            <w:pPr>
              <w:spacing w:after="0"/>
              <w:rPr>
                <w:sz w:val="1"/>
                <w:szCs w:val="1"/>
                <w:color w:val="auto"/>
              </w:rPr>
            </w:pPr>
          </w:p>
        </w:tc>
      </w:tr>
      <w:tr>
        <w:trPr>
          <w:trHeight w:val="139"/>
        </w:trPr>
        <w:tc>
          <w:tcPr>
            <w:tcW w:w="446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IFP and Other</w:t>
            </w:r>
          </w:p>
        </w:tc>
        <w:tc>
          <w:tcPr>
            <w:tcW w:w="80" w:type="dxa"/>
            <w:vAlign w:val="bottom"/>
            <w:tcBorders>
              <w:bottom w:val="single" w:sz="8" w:color="auto"/>
            </w:tcBorders>
            <w:shd w:val="clear" w:color="auto" w:fill="CCEEFF"/>
          </w:tcPr>
          <w:p>
            <w:pPr>
              <w:spacing w:after="0"/>
              <w:rPr>
                <w:sz w:val="12"/>
                <w:szCs w:val="12"/>
                <w:color w:val="auto"/>
              </w:rPr>
            </w:pPr>
          </w:p>
        </w:tc>
        <w:tc>
          <w:tcPr>
            <w:tcW w:w="1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3,064</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6,179</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2,234</w:t>
            </w: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3,943</w:t>
            </w:r>
          </w:p>
        </w:tc>
        <w:tc>
          <w:tcPr>
            <w:tcW w:w="0" w:type="dxa"/>
            <w:vAlign w:val="bottom"/>
          </w:tcPr>
          <w:p>
            <w:pPr>
              <w:spacing w:after="0"/>
              <w:rPr>
                <w:sz w:val="1"/>
                <w:szCs w:val="1"/>
                <w:color w:val="auto"/>
              </w:rPr>
            </w:pPr>
          </w:p>
        </w:tc>
      </w:tr>
      <w:tr>
        <w:trPr>
          <w:trHeight w:val="139"/>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Segment profit</w:t>
            </w:r>
          </w:p>
        </w:tc>
        <w:tc>
          <w:tcPr>
            <w:tcW w:w="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90,031</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308,988</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139,027</w:t>
            </w:r>
          </w:p>
        </w:tc>
        <w:tc>
          <w:tcPr>
            <w:tcW w:w="100" w:type="dxa"/>
            <w:vAlign w:val="bottom"/>
            <w:tcBorders>
              <w:bottom w:val="single" w:sz="8" w:color="CCEEFF"/>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48,860</w:t>
            </w:r>
          </w:p>
        </w:tc>
        <w:tc>
          <w:tcPr>
            <w:tcW w:w="0" w:type="dxa"/>
            <w:vAlign w:val="bottom"/>
          </w:tcPr>
          <w:p>
            <w:pPr>
              <w:spacing w:after="0"/>
              <w:rPr>
                <w:sz w:val="1"/>
                <w:szCs w:val="1"/>
                <w:color w:val="auto"/>
              </w:rPr>
            </w:pPr>
          </w:p>
        </w:tc>
      </w:tr>
      <w:tr>
        <w:trPr>
          <w:trHeight w:val="139"/>
        </w:trPr>
        <w:tc>
          <w:tcPr>
            <w:tcW w:w="44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Corporate expense</w:t>
            </w: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98,869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259,778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9,767</w:t>
            </w: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103,469</w:t>
            </w:r>
          </w:p>
        </w:tc>
        <w:tc>
          <w:tcPr>
            <w:tcW w:w="0" w:type="dxa"/>
            <w:vAlign w:val="bottom"/>
          </w:tcPr>
          <w:p>
            <w:pPr>
              <w:spacing w:after="0"/>
              <w:rPr>
                <w:sz w:val="1"/>
                <w:szCs w:val="1"/>
                <w:color w:val="auto"/>
              </w:rPr>
            </w:pPr>
          </w:p>
        </w:tc>
      </w:tr>
      <w:tr>
        <w:trPr>
          <w:trHeight w:val="149"/>
        </w:trPr>
        <w:tc>
          <w:tcPr>
            <w:tcW w:w="4460" w:type="dxa"/>
            <w:vAlign w:val="bottom"/>
          </w:tcPr>
          <w:p>
            <w:pPr>
              <w:ind w:left="20"/>
              <w:spacing w:after="0"/>
              <w:rPr>
                <w:sz w:val="20"/>
                <w:szCs w:val="20"/>
                <w:color w:val="auto"/>
              </w:rPr>
            </w:pPr>
            <w:r>
              <w:rPr>
                <w:rFonts w:ascii="Arial" w:cs="Arial" w:eastAsia="Arial" w:hAnsi="Arial"/>
                <w:sz w:val="11"/>
                <w:szCs w:val="11"/>
                <w:color w:val="auto"/>
              </w:rPr>
              <w:t>Change in fair value of contingent consideration liability</w:t>
            </w:r>
          </w:p>
        </w:tc>
        <w:tc>
          <w:tcPr>
            <w:tcW w:w="80" w:type="dxa"/>
            <w:vAlign w:val="bottom"/>
          </w:tcPr>
          <w:p>
            <w:pPr>
              <w:spacing w:after="0"/>
              <w:rPr>
                <w:sz w:val="12"/>
                <w:szCs w:val="12"/>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19,700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right"/>
              <w:ind w:right="3"/>
              <w:spacing w:after="0"/>
              <w:rPr>
                <w:sz w:val="20"/>
                <w:szCs w:val="20"/>
                <w:color w:val="auto"/>
              </w:rPr>
            </w:pPr>
            <w:r>
              <w:rPr>
                <w:rFonts w:ascii="Arial" w:cs="Arial" w:eastAsia="Arial" w:hAnsi="Arial"/>
                <w:sz w:val="11"/>
                <w:szCs w:val="11"/>
                <w:color w:val="auto"/>
              </w:rPr>
              <w:t>70,700</w:t>
            </w: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44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Amortization of intangible assets</w:t>
            </w: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94,056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94,056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28,217</w:t>
            </w: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4460" w:type="dxa"/>
            <w:vAlign w:val="bottom"/>
          </w:tcPr>
          <w:p>
            <w:pPr>
              <w:ind w:left="20"/>
              <w:spacing w:after="0"/>
              <w:rPr>
                <w:sz w:val="20"/>
                <w:szCs w:val="20"/>
                <w:color w:val="auto"/>
              </w:rPr>
            </w:pPr>
            <w:r>
              <w:rPr>
                <w:rFonts w:ascii="Arial" w:cs="Arial" w:eastAsia="Arial" w:hAnsi="Arial"/>
                <w:sz w:val="11"/>
                <w:szCs w:val="11"/>
                <w:color w:val="auto"/>
              </w:rPr>
              <w:t>Loss on extinguishment of debt</w:t>
            </w:r>
          </w:p>
        </w:tc>
        <w:tc>
          <w:tcPr>
            <w:tcW w:w="80" w:type="dxa"/>
            <w:vAlign w:val="bottom"/>
          </w:tcPr>
          <w:p>
            <w:pPr>
              <w:spacing w:after="0"/>
              <w:rPr>
                <w:sz w:val="12"/>
                <w:szCs w:val="12"/>
                <w:color w:val="auto"/>
              </w:rPr>
            </w:pPr>
          </w:p>
        </w:tc>
        <w:tc>
          <w:tcPr>
            <w:tcW w:w="1560" w:type="dxa"/>
            <w:vAlign w:val="bottom"/>
          </w:tcPr>
          <w:p>
            <w:pPr>
              <w:jc w:val="right"/>
              <w:ind w:right="3"/>
              <w:spacing w:after="0"/>
              <w:rPr>
                <w:sz w:val="20"/>
                <w:szCs w:val="20"/>
                <w:color w:val="auto"/>
              </w:rPr>
            </w:pPr>
            <w:r>
              <w:rPr>
                <w:rFonts w:ascii="Arial" w:cs="Arial" w:eastAsia="Arial" w:hAnsi="Arial"/>
                <w:sz w:val="11"/>
                <w:szCs w:val="11"/>
                <w:color w:val="auto"/>
              </w:rPr>
              <w:t>11,935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6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4460" w:type="dxa"/>
            <w:vAlign w:val="bottom"/>
            <w:shd w:val="clear" w:color="auto" w:fill="CCEEFF"/>
          </w:tcPr>
          <w:p>
            <w:pPr>
              <w:ind w:left="20"/>
              <w:spacing w:after="0"/>
              <w:rPr>
                <w:sz w:val="20"/>
                <w:szCs w:val="20"/>
                <w:color w:val="auto"/>
              </w:rPr>
            </w:pPr>
            <w:r>
              <w:rPr>
                <w:rFonts w:ascii="Arial" w:cs="Arial" w:eastAsia="Arial" w:hAnsi="Arial"/>
                <w:sz w:val="11"/>
                <w:szCs w:val="11"/>
                <w:color w:val="auto"/>
              </w:rPr>
              <w:t>Goodwill impairment charges</w:t>
            </w: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386,553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16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4460" w:type="dxa"/>
            <w:vAlign w:val="bottom"/>
          </w:tcPr>
          <w:p>
            <w:pPr>
              <w:ind w:left="20"/>
              <w:spacing w:after="0"/>
              <w:rPr>
                <w:sz w:val="20"/>
                <w:szCs w:val="20"/>
                <w:color w:val="auto"/>
              </w:rPr>
            </w:pPr>
            <w:r>
              <w:rPr>
                <w:rFonts w:ascii="Arial" w:cs="Arial" w:eastAsia="Arial" w:hAnsi="Arial"/>
                <w:sz w:val="11"/>
                <w:szCs w:val="11"/>
                <w:color w:val="auto"/>
              </w:rPr>
              <w:t>Acquisition related transaction costs</w:t>
            </w:r>
          </w:p>
        </w:tc>
        <w:tc>
          <w:tcPr>
            <w:tcW w:w="80" w:type="dxa"/>
            <w:vAlign w:val="bottom"/>
          </w:tcPr>
          <w:p>
            <w:pPr>
              <w:spacing w:after="0"/>
              <w:rPr>
                <w:sz w:val="12"/>
                <w:szCs w:val="12"/>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540" w:type="dxa"/>
            <w:vAlign w:val="bottom"/>
          </w:tcPr>
          <w:p>
            <w:pPr>
              <w:jc w:val="right"/>
              <w:ind w:right="3"/>
              <w:spacing w:after="0"/>
              <w:rPr>
                <w:sz w:val="20"/>
                <w:szCs w:val="20"/>
                <w:color w:val="auto"/>
              </w:rPr>
            </w:pPr>
            <w:r>
              <w:rPr>
                <w:rFonts w:ascii="Arial" w:cs="Arial" w:eastAsia="Arial" w:hAnsi="Arial"/>
                <w:sz w:val="11"/>
                <w:szCs w:val="11"/>
                <w:color w:val="auto"/>
              </w:rPr>
              <w:t>6,245</w:t>
            </w: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2,267</w:t>
            </w:r>
          </w:p>
        </w:tc>
        <w:tc>
          <w:tcPr>
            <w:tcW w:w="0" w:type="dxa"/>
            <w:vAlign w:val="bottom"/>
          </w:tcPr>
          <w:p>
            <w:pPr>
              <w:spacing w:after="0"/>
              <w:rPr>
                <w:sz w:val="1"/>
                <w:szCs w:val="1"/>
                <w:color w:val="auto"/>
              </w:rPr>
            </w:pPr>
          </w:p>
        </w:tc>
      </w:tr>
      <w:tr>
        <w:trPr>
          <w:trHeight w:val="149"/>
        </w:trPr>
        <w:tc>
          <w:tcPr>
            <w:tcW w:w="446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 expense</w:t>
            </w: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33,505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32,969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8,076</w:t>
            </w: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140</w:t>
            </w:r>
          </w:p>
        </w:tc>
        <w:tc>
          <w:tcPr>
            <w:tcW w:w="0" w:type="dxa"/>
            <w:vAlign w:val="bottom"/>
          </w:tcPr>
          <w:p>
            <w:pPr>
              <w:spacing w:after="0"/>
              <w:rPr>
                <w:sz w:val="1"/>
                <w:szCs w:val="1"/>
                <w:color w:val="auto"/>
              </w:rPr>
            </w:pPr>
          </w:p>
        </w:tc>
      </w:tr>
      <w:tr>
        <w:trPr>
          <w:trHeight w:val="149"/>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(income) expense, net</w:t>
            </w:r>
          </w:p>
        </w:tc>
        <w:tc>
          <w:tcPr>
            <w:tcW w:w="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(669)</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(358)</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w:t>
            </w:r>
          </w:p>
        </w:tc>
        <w:tc>
          <w:tcPr>
            <w:tcW w:w="100" w:type="dxa"/>
            <w:vAlign w:val="bottom"/>
            <w:tcBorders>
              <w:bottom w:val="single" w:sz="8" w:color="CCEEFF"/>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114</w:t>
            </w:r>
          </w:p>
        </w:tc>
        <w:tc>
          <w:tcPr>
            <w:tcW w:w="0" w:type="dxa"/>
            <w:vAlign w:val="bottom"/>
          </w:tcPr>
          <w:p>
            <w:pPr>
              <w:spacing w:after="0"/>
              <w:rPr>
                <w:sz w:val="1"/>
                <w:szCs w:val="1"/>
                <w:color w:val="auto"/>
              </w:rPr>
            </w:pPr>
          </w:p>
        </w:tc>
      </w:tr>
      <w:tr>
        <w:trPr>
          <w:trHeight w:val="164"/>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Income (loss) before income taxes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(534,218)</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(97,157)</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16,039</w:t>
            </w:r>
          </w:p>
        </w:tc>
        <w:tc>
          <w:tcPr>
            <w:tcW w:w="100" w:type="dxa"/>
            <w:vAlign w:val="bottom"/>
            <w:tcBorders>
              <w:bottom w:val="single" w:sz="8" w:color="CCEEFF"/>
              <w:right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(57,129)</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2"/>
          <w:szCs w:val="12"/>
          <w:color w:val="auto"/>
        </w:rPr>
        <w:t>There are no internal revenue transactions between the Company’s operating segments. Substantially all revenue for the periods presented was generated from customers located in the United States.</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The Company’s CODM does not separately evaluate assets by segment, and therefore assets by segment are not presented. The Company’s assets are primarily located in the United States.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Significant Customers</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carriers representing 10% or more of the Company’s total revenue for the periods indicated:</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97</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85" w:right="31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49"/>
        </w:trPr>
        <w:tc>
          <w:tcPr>
            <w:tcW w:w="4280" w:type="dxa"/>
            <w:vAlign w:val="bottom"/>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rPr>
              <w:t>Successor</w:t>
            </w:r>
          </w:p>
        </w:tc>
        <w:tc>
          <w:tcPr>
            <w:tcW w:w="1680" w:type="dxa"/>
            <w:vAlign w:val="bottom"/>
            <w:tcBorders>
              <w:bottom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Predecessor</w:t>
            </w:r>
          </w:p>
        </w:tc>
      </w:tr>
      <w:tr>
        <w:trPr>
          <w:trHeight w:val="107"/>
        </w:trPr>
        <w:tc>
          <w:tcPr>
            <w:tcW w:w="4280" w:type="dxa"/>
            <w:vAlign w:val="bottom"/>
          </w:tcPr>
          <w:p>
            <w:pPr>
              <w:spacing w:after="0"/>
              <w:rPr>
                <w:sz w:val="9"/>
                <w:szCs w:val="9"/>
                <w:color w:val="auto"/>
              </w:rPr>
            </w:pPr>
          </w:p>
        </w:tc>
        <w:tc>
          <w:tcPr>
            <w:tcW w:w="1760" w:type="dxa"/>
            <w:vAlign w:val="bottom"/>
            <w:gridSpan w:val="2"/>
          </w:tcPr>
          <w:p>
            <w:pPr>
              <w:ind w:left="20"/>
              <w:spacing w:after="0" w:line="107" w:lineRule="exact"/>
              <w:rPr>
                <w:sz w:val="20"/>
                <w:szCs w:val="20"/>
                <w:color w:val="auto"/>
              </w:rPr>
            </w:pPr>
            <w:r>
              <w:rPr>
                <w:rFonts w:ascii="Arial" w:cs="Arial" w:eastAsia="Arial" w:hAnsi="Arial"/>
                <w:sz w:val="11"/>
                <w:szCs w:val="11"/>
                <w:b w:val="1"/>
                <w:bCs w:val="1"/>
                <w:color w:val="auto"/>
              </w:rPr>
              <w:t>Twelve months ended Dec. 31,</w:t>
            </w:r>
          </w:p>
        </w:tc>
        <w:tc>
          <w:tcPr>
            <w:tcW w:w="1780" w:type="dxa"/>
            <w:vAlign w:val="bottom"/>
            <w:gridSpan w:val="2"/>
          </w:tcPr>
          <w:p>
            <w:pPr>
              <w:jc w:val="center"/>
              <w:ind w:right="100"/>
              <w:spacing w:after="0" w:line="107" w:lineRule="exact"/>
              <w:rPr>
                <w:sz w:val="20"/>
                <w:szCs w:val="20"/>
                <w:color w:val="auto"/>
              </w:rPr>
            </w:pPr>
            <w:r>
              <w:rPr>
                <w:rFonts w:ascii="Arial" w:cs="Arial" w:eastAsia="Arial" w:hAnsi="Arial"/>
                <w:sz w:val="11"/>
                <w:szCs w:val="11"/>
                <w:b w:val="1"/>
                <w:bCs w:val="1"/>
                <w:color w:val="auto"/>
              </w:rPr>
              <w:t>Twelve months ended Dec. 31,</w:t>
            </w:r>
          </w:p>
        </w:tc>
        <w:tc>
          <w:tcPr>
            <w:tcW w:w="1780" w:type="dxa"/>
            <w:vAlign w:val="bottom"/>
            <w:tcBorders>
              <w:right w:val="single" w:sz="8" w:color="auto"/>
            </w:tcBorders>
            <w:gridSpan w:val="2"/>
          </w:tcPr>
          <w:p>
            <w:pPr>
              <w:jc w:val="center"/>
              <w:ind w:right="120"/>
              <w:spacing w:after="0" w:line="107" w:lineRule="exact"/>
              <w:rPr>
                <w:sz w:val="20"/>
                <w:szCs w:val="20"/>
                <w:color w:val="auto"/>
              </w:rPr>
            </w:pPr>
            <w:r>
              <w:rPr>
                <w:rFonts w:ascii="Arial" w:cs="Arial" w:eastAsia="Arial" w:hAnsi="Arial"/>
                <w:sz w:val="11"/>
                <w:szCs w:val="11"/>
                <w:b w:val="1"/>
                <w:bCs w:val="1"/>
                <w:color w:val="auto"/>
              </w:rPr>
              <w:t>Period from Sep. 13, 2019</w:t>
            </w:r>
          </w:p>
        </w:tc>
        <w:tc>
          <w:tcPr>
            <w:tcW w:w="168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Period from Jan. 1, 2019</w:t>
            </w:r>
          </w:p>
        </w:tc>
      </w:tr>
      <w:tr>
        <w:trPr>
          <w:trHeight w:val="138"/>
        </w:trPr>
        <w:tc>
          <w:tcPr>
            <w:tcW w:w="4280" w:type="dxa"/>
            <w:vAlign w:val="bottom"/>
          </w:tcPr>
          <w:p>
            <w:pPr>
              <w:spacing w:after="0"/>
              <w:rPr>
                <w:sz w:val="11"/>
                <w:szCs w:val="11"/>
                <w:color w:val="auto"/>
              </w:rPr>
            </w:pPr>
          </w:p>
        </w:tc>
        <w:tc>
          <w:tcPr>
            <w:tcW w:w="1680" w:type="dxa"/>
            <w:vAlign w:val="bottom"/>
          </w:tcPr>
          <w:p>
            <w:pPr>
              <w:jc w:val="right"/>
              <w:ind w:right="663"/>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1"/>
                <w:szCs w:val="11"/>
                <w:color w:val="auto"/>
              </w:rPr>
            </w:pPr>
          </w:p>
        </w:tc>
        <w:tc>
          <w:tcPr>
            <w:tcW w:w="1680" w:type="dxa"/>
            <w:vAlign w:val="bottom"/>
          </w:tcPr>
          <w:p>
            <w:pPr>
              <w:jc w:val="center"/>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1"/>
                <w:szCs w:val="11"/>
                <w:color w:val="auto"/>
              </w:rPr>
            </w:pPr>
          </w:p>
        </w:tc>
        <w:tc>
          <w:tcPr>
            <w:tcW w:w="1780" w:type="dxa"/>
            <w:vAlign w:val="bottom"/>
            <w:tcBorders>
              <w:right w:val="single" w:sz="8" w:color="auto"/>
            </w:tcBorders>
            <w:gridSpan w:val="2"/>
          </w:tcPr>
          <w:p>
            <w:pPr>
              <w:jc w:val="center"/>
              <w:ind w:right="100"/>
              <w:spacing w:after="0"/>
              <w:rPr>
                <w:sz w:val="20"/>
                <w:szCs w:val="20"/>
                <w:color w:val="auto"/>
              </w:rPr>
            </w:pPr>
            <w:r>
              <w:rPr>
                <w:rFonts w:ascii="Arial" w:cs="Arial" w:eastAsia="Arial" w:hAnsi="Arial"/>
                <w:sz w:val="11"/>
                <w:szCs w:val="11"/>
                <w:b w:val="1"/>
                <w:bCs w:val="1"/>
                <w:color w:val="auto"/>
              </w:rPr>
              <w:t>through Dec. 31, 2019</w:t>
            </w:r>
          </w:p>
        </w:tc>
        <w:tc>
          <w:tcPr>
            <w:tcW w:w="1680" w:type="dxa"/>
            <w:vAlign w:val="bottom"/>
          </w:tcPr>
          <w:p>
            <w:pPr>
              <w:jc w:val="center"/>
              <w:spacing w:after="0"/>
              <w:rPr>
                <w:sz w:val="20"/>
                <w:szCs w:val="20"/>
                <w:color w:val="auto"/>
              </w:rPr>
            </w:pPr>
            <w:r>
              <w:rPr>
                <w:rFonts w:ascii="Arial" w:cs="Arial" w:eastAsia="Arial" w:hAnsi="Arial"/>
                <w:sz w:val="11"/>
                <w:szCs w:val="11"/>
                <w:b w:val="1"/>
                <w:bCs w:val="1"/>
                <w:color w:val="auto"/>
              </w:rPr>
              <w:t>through Sep. 12, 2019</w:t>
            </w:r>
          </w:p>
        </w:tc>
      </w:tr>
      <w:tr>
        <w:trPr>
          <w:trHeight w:val="139"/>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Humana</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28 %</w:t>
            </w:r>
          </w:p>
        </w:tc>
        <w:tc>
          <w:tcPr>
            <w:tcW w:w="80" w:type="dxa"/>
            <w:vAlign w:val="bottom"/>
            <w:tcBorders>
              <w:top w:val="single" w:sz="8" w:color="CCEEFF"/>
            </w:tcBorders>
            <w:shd w:val="clear" w:color="auto" w:fill="CCEEFF"/>
          </w:tcPr>
          <w:p>
            <w:pPr>
              <w:spacing w:after="0"/>
              <w:rPr>
                <w:sz w:val="12"/>
                <w:szCs w:val="12"/>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40 %</w:t>
            </w:r>
          </w:p>
        </w:tc>
        <w:tc>
          <w:tcPr>
            <w:tcW w:w="100" w:type="dxa"/>
            <w:vAlign w:val="bottom"/>
            <w:tcBorders>
              <w:top w:val="single" w:sz="8" w:color="CCEEFF"/>
            </w:tcBorders>
            <w:shd w:val="clear" w:color="auto" w:fill="CCEEFF"/>
          </w:tcPr>
          <w:p>
            <w:pPr>
              <w:spacing w:after="0"/>
              <w:rPr>
                <w:sz w:val="12"/>
                <w:szCs w:val="12"/>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46 %</w:t>
            </w:r>
          </w:p>
        </w:tc>
        <w:tc>
          <w:tcPr>
            <w:tcW w:w="100" w:type="dxa"/>
            <w:vAlign w:val="bottom"/>
            <w:tcBorders>
              <w:top w:val="single" w:sz="8" w:color="CCEEFF"/>
              <w:right w:val="single" w:sz="8" w:color="auto"/>
            </w:tcBorders>
            <w:shd w:val="clear" w:color="auto" w:fill="CCEEFF"/>
          </w:tcPr>
          <w:p>
            <w:pPr>
              <w:spacing w:after="0"/>
              <w:rPr>
                <w:sz w:val="12"/>
                <w:szCs w:val="12"/>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31 %</w:t>
            </w:r>
          </w:p>
        </w:tc>
      </w:tr>
      <w:tr>
        <w:trPr>
          <w:trHeight w:val="149"/>
        </w:trPr>
        <w:tc>
          <w:tcPr>
            <w:tcW w:w="4280" w:type="dxa"/>
            <w:vAlign w:val="bottom"/>
          </w:tcPr>
          <w:p>
            <w:pPr>
              <w:ind w:left="20"/>
              <w:spacing w:after="0"/>
              <w:rPr>
                <w:sz w:val="20"/>
                <w:szCs w:val="20"/>
                <w:color w:val="auto"/>
              </w:rPr>
            </w:pPr>
            <w:r>
              <w:rPr>
                <w:rFonts w:ascii="Arial" w:cs="Arial" w:eastAsia="Arial" w:hAnsi="Arial"/>
                <w:sz w:val="11"/>
                <w:szCs w:val="11"/>
                <w:color w:val="auto"/>
              </w:rPr>
              <w:t>Anthem</w:t>
            </w:r>
          </w:p>
        </w:tc>
        <w:tc>
          <w:tcPr>
            <w:tcW w:w="1680" w:type="dxa"/>
            <w:vAlign w:val="bottom"/>
          </w:tcPr>
          <w:p>
            <w:pPr>
              <w:jc w:val="right"/>
              <w:spacing w:after="0"/>
              <w:rPr>
                <w:sz w:val="20"/>
                <w:szCs w:val="20"/>
                <w:color w:val="auto"/>
              </w:rPr>
            </w:pPr>
            <w:r>
              <w:rPr>
                <w:rFonts w:ascii="Arial" w:cs="Arial" w:eastAsia="Arial" w:hAnsi="Arial"/>
                <w:sz w:val="11"/>
                <w:szCs w:val="11"/>
                <w:color w:val="auto"/>
              </w:rPr>
              <w:t>22 %</w:t>
            </w:r>
          </w:p>
        </w:tc>
        <w:tc>
          <w:tcPr>
            <w:tcW w:w="8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Arial" w:cs="Arial" w:eastAsia="Arial" w:hAnsi="Arial"/>
                <w:sz w:val="11"/>
                <w:szCs w:val="11"/>
                <w:color w:val="auto"/>
              </w:rPr>
              <w:t>29 %</w:t>
            </w:r>
          </w:p>
        </w:tc>
        <w:tc>
          <w:tcPr>
            <w:tcW w:w="1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Arial" w:cs="Arial" w:eastAsia="Arial" w:hAnsi="Arial"/>
                <w:sz w:val="11"/>
                <w:szCs w:val="11"/>
                <w:color w:val="auto"/>
              </w:rPr>
              <w:t>22 %</w:t>
            </w:r>
          </w:p>
        </w:tc>
        <w:tc>
          <w:tcPr>
            <w:tcW w:w="100" w:type="dxa"/>
            <w:vAlign w:val="bottom"/>
            <w:tcBorders>
              <w:right w:val="single" w:sz="8" w:color="auto"/>
            </w:tcBorders>
          </w:tcPr>
          <w:p>
            <w:pPr>
              <w:spacing w:after="0"/>
              <w:rPr>
                <w:sz w:val="12"/>
                <w:szCs w:val="12"/>
                <w:color w:val="auto"/>
              </w:rPr>
            </w:pPr>
          </w:p>
        </w:tc>
        <w:tc>
          <w:tcPr>
            <w:tcW w:w="1680" w:type="dxa"/>
            <w:vAlign w:val="bottom"/>
          </w:tcPr>
          <w:p>
            <w:pPr>
              <w:jc w:val="right"/>
              <w:spacing w:after="0"/>
              <w:rPr>
                <w:sz w:val="20"/>
                <w:szCs w:val="20"/>
                <w:color w:val="auto"/>
              </w:rPr>
            </w:pPr>
            <w:r>
              <w:rPr>
                <w:rFonts w:ascii="Arial" w:cs="Arial" w:eastAsia="Arial" w:hAnsi="Arial"/>
                <w:sz w:val="11"/>
                <w:szCs w:val="11"/>
                <w:color w:val="auto"/>
              </w:rPr>
              <w:t>18 %</w:t>
            </w:r>
          </w:p>
        </w:tc>
      </w:tr>
      <w:tr>
        <w:trPr>
          <w:trHeight w:val="149"/>
        </w:trPr>
        <w:tc>
          <w:tcPr>
            <w:tcW w:w="4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Centene</w:t>
            </w:r>
          </w:p>
        </w:tc>
        <w:tc>
          <w:tcPr>
            <w:tcW w:w="1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17 %</w:t>
            </w:r>
          </w:p>
        </w:tc>
        <w:tc>
          <w:tcPr>
            <w:tcW w:w="80" w:type="dxa"/>
            <w:vAlign w:val="bottom"/>
            <w:shd w:val="clear" w:color="auto" w:fill="CCEEFF"/>
          </w:tcPr>
          <w:p>
            <w:pPr>
              <w:spacing w:after="0"/>
              <w:rPr>
                <w:sz w:val="12"/>
                <w:szCs w:val="12"/>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9 %</w:t>
            </w:r>
          </w:p>
        </w:tc>
        <w:tc>
          <w:tcPr>
            <w:tcW w:w="100" w:type="dxa"/>
            <w:vAlign w:val="bottom"/>
            <w:shd w:val="clear" w:color="auto" w:fill="CCEEFF"/>
          </w:tcPr>
          <w:p>
            <w:pPr>
              <w:spacing w:after="0"/>
              <w:rPr>
                <w:sz w:val="12"/>
                <w:szCs w:val="12"/>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4 %</w:t>
            </w:r>
          </w:p>
        </w:tc>
        <w:tc>
          <w:tcPr>
            <w:tcW w:w="100" w:type="dxa"/>
            <w:vAlign w:val="bottom"/>
            <w:tcBorders>
              <w:right w:val="single" w:sz="8" w:color="auto"/>
            </w:tcBorders>
            <w:shd w:val="clear" w:color="auto" w:fill="CCEEFF"/>
          </w:tcPr>
          <w:p>
            <w:pPr>
              <w:spacing w:after="0"/>
              <w:rPr>
                <w:sz w:val="12"/>
                <w:szCs w:val="12"/>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4 %</w:t>
            </w:r>
          </w:p>
        </w:tc>
      </w:tr>
      <w:tr>
        <w:trPr>
          <w:trHeight w:val="149"/>
        </w:trPr>
        <w:tc>
          <w:tcPr>
            <w:tcW w:w="4280" w:type="dxa"/>
            <w:vAlign w:val="bottom"/>
          </w:tcPr>
          <w:p>
            <w:pPr>
              <w:ind w:left="20"/>
              <w:spacing w:after="0"/>
              <w:rPr>
                <w:sz w:val="20"/>
                <w:szCs w:val="20"/>
                <w:color w:val="auto"/>
              </w:rPr>
            </w:pPr>
            <w:r>
              <w:rPr>
                <w:rFonts w:ascii="Arial" w:cs="Arial" w:eastAsia="Arial" w:hAnsi="Arial"/>
                <w:sz w:val="11"/>
                <w:szCs w:val="11"/>
                <w:color w:val="auto"/>
              </w:rPr>
              <w:t>United</w:t>
            </w:r>
          </w:p>
        </w:tc>
        <w:tc>
          <w:tcPr>
            <w:tcW w:w="1680" w:type="dxa"/>
            <w:vAlign w:val="bottom"/>
          </w:tcPr>
          <w:p>
            <w:pPr>
              <w:jc w:val="right"/>
              <w:spacing w:after="0"/>
              <w:rPr>
                <w:sz w:val="20"/>
                <w:szCs w:val="20"/>
                <w:color w:val="auto"/>
              </w:rPr>
            </w:pPr>
            <w:r>
              <w:rPr>
                <w:rFonts w:ascii="Arial" w:cs="Arial" w:eastAsia="Arial" w:hAnsi="Arial"/>
                <w:sz w:val="11"/>
                <w:szCs w:val="11"/>
                <w:color w:val="auto"/>
              </w:rPr>
              <w:t>16 %</w:t>
            </w:r>
          </w:p>
        </w:tc>
        <w:tc>
          <w:tcPr>
            <w:tcW w:w="8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Arial" w:cs="Arial" w:eastAsia="Arial" w:hAnsi="Arial"/>
                <w:sz w:val="11"/>
                <w:szCs w:val="11"/>
                <w:color w:val="auto"/>
              </w:rPr>
              <w:t>13 %</w:t>
            </w:r>
          </w:p>
        </w:tc>
        <w:tc>
          <w:tcPr>
            <w:tcW w:w="1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Arial" w:cs="Arial" w:eastAsia="Arial" w:hAnsi="Arial"/>
                <w:sz w:val="11"/>
                <w:szCs w:val="11"/>
                <w:color w:val="auto"/>
              </w:rPr>
              <w:t>4 %</w:t>
            </w:r>
          </w:p>
        </w:tc>
        <w:tc>
          <w:tcPr>
            <w:tcW w:w="100" w:type="dxa"/>
            <w:vAlign w:val="bottom"/>
            <w:tcBorders>
              <w:right w:val="single" w:sz="8" w:color="auto"/>
            </w:tcBorders>
          </w:tcPr>
          <w:p>
            <w:pPr>
              <w:spacing w:after="0"/>
              <w:rPr>
                <w:sz w:val="12"/>
                <w:szCs w:val="12"/>
                <w:color w:val="auto"/>
              </w:rPr>
            </w:pPr>
          </w:p>
        </w:tc>
        <w:tc>
          <w:tcPr>
            <w:tcW w:w="1680" w:type="dxa"/>
            <w:vAlign w:val="bottom"/>
          </w:tcPr>
          <w:p>
            <w:pPr>
              <w:jc w:val="right"/>
              <w:spacing w:after="0"/>
              <w:rPr>
                <w:sz w:val="20"/>
                <w:szCs w:val="20"/>
                <w:color w:val="auto"/>
              </w:rPr>
            </w:pPr>
            <w:r>
              <w:rPr>
                <w:rFonts w:ascii="Arial" w:cs="Arial" w:eastAsia="Arial" w:hAnsi="Arial"/>
                <w:sz w:val="11"/>
                <w:szCs w:val="11"/>
                <w:color w:val="auto"/>
              </w:rPr>
              <w:t>10 %</w:t>
            </w:r>
          </w:p>
        </w:tc>
      </w:tr>
    </w:tbl>
    <w:p>
      <w:pPr>
        <w:spacing w:after="0" w:line="230" w:lineRule="exact"/>
        <w:rPr>
          <w:sz w:val="20"/>
          <w:szCs w:val="20"/>
          <w:color w:val="auto"/>
        </w:rPr>
      </w:pPr>
    </w:p>
    <w:p>
      <w:pPr>
        <w:spacing w:after="0"/>
        <w:rPr>
          <w:sz w:val="20"/>
          <w:szCs w:val="20"/>
          <w:color w:val="auto"/>
        </w:rPr>
      </w:pPr>
      <w:r>
        <w:rPr>
          <w:rFonts w:ascii="Arial" w:cs="Arial" w:eastAsia="Arial" w:hAnsi="Arial"/>
          <w:sz w:val="13"/>
          <w:szCs w:val="13"/>
          <w:b w:val="1"/>
          <w:bCs w:val="1"/>
          <w:color w:val="0A2299"/>
        </w:rPr>
        <w:t>15. SUBSEQUENT EVENTS</w:t>
      </w:r>
    </w:p>
    <w:p>
      <w:pPr>
        <w:spacing w:after="0" w:line="4" w:lineRule="exact"/>
        <w:rPr>
          <w:sz w:val="20"/>
          <w:szCs w:val="20"/>
          <w:color w:val="auto"/>
        </w:rPr>
      </w:pPr>
    </w:p>
    <w:p>
      <w:pPr>
        <w:ind w:right="60"/>
        <w:spacing w:after="0" w:line="229" w:lineRule="auto"/>
        <w:rPr>
          <w:sz w:val="20"/>
          <w:szCs w:val="20"/>
          <w:color w:val="auto"/>
        </w:rPr>
      </w:pPr>
      <w:r>
        <w:rPr>
          <w:rFonts w:ascii="Arial" w:cs="Arial" w:eastAsia="Arial" w:hAnsi="Arial"/>
          <w:sz w:val="13"/>
          <w:szCs w:val="13"/>
          <w:color w:val="auto"/>
        </w:rPr>
        <w:t>On March 14, 2022, the Company amended its Credit Agreement. Among other terms, the interest rate for the 2021 Incremental Term Loans and the 2021-2 Incremental Term Loans was increased by 150 basis points. The Credit Agreement was amended to remove testing of the Net Leverage Ratio for the December 31, 2021 period and increase the maximum permitted Net Leverage Ratio for certain future reporting periods.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98</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05" w:right="319" w:bottom="1440" w:gutter="0" w:footer="0" w:header="0"/>
        </w:sectPr>
      </w:pPr>
    </w:p>
    <w:bookmarkStart w:id="101" w:name="page102"/>
    <w:bookmarkEnd w:id="101"/>
    <w:p>
      <w:pPr>
        <w:spacing w:after="0"/>
        <w:rPr>
          <w:sz w:val="20"/>
          <w:szCs w:val="20"/>
          <w:color w:val="auto"/>
        </w:rPr>
      </w:pPr>
      <w:r>
        <w:rPr>
          <w:rFonts w:ascii="Arial" w:cs="Arial" w:eastAsia="Arial" w:hAnsi="Arial"/>
          <w:sz w:val="13"/>
          <w:szCs w:val="13"/>
          <w:b w:val="1"/>
          <w:bCs w:val="1"/>
          <w:color w:val="0A2299"/>
        </w:rPr>
        <w:t>ITEM 9. CHANGES IN AND DISAGREEMENTS WITH ACCOUNTANTS ON ACCOUNTING AND FINANCIAL DISCLOSURE</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0A2299"/>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Evaluation of Disclosure Controls and Procedures</w:t>
      </w:r>
    </w:p>
    <w:p>
      <w:pPr>
        <w:spacing w:after="0" w:line="204" w:lineRule="exact"/>
        <w:rPr>
          <w:sz w:val="20"/>
          <w:szCs w:val="20"/>
          <w:color w:val="auto"/>
        </w:rPr>
      </w:pPr>
    </w:p>
    <w:p>
      <w:pPr>
        <w:ind w:right="40"/>
        <w:spacing w:after="0" w:line="239" w:lineRule="auto"/>
        <w:rPr>
          <w:sz w:val="20"/>
          <w:szCs w:val="20"/>
          <w:color w:val="auto"/>
        </w:rPr>
      </w:pPr>
      <w:r>
        <w:rPr>
          <w:rFonts w:ascii="Arial" w:cs="Arial" w:eastAsia="Arial" w:hAnsi="Arial"/>
          <w:sz w:val="13"/>
          <w:szCs w:val="13"/>
          <w:color w:val="auto"/>
        </w:rPr>
        <w:t>Our management, with the participation of our chief executive officer and interim chief financial officer, evaluated, as of the end of the period covered by this Annual Report on Form 10-K, the effectiveness of our disclosure controls and procedures (as defined in Rules 13a-15(e) and 15d-15(e) under the Exchange Act). Based on that evaluation, our chief executive officer and interim chief financial officer concluded that our disclosure controls and procedures were not effective as of December 31, 2021, because of the material weakness in internal control over financial reporting described below.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Management’s Annual Report on Internal Control over Financial Reporting</w:t>
      </w:r>
    </w:p>
    <w:p>
      <w:pPr>
        <w:spacing w:after="0" w:line="193" w:lineRule="exact"/>
        <w:rPr>
          <w:sz w:val="20"/>
          <w:szCs w:val="20"/>
          <w:color w:val="auto"/>
        </w:rPr>
      </w:pPr>
    </w:p>
    <w:p>
      <w:pPr>
        <w:ind w:right="20"/>
        <w:spacing w:after="0" w:line="227" w:lineRule="auto"/>
        <w:rPr>
          <w:sz w:val="20"/>
          <w:szCs w:val="20"/>
          <w:color w:val="auto"/>
        </w:rPr>
      </w:pPr>
      <w:r>
        <w:rPr>
          <w:rFonts w:ascii="Arial" w:cs="Arial" w:eastAsia="Arial" w:hAnsi="Arial"/>
          <w:sz w:val="13"/>
          <w:szCs w:val="13"/>
          <w:color w:val="auto"/>
        </w:rPr>
        <w:t>Our management is responsible for establishing and maintaining adequate internal control over financial reporting (as defined in Rules 13a-15(f) and 15d-15(f) under the Exchange Act). Internal control over financial reporting is a process designed under the supervision of the Company’s chief executive officer and interim chief financial officer, and effected by the Company’s board of directors, management, and other personnel to provide reasonable assurance regarding the reliability of financial reporting and the preparation of financial statements for external purposes in accordance with U.S. generally accepted accounting principles (GAAP) and includes those policies and procedures that:</w:t>
      </w:r>
    </w:p>
    <w:p>
      <w:pPr>
        <w:spacing w:after="0" w:line="180" w:lineRule="exact"/>
        <w:rPr>
          <w:sz w:val="20"/>
          <w:szCs w:val="20"/>
          <w:color w:val="auto"/>
        </w:rPr>
      </w:pPr>
    </w:p>
    <w:p>
      <w:pPr>
        <w:ind w:left="500" w:hanging="240"/>
        <w:spacing w:after="0"/>
        <w:tabs>
          <w:tab w:leader="none" w:pos="500" w:val="left"/>
        </w:tabs>
        <w:numPr>
          <w:ilvl w:val="0"/>
          <w:numId w:val="47"/>
        </w:numPr>
        <w:rPr>
          <w:rFonts w:ascii="Arial" w:cs="Arial" w:eastAsia="Arial" w:hAnsi="Arial"/>
          <w:sz w:val="14"/>
          <w:szCs w:val="14"/>
          <w:color w:val="auto"/>
        </w:rPr>
      </w:pPr>
      <w:r>
        <w:rPr>
          <w:rFonts w:ascii="Arial" w:cs="Arial" w:eastAsia="Arial" w:hAnsi="Arial"/>
          <w:sz w:val="13"/>
          <w:szCs w:val="13"/>
          <w:color w:val="auto"/>
        </w:rPr>
        <w:t>Pertain to the maintenance of records that in reasonable detail accurately and fairly reflect the transactions and dispositions of the assets of the Company;</w:t>
      </w:r>
    </w:p>
    <w:p>
      <w:pPr>
        <w:spacing w:after="0" w:line="186" w:lineRule="exact"/>
        <w:rPr>
          <w:rFonts w:ascii="Arial" w:cs="Arial" w:eastAsia="Arial" w:hAnsi="Arial"/>
          <w:sz w:val="14"/>
          <w:szCs w:val="14"/>
          <w:color w:val="auto"/>
        </w:rPr>
      </w:pPr>
    </w:p>
    <w:p>
      <w:pPr>
        <w:ind w:left="520" w:right="200" w:hanging="260"/>
        <w:spacing w:after="0" w:line="225" w:lineRule="auto"/>
        <w:tabs>
          <w:tab w:leader="none" w:pos="511" w:val="left"/>
        </w:tabs>
        <w:numPr>
          <w:ilvl w:val="0"/>
          <w:numId w:val="47"/>
        </w:numPr>
        <w:rPr>
          <w:rFonts w:ascii="Arial" w:cs="Arial" w:eastAsia="Arial" w:hAnsi="Arial"/>
          <w:sz w:val="14"/>
          <w:szCs w:val="14"/>
          <w:color w:val="auto"/>
        </w:rPr>
      </w:pPr>
      <w:r>
        <w:rPr>
          <w:rFonts w:ascii="Arial" w:cs="Arial" w:eastAsia="Arial" w:hAnsi="Arial"/>
          <w:sz w:val="13"/>
          <w:szCs w:val="13"/>
          <w:color w:val="auto"/>
        </w:rPr>
        <w:t>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w:t>
      </w:r>
    </w:p>
    <w:p>
      <w:pPr>
        <w:spacing w:after="0" w:line="186" w:lineRule="exact"/>
        <w:rPr>
          <w:rFonts w:ascii="Arial" w:cs="Arial" w:eastAsia="Arial" w:hAnsi="Arial"/>
          <w:sz w:val="14"/>
          <w:szCs w:val="14"/>
          <w:color w:val="auto"/>
        </w:rPr>
      </w:pPr>
    </w:p>
    <w:p>
      <w:pPr>
        <w:ind w:left="520" w:right="480" w:hanging="260"/>
        <w:spacing w:after="0" w:line="225" w:lineRule="auto"/>
        <w:tabs>
          <w:tab w:leader="none" w:pos="511" w:val="left"/>
        </w:tabs>
        <w:numPr>
          <w:ilvl w:val="0"/>
          <w:numId w:val="47"/>
        </w:numPr>
        <w:rPr>
          <w:rFonts w:ascii="Arial" w:cs="Arial" w:eastAsia="Arial" w:hAnsi="Arial"/>
          <w:sz w:val="14"/>
          <w:szCs w:val="14"/>
          <w:color w:val="auto"/>
        </w:rPr>
      </w:pPr>
      <w:r>
        <w:rPr>
          <w:rFonts w:ascii="Arial" w:cs="Arial" w:eastAsia="Arial" w:hAnsi="Arial"/>
          <w:sz w:val="13"/>
          <w:szCs w:val="13"/>
          <w:color w:val="auto"/>
        </w:rPr>
        <w:t>Provide reasonable assurance regarding prevention or timely detection of unauthorized acquisition, use, or disposition of the Company’s assets that could have a material effect on the financial statements.</w:t>
      </w:r>
    </w:p>
    <w:p>
      <w:pPr>
        <w:spacing w:after="0" w:line="176" w:lineRule="exact"/>
        <w:rPr>
          <w:sz w:val="20"/>
          <w:szCs w:val="20"/>
          <w:color w:val="auto"/>
        </w:rPr>
      </w:pPr>
    </w:p>
    <w:p>
      <w:pPr>
        <w:ind w:right="180"/>
        <w:spacing w:after="0" w:line="233" w:lineRule="auto"/>
        <w:rPr>
          <w:sz w:val="20"/>
          <w:szCs w:val="20"/>
          <w:color w:val="auto"/>
        </w:rPr>
      </w:pPr>
      <w:r>
        <w:rPr>
          <w:rFonts w:ascii="Arial" w:cs="Arial" w:eastAsia="Arial" w:hAnsi="Arial"/>
          <w:sz w:val="13"/>
          <w:szCs w:val="13"/>
          <w:color w:val="auto"/>
        </w:rPr>
        <w:t>Due to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Our management conducted an evaluation of the effectiveness of our internal control over financial reporting as of December 31, 2021, utilizing the framework in Internal Control-Integrated Framework (2013) established by the Committee of Sponsoring Organizations (COSO) of the Treadway Commission. Our internal control over financial reporting includes policies and procedures that are designed to provide reasonable assurance regarding the reliability of financial reporting and the preparation of financial statements for external reporting purposes in accordance with U.S. GAAP.</w:t>
      </w:r>
    </w:p>
    <w:p>
      <w:pPr>
        <w:spacing w:after="0" w:line="159" w:lineRule="exact"/>
        <w:rPr>
          <w:sz w:val="20"/>
          <w:szCs w:val="20"/>
          <w:color w:val="auto"/>
        </w:rPr>
      </w:pPr>
    </w:p>
    <w:p>
      <w:pPr>
        <w:spacing w:after="0" w:line="226" w:lineRule="auto"/>
        <w:rPr>
          <w:sz w:val="20"/>
          <w:szCs w:val="20"/>
          <w:color w:val="auto"/>
        </w:rPr>
      </w:pPr>
      <w:r>
        <w:rPr>
          <w:rFonts w:ascii="Arial" w:cs="Arial" w:eastAsia="Arial" w:hAnsi="Arial"/>
          <w:sz w:val="13"/>
          <w:szCs w:val="13"/>
          <w:color w:val="auto"/>
        </w:rPr>
        <w:t>Based on this evaluation and those criteria, our management concluded that our internal control over financial reporting was ineffective as of December 31, 2021, because we identified a material weakness related to the ineffective design and operation of process level controls that addressed the completeness and accuracy of key financial data utilized in the recognition of commission revenue, including estimating the total constrained lifetime value of commission revenue and the related cost of revenue and balance sheet accounts, and the Company did not retain sufficient contemporaneous documentation to demonstrate the operation of review controls over commission revenue at a sufficient level of precision. We reviewed the results of our management’s assessment with our Audit Committee.</w:t>
      </w:r>
    </w:p>
    <w:p>
      <w:pPr>
        <w:spacing w:after="0" w:line="177" w:lineRule="exact"/>
        <w:rPr>
          <w:sz w:val="20"/>
          <w:szCs w:val="20"/>
          <w:color w:val="auto"/>
        </w:rPr>
      </w:pPr>
    </w:p>
    <w:p>
      <w:pPr>
        <w:ind w:right="60"/>
        <w:spacing w:after="0" w:line="226" w:lineRule="auto"/>
        <w:rPr>
          <w:sz w:val="20"/>
          <w:szCs w:val="20"/>
          <w:color w:val="auto"/>
        </w:rPr>
      </w:pPr>
      <w:r>
        <w:rPr>
          <w:rFonts w:ascii="Arial" w:cs="Arial" w:eastAsia="Arial" w:hAnsi="Arial"/>
          <w:sz w:val="13"/>
          <w:szCs w:val="13"/>
          <w:color w:val="auto"/>
        </w:rPr>
        <w:t>We continue to strengthen our internal control over financial reporting and are committed to ensuring that such controls are designed and operating effectively. We will be implementing process and control improvements to address the above material weakness that include, but are not limited to: i) establishing specific management review procedures to ensure completeness and accuracy of key financial data utilized in the recognition of commission revenue and the contemporaneous documentation of such reviews, ii) providing additional training related to validating the accuracy of data used in key review controls and the level of documentation required, and iii) investing in our corporate infrastructure to ensure adequate technology and resources to support our financial reporting process and internal control framework.</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When fully implemented and operational, we believe the measures described above will remediate the control deficiencies that have led to the material weakness.</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83"/>
              <w:spacing w:after="0"/>
              <w:rPr>
                <w:sz w:val="20"/>
                <w:szCs w:val="20"/>
                <w:color w:val="auto"/>
              </w:rPr>
            </w:pPr>
            <w:r>
              <w:rPr>
                <w:rFonts w:ascii="Arial" w:cs="Arial" w:eastAsia="Arial" w:hAnsi="Arial"/>
                <w:sz w:val="11"/>
                <w:szCs w:val="11"/>
                <w:color w:val="auto"/>
              </w:rPr>
              <w:t>99</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69" w:right="319" w:bottom="1440" w:gutter="0" w:footer="0" w:header="0"/>
        </w:sectPr>
      </w:pPr>
    </w:p>
    <w:bookmarkStart w:id="102" w:name="page103"/>
    <w:bookmarkEnd w:id="102"/>
    <w:p>
      <w:pPr>
        <w:ind w:right="200"/>
        <w:spacing w:after="0" w:line="233" w:lineRule="auto"/>
        <w:rPr>
          <w:sz w:val="20"/>
          <w:szCs w:val="20"/>
          <w:color w:val="auto"/>
        </w:rPr>
      </w:pPr>
      <w:r>
        <w:rPr>
          <w:rFonts w:ascii="Arial" w:cs="Arial" w:eastAsia="Arial" w:hAnsi="Arial"/>
          <w:sz w:val="13"/>
          <w:szCs w:val="13"/>
          <w:color w:val="auto"/>
        </w:rPr>
        <w:t>Notwithstanding the existence of the material weakness as described above, our management has concluded that the consolidated financial statements included in this Annual Report on Form 10-K fairly present, in all material respects, our financial position, results of operations and cash flows as of the dates, and for the periods presented, in conformity with U.S. GAAP.</w:t>
      </w:r>
    </w:p>
    <w:p>
      <w:pPr>
        <w:spacing w:after="0" w:line="187" w:lineRule="exact"/>
        <w:rPr>
          <w:sz w:val="20"/>
          <w:szCs w:val="20"/>
          <w:color w:val="auto"/>
        </w:rPr>
      </w:pPr>
    </w:p>
    <w:p>
      <w:pPr>
        <w:ind w:right="240"/>
        <w:spacing w:after="0" w:line="244" w:lineRule="auto"/>
        <w:rPr>
          <w:sz w:val="20"/>
          <w:szCs w:val="20"/>
          <w:color w:val="auto"/>
        </w:rPr>
      </w:pPr>
      <w:r>
        <w:rPr>
          <w:rFonts w:ascii="Arial" w:cs="Arial" w:eastAsia="Arial" w:hAnsi="Arial"/>
          <w:sz w:val="13"/>
          <w:szCs w:val="13"/>
          <w:color w:val="auto"/>
        </w:rPr>
        <w:t>Ernst &amp; Young LLP, an independent registered public accounting firm, has issued an adverse report on the effectiveness of our internal controls over financial reporting as of December 31, 2021, as stated in their report which is included elsewhere herein.</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Changes in Internal Control over Financial Reporting</w:t>
      </w:r>
    </w:p>
    <w:p>
      <w:pPr>
        <w:spacing w:after="0" w:line="193" w:lineRule="exact"/>
        <w:rPr>
          <w:sz w:val="20"/>
          <w:szCs w:val="20"/>
          <w:color w:val="auto"/>
        </w:rPr>
      </w:pPr>
    </w:p>
    <w:p>
      <w:pPr>
        <w:ind w:right="40"/>
        <w:spacing w:after="0" w:line="233" w:lineRule="auto"/>
        <w:rPr>
          <w:sz w:val="20"/>
          <w:szCs w:val="20"/>
          <w:color w:val="auto"/>
        </w:rPr>
      </w:pPr>
      <w:r>
        <w:rPr>
          <w:rFonts w:ascii="Arial" w:cs="Arial" w:eastAsia="Arial" w:hAnsi="Arial"/>
          <w:sz w:val="13"/>
          <w:szCs w:val="13"/>
          <w:color w:val="auto"/>
        </w:rPr>
        <w:t>Except for the material weakness identified above, there were no changes in our internal control over financial reporting identified in management’s evaluation pursuant to Rules 13a-15(d) or 15d-15(d) of the Exchange Act during the quarter ended December 31, 2021 that materially affected, or are reasonably likely to materially affect, our internal control over financial reporting.</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386" w:lineRule="exact"/>
        <w:rPr>
          <w:sz w:val="20"/>
          <w:szCs w:val="20"/>
          <w:color w:val="auto"/>
        </w:rPr>
      </w:pPr>
    </w:p>
    <w:p>
      <w:pPr>
        <w:spacing w:after="0"/>
        <w:rPr>
          <w:sz w:val="20"/>
          <w:szCs w:val="20"/>
          <w:color w:val="auto"/>
        </w:rPr>
      </w:pPr>
      <w:r>
        <w:rPr>
          <w:rFonts w:ascii="Arial" w:cs="Arial" w:eastAsia="Arial" w:hAnsi="Arial"/>
          <w:sz w:val="13"/>
          <w:szCs w:val="13"/>
          <w:color w:val="auto"/>
        </w:rPr>
        <w:t>To the Shareholders and the Board of Directors of GoHealth, Inc.</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Opinion on Internal Control over Financial Reporting</w:t>
      </w:r>
    </w:p>
    <w:p>
      <w:pPr>
        <w:spacing w:after="0" w:line="195"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We have audited GoHealth, Inc.’s internal control over financial reporting as of December 31, 2021, based on criteria established in Internal Control—Integrated Framework issued by the Committee of Sponsoring Organizations of the Treadway Commission (2013 Framework), (the COSO criteria). In our opinion, because of the effect of the material weakness described below on the achievement of the objectives of the control criteria, GoHealth, Inc. (the Company) has not maintained effective internal control over financial reporting as of December 31, 2021, based on the COSO criteria.</w:t>
      </w:r>
    </w:p>
    <w:p>
      <w:pPr>
        <w:spacing w:after="0" w:line="168" w:lineRule="exact"/>
        <w:rPr>
          <w:sz w:val="20"/>
          <w:szCs w:val="20"/>
          <w:color w:val="auto"/>
        </w:rPr>
      </w:pPr>
    </w:p>
    <w:p>
      <w:pPr>
        <w:jc w:val="both"/>
        <w:spacing w:after="0" w:line="227" w:lineRule="auto"/>
        <w:rPr>
          <w:sz w:val="20"/>
          <w:szCs w:val="20"/>
          <w:color w:val="auto"/>
        </w:rPr>
      </w:pPr>
      <w:r>
        <w:rPr>
          <w:rFonts w:ascii="Arial" w:cs="Arial" w:eastAsia="Arial" w:hAnsi="Arial"/>
          <w:sz w:val="13"/>
          <w:szCs w:val="13"/>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Management has identified a material weakness in controls related to commission revenue, including estimating the total constrained lifetime value of commission revenue and the related cost of revenue and balance sheet accounts.</w:t>
      </w:r>
    </w:p>
    <w:p>
      <w:pPr>
        <w:spacing w:after="0" w:line="177" w:lineRule="exact"/>
        <w:rPr>
          <w:sz w:val="20"/>
          <w:szCs w:val="20"/>
          <w:color w:val="auto"/>
        </w:rPr>
      </w:pPr>
    </w:p>
    <w:p>
      <w:pPr>
        <w:jc w:val="both"/>
        <w:spacing w:after="0" w:line="226"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(PCAOB), the consolidated balance sheets of the Company as of December 31, 2021 and 2020 (Successor), the related consolidated statements of operations, comprehensive income (loss), changes in stockholders' / members’ equity and cash flows for each of the two years in the period ended December 31, 2021 (Successor), the period from September 13, 2019 to December 31, 2019 (Successor), and the period from January 1, 2019 to September 12, 2019 (Predecessor), and the related notes. This material weakness was considered in determining the nature, timing and extent of audit tests applied in our audit of the 2021 consolidated financial statements, and this report does not affect our report dated March 16, 2022, which expressed an unqualified opinion thereon.</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Basis for Opinion</w:t>
      </w:r>
    </w:p>
    <w:p>
      <w:pPr>
        <w:spacing w:after="0" w:line="195" w:lineRule="exact"/>
        <w:rPr>
          <w:sz w:val="20"/>
          <w:szCs w:val="20"/>
          <w:color w:val="auto"/>
        </w:rPr>
      </w:pPr>
    </w:p>
    <w:p>
      <w:pPr>
        <w:jc w:val="both"/>
        <w:spacing w:after="0" w:line="227" w:lineRule="auto"/>
        <w:rPr>
          <w:sz w:val="20"/>
          <w:szCs w:val="20"/>
          <w:color w:val="auto"/>
        </w:rPr>
      </w:pPr>
      <w:r>
        <w:rPr>
          <w:rFonts w:ascii="Arial" w:cs="Arial" w:eastAsia="Arial" w:hAnsi="Arial"/>
          <w:sz w:val="13"/>
          <w:szCs w:val="13"/>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7"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7" w:lineRule="exact"/>
        <w:rPr>
          <w:sz w:val="20"/>
          <w:szCs w:val="20"/>
          <w:color w:val="auto"/>
        </w:rPr>
      </w:pPr>
    </w:p>
    <w:p>
      <w:pPr>
        <w:jc w:val="both"/>
        <w:spacing w:after="0" w:line="229" w:lineRule="auto"/>
        <w:rPr>
          <w:sz w:val="20"/>
          <w:szCs w:val="20"/>
          <w:color w:val="auto"/>
        </w:rPr>
      </w:pPr>
      <w:r>
        <w:rPr>
          <w:rFonts w:ascii="Arial" w:cs="Arial" w:eastAsia="Arial" w:hAnsi="Arial"/>
          <w:sz w:val="13"/>
          <w:szCs w:val="13"/>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Definition and Limitations of Internal Control Over Financial Reporting</w:t>
      </w:r>
    </w:p>
    <w:p>
      <w:pPr>
        <w:spacing w:after="0" w:line="195" w:lineRule="exact"/>
        <w:rPr>
          <w:sz w:val="20"/>
          <w:szCs w:val="20"/>
          <w:color w:val="auto"/>
        </w:rPr>
      </w:pPr>
    </w:p>
    <w:p>
      <w:pPr>
        <w:jc w:val="both"/>
        <w:spacing w:after="0" w:line="229" w:lineRule="auto"/>
        <w:rPr>
          <w:sz w:val="20"/>
          <w:szCs w:val="20"/>
          <w:color w:val="auto"/>
        </w:rPr>
      </w:pPr>
      <w:r>
        <w:rPr>
          <w:rFonts w:ascii="Arial" w:cs="Arial" w:eastAsia="Arial" w:hAnsi="Arial"/>
          <w:sz w:val="13"/>
          <w:szCs w:val="13"/>
          <w:color w:val="010302"/>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23"/>
              <w:spacing w:after="0"/>
              <w:rPr>
                <w:sz w:val="20"/>
                <w:szCs w:val="20"/>
                <w:color w:val="auto"/>
              </w:rPr>
            </w:pPr>
            <w:r>
              <w:rPr>
                <w:rFonts w:ascii="Arial" w:cs="Arial" w:eastAsia="Arial" w:hAnsi="Arial"/>
                <w:sz w:val="11"/>
                <w:szCs w:val="11"/>
                <w:color w:val="auto"/>
              </w:rPr>
              <w:t>100</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05" w:right="319" w:bottom="1440" w:gutter="0" w:footer="0" w:header="0"/>
        </w:sectPr>
      </w:pPr>
    </w:p>
    <w:bookmarkStart w:id="103" w:name="page104"/>
    <w:bookmarkEnd w:id="103"/>
    <w:p>
      <w:pPr>
        <w:jc w:val="both"/>
        <w:spacing w:after="0" w:line="229" w:lineRule="auto"/>
        <w:rPr>
          <w:sz w:val="20"/>
          <w:szCs w:val="20"/>
          <w:color w:val="auto"/>
        </w:rPr>
      </w:pPr>
      <w:r>
        <w:rPr>
          <w:rFonts w:ascii="Arial" w:cs="Arial" w:eastAsia="Arial" w:hAnsi="Arial"/>
          <w:sz w:val="13"/>
          <w:szCs w:val="13"/>
          <w:color w:val="010302"/>
        </w:rPr>
        <w:t>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7"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010302"/>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3"/>
          <w:szCs w:val="13"/>
          <w:color w:val="auto"/>
        </w:rPr>
        <w:t>/s/ Ernst &amp; Young LLP</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Chicago, Illinois</w:t>
      </w:r>
    </w:p>
    <w:p>
      <w:pPr>
        <w:spacing w:after="0"/>
        <w:rPr>
          <w:sz w:val="20"/>
          <w:szCs w:val="20"/>
          <w:color w:val="auto"/>
        </w:rPr>
      </w:pPr>
      <w:r>
        <w:rPr>
          <w:rFonts w:ascii="Arial" w:cs="Arial" w:eastAsia="Arial" w:hAnsi="Arial"/>
          <w:sz w:val="13"/>
          <w:szCs w:val="13"/>
          <w:color w:val="auto"/>
        </w:rPr>
        <w:t>March 16, 2022</w:t>
      </w:r>
    </w:p>
    <w:p>
      <w:pPr>
        <w:spacing w:after="0" w:line="344" w:lineRule="exact"/>
        <w:rPr>
          <w:sz w:val="20"/>
          <w:szCs w:val="20"/>
          <w:color w:val="auto"/>
        </w:rPr>
      </w:pPr>
    </w:p>
    <w:p>
      <w:pPr>
        <w:spacing w:after="0"/>
        <w:rPr>
          <w:sz w:val="20"/>
          <w:szCs w:val="20"/>
          <w:color w:val="auto"/>
        </w:rPr>
      </w:pPr>
      <w:r>
        <w:rPr>
          <w:rFonts w:ascii="Arial" w:cs="Arial" w:eastAsia="Arial" w:hAnsi="Arial"/>
          <w:sz w:val="13"/>
          <w:szCs w:val="13"/>
          <w:b w:val="1"/>
          <w:bCs w:val="1"/>
          <w:color w:val="0A2299"/>
        </w:rPr>
        <w:t>ITEM 9B.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0A2299"/>
        </w:rPr>
        <w:t>ITEM 9C. DISCLOSURE REGARDING FOREIGN JURISDICTIONS THAT PREVENT INSPECTIONS</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23"/>
              <w:spacing w:after="0"/>
              <w:rPr>
                <w:sz w:val="20"/>
                <w:szCs w:val="20"/>
                <w:color w:val="auto"/>
              </w:rPr>
            </w:pPr>
            <w:r>
              <w:rPr>
                <w:rFonts w:ascii="Arial" w:cs="Arial" w:eastAsia="Arial" w:hAnsi="Arial"/>
                <w:sz w:val="11"/>
                <w:szCs w:val="11"/>
                <w:color w:val="auto"/>
              </w:rPr>
              <w:t>101</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05" w:right="31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4"/>
          <w:szCs w:val="14"/>
          <w:b w:val="1"/>
          <w:bCs w:val="1"/>
          <w:color w:val="FFFFFF"/>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161530" cy="1143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13"/>
          <w:szCs w:val="13"/>
          <w:b w:val="1"/>
          <w:bCs w:val="1"/>
          <w:color w:val="0A2299"/>
        </w:rPr>
        <w:t>ITEM 10. DIRECTORS, EXECUTIVE OFFICERS AND CORPORATE GOVERNANCE</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Code of Ethics</w:t>
      </w:r>
    </w:p>
    <w:p>
      <w:pPr>
        <w:spacing w:after="0" w:line="185" w:lineRule="exact"/>
        <w:rPr>
          <w:sz w:val="20"/>
          <w:szCs w:val="20"/>
          <w:color w:val="auto"/>
        </w:rPr>
      </w:pPr>
    </w:p>
    <w:p>
      <w:pPr>
        <w:ind w:right="160"/>
        <w:spacing w:after="0"/>
        <w:rPr>
          <w:sz w:val="20"/>
          <w:szCs w:val="20"/>
          <w:color w:val="auto"/>
        </w:rPr>
      </w:pPr>
      <w:r>
        <w:rPr>
          <w:rFonts w:ascii="Arial" w:cs="Arial" w:eastAsia="Arial" w:hAnsi="Arial"/>
          <w:sz w:val="13"/>
          <w:szCs w:val="13"/>
          <w:color w:val="auto"/>
        </w:rPr>
        <w:t>We have adopted a written Code of Business Conduct and Ethics (the “Code”) which applies to all of our directors, officers and other employees, including our principal executive officer and principal financial officer. A copy of the Code is available on our corporate website, www.gohealth.com, under “Investor Relations—Governance—Documents &amp; Charters.” In addition, we intend to post on our website all disclosures that are required by law or The Nasdaq Stock Market LLC concerning any amendments to, or waivers from, any provision of our Code of Business Conduct and Ethics. The information contained on our website does not constitute a part of this Annual Report on Form 10-K.</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Executive Officers and Directors</w:t>
      </w:r>
    </w:p>
    <w:p>
      <w:pPr>
        <w:spacing w:after="0" w:line="185" w:lineRule="exact"/>
        <w:rPr>
          <w:sz w:val="20"/>
          <w:szCs w:val="20"/>
          <w:color w:val="auto"/>
        </w:rPr>
      </w:pPr>
    </w:p>
    <w:p>
      <w:pPr>
        <w:ind w:right="40"/>
        <w:spacing w:after="0"/>
        <w:rPr>
          <w:sz w:val="20"/>
          <w:szCs w:val="20"/>
          <w:color w:val="auto"/>
        </w:rPr>
      </w:pPr>
      <w:r>
        <w:rPr>
          <w:rFonts w:ascii="Arial" w:cs="Arial" w:eastAsia="Arial" w:hAnsi="Arial"/>
          <w:sz w:val="13"/>
          <w:szCs w:val="13"/>
          <w:color w:val="auto"/>
        </w:rPr>
        <w:t>The information concerning our executive offers and directors required by this Item 10 is contained under the caption “Information About Our Executive Officers and Directors” at the end of Part I of this Annual Report on Form 10-K. The remaining information required by this Item 10 of Form 10-K is incorporated by reference from the information contained in the Definitive Proxy Statement for the 2022 Annual Meeting of Stockholders under the headings “Delinquent Section 16(a) Reports” (if applicable) and “Committees of the Board” under the headings “Delinquent Section 16(a) Reports” (if applicable) and “Committees of the Board”, which is expected to be filed within 120 days after our fiscal year ended December 31, 2021.</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b w:val="1"/>
          <w:bCs w:val="1"/>
          <w:color w:val="0A2299"/>
        </w:rPr>
        <w:t>ITEM 11. EXECUTIVE COMPENSATION</w:t>
      </w:r>
    </w:p>
    <w:p>
      <w:pPr>
        <w:spacing w:after="0" w:line="185" w:lineRule="exact"/>
        <w:rPr>
          <w:sz w:val="20"/>
          <w:szCs w:val="20"/>
          <w:color w:val="auto"/>
        </w:rPr>
      </w:pPr>
    </w:p>
    <w:p>
      <w:pPr>
        <w:jc w:val="both"/>
        <w:ind w:right="220"/>
        <w:spacing w:after="0" w:line="241" w:lineRule="auto"/>
        <w:rPr>
          <w:sz w:val="20"/>
          <w:szCs w:val="20"/>
          <w:color w:val="auto"/>
        </w:rPr>
      </w:pPr>
      <w:r>
        <w:rPr>
          <w:rFonts w:ascii="Arial" w:cs="Arial" w:eastAsia="Arial" w:hAnsi="Arial"/>
          <w:sz w:val="13"/>
          <w:szCs w:val="13"/>
          <w:color w:val="auto"/>
        </w:rPr>
        <w:t>The information required by Item 11 of Form 10-K is incorporated herein by reference from the information contained in the Definitive Proxy Statement for the 2022 Annual Meeting of Stockholders under the headings “Executive and Director Compensation” and “Compensation Committee Interlocks and Insider Participation” (if applicable), which is expected to be filed within 120 days after our fiscal year ended December 31, 2021.</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0A2299"/>
        </w:rPr>
        <w:t>ITEM 12. SECURITY OWNERSHIP OF CERTAIN BENEFICIAL OWNERS AND MANAGEMENT AND RELATED STOCKHOLDER MATTERS</w:t>
      </w:r>
    </w:p>
    <w:p>
      <w:pPr>
        <w:spacing w:after="0" w:line="185" w:lineRule="exact"/>
        <w:rPr>
          <w:sz w:val="20"/>
          <w:szCs w:val="20"/>
          <w:color w:val="auto"/>
        </w:rPr>
      </w:pPr>
    </w:p>
    <w:p>
      <w:pPr>
        <w:jc w:val="both"/>
        <w:ind w:right="300"/>
        <w:spacing w:after="0" w:line="241" w:lineRule="auto"/>
        <w:rPr>
          <w:sz w:val="20"/>
          <w:szCs w:val="20"/>
          <w:color w:val="auto"/>
        </w:rPr>
      </w:pPr>
      <w:r>
        <w:rPr>
          <w:rFonts w:ascii="Arial" w:cs="Arial" w:eastAsia="Arial" w:hAnsi="Arial"/>
          <w:sz w:val="13"/>
          <w:szCs w:val="13"/>
          <w:color w:val="auto"/>
        </w:rPr>
        <w:t>The information required by Item 12 of Form 10-K is incorporated herein by reference from the information contained in the Definitive Proxy Statement for the 2022 Annual Meeting of Stockholders under the headings “Security Ownership of Certain Beneficial Owners and Management” and “Securities Authorized For Issuance under Equity Compensation Plans”, which is expected to be filed within 120 days after our fiscal year ended December 31, 2021.</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color w:val="0A2299"/>
        </w:rPr>
        <w:t>ITEM 13. CERTAIN RELATIONSHIPS AND RELATED TRANSACTIONS, AND DIRECTOR INDEPENDENCE</w:t>
      </w:r>
    </w:p>
    <w:p>
      <w:pPr>
        <w:spacing w:after="0" w:line="185" w:lineRule="exact"/>
        <w:rPr>
          <w:sz w:val="20"/>
          <w:szCs w:val="20"/>
          <w:color w:val="auto"/>
        </w:rPr>
      </w:pPr>
    </w:p>
    <w:p>
      <w:pPr>
        <w:jc w:val="both"/>
        <w:ind w:right="300"/>
        <w:spacing w:after="0" w:line="244" w:lineRule="auto"/>
        <w:rPr>
          <w:sz w:val="20"/>
          <w:szCs w:val="20"/>
          <w:color w:val="auto"/>
        </w:rPr>
      </w:pPr>
      <w:r>
        <w:rPr>
          <w:rFonts w:ascii="Arial" w:cs="Arial" w:eastAsia="Arial" w:hAnsi="Arial"/>
          <w:sz w:val="13"/>
          <w:szCs w:val="13"/>
          <w:color w:val="auto"/>
        </w:rPr>
        <w:t>The information required by Item 13 of Form 10-K is incorporated herein by reference from the information contained in the Definitive Proxy Statement for the 2022 Annual Meeting of Stockholders under the headings “Corporate Governance” and “Certain Relationships”, which is expected to be filed within 120 days after our fiscal year ended December 31, 2021.</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color w:val="0A2299"/>
        </w:rPr>
        <w:t>ITEM 14. PRINCIPAL ACCOUNTANT FEES AND SERVICES</w:t>
      </w:r>
    </w:p>
    <w:p>
      <w:pPr>
        <w:spacing w:after="0" w:line="142" w:lineRule="exact"/>
        <w:rPr>
          <w:sz w:val="20"/>
          <w:szCs w:val="20"/>
          <w:color w:val="auto"/>
        </w:rPr>
      </w:pPr>
    </w:p>
    <w:p>
      <w:pPr>
        <w:jc w:val="both"/>
        <w:ind w:right="300"/>
        <w:spacing w:after="0" w:line="284" w:lineRule="auto"/>
        <w:rPr>
          <w:sz w:val="20"/>
          <w:szCs w:val="20"/>
          <w:color w:val="auto"/>
        </w:rPr>
      </w:pPr>
      <w:r>
        <w:rPr>
          <w:rFonts w:ascii="Arial" w:cs="Arial" w:eastAsia="Arial" w:hAnsi="Arial"/>
          <w:sz w:val="12"/>
          <w:szCs w:val="12"/>
          <w:color w:val="auto"/>
        </w:rPr>
        <w:t>The information required by Item 14 of Form 10-K is incorporated herein by reference from the information contained in the Definitive Proxy Statement for the 2022 Annual Meeting of Stockholders under the heading “Independent Registered Public Accounting Firm Fees and Other Matters”, which is expected to be filed within 120 days after our fiscal year ended December 31, 2021.</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23"/>
              <w:spacing w:after="0"/>
              <w:rPr>
                <w:sz w:val="20"/>
                <w:szCs w:val="20"/>
                <w:color w:val="auto"/>
              </w:rPr>
            </w:pPr>
            <w:r>
              <w:rPr>
                <w:rFonts w:ascii="Arial" w:cs="Arial" w:eastAsia="Arial" w:hAnsi="Arial"/>
                <w:sz w:val="11"/>
                <w:szCs w:val="11"/>
                <w:color w:val="auto"/>
              </w:rPr>
              <w:t>102</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97" w:right="31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1"/>
          <w:szCs w:val="11"/>
          <w:b w:val="1"/>
          <w:bCs w:val="1"/>
          <w:color w:val="FFFFFF"/>
        </w:rPr>
        <w:drawing>
          <wp:anchor simplePos="0" relativeHeight="251657728" behindDoc="1" locked="0" layoutInCell="0" allowOverlap="1">
            <wp:simplePos x="0" y="0"/>
            <wp:positionH relativeFrom="page">
              <wp:posOffset>193675</wp:posOffset>
            </wp:positionH>
            <wp:positionV relativeFrom="page">
              <wp:posOffset>701675</wp:posOffset>
            </wp:positionV>
            <wp:extent cx="7161530" cy="946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61530" cy="94615"/>
                    </a:xfrm>
                    <a:prstGeom prst="rect">
                      <a:avLst/>
                    </a:prstGeom>
                    <a:noFill/>
                  </pic:spPr>
                </pic:pic>
              </a:graphicData>
            </a:graphic>
          </wp:anchor>
        </w:drawing>
        <w:t>PART IV</w:t>
      </w:r>
    </w:p>
    <w:p>
      <w:pPr>
        <w:spacing w:after="0" w:line="251" w:lineRule="exact"/>
        <w:rPr>
          <w:sz w:val="20"/>
          <w:szCs w:val="20"/>
          <w:color w:val="auto"/>
        </w:rPr>
      </w:pPr>
    </w:p>
    <w:p>
      <w:pPr>
        <w:spacing w:after="0"/>
        <w:rPr>
          <w:sz w:val="20"/>
          <w:szCs w:val="20"/>
          <w:color w:val="auto"/>
        </w:rPr>
      </w:pPr>
      <w:r>
        <w:rPr>
          <w:rFonts w:ascii="Arial" w:cs="Arial" w:eastAsia="Arial" w:hAnsi="Arial"/>
          <w:sz w:val="13"/>
          <w:szCs w:val="13"/>
          <w:b w:val="1"/>
          <w:bCs w:val="1"/>
          <w:color w:val="0A2299"/>
        </w:rPr>
        <w:t>ITEM 15. EXHIBITS AND FINANCIAL STATEMENT SCHEDULES</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(a) We have filed the following documents as part of this Annual Report on Form 10-K:</w:t>
      </w:r>
    </w:p>
    <w:p>
      <w:pPr>
        <w:spacing w:after="0" w:line="153" w:lineRule="exact"/>
        <w:rPr>
          <w:sz w:val="20"/>
          <w:szCs w:val="20"/>
          <w:color w:val="auto"/>
        </w:rPr>
      </w:pPr>
    </w:p>
    <w:p>
      <w:pPr>
        <w:ind w:left="520" w:hanging="515"/>
        <w:spacing w:after="0"/>
        <w:tabs>
          <w:tab w:leader="none" w:pos="520" w:val="left"/>
        </w:tabs>
        <w:numPr>
          <w:ilvl w:val="0"/>
          <w:numId w:val="48"/>
        </w:numPr>
        <w:rPr>
          <w:rFonts w:ascii="Arial" w:cs="Arial" w:eastAsia="Arial" w:hAnsi="Arial"/>
          <w:sz w:val="13"/>
          <w:szCs w:val="13"/>
          <w:b w:val="1"/>
          <w:bCs w:val="1"/>
          <w:color w:val="auto"/>
        </w:rPr>
      </w:pPr>
      <w:r>
        <w:rPr>
          <w:rFonts w:ascii="Arial" w:cs="Arial" w:eastAsia="Arial" w:hAnsi="Arial"/>
          <w:sz w:val="13"/>
          <w:szCs w:val="13"/>
          <w:b w:val="1"/>
          <w:bCs w:val="1"/>
          <w:color w:val="auto"/>
        </w:rPr>
        <w:t>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Information in response to this Item is included in Item 8 of Part II of this Annual Report on Form 10-K.</w:t>
      </w:r>
    </w:p>
    <w:p>
      <w:pPr>
        <w:spacing w:after="0" w:line="153" w:lineRule="exact"/>
        <w:rPr>
          <w:sz w:val="20"/>
          <w:szCs w:val="20"/>
          <w:color w:val="auto"/>
        </w:rPr>
      </w:pPr>
    </w:p>
    <w:p>
      <w:pPr>
        <w:ind w:left="520" w:hanging="515"/>
        <w:spacing w:after="0"/>
        <w:tabs>
          <w:tab w:leader="none" w:pos="520" w:val="left"/>
        </w:tabs>
        <w:numPr>
          <w:ilvl w:val="0"/>
          <w:numId w:val="49"/>
        </w:numPr>
        <w:rPr>
          <w:rFonts w:ascii="Arial" w:cs="Arial" w:eastAsia="Arial" w:hAnsi="Arial"/>
          <w:sz w:val="13"/>
          <w:szCs w:val="13"/>
          <w:b w:val="1"/>
          <w:bCs w:val="1"/>
          <w:color w:val="auto"/>
        </w:rPr>
      </w:pPr>
      <w:r>
        <w:rPr>
          <w:rFonts w:ascii="Arial" w:cs="Arial" w:eastAsia="Arial" w:hAnsi="Arial"/>
          <w:sz w:val="13"/>
          <w:szCs w:val="13"/>
          <w:b w:val="1"/>
          <w:bCs w:val="1"/>
          <w:color w:val="auto"/>
        </w:rPr>
        <w:t>Financial Statement Schedules</w:t>
      </w:r>
    </w:p>
    <w:p>
      <w:pPr>
        <w:spacing w:after="0" w:line="185" w:lineRule="exact"/>
        <w:rPr>
          <w:sz w:val="20"/>
          <w:szCs w:val="20"/>
          <w:color w:val="auto"/>
        </w:rPr>
      </w:pPr>
    </w:p>
    <w:p>
      <w:pPr>
        <w:ind w:right="100"/>
        <w:spacing w:after="0" w:line="244" w:lineRule="auto"/>
        <w:rPr>
          <w:sz w:val="20"/>
          <w:szCs w:val="20"/>
          <w:color w:val="auto"/>
        </w:rPr>
      </w:pPr>
      <w:r>
        <w:rPr>
          <w:rFonts w:ascii="Arial" w:cs="Arial" w:eastAsia="Arial" w:hAnsi="Arial"/>
          <w:sz w:val="13"/>
          <w:szCs w:val="13"/>
          <w:color w:val="auto"/>
        </w:rPr>
        <w:t>All financial statement schedules have been omitted because they are not applicable, not material or because the required information is included in Item 8 of Part II of this Annual Report on Form 10-K.</w:t>
      </w:r>
    </w:p>
    <w:p>
      <w:pPr>
        <w:spacing w:after="0" w:line="147" w:lineRule="exact"/>
        <w:rPr>
          <w:sz w:val="20"/>
          <w:szCs w:val="20"/>
          <w:color w:val="auto"/>
        </w:rPr>
      </w:pPr>
    </w:p>
    <w:p>
      <w:pPr>
        <w:ind w:left="520" w:hanging="515"/>
        <w:spacing w:after="0"/>
        <w:tabs>
          <w:tab w:leader="none" w:pos="520" w:val="left"/>
        </w:tabs>
        <w:numPr>
          <w:ilvl w:val="0"/>
          <w:numId w:val="50"/>
        </w:numPr>
        <w:rPr>
          <w:rFonts w:ascii="Arial" w:cs="Arial" w:eastAsia="Arial" w:hAnsi="Arial"/>
          <w:sz w:val="13"/>
          <w:szCs w:val="13"/>
          <w:b w:val="1"/>
          <w:bCs w:val="1"/>
          <w:color w:val="auto"/>
        </w:rPr>
      </w:pPr>
      <w:r>
        <w:rPr>
          <w:rFonts w:ascii="Arial" w:cs="Arial" w:eastAsia="Arial" w:hAnsi="Arial"/>
          <w:sz w:val="13"/>
          <w:szCs w:val="13"/>
          <w:b w:val="1"/>
          <w:bCs w:val="1"/>
          <w:color w:val="auto"/>
        </w:rPr>
        <w:t>Exhibits</w:t>
      </w:r>
    </w:p>
    <w:p>
      <w:pPr>
        <w:spacing w:after="0" w:line="185" w:lineRule="exact"/>
        <w:rPr>
          <w:sz w:val="20"/>
          <w:szCs w:val="20"/>
          <w:color w:val="auto"/>
        </w:rPr>
      </w:pPr>
    </w:p>
    <w:p>
      <w:pPr>
        <w:ind w:right="320"/>
        <w:spacing w:after="0" w:line="244" w:lineRule="auto"/>
        <w:rPr>
          <w:sz w:val="20"/>
          <w:szCs w:val="20"/>
          <w:color w:val="auto"/>
        </w:rPr>
      </w:pPr>
      <w:r>
        <w:rPr>
          <w:rFonts w:ascii="Arial" w:cs="Arial" w:eastAsia="Arial" w:hAnsi="Arial"/>
          <w:sz w:val="13"/>
          <w:szCs w:val="13"/>
          <w:color w:val="auto"/>
        </w:rPr>
        <w:t>The following documents listed below are incorporated by reference or are filed with this Annual Report on Form 10-K, in each case as indicated therein (numbered in accordance with Item 601 of Regulation S-K).</w:t>
      </w:r>
    </w:p>
    <w:p>
      <w:pPr>
        <w:sectPr>
          <w:pgSz w:w="11900" w:h="16838" w:orient="portrait"/>
          <w:cols w:equalWidth="0" w:num="1">
            <w:col w:w="11280"/>
          </w:cols>
          <w:pgMar w:left="300" w:top="1105" w:right="319" w:bottom="144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Exhibit Index</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1040" w:type="dxa"/>
            <w:vAlign w:val="bottom"/>
          </w:tcPr>
          <w:p>
            <w:pPr>
              <w:jc w:val="right"/>
              <w:ind w:right="283"/>
              <w:spacing w:after="0"/>
              <w:rPr>
                <w:sz w:val="20"/>
                <w:szCs w:val="20"/>
                <w:color w:val="auto"/>
              </w:rPr>
            </w:pPr>
            <w:r>
              <w:rPr>
                <w:rFonts w:ascii="Arial" w:cs="Arial" w:eastAsia="Arial" w:hAnsi="Arial"/>
                <w:sz w:val="11"/>
                <w:szCs w:val="11"/>
                <w:b w:val="1"/>
                <w:bCs w:val="1"/>
                <w:color w:val="auto"/>
              </w:rPr>
              <w:t>Exhibit</w:t>
            </w:r>
          </w:p>
        </w:tc>
        <w:tc>
          <w:tcPr>
            <w:tcW w:w="1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5"/>
        </w:trPr>
        <w:tc>
          <w:tcPr>
            <w:tcW w:w="104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3"/>
                <w:szCs w:val="13"/>
                <w:color w:val="auto"/>
              </w:rPr>
            </w:pPr>
          </w:p>
        </w:tc>
        <w:tc>
          <w:tcPr>
            <w:tcW w:w="1780" w:type="dxa"/>
            <w:vAlign w:val="bottom"/>
            <w:tcBorders>
              <w:bottom w:val="single" w:sz="8" w:color="auto"/>
            </w:tcBorders>
          </w:tcPr>
          <w:p>
            <w:pPr>
              <w:spacing w:after="0"/>
              <w:rPr>
                <w:sz w:val="13"/>
                <w:szCs w:val="13"/>
                <w:color w:val="auto"/>
              </w:rPr>
            </w:pPr>
          </w:p>
        </w:tc>
        <w:tc>
          <w:tcPr>
            <w:tcW w:w="3180" w:type="dxa"/>
            <w:vAlign w:val="bottom"/>
            <w:tcBorders>
              <w:bottom w:val="single" w:sz="8" w:color="auto"/>
            </w:tcBorders>
            <w:gridSpan w:val="15"/>
          </w:tcPr>
          <w:p>
            <w:pPr>
              <w:ind w:left="380"/>
              <w:spacing w:after="0"/>
              <w:rPr>
                <w:sz w:val="20"/>
                <w:szCs w:val="20"/>
                <w:color w:val="auto"/>
              </w:rPr>
            </w:pPr>
            <w:r>
              <w:rPr>
                <w:rFonts w:ascii="Arial" w:cs="Arial" w:eastAsia="Arial" w:hAnsi="Arial"/>
                <w:sz w:val="11"/>
                <w:szCs w:val="11"/>
                <w:b w:val="1"/>
                <w:bCs w:val="1"/>
                <w:color w:val="auto"/>
              </w:rPr>
              <w:t>Description</w:t>
            </w:r>
          </w:p>
        </w:tc>
      </w:tr>
      <w:tr>
        <w:trPr>
          <w:trHeight w:val="133"/>
        </w:trPr>
        <w:tc>
          <w:tcPr>
            <w:tcW w:w="1040" w:type="dxa"/>
            <w:vAlign w:val="bottom"/>
          </w:tcPr>
          <w:p>
            <w:pPr>
              <w:jc w:val="right"/>
              <w:ind w:right="383"/>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11"/>
                <w:szCs w:val="11"/>
                <w:color w:val="auto"/>
              </w:rPr>
            </w:pPr>
          </w:p>
        </w:tc>
        <w:tc>
          <w:tcPr>
            <w:tcW w:w="4960" w:type="dxa"/>
            <w:vAlign w:val="bottom"/>
            <w:gridSpan w:val="16"/>
          </w:tcPr>
          <w:p>
            <w:pPr>
              <w:spacing w:after="0"/>
              <w:rPr>
                <w:rFonts w:ascii="Arial" w:cs="Arial" w:eastAsia="Arial" w:hAnsi="Arial"/>
                <w:sz w:val="11"/>
                <w:szCs w:val="11"/>
                <w:color w:val="0000FF"/>
              </w:rPr>
            </w:pPr>
            <w:hyperlink r:id="rId243">
              <w:r>
                <w:rPr>
                  <w:rFonts w:ascii="Arial" w:cs="Arial" w:eastAsia="Arial" w:hAnsi="Arial"/>
                  <w:sz w:val="11"/>
                  <w:szCs w:val="11"/>
                  <w:color w:val="0000FF"/>
                </w:rPr>
                <w:t>Amended and Restated Certificate of Incorporation of GoHealth, Inc.</w:t>
              </w:r>
            </w:hyperlink>
          </w:p>
        </w:tc>
      </w:tr>
      <w:tr>
        <w:trPr>
          <w:trHeight w:val="150"/>
        </w:trPr>
        <w:tc>
          <w:tcPr>
            <w:tcW w:w="1040" w:type="dxa"/>
            <w:vAlign w:val="bottom"/>
          </w:tcPr>
          <w:p>
            <w:pPr>
              <w:jc w:val="right"/>
              <w:ind w:right="383"/>
              <w:spacing w:after="0"/>
              <w:rPr>
                <w:sz w:val="20"/>
                <w:szCs w:val="20"/>
                <w:color w:val="auto"/>
              </w:rPr>
            </w:pPr>
            <w:r>
              <w:rPr>
                <w:rFonts w:ascii="Arial" w:cs="Arial" w:eastAsia="Arial" w:hAnsi="Arial"/>
                <w:sz w:val="11"/>
                <w:szCs w:val="11"/>
                <w:color w:val="auto"/>
              </w:rPr>
              <w:t>3.2</w:t>
            </w:r>
          </w:p>
        </w:tc>
        <w:tc>
          <w:tcPr>
            <w:tcW w:w="100" w:type="dxa"/>
            <w:vAlign w:val="bottom"/>
          </w:tcPr>
          <w:p>
            <w:pPr>
              <w:spacing w:after="0"/>
              <w:rPr>
                <w:sz w:val="13"/>
                <w:szCs w:val="13"/>
                <w:color w:val="auto"/>
              </w:rPr>
            </w:pPr>
          </w:p>
        </w:tc>
        <w:tc>
          <w:tcPr>
            <w:tcW w:w="3420" w:type="dxa"/>
            <w:vAlign w:val="bottom"/>
            <w:tcBorders>
              <w:top w:val="single" w:sz="8" w:color="0000FF"/>
            </w:tcBorders>
            <w:gridSpan w:val="4"/>
          </w:tcPr>
          <w:p>
            <w:pPr>
              <w:spacing w:after="0"/>
              <w:rPr>
                <w:rFonts w:ascii="Arial" w:cs="Arial" w:eastAsia="Arial" w:hAnsi="Arial"/>
                <w:sz w:val="11"/>
                <w:szCs w:val="11"/>
                <w:color w:val="0000FF"/>
              </w:rPr>
            </w:pPr>
            <w:hyperlink r:id="rId244">
              <w:r>
                <w:rPr>
                  <w:rFonts w:ascii="Arial" w:cs="Arial" w:eastAsia="Arial" w:hAnsi="Arial"/>
                  <w:sz w:val="11"/>
                  <w:szCs w:val="11"/>
                  <w:color w:val="0000FF"/>
                </w:rPr>
                <w:t>Amended and Restated Bylaws of GoHealth, Inc.</w:t>
              </w:r>
            </w:hyperlink>
          </w:p>
        </w:tc>
        <w:tc>
          <w:tcPr>
            <w:tcW w:w="1540" w:type="dxa"/>
            <w:vAlign w:val="bottom"/>
            <w:gridSpan w:val="12"/>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1040" w:type="dxa"/>
            <w:vAlign w:val="bottom"/>
          </w:tcPr>
          <w:p>
            <w:pPr>
              <w:jc w:val="right"/>
              <w:ind w:right="383"/>
              <w:spacing w:after="0"/>
              <w:rPr>
                <w:sz w:val="20"/>
                <w:szCs w:val="20"/>
                <w:color w:val="auto"/>
              </w:rPr>
            </w:pPr>
            <w:r>
              <w:rPr>
                <w:rFonts w:ascii="Arial" w:cs="Arial" w:eastAsia="Arial" w:hAnsi="Arial"/>
                <w:sz w:val="11"/>
                <w:szCs w:val="11"/>
                <w:color w:val="auto"/>
              </w:rPr>
              <w:t>4.1</w:t>
            </w:r>
          </w:p>
        </w:tc>
        <w:tc>
          <w:tcPr>
            <w:tcW w:w="100" w:type="dxa"/>
            <w:vAlign w:val="bottom"/>
          </w:tcPr>
          <w:p>
            <w:pPr>
              <w:spacing w:after="0"/>
              <w:rPr>
                <w:sz w:val="13"/>
                <w:szCs w:val="13"/>
                <w:color w:val="auto"/>
              </w:rPr>
            </w:pPr>
          </w:p>
        </w:tc>
        <w:tc>
          <w:tcPr>
            <w:tcW w:w="3840" w:type="dxa"/>
            <w:vAlign w:val="bottom"/>
            <w:tcBorders>
              <w:bottom w:val="single" w:sz="8" w:color="0000FF"/>
            </w:tcBorders>
            <w:gridSpan w:val="6"/>
          </w:tcPr>
          <w:p>
            <w:pPr>
              <w:spacing w:after="0"/>
              <w:rPr>
                <w:rFonts w:ascii="Arial" w:cs="Arial" w:eastAsia="Arial" w:hAnsi="Arial"/>
                <w:sz w:val="11"/>
                <w:szCs w:val="11"/>
                <w:color w:val="0000FF"/>
              </w:rPr>
            </w:pPr>
            <w:hyperlink r:id="rId245">
              <w:r>
                <w:rPr>
                  <w:rFonts w:ascii="Arial" w:cs="Arial" w:eastAsia="Arial" w:hAnsi="Arial"/>
                  <w:sz w:val="11"/>
                  <w:szCs w:val="11"/>
                  <w:color w:val="0000FF"/>
                </w:rPr>
                <w:t>Specimen Stock Certificate evidencing the shares of Class A common stock.</w:t>
              </w:r>
            </w:hyperlink>
          </w:p>
        </w:tc>
        <w:tc>
          <w:tcPr>
            <w:tcW w:w="1120" w:type="dxa"/>
            <w:vAlign w:val="bottom"/>
            <w:gridSpan w:val="10"/>
          </w:tcPr>
          <w:p>
            <w:pPr>
              <w:spacing w:after="0"/>
              <w:rPr>
                <w:sz w:val="13"/>
                <w:szCs w:val="13"/>
                <w:color w:val="auto"/>
              </w:rPr>
            </w:pPr>
          </w:p>
        </w:tc>
      </w:tr>
      <w:tr>
        <w:trPr>
          <w:trHeight w:val="404"/>
        </w:trPr>
        <w:tc>
          <w:tcPr>
            <w:tcW w:w="1040" w:type="dxa"/>
            <w:vAlign w:val="bottom"/>
          </w:tcPr>
          <w:p>
            <w:pPr>
              <w:jc w:val="right"/>
              <w:ind w:right="423"/>
              <w:spacing w:after="0"/>
              <w:rPr>
                <w:sz w:val="20"/>
                <w:szCs w:val="20"/>
                <w:color w:val="auto"/>
              </w:rPr>
            </w:pPr>
            <w:r>
              <w:rPr>
                <w:rFonts w:ascii="Arial" w:cs="Arial" w:eastAsia="Arial" w:hAnsi="Arial"/>
                <w:sz w:val="11"/>
                <w:szCs w:val="11"/>
                <w:color w:val="auto"/>
              </w:rPr>
              <w:t>4.2</w:t>
            </w:r>
          </w:p>
        </w:tc>
        <w:tc>
          <w:tcPr>
            <w:tcW w:w="100" w:type="dxa"/>
            <w:vAlign w:val="bottom"/>
          </w:tcPr>
          <w:p>
            <w:pPr>
              <w:spacing w:after="0"/>
              <w:rPr>
                <w:sz w:val="24"/>
                <w:szCs w:val="24"/>
                <w:color w:val="auto"/>
              </w:rPr>
            </w:pPr>
          </w:p>
        </w:tc>
        <w:tc>
          <w:tcPr>
            <w:tcW w:w="4960" w:type="dxa"/>
            <w:vAlign w:val="bottom"/>
            <w:gridSpan w:val="16"/>
          </w:tcPr>
          <w:p>
            <w:pPr>
              <w:spacing w:after="0"/>
              <w:rPr>
                <w:rFonts w:ascii="Arial" w:cs="Arial" w:eastAsia="Arial" w:hAnsi="Arial"/>
                <w:sz w:val="11"/>
                <w:szCs w:val="11"/>
                <w:color w:val="0000FF"/>
              </w:rPr>
            </w:pPr>
            <w:hyperlink r:id="rId246">
              <w:r>
                <w:rPr>
                  <w:rFonts w:ascii="Arial" w:cs="Arial" w:eastAsia="Arial" w:hAnsi="Arial"/>
                  <w:sz w:val="11"/>
                  <w:szCs w:val="11"/>
                  <w:color w:val="0000FF"/>
                </w:rPr>
                <w:t>Description of Registrant’s Securities</w:t>
              </w:r>
            </w:hyperlink>
          </w:p>
        </w:tc>
      </w:tr>
      <w:tr>
        <w:trPr>
          <w:trHeight w:val="20"/>
        </w:trPr>
        <w:tc>
          <w:tcPr>
            <w:tcW w:w="10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1040" w:type="dxa"/>
            <w:vAlign w:val="bottom"/>
          </w:tcPr>
          <w:p>
            <w:pPr>
              <w:jc w:val="right"/>
              <w:ind w:right="383"/>
              <w:spacing w:after="0"/>
              <w:rPr>
                <w:sz w:val="20"/>
                <w:szCs w:val="20"/>
                <w:color w:val="auto"/>
              </w:rPr>
            </w:pPr>
            <w:r>
              <w:rPr>
                <w:rFonts w:ascii="Arial" w:cs="Arial" w:eastAsia="Arial" w:hAnsi="Arial"/>
                <w:sz w:val="11"/>
                <w:szCs w:val="11"/>
                <w:color w:val="auto"/>
              </w:rPr>
              <w:t>10.1</w:t>
            </w:r>
          </w:p>
        </w:tc>
        <w:tc>
          <w:tcPr>
            <w:tcW w:w="100" w:type="dxa"/>
            <w:vAlign w:val="bottom"/>
          </w:tcPr>
          <w:p>
            <w:pPr>
              <w:spacing w:after="0"/>
              <w:rPr>
                <w:sz w:val="13"/>
                <w:szCs w:val="13"/>
                <w:color w:val="auto"/>
              </w:rPr>
            </w:pPr>
          </w:p>
        </w:tc>
        <w:tc>
          <w:tcPr>
            <w:tcW w:w="4960" w:type="dxa"/>
            <w:vAlign w:val="bottom"/>
            <w:gridSpan w:val="16"/>
          </w:tcPr>
          <w:p>
            <w:pPr>
              <w:spacing w:after="0"/>
              <w:rPr>
                <w:rFonts w:ascii="Arial" w:cs="Arial" w:eastAsia="Arial" w:hAnsi="Arial"/>
                <w:sz w:val="11"/>
                <w:szCs w:val="11"/>
                <w:color w:val="0000FF"/>
              </w:rPr>
            </w:pPr>
            <w:hyperlink r:id="rId247">
              <w:r>
                <w:rPr>
                  <w:rFonts w:ascii="Arial" w:cs="Arial" w:eastAsia="Arial" w:hAnsi="Arial"/>
                  <w:sz w:val="11"/>
                  <w:szCs w:val="11"/>
                  <w:color w:val="0000FF"/>
                </w:rPr>
                <w:t>Incremental Facility Agreement and Technical Amendment No. 2 to Credit Agreement, dated as of</w:t>
              </w:r>
            </w:hyperlink>
          </w:p>
        </w:tc>
      </w:tr>
      <w:tr>
        <w:trPr>
          <w:trHeight w:val="107"/>
        </w:trPr>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20" w:type="dxa"/>
            <w:vAlign w:val="bottom"/>
            <w:tcBorders>
              <w:top w:val="single" w:sz="8" w:color="0000FF"/>
            </w:tcBorders>
            <w:gridSpan w:val="12"/>
          </w:tcPr>
          <w:p>
            <w:pPr>
              <w:spacing w:after="0" w:line="107" w:lineRule="exact"/>
              <w:rPr>
                <w:rFonts w:ascii="Arial" w:cs="Arial" w:eastAsia="Arial" w:hAnsi="Arial"/>
                <w:sz w:val="11"/>
                <w:szCs w:val="11"/>
                <w:color w:val="0000FF"/>
              </w:rPr>
            </w:pPr>
            <w:hyperlink r:id="rId247">
              <w:r>
                <w:rPr>
                  <w:rFonts w:ascii="Arial" w:cs="Arial" w:eastAsia="Arial" w:hAnsi="Arial"/>
                  <w:sz w:val="11"/>
                  <w:szCs w:val="11"/>
                  <w:color w:val="0000FF"/>
                </w:rPr>
                <w:t>May 7, 2020, among Norvax, LLC, as borrower, Blizzard Midco, LLC, as a guarantor, the other</w:t>
              </w:r>
            </w:hyperlink>
          </w:p>
        </w:tc>
        <w:tc>
          <w:tcPr>
            <w:tcW w:w="140" w:type="dxa"/>
            <w:vAlign w:val="bottom"/>
            <w:gridSpan w:val="4"/>
          </w:tcPr>
          <w:p>
            <w:pPr>
              <w:spacing w:after="0"/>
              <w:rPr>
                <w:sz w:val="9"/>
                <w:szCs w:val="9"/>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292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7"/>
        </w:trPr>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760" w:type="dxa"/>
            <w:vAlign w:val="bottom"/>
            <w:tcBorders>
              <w:bottom w:val="single" w:sz="8" w:color="0000FF"/>
            </w:tcBorders>
            <w:gridSpan w:val="10"/>
          </w:tcPr>
          <w:p>
            <w:pPr>
              <w:spacing w:after="0" w:line="107" w:lineRule="exact"/>
              <w:rPr>
                <w:rFonts w:ascii="Arial" w:cs="Arial" w:eastAsia="Arial" w:hAnsi="Arial"/>
                <w:sz w:val="11"/>
                <w:szCs w:val="11"/>
                <w:color w:val="0000FF"/>
              </w:rPr>
            </w:pPr>
            <w:hyperlink r:id="rId247">
              <w:r>
                <w:rPr>
                  <w:rFonts w:ascii="Arial" w:cs="Arial" w:eastAsia="Arial" w:hAnsi="Arial"/>
                  <w:sz w:val="11"/>
                  <w:szCs w:val="11"/>
                  <w:color w:val="0000FF"/>
                </w:rPr>
                <w:t>guarantors party thereto, Owl Rock Capital Corporation, as administrative agent, collateral agent</w:t>
              </w:r>
            </w:hyperlink>
          </w:p>
        </w:tc>
        <w:tc>
          <w:tcPr>
            <w:tcW w:w="200" w:type="dxa"/>
            <w:vAlign w:val="bottom"/>
            <w:gridSpan w:val="6"/>
          </w:tcPr>
          <w:p>
            <w:pPr>
              <w:spacing w:after="0"/>
              <w:rPr>
                <w:sz w:val="9"/>
                <w:szCs w:val="9"/>
                <w:color w:val="auto"/>
              </w:rPr>
            </w:pPr>
          </w:p>
        </w:tc>
      </w:tr>
      <w:tr>
        <w:trPr>
          <w:trHeight w:val="107"/>
        </w:trPr>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960" w:type="dxa"/>
            <w:vAlign w:val="bottom"/>
            <w:gridSpan w:val="16"/>
          </w:tcPr>
          <w:p>
            <w:pPr>
              <w:spacing w:after="0" w:line="107" w:lineRule="exact"/>
              <w:rPr>
                <w:rFonts w:ascii="Arial" w:cs="Arial" w:eastAsia="Arial" w:hAnsi="Arial"/>
                <w:sz w:val="11"/>
                <w:szCs w:val="11"/>
                <w:color w:val="0000FF"/>
              </w:rPr>
            </w:pPr>
            <w:hyperlink r:id="rId247">
              <w:r>
                <w:rPr>
                  <w:rFonts w:ascii="Arial" w:cs="Arial" w:eastAsia="Arial" w:hAnsi="Arial"/>
                  <w:sz w:val="11"/>
                  <w:szCs w:val="11"/>
                  <w:color w:val="0000FF"/>
                </w:rPr>
                <w:t>and swingline lender and the other lenders from time to time party thereto.</w:t>
              </w:r>
            </w:hyperlink>
          </w:p>
        </w:tc>
      </w:tr>
      <w:tr>
        <w:trPr>
          <w:trHeight w:val="20"/>
        </w:trPr>
        <w:tc>
          <w:tcPr>
            <w:tcW w:w="10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292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1040" w:type="dxa"/>
            <w:vAlign w:val="bottom"/>
          </w:tcPr>
          <w:p>
            <w:pPr>
              <w:jc w:val="right"/>
              <w:ind w:right="383"/>
              <w:spacing w:after="0"/>
              <w:rPr>
                <w:sz w:val="20"/>
                <w:szCs w:val="20"/>
                <w:color w:val="auto"/>
              </w:rPr>
            </w:pPr>
            <w:r>
              <w:rPr>
                <w:rFonts w:ascii="Arial" w:cs="Arial" w:eastAsia="Arial" w:hAnsi="Arial"/>
                <w:sz w:val="11"/>
                <w:szCs w:val="11"/>
                <w:color w:val="auto"/>
              </w:rPr>
              <w:t>10.2</w:t>
            </w:r>
          </w:p>
        </w:tc>
        <w:tc>
          <w:tcPr>
            <w:tcW w:w="100" w:type="dxa"/>
            <w:vAlign w:val="bottom"/>
          </w:tcPr>
          <w:p>
            <w:pPr>
              <w:spacing w:after="0"/>
              <w:rPr>
                <w:sz w:val="13"/>
                <w:szCs w:val="13"/>
                <w:color w:val="auto"/>
              </w:rPr>
            </w:pPr>
          </w:p>
        </w:tc>
        <w:tc>
          <w:tcPr>
            <w:tcW w:w="4960" w:type="dxa"/>
            <w:vAlign w:val="bottom"/>
            <w:gridSpan w:val="16"/>
          </w:tcPr>
          <w:p>
            <w:pPr>
              <w:spacing w:after="0"/>
              <w:rPr>
                <w:rFonts w:ascii="Arial" w:cs="Arial" w:eastAsia="Arial" w:hAnsi="Arial"/>
                <w:sz w:val="11"/>
                <w:szCs w:val="11"/>
                <w:color w:val="0000FF"/>
              </w:rPr>
            </w:pPr>
            <w:hyperlink r:id="rId248">
              <w:r>
                <w:rPr>
                  <w:rFonts w:ascii="Arial" w:cs="Arial" w:eastAsia="Arial" w:hAnsi="Arial"/>
                  <w:sz w:val="11"/>
                  <w:szCs w:val="11"/>
                  <w:color w:val="0000FF"/>
                </w:rPr>
                <w:t>Incremental Facility Agreement and Technical Amendment No. 3 to Credit Agreement, dated as of</w:t>
              </w:r>
            </w:hyperlink>
          </w:p>
        </w:tc>
      </w:tr>
      <w:tr>
        <w:trPr>
          <w:trHeight w:val="107"/>
        </w:trPr>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20" w:type="dxa"/>
            <w:vAlign w:val="bottom"/>
            <w:tcBorders>
              <w:top w:val="single" w:sz="8" w:color="0000FF"/>
            </w:tcBorders>
            <w:gridSpan w:val="12"/>
          </w:tcPr>
          <w:p>
            <w:pPr>
              <w:spacing w:after="0" w:line="107" w:lineRule="exact"/>
              <w:rPr>
                <w:rFonts w:ascii="Arial" w:cs="Arial" w:eastAsia="Arial" w:hAnsi="Arial"/>
                <w:sz w:val="11"/>
                <w:szCs w:val="11"/>
                <w:color w:val="0000FF"/>
              </w:rPr>
            </w:pPr>
            <w:hyperlink r:id="rId248">
              <w:r>
                <w:rPr>
                  <w:rFonts w:ascii="Arial" w:cs="Arial" w:eastAsia="Arial" w:hAnsi="Arial"/>
                  <w:sz w:val="11"/>
                  <w:szCs w:val="11"/>
                  <w:color w:val="0000FF"/>
                </w:rPr>
                <w:t>June 11, 2020, among Norvax, LLC, as borrower, Blizzard Midco, LLC, as a guarantor, the other</w:t>
              </w:r>
            </w:hyperlink>
          </w:p>
        </w:tc>
        <w:tc>
          <w:tcPr>
            <w:tcW w:w="140" w:type="dxa"/>
            <w:vAlign w:val="bottom"/>
            <w:gridSpan w:val="4"/>
          </w:tcPr>
          <w:p>
            <w:pPr>
              <w:spacing w:after="0"/>
              <w:rPr>
                <w:sz w:val="9"/>
                <w:szCs w:val="9"/>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292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7"/>
        </w:trPr>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760" w:type="dxa"/>
            <w:vAlign w:val="bottom"/>
            <w:tcBorders>
              <w:bottom w:val="single" w:sz="8" w:color="0000FF"/>
            </w:tcBorders>
            <w:gridSpan w:val="10"/>
          </w:tcPr>
          <w:p>
            <w:pPr>
              <w:spacing w:after="0" w:line="107" w:lineRule="exact"/>
              <w:rPr>
                <w:rFonts w:ascii="Arial" w:cs="Arial" w:eastAsia="Arial" w:hAnsi="Arial"/>
                <w:sz w:val="11"/>
                <w:szCs w:val="11"/>
                <w:color w:val="0000FF"/>
              </w:rPr>
            </w:pPr>
            <w:hyperlink r:id="rId248">
              <w:r>
                <w:rPr>
                  <w:rFonts w:ascii="Arial" w:cs="Arial" w:eastAsia="Arial" w:hAnsi="Arial"/>
                  <w:sz w:val="11"/>
                  <w:szCs w:val="11"/>
                  <w:color w:val="0000FF"/>
                </w:rPr>
                <w:t>guarantors party thereto, Owl Rock Capital Corporation, as administrative agent, collateral agent</w:t>
              </w:r>
            </w:hyperlink>
          </w:p>
        </w:tc>
        <w:tc>
          <w:tcPr>
            <w:tcW w:w="200" w:type="dxa"/>
            <w:vAlign w:val="bottom"/>
            <w:gridSpan w:val="6"/>
          </w:tcPr>
          <w:p>
            <w:pPr>
              <w:spacing w:after="0"/>
              <w:rPr>
                <w:sz w:val="9"/>
                <w:szCs w:val="9"/>
                <w:color w:val="auto"/>
              </w:rPr>
            </w:pPr>
          </w:p>
        </w:tc>
      </w:tr>
      <w:tr>
        <w:trPr>
          <w:trHeight w:val="107"/>
        </w:trPr>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960" w:type="dxa"/>
            <w:vAlign w:val="bottom"/>
            <w:gridSpan w:val="16"/>
          </w:tcPr>
          <w:p>
            <w:pPr>
              <w:spacing w:after="0" w:line="107" w:lineRule="exact"/>
              <w:rPr>
                <w:rFonts w:ascii="Arial" w:cs="Arial" w:eastAsia="Arial" w:hAnsi="Arial"/>
                <w:sz w:val="11"/>
                <w:szCs w:val="11"/>
                <w:color w:val="0000FF"/>
              </w:rPr>
            </w:pPr>
            <w:hyperlink r:id="rId248">
              <w:r>
                <w:rPr>
                  <w:rFonts w:ascii="Arial" w:cs="Arial" w:eastAsia="Arial" w:hAnsi="Arial"/>
                  <w:sz w:val="11"/>
                  <w:szCs w:val="11"/>
                  <w:color w:val="0000FF"/>
                </w:rPr>
                <w:t>and swingline lender and the other lenders from time to time party thereto.</w:t>
              </w:r>
            </w:hyperlink>
          </w:p>
        </w:tc>
      </w:tr>
      <w:tr>
        <w:trPr>
          <w:trHeight w:val="20"/>
        </w:trPr>
        <w:tc>
          <w:tcPr>
            <w:tcW w:w="10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292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1040" w:type="dxa"/>
            <w:vAlign w:val="bottom"/>
          </w:tcPr>
          <w:p>
            <w:pPr>
              <w:jc w:val="right"/>
              <w:ind w:right="383"/>
              <w:spacing w:after="0"/>
              <w:rPr>
                <w:sz w:val="20"/>
                <w:szCs w:val="20"/>
                <w:color w:val="auto"/>
              </w:rPr>
            </w:pPr>
            <w:r>
              <w:rPr>
                <w:rFonts w:ascii="Arial" w:cs="Arial" w:eastAsia="Arial" w:hAnsi="Arial"/>
                <w:sz w:val="11"/>
                <w:szCs w:val="11"/>
                <w:color w:val="auto"/>
              </w:rPr>
              <w:t>10.3</w:t>
            </w:r>
          </w:p>
        </w:tc>
        <w:tc>
          <w:tcPr>
            <w:tcW w:w="100" w:type="dxa"/>
            <w:vAlign w:val="bottom"/>
          </w:tcPr>
          <w:p>
            <w:pPr>
              <w:spacing w:after="0"/>
              <w:rPr>
                <w:sz w:val="13"/>
                <w:szCs w:val="13"/>
                <w:color w:val="auto"/>
              </w:rPr>
            </w:pPr>
          </w:p>
        </w:tc>
        <w:tc>
          <w:tcPr>
            <w:tcW w:w="4960" w:type="dxa"/>
            <w:vAlign w:val="bottom"/>
            <w:gridSpan w:val="16"/>
          </w:tcPr>
          <w:p>
            <w:pPr>
              <w:spacing w:after="0"/>
              <w:rPr>
                <w:rFonts w:ascii="Arial" w:cs="Arial" w:eastAsia="Arial" w:hAnsi="Arial"/>
                <w:sz w:val="11"/>
                <w:szCs w:val="11"/>
                <w:color w:val="0000FF"/>
              </w:rPr>
            </w:pPr>
            <w:hyperlink r:id="rId249">
              <w:r>
                <w:rPr>
                  <w:rFonts w:ascii="Arial" w:cs="Arial" w:eastAsia="Arial" w:hAnsi="Arial"/>
                  <w:sz w:val="11"/>
                  <w:szCs w:val="11"/>
                  <w:color w:val="0000FF"/>
                </w:rPr>
                <w:t>Amendment No. 4 to the Credit Agreement and Incremental Facility Agreement, dated as of May 7,</w:t>
              </w:r>
            </w:hyperlink>
          </w:p>
        </w:tc>
      </w:tr>
      <w:tr>
        <w:trPr>
          <w:trHeight w:val="107"/>
        </w:trPr>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80" w:type="dxa"/>
            <w:vAlign w:val="bottom"/>
            <w:tcBorders>
              <w:top w:val="single" w:sz="8" w:color="0000FF"/>
            </w:tcBorders>
            <w:gridSpan w:val="14"/>
          </w:tcPr>
          <w:p>
            <w:pPr>
              <w:spacing w:after="0" w:line="107" w:lineRule="exact"/>
              <w:rPr>
                <w:rFonts w:ascii="Arial" w:cs="Arial" w:eastAsia="Arial" w:hAnsi="Arial"/>
                <w:sz w:val="11"/>
                <w:szCs w:val="11"/>
                <w:color w:val="0000FF"/>
              </w:rPr>
            </w:pPr>
            <w:hyperlink r:id="rId249">
              <w:r>
                <w:rPr>
                  <w:rFonts w:ascii="Arial" w:cs="Arial" w:eastAsia="Arial" w:hAnsi="Arial"/>
                  <w:sz w:val="11"/>
                  <w:szCs w:val="11"/>
                  <w:color w:val="0000FF"/>
                </w:rPr>
                <w:t>2021, among Norvax, LLC, as borrower, Blizzard Midco, LLC, as a guarantor, the other guarantors</w:t>
              </w:r>
            </w:hyperlink>
          </w:p>
        </w:tc>
        <w:tc>
          <w:tcPr>
            <w:tcW w:w="80" w:type="dxa"/>
            <w:vAlign w:val="bottom"/>
            <w:gridSpan w:val="2"/>
          </w:tcPr>
          <w:p>
            <w:pPr>
              <w:spacing w:after="0"/>
              <w:rPr>
                <w:sz w:val="9"/>
                <w:szCs w:val="9"/>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2920" w:type="dxa"/>
            <w:vAlign w:val="bottom"/>
            <w:gridSpan w:val="3"/>
            <w:shd w:val="clear" w:color="auto" w:fill="0000FF"/>
          </w:tcPr>
          <w:p>
            <w:pPr>
              <w:spacing w:after="0" w:line="20" w:lineRule="exact"/>
              <w:rPr>
                <w:sz w:val="1"/>
                <w:szCs w:val="1"/>
                <w:color w:val="auto"/>
              </w:rPr>
            </w:pPr>
          </w:p>
        </w:tc>
        <w:tc>
          <w:tcPr>
            <w:tcW w:w="1540" w:type="dxa"/>
            <w:vAlign w:val="bottom"/>
            <w:gridSpan w:val="4"/>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7"/>
        </w:trPr>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900" w:type="dxa"/>
            <w:vAlign w:val="bottom"/>
            <w:tcBorders>
              <w:bottom w:val="single" w:sz="8" w:color="0000FF"/>
            </w:tcBorders>
            <w:gridSpan w:val="15"/>
          </w:tcPr>
          <w:p>
            <w:pPr>
              <w:spacing w:after="0" w:line="107" w:lineRule="exact"/>
              <w:rPr>
                <w:rFonts w:ascii="Arial" w:cs="Arial" w:eastAsia="Arial" w:hAnsi="Arial"/>
                <w:sz w:val="11"/>
                <w:szCs w:val="11"/>
                <w:color w:val="0000FF"/>
              </w:rPr>
            </w:pPr>
            <w:hyperlink r:id="rId249">
              <w:r>
                <w:rPr>
                  <w:rFonts w:ascii="Arial" w:cs="Arial" w:eastAsia="Arial" w:hAnsi="Arial"/>
                  <w:sz w:val="11"/>
                  <w:szCs w:val="11"/>
                  <w:color w:val="0000FF"/>
                </w:rPr>
                <w:t>party thereto, Owl Rock Capital Corporation, as administrative agent, collateral agent and swingline</w:t>
              </w:r>
            </w:hyperlink>
          </w:p>
        </w:tc>
        <w:tc>
          <w:tcPr>
            <w:tcW w:w="60" w:type="dxa"/>
            <w:vAlign w:val="bottom"/>
          </w:tcPr>
          <w:p>
            <w:pPr>
              <w:spacing w:after="0"/>
              <w:rPr>
                <w:sz w:val="9"/>
                <w:szCs w:val="9"/>
                <w:color w:val="auto"/>
              </w:rPr>
            </w:pPr>
          </w:p>
        </w:tc>
      </w:tr>
      <w:tr>
        <w:trPr>
          <w:trHeight w:val="107"/>
        </w:trPr>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960" w:type="dxa"/>
            <w:vAlign w:val="bottom"/>
            <w:gridSpan w:val="16"/>
          </w:tcPr>
          <w:p>
            <w:pPr>
              <w:spacing w:after="0" w:line="107" w:lineRule="exact"/>
              <w:rPr>
                <w:rFonts w:ascii="Arial" w:cs="Arial" w:eastAsia="Arial" w:hAnsi="Arial"/>
                <w:sz w:val="11"/>
                <w:szCs w:val="11"/>
                <w:color w:val="0000FF"/>
              </w:rPr>
            </w:pPr>
            <w:hyperlink r:id="rId249">
              <w:r>
                <w:rPr>
                  <w:rFonts w:ascii="Arial" w:cs="Arial" w:eastAsia="Arial" w:hAnsi="Arial"/>
                  <w:sz w:val="11"/>
                  <w:szCs w:val="11"/>
                  <w:color w:val="0000FF"/>
                </w:rPr>
                <w:t>lender and the other lenders from time to time party thereto.</w:t>
              </w:r>
            </w:hyperlink>
          </w:p>
        </w:tc>
      </w:tr>
      <w:tr>
        <w:trPr>
          <w:trHeight w:val="20"/>
        </w:trPr>
        <w:tc>
          <w:tcPr>
            <w:tcW w:w="10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2920" w:type="dxa"/>
            <w:vAlign w:val="bottom"/>
            <w:gridSpan w:val="3"/>
            <w:shd w:val="clear" w:color="auto" w:fill="0000FF"/>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150"/>
        </w:trPr>
        <w:tc>
          <w:tcPr>
            <w:tcW w:w="1040" w:type="dxa"/>
            <w:vAlign w:val="bottom"/>
          </w:tcPr>
          <w:p>
            <w:pPr>
              <w:jc w:val="right"/>
              <w:ind w:right="383"/>
              <w:spacing w:after="0"/>
              <w:rPr>
                <w:sz w:val="20"/>
                <w:szCs w:val="20"/>
                <w:color w:val="auto"/>
              </w:rPr>
            </w:pPr>
            <w:r>
              <w:rPr>
                <w:rFonts w:ascii="Arial" w:cs="Arial" w:eastAsia="Arial" w:hAnsi="Arial"/>
                <w:sz w:val="11"/>
                <w:szCs w:val="11"/>
                <w:color w:val="auto"/>
              </w:rPr>
              <w:t>10.4</w:t>
            </w:r>
          </w:p>
        </w:tc>
        <w:tc>
          <w:tcPr>
            <w:tcW w:w="100" w:type="dxa"/>
            <w:vAlign w:val="bottom"/>
          </w:tcPr>
          <w:p>
            <w:pPr>
              <w:spacing w:after="0"/>
              <w:rPr>
                <w:sz w:val="13"/>
                <w:szCs w:val="13"/>
                <w:color w:val="auto"/>
              </w:rPr>
            </w:pPr>
          </w:p>
        </w:tc>
        <w:tc>
          <w:tcPr>
            <w:tcW w:w="4800" w:type="dxa"/>
            <w:vAlign w:val="bottom"/>
            <w:tcBorders>
              <w:bottom w:val="single" w:sz="8" w:color="0000FF"/>
            </w:tcBorders>
            <w:gridSpan w:val="11"/>
          </w:tcPr>
          <w:p>
            <w:pPr>
              <w:spacing w:after="0"/>
              <w:rPr>
                <w:rFonts w:ascii="Arial" w:cs="Arial" w:eastAsia="Arial" w:hAnsi="Arial"/>
                <w:sz w:val="11"/>
                <w:szCs w:val="11"/>
                <w:color w:val="0000FF"/>
              </w:rPr>
            </w:pPr>
            <w:hyperlink r:id="rId250">
              <w:r>
                <w:rPr>
                  <w:rFonts w:ascii="Arial" w:cs="Arial" w:eastAsia="Arial" w:hAnsi="Arial"/>
                  <w:sz w:val="11"/>
                  <w:szCs w:val="11"/>
                  <w:color w:val="0000FF"/>
                </w:rPr>
                <w:t>Amendment No. 5 to the Credit Agreement and Incremental Facility Agreement, dated as of June</w:t>
              </w:r>
            </w:hyperlink>
          </w:p>
        </w:tc>
        <w:tc>
          <w:tcPr>
            <w:tcW w:w="160" w:type="dxa"/>
            <w:vAlign w:val="bottom"/>
            <w:gridSpan w:val="5"/>
          </w:tcPr>
          <w:p>
            <w:pPr>
              <w:spacing w:after="0"/>
              <w:rPr>
                <w:sz w:val="13"/>
                <w:szCs w:val="13"/>
                <w:color w:val="auto"/>
              </w:rPr>
            </w:pPr>
          </w:p>
        </w:tc>
      </w:tr>
      <w:tr>
        <w:trPr>
          <w:trHeight w:val="107"/>
        </w:trPr>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960" w:type="dxa"/>
            <w:vAlign w:val="bottom"/>
            <w:gridSpan w:val="16"/>
          </w:tcPr>
          <w:p>
            <w:pPr>
              <w:spacing w:after="0" w:line="107" w:lineRule="exact"/>
              <w:rPr>
                <w:rFonts w:ascii="Arial" w:cs="Arial" w:eastAsia="Arial" w:hAnsi="Arial"/>
                <w:sz w:val="11"/>
                <w:szCs w:val="11"/>
                <w:color w:val="0000FF"/>
              </w:rPr>
            </w:pPr>
            <w:hyperlink r:id="rId250">
              <w:r>
                <w:rPr>
                  <w:rFonts w:ascii="Arial" w:cs="Arial" w:eastAsia="Arial" w:hAnsi="Arial"/>
                  <w:sz w:val="11"/>
                  <w:szCs w:val="11"/>
                  <w:color w:val="0000FF"/>
                </w:rPr>
                <w:t>11, 2021, among Norvax, LLC, as borrower, Blizzard Midco, LLC, as a guarantor, the other</w:t>
              </w:r>
            </w:hyperlink>
          </w:p>
        </w:tc>
      </w:tr>
      <w:tr>
        <w:trPr>
          <w:trHeight w:val="20"/>
        </w:trPr>
        <w:tc>
          <w:tcPr>
            <w:tcW w:w="10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460" w:type="dxa"/>
            <w:vAlign w:val="bottom"/>
            <w:gridSpan w:val="7"/>
            <w:shd w:val="clear" w:color="auto" w:fill="0000FF"/>
          </w:tcPr>
          <w:p>
            <w:pPr>
              <w:spacing w:after="0" w:line="20" w:lineRule="exact"/>
              <w:rPr>
                <w:sz w:val="1"/>
                <w:szCs w:val="1"/>
                <w:color w:val="auto"/>
              </w:rPr>
            </w:pPr>
          </w:p>
        </w:tc>
        <w:tc>
          <w:tcPr>
            <w:tcW w:w="500" w:type="dxa"/>
            <w:vAlign w:val="bottom"/>
            <w:gridSpan w:val="9"/>
          </w:tcPr>
          <w:p>
            <w:pPr>
              <w:spacing w:after="0" w:line="20" w:lineRule="exact"/>
              <w:rPr>
                <w:sz w:val="1"/>
                <w:szCs w:val="1"/>
                <w:color w:val="auto"/>
              </w:rPr>
            </w:pPr>
          </w:p>
        </w:tc>
      </w:tr>
      <w:tr>
        <w:trPr>
          <w:trHeight w:val="107"/>
        </w:trPr>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760" w:type="dxa"/>
            <w:vAlign w:val="bottom"/>
            <w:tcBorders>
              <w:bottom w:val="single" w:sz="8" w:color="0000FF"/>
            </w:tcBorders>
            <w:gridSpan w:val="10"/>
          </w:tcPr>
          <w:p>
            <w:pPr>
              <w:spacing w:after="0" w:line="107" w:lineRule="exact"/>
              <w:rPr>
                <w:rFonts w:ascii="Arial" w:cs="Arial" w:eastAsia="Arial" w:hAnsi="Arial"/>
                <w:sz w:val="11"/>
                <w:szCs w:val="11"/>
                <w:color w:val="0000FF"/>
              </w:rPr>
            </w:pPr>
            <w:hyperlink r:id="rId250">
              <w:r>
                <w:rPr>
                  <w:rFonts w:ascii="Arial" w:cs="Arial" w:eastAsia="Arial" w:hAnsi="Arial"/>
                  <w:sz w:val="11"/>
                  <w:szCs w:val="11"/>
                  <w:color w:val="0000FF"/>
                </w:rPr>
                <w:t>guarantors party thereto, Owl Rock Capital Corporation, as administrative agent, collateral agent</w:t>
              </w:r>
            </w:hyperlink>
          </w:p>
        </w:tc>
        <w:tc>
          <w:tcPr>
            <w:tcW w:w="200" w:type="dxa"/>
            <w:vAlign w:val="bottom"/>
            <w:gridSpan w:val="6"/>
          </w:tcPr>
          <w:p>
            <w:pPr>
              <w:spacing w:after="0"/>
              <w:rPr>
                <w:sz w:val="9"/>
                <w:szCs w:val="9"/>
                <w:color w:val="auto"/>
              </w:rPr>
            </w:pPr>
          </w:p>
        </w:tc>
      </w:tr>
      <w:tr>
        <w:trPr>
          <w:trHeight w:val="107"/>
        </w:trPr>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960" w:type="dxa"/>
            <w:vAlign w:val="bottom"/>
            <w:gridSpan w:val="16"/>
          </w:tcPr>
          <w:p>
            <w:pPr>
              <w:spacing w:after="0" w:line="107" w:lineRule="exact"/>
              <w:rPr>
                <w:rFonts w:ascii="Arial" w:cs="Arial" w:eastAsia="Arial" w:hAnsi="Arial"/>
                <w:sz w:val="11"/>
                <w:szCs w:val="11"/>
                <w:color w:val="0000FF"/>
              </w:rPr>
            </w:pPr>
            <w:hyperlink r:id="rId250">
              <w:r>
                <w:rPr>
                  <w:rFonts w:ascii="Arial" w:cs="Arial" w:eastAsia="Arial" w:hAnsi="Arial"/>
                  <w:sz w:val="11"/>
                  <w:szCs w:val="11"/>
                  <w:color w:val="0000FF"/>
                </w:rPr>
                <w:t>and swingline lender and the other lenders from time to time party thereto.</w:t>
              </w:r>
            </w:hyperlink>
          </w:p>
        </w:tc>
      </w:tr>
      <w:tr>
        <w:trPr>
          <w:trHeight w:val="20"/>
        </w:trPr>
        <w:tc>
          <w:tcPr>
            <w:tcW w:w="10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0"/>
        </w:trPr>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4"/>
          </w:tcPr>
          <w:p>
            <w:pPr>
              <w:ind w:left="480"/>
              <w:spacing w:after="0"/>
              <w:rPr>
                <w:sz w:val="20"/>
                <w:szCs w:val="20"/>
                <w:color w:val="auto"/>
              </w:rPr>
            </w:pPr>
            <w:r>
              <w:rPr>
                <w:rFonts w:ascii="Arial" w:cs="Arial" w:eastAsia="Arial" w:hAnsi="Arial"/>
                <w:sz w:val="11"/>
                <w:szCs w:val="11"/>
                <w:b w:val="1"/>
                <w:bCs w:val="1"/>
                <w:color w:val="auto"/>
              </w:rPr>
              <w:t>Incorporated by Reference</w:t>
            </w: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27"/>
        </w:trPr>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center"/>
              <w:spacing w:after="0"/>
              <w:rPr>
                <w:sz w:val="20"/>
                <w:szCs w:val="20"/>
                <w:color w:val="auto"/>
              </w:rPr>
            </w:pPr>
            <w:r>
              <w:rPr>
                <w:rFonts w:ascii="Arial" w:cs="Arial" w:eastAsia="Arial" w:hAnsi="Arial"/>
                <w:sz w:val="11"/>
                <w:szCs w:val="11"/>
                <w:b w:val="1"/>
                <w:bCs w:val="1"/>
                <w:color w:val="auto"/>
              </w:rPr>
              <w:t>Filed/</w:t>
            </w:r>
          </w:p>
        </w:tc>
      </w:tr>
      <w:tr>
        <w:trPr>
          <w:trHeight w:val="127"/>
        </w:trPr>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Filing</w:t>
            </w:r>
          </w:p>
        </w:tc>
        <w:tc>
          <w:tcPr>
            <w:tcW w:w="1100" w:type="dxa"/>
            <w:vAlign w:val="bottom"/>
          </w:tcPr>
          <w:p>
            <w:pPr>
              <w:jc w:val="center"/>
              <w:spacing w:after="0"/>
              <w:rPr>
                <w:sz w:val="20"/>
                <w:szCs w:val="20"/>
                <w:color w:val="auto"/>
              </w:rPr>
            </w:pPr>
            <w:r>
              <w:rPr>
                <w:rFonts w:ascii="Arial" w:cs="Arial" w:eastAsia="Arial" w:hAnsi="Arial"/>
                <w:sz w:val="11"/>
                <w:szCs w:val="11"/>
                <w:b w:val="1"/>
                <w:bCs w:val="1"/>
                <w:color w:val="auto"/>
              </w:rPr>
              <w:t>Furnished</w:t>
            </w:r>
          </w:p>
        </w:tc>
      </w:tr>
      <w:tr>
        <w:trPr>
          <w:trHeight w:val="155"/>
        </w:trPr>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Form</w:t>
            </w:r>
          </w:p>
        </w:tc>
        <w:tc>
          <w:tcPr>
            <w:tcW w:w="100" w:type="dxa"/>
            <w:vAlign w:val="bottom"/>
          </w:tcPr>
          <w:p>
            <w:pPr>
              <w:spacing w:after="0"/>
              <w:rPr>
                <w:sz w:val="13"/>
                <w:szCs w:val="13"/>
                <w:color w:val="auto"/>
              </w:rPr>
            </w:pPr>
          </w:p>
        </w:tc>
        <w:tc>
          <w:tcPr>
            <w:tcW w:w="1200" w:type="dxa"/>
            <w:vAlign w:val="bottom"/>
            <w:tcBorders>
              <w:bottom w:val="single" w:sz="8" w:color="auto"/>
            </w:tcBorders>
          </w:tcPr>
          <w:p>
            <w:pPr>
              <w:ind w:left="400"/>
              <w:spacing w:after="0"/>
              <w:rPr>
                <w:sz w:val="20"/>
                <w:szCs w:val="20"/>
                <w:color w:val="auto"/>
              </w:rPr>
            </w:pPr>
            <w:r>
              <w:rPr>
                <w:rFonts w:ascii="Arial" w:cs="Arial" w:eastAsia="Arial" w:hAnsi="Arial"/>
                <w:sz w:val="11"/>
                <w:szCs w:val="11"/>
                <w:b w:val="1"/>
                <w:bCs w:val="1"/>
                <w:color w:val="auto"/>
              </w:rPr>
              <w:t>File No.</w:t>
            </w:r>
          </w:p>
        </w:tc>
        <w:tc>
          <w:tcPr>
            <w:tcW w:w="100" w:type="dxa"/>
            <w:vAlign w:val="bottom"/>
          </w:tcPr>
          <w:p>
            <w:pPr>
              <w:spacing w:after="0"/>
              <w:rPr>
                <w:sz w:val="13"/>
                <w:szCs w:val="13"/>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1"/>
                <w:szCs w:val="11"/>
                <w:b w:val="1"/>
                <w:bCs w:val="1"/>
                <w:color w:val="auto"/>
              </w:rPr>
              <w:t>Exhibit</w:t>
            </w:r>
          </w:p>
        </w:tc>
        <w:tc>
          <w:tcPr>
            <w:tcW w:w="10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Date</w:t>
            </w:r>
          </w:p>
        </w:tc>
        <w:tc>
          <w:tcPr>
            <w:tcW w:w="100" w:type="dxa"/>
            <w:vAlign w:val="bottom"/>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Herewith</w:t>
            </w:r>
          </w:p>
        </w:tc>
      </w:tr>
      <w:tr>
        <w:trPr>
          <w:trHeight w:val="156"/>
        </w:trPr>
        <w:tc>
          <w:tcPr>
            <w:tcW w:w="740" w:type="dxa"/>
            <w:vAlign w:val="bottom"/>
            <w:gridSpan w:val="2"/>
          </w:tcPr>
          <w:p>
            <w:pPr>
              <w:jc w:val="center"/>
              <w:ind w:right="100"/>
              <w:spacing w:after="0"/>
              <w:rPr>
                <w:sz w:val="20"/>
                <w:szCs w:val="20"/>
                <w:color w:val="auto"/>
              </w:rPr>
            </w:pPr>
            <w:r>
              <w:rPr>
                <w:rFonts w:ascii="Arial" w:cs="Arial" w:eastAsia="Arial" w:hAnsi="Arial"/>
                <w:sz w:val="11"/>
                <w:szCs w:val="11"/>
                <w:color w:val="auto"/>
                <w:w w:val="97"/>
              </w:rPr>
              <w:t>10-Q</w:t>
            </w:r>
          </w:p>
        </w:tc>
        <w:tc>
          <w:tcPr>
            <w:tcW w:w="1200" w:type="dxa"/>
            <w:vAlign w:val="bottom"/>
          </w:tcPr>
          <w:p>
            <w:pPr>
              <w:jc w:val="center"/>
              <w:spacing w:after="0"/>
              <w:rPr>
                <w:sz w:val="20"/>
                <w:szCs w:val="20"/>
                <w:color w:val="auto"/>
              </w:rPr>
            </w:pPr>
            <w:r>
              <w:rPr>
                <w:rFonts w:ascii="Arial" w:cs="Arial" w:eastAsia="Arial" w:hAnsi="Arial"/>
                <w:sz w:val="11"/>
                <w:szCs w:val="11"/>
                <w:color w:val="auto"/>
              </w:rPr>
              <w:t>01-39390</w:t>
            </w:r>
          </w:p>
        </w:tc>
        <w:tc>
          <w:tcPr>
            <w:tcW w:w="1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1"/>
                <w:szCs w:val="11"/>
                <w:color w:val="auto"/>
              </w:rPr>
              <w:t>8/20/2020</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0"/>
        </w:trPr>
        <w:tc>
          <w:tcPr>
            <w:tcW w:w="740" w:type="dxa"/>
            <w:vAlign w:val="bottom"/>
            <w:gridSpan w:val="2"/>
          </w:tcPr>
          <w:p>
            <w:pPr>
              <w:jc w:val="center"/>
              <w:ind w:right="100"/>
              <w:spacing w:after="0"/>
              <w:rPr>
                <w:sz w:val="20"/>
                <w:szCs w:val="20"/>
                <w:color w:val="auto"/>
              </w:rPr>
            </w:pPr>
            <w:r>
              <w:rPr>
                <w:rFonts w:ascii="Arial" w:cs="Arial" w:eastAsia="Arial" w:hAnsi="Arial"/>
                <w:sz w:val="11"/>
                <w:szCs w:val="11"/>
                <w:color w:val="auto"/>
                <w:w w:val="97"/>
              </w:rPr>
              <w:t>10-Q</w:t>
            </w:r>
          </w:p>
        </w:tc>
        <w:tc>
          <w:tcPr>
            <w:tcW w:w="1200" w:type="dxa"/>
            <w:vAlign w:val="bottom"/>
          </w:tcPr>
          <w:p>
            <w:pPr>
              <w:jc w:val="center"/>
              <w:spacing w:after="0"/>
              <w:rPr>
                <w:sz w:val="20"/>
                <w:szCs w:val="20"/>
                <w:color w:val="auto"/>
              </w:rPr>
            </w:pPr>
            <w:r>
              <w:rPr>
                <w:rFonts w:ascii="Arial" w:cs="Arial" w:eastAsia="Arial" w:hAnsi="Arial"/>
                <w:sz w:val="11"/>
                <w:szCs w:val="11"/>
                <w:color w:val="auto"/>
              </w:rPr>
              <w:t>01-39390</w:t>
            </w: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rPr>
              <w:t>3.2</w:t>
            </w:r>
          </w:p>
        </w:tc>
        <w:tc>
          <w:tcPr>
            <w:tcW w:w="1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1"/>
                <w:szCs w:val="11"/>
                <w:color w:val="auto"/>
              </w:rPr>
              <w:t>8/20/2020</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740" w:type="dxa"/>
            <w:vAlign w:val="bottom"/>
            <w:gridSpan w:val="2"/>
          </w:tcPr>
          <w:p>
            <w:pPr>
              <w:jc w:val="center"/>
              <w:ind w:right="100"/>
              <w:spacing w:after="0"/>
              <w:rPr>
                <w:sz w:val="20"/>
                <w:szCs w:val="20"/>
                <w:color w:val="auto"/>
              </w:rPr>
            </w:pPr>
            <w:r>
              <w:rPr>
                <w:rFonts w:ascii="Arial" w:cs="Arial" w:eastAsia="Arial" w:hAnsi="Arial"/>
                <w:sz w:val="11"/>
                <w:szCs w:val="11"/>
                <w:color w:val="auto"/>
                <w:w w:val="93"/>
              </w:rPr>
              <w:t>S-1</w:t>
            </w:r>
          </w:p>
        </w:tc>
        <w:tc>
          <w:tcPr>
            <w:tcW w:w="1200" w:type="dxa"/>
            <w:vAlign w:val="bottom"/>
          </w:tcPr>
          <w:p>
            <w:pPr>
              <w:jc w:val="center"/>
              <w:spacing w:after="0"/>
              <w:rPr>
                <w:sz w:val="20"/>
                <w:szCs w:val="20"/>
                <w:color w:val="auto"/>
              </w:rPr>
            </w:pPr>
            <w:r>
              <w:rPr>
                <w:rFonts w:ascii="Arial" w:cs="Arial" w:eastAsia="Arial" w:hAnsi="Arial"/>
                <w:sz w:val="11"/>
                <w:szCs w:val="11"/>
                <w:color w:val="auto"/>
              </w:rPr>
              <w:t>333-239287</w:t>
            </w: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rPr>
              <w:t>4.1</w:t>
            </w:r>
          </w:p>
        </w:tc>
        <w:tc>
          <w:tcPr>
            <w:tcW w:w="1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1"/>
                <w:szCs w:val="11"/>
                <w:color w:val="auto"/>
              </w:rPr>
              <w:t>6/19/2020</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424"/>
        </w:trPr>
        <w:tc>
          <w:tcPr>
            <w:tcW w:w="740" w:type="dxa"/>
            <w:vAlign w:val="bottom"/>
            <w:gridSpan w:val="2"/>
          </w:tcPr>
          <w:p>
            <w:pPr>
              <w:jc w:val="center"/>
              <w:ind w:right="100"/>
              <w:spacing w:after="0"/>
              <w:rPr>
                <w:sz w:val="20"/>
                <w:szCs w:val="20"/>
                <w:color w:val="auto"/>
              </w:rPr>
            </w:pPr>
            <w:r>
              <w:rPr>
                <w:rFonts w:ascii="Arial" w:cs="Arial" w:eastAsia="Arial" w:hAnsi="Arial"/>
                <w:sz w:val="11"/>
                <w:szCs w:val="11"/>
                <w:color w:val="auto"/>
              </w:rPr>
              <w:t>10-K</w:t>
            </w:r>
          </w:p>
        </w:tc>
        <w:tc>
          <w:tcPr>
            <w:tcW w:w="1200" w:type="dxa"/>
            <w:vAlign w:val="bottom"/>
          </w:tcPr>
          <w:p>
            <w:pPr>
              <w:jc w:val="center"/>
              <w:spacing w:after="0"/>
              <w:rPr>
                <w:sz w:val="20"/>
                <w:szCs w:val="20"/>
                <w:color w:val="auto"/>
              </w:rPr>
            </w:pPr>
            <w:r>
              <w:rPr>
                <w:rFonts w:ascii="Arial" w:cs="Arial" w:eastAsia="Arial" w:hAnsi="Arial"/>
                <w:sz w:val="11"/>
                <w:szCs w:val="11"/>
                <w:color w:val="auto"/>
              </w:rPr>
              <w:t>01-39390</w:t>
            </w:r>
          </w:p>
        </w:tc>
        <w:tc>
          <w:tcPr>
            <w:tcW w:w="1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rPr>
              <w:t>4.2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1"/>
                <w:szCs w:val="11"/>
                <w:color w:val="auto"/>
              </w:rPr>
              <w:t>3/16/2021</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61"/>
        </w:trPr>
        <w:tc>
          <w:tcPr>
            <w:tcW w:w="740" w:type="dxa"/>
            <w:vAlign w:val="bottom"/>
            <w:gridSpan w:val="2"/>
          </w:tcPr>
          <w:p>
            <w:pPr>
              <w:jc w:val="center"/>
              <w:ind w:right="100"/>
              <w:spacing w:after="0"/>
              <w:rPr>
                <w:sz w:val="20"/>
                <w:szCs w:val="20"/>
                <w:color w:val="auto"/>
              </w:rPr>
            </w:pPr>
            <w:r>
              <w:rPr>
                <w:rFonts w:ascii="Arial" w:cs="Arial" w:eastAsia="Arial" w:hAnsi="Arial"/>
                <w:sz w:val="11"/>
                <w:szCs w:val="11"/>
                <w:color w:val="auto"/>
                <w:w w:val="93"/>
              </w:rPr>
              <w:t>S-1</w:t>
            </w:r>
          </w:p>
        </w:tc>
        <w:tc>
          <w:tcPr>
            <w:tcW w:w="1200" w:type="dxa"/>
            <w:vAlign w:val="bottom"/>
          </w:tcPr>
          <w:p>
            <w:pPr>
              <w:jc w:val="center"/>
              <w:spacing w:after="0"/>
              <w:rPr>
                <w:sz w:val="20"/>
                <w:szCs w:val="20"/>
                <w:color w:val="auto"/>
              </w:rPr>
            </w:pPr>
            <w:r>
              <w:rPr>
                <w:rFonts w:ascii="Arial" w:cs="Arial" w:eastAsia="Arial" w:hAnsi="Arial"/>
                <w:sz w:val="11"/>
                <w:szCs w:val="11"/>
                <w:color w:val="auto"/>
              </w:rPr>
              <w:t>333-239287</w:t>
            </w:r>
          </w:p>
        </w:tc>
        <w:tc>
          <w:tcPr>
            <w:tcW w:w="1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rPr>
              <w:t>10.5</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1"/>
                <w:szCs w:val="11"/>
                <w:color w:val="auto"/>
              </w:rPr>
              <w:t>6/19/2020</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552"/>
        </w:trPr>
        <w:tc>
          <w:tcPr>
            <w:tcW w:w="740" w:type="dxa"/>
            <w:vAlign w:val="bottom"/>
            <w:gridSpan w:val="2"/>
          </w:tcPr>
          <w:p>
            <w:pPr>
              <w:jc w:val="center"/>
              <w:ind w:right="100"/>
              <w:spacing w:after="0"/>
              <w:rPr>
                <w:sz w:val="20"/>
                <w:szCs w:val="20"/>
                <w:color w:val="auto"/>
              </w:rPr>
            </w:pPr>
            <w:r>
              <w:rPr>
                <w:rFonts w:ascii="Arial" w:cs="Arial" w:eastAsia="Arial" w:hAnsi="Arial"/>
                <w:sz w:val="11"/>
                <w:szCs w:val="11"/>
                <w:color w:val="auto"/>
                <w:w w:val="97"/>
              </w:rPr>
              <w:t>10-Q</w:t>
            </w:r>
          </w:p>
        </w:tc>
        <w:tc>
          <w:tcPr>
            <w:tcW w:w="1200" w:type="dxa"/>
            <w:vAlign w:val="bottom"/>
          </w:tcPr>
          <w:p>
            <w:pPr>
              <w:jc w:val="center"/>
              <w:spacing w:after="0"/>
              <w:rPr>
                <w:sz w:val="20"/>
                <w:szCs w:val="20"/>
                <w:color w:val="auto"/>
              </w:rPr>
            </w:pPr>
            <w:r>
              <w:rPr>
                <w:rFonts w:ascii="Arial" w:cs="Arial" w:eastAsia="Arial" w:hAnsi="Arial"/>
                <w:sz w:val="11"/>
                <w:szCs w:val="11"/>
                <w:color w:val="auto"/>
              </w:rPr>
              <w:t>01-39390</w:t>
            </w:r>
          </w:p>
        </w:tc>
        <w:tc>
          <w:tcPr>
            <w:tcW w:w="1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rPr>
              <w:t>10.2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1"/>
                <w:szCs w:val="11"/>
                <w:color w:val="auto"/>
              </w:rPr>
              <w:t>8/20/2020</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552"/>
        </w:trPr>
        <w:tc>
          <w:tcPr>
            <w:tcW w:w="740" w:type="dxa"/>
            <w:vAlign w:val="bottom"/>
            <w:gridSpan w:val="2"/>
          </w:tcPr>
          <w:p>
            <w:pPr>
              <w:jc w:val="center"/>
              <w:ind w:right="100"/>
              <w:spacing w:after="0"/>
              <w:rPr>
                <w:sz w:val="20"/>
                <w:szCs w:val="20"/>
                <w:color w:val="auto"/>
              </w:rPr>
            </w:pPr>
            <w:r>
              <w:rPr>
                <w:rFonts w:ascii="Arial" w:cs="Arial" w:eastAsia="Arial" w:hAnsi="Arial"/>
                <w:sz w:val="11"/>
                <w:szCs w:val="11"/>
                <w:color w:val="auto"/>
                <w:w w:val="97"/>
              </w:rPr>
              <w:t>10-Q</w:t>
            </w:r>
          </w:p>
        </w:tc>
        <w:tc>
          <w:tcPr>
            <w:tcW w:w="1200" w:type="dxa"/>
            <w:vAlign w:val="bottom"/>
          </w:tcPr>
          <w:p>
            <w:pPr>
              <w:jc w:val="center"/>
              <w:spacing w:after="0"/>
              <w:rPr>
                <w:sz w:val="20"/>
                <w:szCs w:val="20"/>
                <w:color w:val="auto"/>
              </w:rPr>
            </w:pPr>
            <w:r>
              <w:rPr>
                <w:rFonts w:ascii="Arial" w:cs="Arial" w:eastAsia="Arial" w:hAnsi="Arial"/>
                <w:sz w:val="11"/>
                <w:szCs w:val="11"/>
                <w:color w:val="auto"/>
              </w:rPr>
              <w:t>01-39390</w:t>
            </w:r>
          </w:p>
        </w:tc>
        <w:tc>
          <w:tcPr>
            <w:tcW w:w="1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rPr>
              <w:t>10.2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1"/>
                <w:szCs w:val="11"/>
                <w:color w:val="auto"/>
              </w:rPr>
              <w:t>5/13/2021</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552"/>
        </w:trPr>
        <w:tc>
          <w:tcPr>
            <w:tcW w:w="740" w:type="dxa"/>
            <w:vAlign w:val="bottom"/>
            <w:gridSpan w:val="2"/>
          </w:tcPr>
          <w:p>
            <w:pPr>
              <w:jc w:val="center"/>
              <w:ind w:right="100"/>
              <w:spacing w:after="0"/>
              <w:rPr>
                <w:sz w:val="20"/>
                <w:szCs w:val="20"/>
                <w:color w:val="auto"/>
              </w:rPr>
            </w:pPr>
            <w:r>
              <w:rPr>
                <w:rFonts w:ascii="Arial" w:cs="Arial" w:eastAsia="Arial" w:hAnsi="Arial"/>
                <w:sz w:val="11"/>
                <w:szCs w:val="11"/>
                <w:color w:val="auto"/>
                <w:w w:val="93"/>
              </w:rPr>
              <w:t>8-K</w:t>
            </w:r>
          </w:p>
        </w:tc>
        <w:tc>
          <w:tcPr>
            <w:tcW w:w="1200" w:type="dxa"/>
            <w:vAlign w:val="bottom"/>
          </w:tcPr>
          <w:p>
            <w:pPr>
              <w:jc w:val="center"/>
              <w:spacing w:after="0"/>
              <w:rPr>
                <w:sz w:val="20"/>
                <w:szCs w:val="20"/>
                <w:color w:val="auto"/>
              </w:rPr>
            </w:pPr>
            <w:r>
              <w:rPr>
                <w:rFonts w:ascii="Arial" w:cs="Arial" w:eastAsia="Arial" w:hAnsi="Arial"/>
                <w:sz w:val="11"/>
                <w:szCs w:val="11"/>
                <w:color w:val="auto"/>
              </w:rPr>
              <w:t>001-39390</w:t>
            </w:r>
          </w:p>
        </w:tc>
        <w:tc>
          <w:tcPr>
            <w:tcW w:w="1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rPr>
              <w:t>10.1</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1"/>
                <w:szCs w:val="11"/>
                <w:color w:val="auto"/>
              </w:rPr>
              <w:t>6/14/2021</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378" w:lineRule="exact"/>
        <w:rPr>
          <w:sz w:val="20"/>
          <w:szCs w:val="20"/>
          <w:color w:val="auto"/>
        </w:rPr>
      </w:pPr>
    </w:p>
    <w:p>
      <w:pPr>
        <w:sectPr>
          <w:pgSz w:w="11900" w:h="16838" w:orient="portrait"/>
          <w:cols w:equalWidth="0" w:num="2">
            <w:col w:w="6100" w:space="100"/>
            <w:col w:w="5080"/>
          </w:cols>
          <w:pgMar w:left="300" w:top="1105" w:right="319" w:bottom="1440" w:gutter="0" w:footer="0" w:header="0"/>
          <w:type w:val="continuous"/>
        </w:sect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23"/>
              <w:spacing w:after="0"/>
              <w:rPr>
                <w:sz w:val="20"/>
                <w:szCs w:val="20"/>
                <w:color w:val="auto"/>
              </w:rPr>
            </w:pPr>
            <w:r>
              <w:rPr>
                <w:rFonts w:ascii="Arial" w:cs="Arial" w:eastAsia="Arial" w:hAnsi="Arial"/>
                <w:sz w:val="11"/>
                <w:szCs w:val="11"/>
                <w:color w:val="auto"/>
              </w:rPr>
              <w:t>103</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05" w:right="319" w:bottom="144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126"/>
        </w:trPr>
        <w:tc>
          <w:tcPr>
            <w:tcW w:w="760" w:type="dxa"/>
            <w:vAlign w:val="bottom"/>
          </w:tcPr>
          <w:p>
            <w:pPr>
              <w:jc w:val="center"/>
              <w:ind w:right="363"/>
              <w:spacing w:after="0"/>
              <w:rPr>
                <w:sz w:val="20"/>
                <w:szCs w:val="20"/>
                <w:color w:val="auto"/>
              </w:rPr>
            </w:pPr>
            <w:r>
              <w:rPr>
                <w:rFonts w:ascii="Arial" w:cs="Arial" w:eastAsia="Arial" w:hAnsi="Arial"/>
                <w:sz w:val="11"/>
                <w:szCs w:val="11"/>
                <w:color w:val="auto"/>
              </w:rPr>
              <w:t>10.5</w:t>
            </w:r>
          </w:p>
        </w:tc>
        <w:tc>
          <w:tcPr>
            <w:tcW w:w="4580" w:type="dxa"/>
            <w:vAlign w:val="bottom"/>
            <w:tcBorders>
              <w:bottom w:val="single" w:sz="8" w:color="0000FF"/>
            </w:tcBorders>
            <w:gridSpan w:val="26"/>
          </w:tcPr>
          <w:p>
            <w:pPr>
              <w:spacing w:after="0"/>
              <w:rPr>
                <w:rFonts w:ascii="Arial" w:cs="Arial" w:eastAsia="Arial" w:hAnsi="Arial"/>
                <w:sz w:val="11"/>
                <w:szCs w:val="11"/>
                <w:color w:val="0000FF"/>
              </w:rPr>
            </w:pPr>
            <w:hyperlink r:id="rId253">
              <w:r>
                <w:rPr>
                  <w:rFonts w:ascii="Arial" w:cs="Arial" w:eastAsia="Arial" w:hAnsi="Arial"/>
                  <w:sz w:val="11"/>
                  <w:szCs w:val="11"/>
                  <w:color w:val="0000FF"/>
                </w:rPr>
                <w:t>Amendment No. 6 to the Credit Agreement and Incremental Facility Agreement, dated as of</w:t>
              </w:r>
            </w:hyperlink>
          </w:p>
        </w:tc>
        <w:tc>
          <w:tcPr>
            <w:tcW w:w="420" w:type="dxa"/>
            <w:vAlign w:val="bottom"/>
            <w:gridSpan w:val="11"/>
          </w:tcPr>
          <w:p>
            <w:pPr>
              <w:spacing w:after="0"/>
              <w:rPr>
                <w:sz w:val="10"/>
                <w:szCs w:val="10"/>
                <w:color w:val="auto"/>
              </w:rPr>
            </w:pPr>
          </w:p>
        </w:tc>
      </w:tr>
      <w:tr>
        <w:trPr>
          <w:trHeight w:val="107"/>
        </w:trPr>
        <w:tc>
          <w:tcPr>
            <w:tcW w:w="760" w:type="dxa"/>
            <w:vAlign w:val="bottom"/>
          </w:tcPr>
          <w:p>
            <w:pPr>
              <w:spacing w:after="0"/>
              <w:rPr>
                <w:sz w:val="9"/>
                <w:szCs w:val="9"/>
                <w:color w:val="auto"/>
              </w:rPr>
            </w:pPr>
          </w:p>
        </w:tc>
        <w:tc>
          <w:tcPr>
            <w:tcW w:w="4800" w:type="dxa"/>
            <w:vAlign w:val="bottom"/>
            <w:tcBorders>
              <w:bottom w:val="single" w:sz="8" w:color="0000FF"/>
            </w:tcBorders>
            <w:gridSpan w:val="29"/>
          </w:tcPr>
          <w:p>
            <w:pPr>
              <w:spacing w:after="0" w:line="107" w:lineRule="exact"/>
              <w:rPr>
                <w:rFonts w:ascii="Arial" w:cs="Arial" w:eastAsia="Arial" w:hAnsi="Arial"/>
                <w:sz w:val="11"/>
                <w:szCs w:val="11"/>
                <w:color w:val="0000FF"/>
              </w:rPr>
            </w:pPr>
            <w:hyperlink r:id="rId253">
              <w:r>
                <w:rPr>
                  <w:rFonts w:ascii="Arial" w:cs="Arial" w:eastAsia="Arial" w:hAnsi="Arial"/>
                  <w:sz w:val="11"/>
                  <w:szCs w:val="11"/>
                  <w:color w:val="0000FF"/>
                </w:rPr>
                <w:t>November 10, 2021, among Norvax, LLC, as borrower, Blizzard Midco, LLC, as a guarantor, the</w:t>
              </w:r>
            </w:hyperlink>
          </w:p>
        </w:tc>
        <w:tc>
          <w:tcPr>
            <w:tcW w:w="200" w:type="dxa"/>
            <w:vAlign w:val="bottom"/>
            <w:gridSpan w:val="8"/>
          </w:tcPr>
          <w:p>
            <w:pPr>
              <w:spacing w:after="0"/>
              <w:rPr>
                <w:sz w:val="9"/>
                <w:szCs w:val="9"/>
                <w:color w:val="auto"/>
              </w:rPr>
            </w:pPr>
          </w:p>
        </w:tc>
      </w:tr>
      <w:tr>
        <w:trPr>
          <w:trHeight w:val="107"/>
        </w:trPr>
        <w:tc>
          <w:tcPr>
            <w:tcW w:w="760" w:type="dxa"/>
            <w:vAlign w:val="bottom"/>
          </w:tcPr>
          <w:p>
            <w:pPr>
              <w:spacing w:after="0"/>
              <w:rPr>
                <w:sz w:val="9"/>
                <w:szCs w:val="9"/>
                <w:color w:val="auto"/>
              </w:rPr>
            </w:pPr>
          </w:p>
        </w:tc>
        <w:tc>
          <w:tcPr>
            <w:tcW w:w="5000" w:type="dxa"/>
            <w:vAlign w:val="bottom"/>
            <w:gridSpan w:val="37"/>
          </w:tcPr>
          <w:p>
            <w:pPr>
              <w:spacing w:after="0" w:line="107" w:lineRule="exact"/>
              <w:rPr>
                <w:rFonts w:ascii="Arial" w:cs="Arial" w:eastAsia="Arial" w:hAnsi="Arial"/>
                <w:sz w:val="11"/>
                <w:szCs w:val="11"/>
                <w:color w:val="0000FF"/>
              </w:rPr>
            </w:pPr>
            <w:hyperlink r:id="rId253">
              <w:r>
                <w:rPr>
                  <w:rFonts w:ascii="Arial" w:cs="Arial" w:eastAsia="Arial" w:hAnsi="Arial"/>
                  <w:sz w:val="11"/>
                  <w:szCs w:val="11"/>
                  <w:color w:val="0000FF"/>
                </w:rPr>
                <w:t>other guarantors party thereto, Owl Rock Capital Corporation, as administrative agent, collateral</w:t>
              </w:r>
            </w:hyperlink>
          </w:p>
        </w:tc>
      </w:tr>
      <w:tr>
        <w:trPr>
          <w:trHeight w:val="107"/>
        </w:trPr>
        <w:tc>
          <w:tcPr>
            <w:tcW w:w="760" w:type="dxa"/>
            <w:vAlign w:val="bottom"/>
          </w:tcPr>
          <w:p>
            <w:pPr>
              <w:spacing w:after="0"/>
              <w:rPr>
                <w:sz w:val="9"/>
                <w:szCs w:val="9"/>
                <w:color w:val="auto"/>
              </w:rPr>
            </w:pPr>
          </w:p>
        </w:tc>
        <w:tc>
          <w:tcPr>
            <w:tcW w:w="4020" w:type="dxa"/>
            <w:vAlign w:val="bottom"/>
            <w:tcBorders>
              <w:top w:val="single" w:sz="8" w:color="0000FF"/>
              <w:bottom w:val="single" w:sz="8" w:color="0000FF"/>
            </w:tcBorders>
            <w:gridSpan w:val="21"/>
          </w:tcPr>
          <w:p>
            <w:pPr>
              <w:spacing w:after="0" w:line="107" w:lineRule="exact"/>
              <w:rPr>
                <w:rFonts w:ascii="Arial" w:cs="Arial" w:eastAsia="Arial" w:hAnsi="Arial"/>
                <w:sz w:val="11"/>
                <w:szCs w:val="11"/>
                <w:color w:val="0000FF"/>
              </w:rPr>
            </w:pPr>
            <w:hyperlink r:id="rId253">
              <w:r>
                <w:rPr>
                  <w:rFonts w:ascii="Arial" w:cs="Arial" w:eastAsia="Arial" w:hAnsi="Arial"/>
                  <w:sz w:val="11"/>
                  <w:szCs w:val="11"/>
                  <w:color w:val="0000FF"/>
                </w:rPr>
                <w:t>agent and swingline lender and the other lenders from time to time party thereto.</w:t>
              </w:r>
            </w:hyperlink>
          </w:p>
        </w:tc>
        <w:tc>
          <w:tcPr>
            <w:tcW w:w="100" w:type="dxa"/>
            <w:vAlign w:val="bottom"/>
            <w:tcBorders>
              <w:top w:val="single" w:sz="8" w:color="0000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760" w:type="dxa"/>
            <w:vAlign w:val="bottom"/>
          </w:tcPr>
          <w:p>
            <w:pPr>
              <w:jc w:val="center"/>
              <w:ind w:right="383"/>
              <w:spacing w:after="0"/>
              <w:rPr>
                <w:sz w:val="20"/>
                <w:szCs w:val="20"/>
                <w:color w:val="auto"/>
              </w:rPr>
            </w:pPr>
            <w:r>
              <w:rPr>
                <w:rFonts w:ascii="Arial" w:cs="Arial" w:eastAsia="Arial" w:hAnsi="Arial"/>
                <w:sz w:val="11"/>
                <w:szCs w:val="11"/>
                <w:color w:val="auto"/>
              </w:rPr>
              <w:t>10.6#</w:t>
            </w:r>
          </w:p>
        </w:tc>
        <w:tc>
          <w:tcPr>
            <w:tcW w:w="4120" w:type="dxa"/>
            <w:vAlign w:val="bottom"/>
            <w:gridSpan w:val="22"/>
          </w:tcPr>
          <w:p>
            <w:pPr>
              <w:spacing w:after="0"/>
              <w:rPr>
                <w:rFonts w:ascii="Arial" w:cs="Arial" w:eastAsia="Arial" w:hAnsi="Arial"/>
                <w:sz w:val="11"/>
                <w:szCs w:val="11"/>
                <w:color w:val="0000FF"/>
              </w:rPr>
            </w:pPr>
            <w:hyperlink r:id="rId254">
              <w:r>
                <w:rPr>
                  <w:rFonts w:ascii="Arial" w:cs="Arial" w:eastAsia="Arial" w:hAnsi="Arial"/>
                  <w:sz w:val="11"/>
                  <w:szCs w:val="11"/>
                  <w:color w:val="0000FF"/>
                </w:rPr>
                <w:t>GoHealth, Inc. 2020 Incentive Award Plan.</w:t>
              </w:r>
            </w:hyperlink>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760" w:type="dxa"/>
            <w:vAlign w:val="bottom"/>
          </w:tcPr>
          <w:p>
            <w:pPr>
              <w:jc w:val="center"/>
              <w:ind w:right="383"/>
              <w:spacing w:after="0"/>
              <w:rPr>
                <w:sz w:val="20"/>
                <w:szCs w:val="20"/>
                <w:color w:val="auto"/>
              </w:rPr>
            </w:pPr>
            <w:r>
              <w:rPr>
                <w:rFonts w:ascii="Arial" w:cs="Arial" w:eastAsia="Arial" w:hAnsi="Arial"/>
                <w:sz w:val="11"/>
                <w:szCs w:val="11"/>
                <w:color w:val="auto"/>
              </w:rPr>
              <w:t>10.7#</w:t>
            </w:r>
          </w:p>
        </w:tc>
        <w:tc>
          <w:tcPr>
            <w:tcW w:w="2660" w:type="dxa"/>
            <w:vAlign w:val="bottom"/>
            <w:tcBorders>
              <w:bottom w:val="single" w:sz="8" w:color="0000FF"/>
            </w:tcBorders>
            <w:gridSpan w:val="12"/>
          </w:tcPr>
          <w:p>
            <w:pPr>
              <w:spacing w:after="0"/>
              <w:rPr>
                <w:rFonts w:ascii="Arial" w:cs="Arial" w:eastAsia="Arial" w:hAnsi="Arial"/>
                <w:sz w:val="11"/>
                <w:szCs w:val="11"/>
                <w:color w:val="0000FF"/>
              </w:rPr>
            </w:pPr>
            <w:hyperlink r:id="rId255">
              <w:r>
                <w:rPr>
                  <w:rFonts w:ascii="Arial" w:cs="Arial" w:eastAsia="Arial" w:hAnsi="Arial"/>
                  <w:sz w:val="11"/>
                  <w:szCs w:val="11"/>
                  <w:color w:val="0000FF"/>
                </w:rPr>
                <w:t>GoHealth, Inc. 2020 Employee Stock Purchase Plan.</w:t>
              </w:r>
            </w:hyperlink>
          </w:p>
        </w:tc>
        <w:tc>
          <w:tcPr>
            <w:tcW w:w="1460" w:type="dxa"/>
            <w:vAlign w:val="bottom"/>
            <w:gridSpan w:val="10"/>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0"/>
        </w:trPr>
        <w:tc>
          <w:tcPr>
            <w:tcW w:w="760" w:type="dxa"/>
            <w:vAlign w:val="bottom"/>
          </w:tcPr>
          <w:p>
            <w:pPr>
              <w:jc w:val="center"/>
              <w:ind w:right="383"/>
              <w:spacing w:after="0"/>
              <w:rPr>
                <w:sz w:val="20"/>
                <w:szCs w:val="20"/>
                <w:color w:val="auto"/>
              </w:rPr>
            </w:pPr>
            <w:r>
              <w:rPr>
                <w:rFonts w:ascii="Arial" w:cs="Arial" w:eastAsia="Arial" w:hAnsi="Arial"/>
                <w:sz w:val="11"/>
                <w:szCs w:val="11"/>
                <w:color w:val="auto"/>
              </w:rPr>
              <w:t>10.8#</w:t>
            </w:r>
          </w:p>
        </w:tc>
        <w:tc>
          <w:tcPr>
            <w:tcW w:w="2240" w:type="dxa"/>
            <w:vAlign w:val="bottom"/>
            <w:tcBorders>
              <w:bottom w:val="single" w:sz="8" w:color="0000FF"/>
            </w:tcBorders>
            <w:gridSpan w:val="10"/>
          </w:tcPr>
          <w:p>
            <w:pPr>
              <w:spacing w:after="0"/>
              <w:rPr>
                <w:rFonts w:ascii="Arial" w:cs="Arial" w:eastAsia="Arial" w:hAnsi="Arial"/>
                <w:sz w:val="11"/>
                <w:szCs w:val="11"/>
                <w:color w:val="0000FF"/>
              </w:rPr>
            </w:pPr>
            <w:hyperlink r:id="rId256">
              <w:r>
                <w:rPr>
                  <w:rFonts w:ascii="Arial" w:cs="Arial" w:eastAsia="Arial" w:hAnsi="Arial"/>
                  <w:sz w:val="11"/>
                  <w:szCs w:val="11"/>
                  <w:color w:val="0000FF"/>
                </w:rPr>
                <w:t>GoHealth, Inc. 2021 Inducement Award Plan</w:t>
              </w:r>
            </w:hyperlink>
          </w:p>
        </w:tc>
        <w:tc>
          <w:tcPr>
            <w:tcW w:w="1880" w:type="dxa"/>
            <w:vAlign w:val="bottom"/>
            <w:gridSpan w:val="12"/>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0"/>
        </w:trPr>
        <w:tc>
          <w:tcPr>
            <w:tcW w:w="760" w:type="dxa"/>
            <w:vAlign w:val="bottom"/>
          </w:tcPr>
          <w:p>
            <w:pPr>
              <w:jc w:val="center"/>
              <w:ind w:right="383"/>
              <w:spacing w:after="0"/>
              <w:rPr>
                <w:sz w:val="20"/>
                <w:szCs w:val="20"/>
                <w:color w:val="auto"/>
              </w:rPr>
            </w:pPr>
            <w:r>
              <w:rPr>
                <w:rFonts w:ascii="Arial" w:cs="Arial" w:eastAsia="Arial" w:hAnsi="Arial"/>
                <w:sz w:val="11"/>
                <w:szCs w:val="11"/>
                <w:color w:val="auto"/>
              </w:rPr>
              <w:t>10.9#</w:t>
            </w:r>
          </w:p>
        </w:tc>
        <w:tc>
          <w:tcPr>
            <w:tcW w:w="5000" w:type="dxa"/>
            <w:vAlign w:val="bottom"/>
            <w:gridSpan w:val="37"/>
          </w:tcPr>
          <w:p>
            <w:pPr>
              <w:spacing w:after="0"/>
              <w:rPr>
                <w:rFonts w:ascii="Arial" w:cs="Arial" w:eastAsia="Arial" w:hAnsi="Arial"/>
                <w:sz w:val="11"/>
                <w:szCs w:val="11"/>
                <w:color w:val="0000FF"/>
              </w:rPr>
            </w:pPr>
            <w:hyperlink r:id="rId257">
              <w:r>
                <w:rPr>
                  <w:rFonts w:ascii="Arial" w:cs="Arial" w:eastAsia="Arial" w:hAnsi="Arial"/>
                  <w:sz w:val="11"/>
                  <w:szCs w:val="11"/>
                  <w:color w:val="0000FF"/>
                </w:rPr>
                <w:t>Inducement Award Plan Form of Stock Option Award Grant Notice and Stock Option Agreement.</w:t>
              </w:r>
            </w:hyperlink>
          </w:p>
        </w:tc>
      </w:tr>
      <w:tr>
        <w:trPr>
          <w:trHeight w:val="150"/>
        </w:trPr>
        <w:tc>
          <w:tcPr>
            <w:tcW w:w="760" w:type="dxa"/>
            <w:vAlign w:val="bottom"/>
          </w:tcPr>
          <w:p>
            <w:pPr>
              <w:jc w:val="center"/>
              <w:ind w:right="363"/>
              <w:spacing w:after="0"/>
              <w:rPr>
                <w:sz w:val="20"/>
                <w:szCs w:val="20"/>
                <w:color w:val="auto"/>
              </w:rPr>
            </w:pPr>
            <w:r>
              <w:rPr>
                <w:rFonts w:ascii="Arial" w:cs="Arial" w:eastAsia="Arial" w:hAnsi="Arial"/>
                <w:sz w:val="11"/>
                <w:szCs w:val="11"/>
                <w:color w:val="auto"/>
              </w:rPr>
              <w:t>10.10#</w:t>
            </w:r>
          </w:p>
        </w:tc>
        <w:tc>
          <w:tcPr>
            <w:tcW w:w="4820" w:type="dxa"/>
            <w:vAlign w:val="bottom"/>
            <w:tcBorders>
              <w:top w:val="single" w:sz="8" w:color="0000FF"/>
            </w:tcBorders>
            <w:gridSpan w:val="30"/>
          </w:tcPr>
          <w:p>
            <w:pPr>
              <w:spacing w:after="0"/>
              <w:rPr>
                <w:rFonts w:ascii="Arial" w:cs="Arial" w:eastAsia="Arial" w:hAnsi="Arial"/>
                <w:sz w:val="11"/>
                <w:szCs w:val="11"/>
                <w:color w:val="0000FF"/>
              </w:rPr>
            </w:pPr>
            <w:hyperlink r:id="rId258">
              <w:r>
                <w:rPr>
                  <w:rFonts w:ascii="Arial" w:cs="Arial" w:eastAsia="Arial" w:hAnsi="Arial"/>
                  <w:sz w:val="11"/>
                  <w:szCs w:val="11"/>
                  <w:color w:val="0000FF"/>
                </w:rPr>
                <w:t>Inducement Award Plan Form of Restricted Stock Unit Award Grant Notice and Restricted Stock</w:t>
              </w:r>
            </w:hyperlink>
          </w:p>
        </w:tc>
        <w:tc>
          <w:tcPr>
            <w:tcW w:w="180" w:type="dxa"/>
            <w:vAlign w:val="bottom"/>
            <w:gridSpan w:val="7"/>
          </w:tcPr>
          <w:p>
            <w:pPr>
              <w:spacing w:after="0"/>
              <w:rPr>
                <w:sz w:val="13"/>
                <w:szCs w:val="13"/>
                <w:color w:val="auto"/>
              </w:rPr>
            </w:pPr>
          </w:p>
        </w:tc>
      </w:tr>
      <w:tr>
        <w:trPr>
          <w:trHeight w:val="107"/>
        </w:trPr>
        <w:tc>
          <w:tcPr>
            <w:tcW w:w="760" w:type="dxa"/>
            <w:vAlign w:val="bottom"/>
          </w:tcPr>
          <w:p>
            <w:pPr>
              <w:spacing w:after="0"/>
              <w:rPr>
                <w:sz w:val="9"/>
                <w:szCs w:val="9"/>
                <w:color w:val="auto"/>
              </w:rPr>
            </w:pPr>
          </w:p>
        </w:tc>
        <w:tc>
          <w:tcPr>
            <w:tcW w:w="820" w:type="dxa"/>
            <w:vAlign w:val="bottom"/>
            <w:tcBorders>
              <w:top w:val="single" w:sz="8" w:color="0000FF"/>
              <w:bottom w:val="single" w:sz="8" w:color="0000FF"/>
            </w:tcBorders>
            <w:gridSpan w:val="2"/>
          </w:tcPr>
          <w:p>
            <w:pPr>
              <w:spacing w:after="0" w:line="107" w:lineRule="exact"/>
              <w:rPr>
                <w:rFonts w:ascii="Arial" w:cs="Arial" w:eastAsia="Arial" w:hAnsi="Arial"/>
                <w:sz w:val="11"/>
                <w:szCs w:val="11"/>
                <w:color w:val="0000FF"/>
              </w:rPr>
            </w:pPr>
            <w:hyperlink r:id="rId258">
              <w:r>
                <w:rPr>
                  <w:rFonts w:ascii="Arial" w:cs="Arial" w:eastAsia="Arial" w:hAnsi="Arial"/>
                  <w:sz w:val="11"/>
                  <w:szCs w:val="11"/>
                  <w:color w:val="0000FF"/>
                </w:rPr>
                <w:t>Unit Agreement.</w:t>
              </w:r>
            </w:hyperlink>
          </w:p>
        </w:tc>
        <w:tc>
          <w:tcPr>
            <w:tcW w:w="3300" w:type="dxa"/>
            <w:vAlign w:val="bottom"/>
            <w:tcBorders>
              <w:top w:val="single" w:sz="8" w:color="0000FF"/>
            </w:tcBorders>
            <w:gridSpan w:val="20"/>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760" w:type="dxa"/>
            <w:vAlign w:val="bottom"/>
          </w:tcPr>
          <w:p>
            <w:pPr>
              <w:jc w:val="center"/>
              <w:ind w:right="363"/>
              <w:spacing w:after="0"/>
              <w:rPr>
                <w:sz w:val="20"/>
                <w:szCs w:val="20"/>
                <w:color w:val="auto"/>
              </w:rPr>
            </w:pPr>
            <w:r>
              <w:rPr>
                <w:rFonts w:ascii="Arial" w:cs="Arial" w:eastAsia="Arial" w:hAnsi="Arial"/>
                <w:sz w:val="11"/>
                <w:szCs w:val="11"/>
                <w:color w:val="auto"/>
              </w:rPr>
              <w:t>10.10#</w:t>
            </w:r>
          </w:p>
        </w:tc>
        <w:tc>
          <w:tcPr>
            <w:tcW w:w="5000" w:type="dxa"/>
            <w:vAlign w:val="bottom"/>
            <w:gridSpan w:val="37"/>
          </w:tcPr>
          <w:p>
            <w:pPr>
              <w:spacing w:after="0"/>
              <w:rPr>
                <w:rFonts w:ascii="Arial" w:cs="Arial" w:eastAsia="Arial" w:hAnsi="Arial"/>
                <w:sz w:val="11"/>
                <w:szCs w:val="11"/>
                <w:color w:val="0000FF"/>
              </w:rPr>
            </w:pPr>
            <w:hyperlink r:id="rId259">
              <w:r>
                <w:rPr>
                  <w:rFonts w:ascii="Arial" w:cs="Arial" w:eastAsia="Arial" w:hAnsi="Arial"/>
                  <w:sz w:val="11"/>
                  <w:szCs w:val="11"/>
                  <w:color w:val="0000FF"/>
                </w:rPr>
                <w:t>Form of Indemnification and Advancement Agreement between GoHealth, Inc. and its directors and</w:t>
              </w:r>
            </w:hyperlink>
          </w:p>
        </w:tc>
      </w:tr>
      <w:tr>
        <w:trPr>
          <w:trHeight w:val="107"/>
        </w:trPr>
        <w:tc>
          <w:tcPr>
            <w:tcW w:w="760" w:type="dxa"/>
            <w:vAlign w:val="bottom"/>
          </w:tcPr>
          <w:p>
            <w:pPr>
              <w:spacing w:after="0"/>
              <w:rPr>
                <w:sz w:val="9"/>
                <w:szCs w:val="9"/>
                <w:color w:val="auto"/>
              </w:rPr>
            </w:pPr>
          </w:p>
        </w:tc>
        <w:tc>
          <w:tcPr>
            <w:tcW w:w="400" w:type="dxa"/>
            <w:vAlign w:val="bottom"/>
            <w:tcBorders>
              <w:top w:val="single" w:sz="8" w:color="0000FF"/>
              <w:bottom w:val="single" w:sz="8" w:color="0000FF"/>
            </w:tcBorders>
          </w:tcPr>
          <w:p>
            <w:pPr>
              <w:spacing w:after="0" w:line="107" w:lineRule="exact"/>
              <w:rPr>
                <w:rFonts w:ascii="Arial" w:cs="Arial" w:eastAsia="Arial" w:hAnsi="Arial"/>
                <w:sz w:val="11"/>
                <w:szCs w:val="11"/>
                <w:color w:val="0000FF"/>
                <w:w w:val="98"/>
              </w:rPr>
            </w:pPr>
            <w:hyperlink r:id="rId259">
              <w:r>
                <w:rPr>
                  <w:rFonts w:ascii="Arial" w:cs="Arial" w:eastAsia="Arial" w:hAnsi="Arial"/>
                  <w:sz w:val="11"/>
                  <w:szCs w:val="11"/>
                  <w:color w:val="0000FF"/>
                  <w:w w:val="98"/>
                </w:rPr>
                <w:t>officers.</w:t>
              </w:r>
            </w:hyperlink>
          </w:p>
        </w:tc>
        <w:tc>
          <w:tcPr>
            <w:tcW w:w="3720" w:type="dxa"/>
            <w:vAlign w:val="bottom"/>
            <w:tcBorders>
              <w:top w:val="single" w:sz="8" w:color="0000FF"/>
            </w:tcBorders>
            <w:gridSpan w:val="21"/>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760" w:type="dxa"/>
            <w:vAlign w:val="bottom"/>
          </w:tcPr>
          <w:p>
            <w:pPr>
              <w:jc w:val="center"/>
              <w:ind w:right="363"/>
              <w:spacing w:after="0"/>
              <w:rPr>
                <w:sz w:val="20"/>
                <w:szCs w:val="20"/>
                <w:color w:val="auto"/>
              </w:rPr>
            </w:pPr>
            <w:r>
              <w:rPr>
                <w:rFonts w:ascii="Arial" w:cs="Arial" w:eastAsia="Arial" w:hAnsi="Arial"/>
                <w:sz w:val="11"/>
                <w:szCs w:val="11"/>
                <w:color w:val="auto"/>
              </w:rPr>
              <w:t>10.11#</w:t>
            </w:r>
          </w:p>
        </w:tc>
        <w:tc>
          <w:tcPr>
            <w:tcW w:w="2120" w:type="dxa"/>
            <w:vAlign w:val="bottom"/>
            <w:tcBorders>
              <w:bottom w:val="single" w:sz="8" w:color="0000FF"/>
            </w:tcBorders>
            <w:gridSpan w:val="9"/>
          </w:tcPr>
          <w:p>
            <w:pPr>
              <w:spacing w:after="0"/>
              <w:rPr>
                <w:rFonts w:ascii="Arial" w:cs="Arial" w:eastAsia="Arial" w:hAnsi="Arial"/>
                <w:sz w:val="11"/>
                <w:szCs w:val="11"/>
                <w:color w:val="0000FF"/>
              </w:rPr>
            </w:pPr>
            <w:hyperlink r:id="rId260">
              <w:r>
                <w:rPr>
                  <w:rFonts w:ascii="Arial" w:cs="Arial" w:eastAsia="Arial" w:hAnsi="Arial"/>
                  <w:sz w:val="11"/>
                  <w:szCs w:val="11"/>
                  <w:color w:val="0000FF"/>
                </w:rPr>
                <w:t>GoHealth Holdings, LLC Profits Unit Plan.</w:t>
              </w:r>
            </w:hyperlink>
          </w:p>
        </w:tc>
        <w:tc>
          <w:tcPr>
            <w:tcW w:w="2000" w:type="dxa"/>
            <w:vAlign w:val="bottom"/>
            <w:gridSpan w:val="13"/>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0"/>
        </w:trPr>
        <w:tc>
          <w:tcPr>
            <w:tcW w:w="760" w:type="dxa"/>
            <w:vAlign w:val="bottom"/>
          </w:tcPr>
          <w:p>
            <w:pPr>
              <w:jc w:val="center"/>
              <w:ind w:right="363"/>
              <w:spacing w:after="0"/>
              <w:rPr>
                <w:sz w:val="20"/>
                <w:szCs w:val="20"/>
                <w:color w:val="auto"/>
              </w:rPr>
            </w:pPr>
            <w:r>
              <w:rPr>
                <w:rFonts w:ascii="Arial" w:cs="Arial" w:eastAsia="Arial" w:hAnsi="Arial"/>
                <w:sz w:val="11"/>
                <w:szCs w:val="11"/>
                <w:color w:val="auto"/>
              </w:rPr>
              <w:t>10.12#</w:t>
            </w:r>
          </w:p>
        </w:tc>
        <w:tc>
          <w:tcPr>
            <w:tcW w:w="3060" w:type="dxa"/>
            <w:vAlign w:val="bottom"/>
            <w:tcBorders>
              <w:bottom w:val="single" w:sz="8" w:color="0000FF"/>
            </w:tcBorders>
            <w:gridSpan w:val="16"/>
          </w:tcPr>
          <w:p>
            <w:pPr>
              <w:spacing w:after="0"/>
              <w:rPr>
                <w:rFonts w:ascii="Arial" w:cs="Arial" w:eastAsia="Arial" w:hAnsi="Arial"/>
                <w:sz w:val="11"/>
                <w:szCs w:val="11"/>
                <w:color w:val="0000FF"/>
              </w:rPr>
            </w:pPr>
            <w:hyperlink r:id="rId261">
              <w:r>
                <w:rPr>
                  <w:rFonts w:ascii="Arial" w:cs="Arial" w:eastAsia="Arial" w:hAnsi="Arial"/>
                  <w:sz w:val="11"/>
                  <w:szCs w:val="11"/>
                  <w:color w:val="0000FF"/>
                </w:rPr>
                <w:t>Form of Executive Common Unit and Profits Unit Agreement.</w:t>
              </w:r>
            </w:hyperlink>
          </w:p>
        </w:tc>
        <w:tc>
          <w:tcPr>
            <w:tcW w:w="1060" w:type="dxa"/>
            <w:vAlign w:val="bottom"/>
            <w:gridSpan w:val="6"/>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0"/>
        </w:trPr>
        <w:tc>
          <w:tcPr>
            <w:tcW w:w="760" w:type="dxa"/>
            <w:vAlign w:val="bottom"/>
          </w:tcPr>
          <w:p>
            <w:pPr>
              <w:jc w:val="center"/>
              <w:ind w:right="363"/>
              <w:spacing w:after="0"/>
              <w:rPr>
                <w:sz w:val="20"/>
                <w:szCs w:val="20"/>
                <w:color w:val="auto"/>
              </w:rPr>
            </w:pPr>
            <w:r>
              <w:rPr>
                <w:rFonts w:ascii="Arial" w:cs="Arial" w:eastAsia="Arial" w:hAnsi="Arial"/>
                <w:sz w:val="11"/>
                <w:szCs w:val="11"/>
                <w:color w:val="auto"/>
              </w:rPr>
              <w:t>10.13#</w:t>
            </w:r>
          </w:p>
        </w:tc>
        <w:tc>
          <w:tcPr>
            <w:tcW w:w="4120" w:type="dxa"/>
            <w:vAlign w:val="bottom"/>
            <w:tcBorders>
              <w:bottom w:val="single" w:sz="8" w:color="0000FF"/>
            </w:tcBorders>
            <w:gridSpan w:val="22"/>
          </w:tcPr>
          <w:p>
            <w:pPr>
              <w:spacing w:after="0"/>
              <w:rPr>
                <w:rFonts w:ascii="Arial" w:cs="Arial" w:eastAsia="Arial" w:hAnsi="Arial"/>
                <w:sz w:val="11"/>
                <w:szCs w:val="11"/>
                <w:color w:val="0000FF"/>
              </w:rPr>
            </w:pPr>
            <w:hyperlink r:id="rId262">
              <w:r>
                <w:rPr>
                  <w:rFonts w:ascii="Arial" w:cs="Arial" w:eastAsia="Arial" w:hAnsi="Arial"/>
                  <w:sz w:val="11"/>
                  <w:szCs w:val="11"/>
                  <w:color w:val="0000FF"/>
                </w:rPr>
                <w:t>Form of Amendment No. 1 to Executive Common Unit and Profits Unit Agreement.</w:t>
              </w:r>
            </w:hyperlink>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0"/>
        </w:trPr>
        <w:tc>
          <w:tcPr>
            <w:tcW w:w="760" w:type="dxa"/>
            <w:vAlign w:val="bottom"/>
          </w:tcPr>
          <w:p>
            <w:pPr>
              <w:jc w:val="center"/>
              <w:ind w:right="363"/>
              <w:spacing w:after="0"/>
              <w:rPr>
                <w:sz w:val="20"/>
                <w:szCs w:val="20"/>
                <w:color w:val="auto"/>
              </w:rPr>
            </w:pPr>
            <w:r>
              <w:rPr>
                <w:rFonts w:ascii="Arial" w:cs="Arial" w:eastAsia="Arial" w:hAnsi="Arial"/>
                <w:sz w:val="11"/>
                <w:szCs w:val="11"/>
                <w:color w:val="auto"/>
              </w:rPr>
              <w:t>10.14#</w:t>
            </w:r>
          </w:p>
        </w:tc>
        <w:tc>
          <w:tcPr>
            <w:tcW w:w="5000" w:type="dxa"/>
            <w:vAlign w:val="bottom"/>
            <w:gridSpan w:val="37"/>
          </w:tcPr>
          <w:p>
            <w:pPr>
              <w:spacing w:after="0"/>
              <w:rPr>
                <w:rFonts w:ascii="Arial" w:cs="Arial" w:eastAsia="Arial" w:hAnsi="Arial"/>
                <w:sz w:val="11"/>
                <w:szCs w:val="11"/>
                <w:color w:val="0000FF"/>
              </w:rPr>
            </w:pPr>
            <w:hyperlink r:id="rId263">
              <w:r>
                <w:rPr>
                  <w:rFonts w:ascii="Arial" w:cs="Arial" w:eastAsia="Arial" w:hAnsi="Arial"/>
                  <w:sz w:val="11"/>
                  <w:szCs w:val="11"/>
                  <w:color w:val="0000FF"/>
                </w:rPr>
                <w:t>Employment Agreement, dated July 7, 2020, by and among GoHealth, Inc., GoHealth Holdings,</w:t>
              </w:r>
            </w:hyperlink>
          </w:p>
        </w:tc>
      </w:tr>
      <w:tr>
        <w:trPr>
          <w:trHeight w:val="107"/>
        </w:trPr>
        <w:tc>
          <w:tcPr>
            <w:tcW w:w="760" w:type="dxa"/>
            <w:vAlign w:val="bottom"/>
          </w:tcPr>
          <w:p>
            <w:pPr>
              <w:spacing w:after="0"/>
              <w:rPr>
                <w:sz w:val="9"/>
                <w:szCs w:val="9"/>
                <w:color w:val="auto"/>
              </w:rPr>
            </w:pPr>
          </w:p>
        </w:tc>
        <w:tc>
          <w:tcPr>
            <w:tcW w:w="1340" w:type="dxa"/>
            <w:vAlign w:val="bottom"/>
            <w:tcBorders>
              <w:top w:val="single" w:sz="8" w:color="0000FF"/>
              <w:bottom w:val="single" w:sz="8" w:color="0000FF"/>
            </w:tcBorders>
            <w:gridSpan w:val="5"/>
          </w:tcPr>
          <w:p>
            <w:pPr>
              <w:spacing w:after="0" w:line="107" w:lineRule="exact"/>
              <w:rPr>
                <w:rFonts w:ascii="Arial" w:cs="Arial" w:eastAsia="Arial" w:hAnsi="Arial"/>
                <w:sz w:val="11"/>
                <w:szCs w:val="11"/>
                <w:color w:val="0000FF"/>
              </w:rPr>
            </w:pPr>
            <w:hyperlink r:id="rId263">
              <w:r>
                <w:rPr>
                  <w:rFonts w:ascii="Arial" w:cs="Arial" w:eastAsia="Arial" w:hAnsi="Arial"/>
                  <w:sz w:val="11"/>
                  <w:szCs w:val="11"/>
                  <w:color w:val="0000FF"/>
                </w:rPr>
                <w:t>LLC, and Clinton P. Jones.</w:t>
              </w:r>
            </w:hyperlink>
          </w:p>
        </w:tc>
        <w:tc>
          <w:tcPr>
            <w:tcW w:w="2780" w:type="dxa"/>
            <w:vAlign w:val="bottom"/>
            <w:tcBorders>
              <w:top w:val="single" w:sz="8" w:color="0000FF"/>
            </w:tcBorders>
            <w:gridSpan w:val="17"/>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760" w:type="dxa"/>
            <w:vAlign w:val="bottom"/>
          </w:tcPr>
          <w:p>
            <w:pPr>
              <w:jc w:val="center"/>
              <w:ind w:right="363"/>
              <w:spacing w:after="0"/>
              <w:rPr>
                <w:sz w:val="20"/>
                <w:szCs w:val="20"/>
                <w:color w:val="auto"/>
              </w:rPr>
            </w:pPr>
            <w:r>
              <w:rPr>
                <w:rFonts w:ascii="Arial" w:cs="Arial" w:eastAsia="Arial" w:hAnsi="Arial"/>
                <w:sz w:val="11"/>
                <w:szCs w:val="11"/>
                <w:color w:val="auto"/>
              </w:rPr>
              <w:t>10.15#</w:t>
            </w:r>
          </w:p>
        </w:tc>
        <w:tc>
          <w:tcPr>
            <w:tcW w:w="5000" w:type="dxa"/>
            <w:vAlign w:val="bottom"/>
            <w:gridSpan w:val="37"/>
          </w:tcPr>
          <w:p>
            <w:pPr>
              <w:spacing w:after="0"/>
              <w:rPr>
                <w:rFonts w:ascii="Arial" w:cs="Arial" w:eastAsia="Arial" w:hAnsi="Arial"/>
                <w:sz w:val="11"/>
                <w:szCs w:val="11"/>
                <w:color w:val="0000FF"/>
              </w:rPr>
            </w:pPr>
            <w:hyperlink r:id="rId264">
              <w:r>
                <w:rPr>
                  <w:rFonts w:ascii="Arial" w:cs="Arial" w:eastAsia="Arial" w:hAnsi="Arial"/>
                  <w:sz w:val="11"/>
                  <w:szCs w:val="11"/>
                  <w:color w:val="0000FF"/>
                </w:rPr>
                <w:t>Employment Agreement, dated July 7, 2020, by and among GoHealth, Inc., GoHealth Holdings,</w:t>
              </w:r>
            </w:hyperlink>
          </w:p>
        </w:tc>
      </w:tr>
      <w:tr>
        <w:trPr>
          <w:trHeight w:val="107"/>
        </w:trPr>
        <w:tc>
          <w:tcPr>
            <w:tcW w:w="760" w:type="dxa"/>
            <w:vAlign w:val="bottom"/>
          </w:tcPr>
          <w:p>
            <w:pPr>
              <w:spacing w:after="0"/>
              <w:rPr>
                <w:sz w:val="9"/>
                <w:szCs w:val="9"/>
                <w:color w:val="auto"/>
              </w:rPr>
            </w:pPr>
          </w:p>
        </w:tc>
        <w:tc>
          <w:tcPr>
            <w:tcW w:w="1260" w:type="dxa"/>
            <w:vAlign w:val="bottom"/>
            <w:tcBorders>
              <w:top w:val="single" w:sz="8" w:color="0000FF"/>
              <w:bottom w:val="single" w:sz="8" w:color="0000FF"/>
            </w:tcBorders>
            <w:gridSpan w:val="3"/>
          </w:tcPr>
          <w:p>
            <w:pPr>
              <w:spacing w:after="0" w:line="107" w:lineRule="exact"/>
              <w:rPr>
                <w:rFonts w:ascii="Arial" w:cs="Arial" w:eastAsia="Arial" w:hAnsi="Arial"/>
                <w:sz w:val="11"/>
                <w:szCs w:val="11"/>
                <w:color w:val="0000FF"/>
              </w:rPr>
            </w:pPr>
            <w:hyperlink r:id="rId264">
              <w:r>
                <w:rPr>
                  <w:rFonts w:ascii="Arial" w:cs="Arial" w:eastAsia="Arial" w:hAnsi="Arial"/>
                  <w:sz w:val="11"/>
                  <w:szCs w:val="11"/>
                  <w:color w:val="0000FF"/>
                </w:rPr>
                <w:t>LLC, and Shane A. Cruz.</w:t>
              </w:r>
            </w:hyperlink>
          </w:p>
        </w:tc>
        <w:tc>
          <w:tcPr>
            <w:tcW w:w="2860" w:type="dxa"/>
            <w:vAlign w:val="bottom"/>
            <w:tcBorders>
              <w:top w:val="single" w:sz="8" w:color="0000FF"/>
            </w:tcBorders>
            <w:gridSpan w:val="19"/>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760" w:type="dxa"/>
            <w:vAlign w:val="bottom"/>
          </w:tcPr>
          <w:p>
            <w:pPr>
              <w:jc w:val="center"/>
              <w:ind w:right="363"/>
              <w:spacing w:after="0"/>
              <w:rPr>
                <w:sz w:val="20"/>
                <w:szCs w:val="20"/>
                <w:color w:val="auto"/>
              </w:rPr>
            </w:pPr>
            <w:r>
              <w:rPr>
                <w:rFonts w:ascii="Arial" w:cs="Arial" w:eastAsia="Arial" w:hAnsi="Arial"/>
                <w:sz w:val="11"/>
                <w:szCs w:val="11"/>
                <w:color w:val="auto"/>
              </w:rPr>
              <w:t>10.16#</w:t>
            </w:r>
          </w:p>
        </w:tc>
        <w:tc>
          <w:tcPr>
            <w:tcW w:w="5000" w:type="dxa"/>
            <w:vAlign w:val="bottom"/>
            <w:gridSpan w:val="37"/>
          </w:tcPr>
          <w:p>
            <w:pPr>
              <w:spacing w:after="0"/>
              <w:rPr>
                <w:rFonts w:ascii="Arial" w:cs="Arial" w:eastAsia="Arial" w:hAnsi="Arial"/>
                <w:sz w:val="11"/>
                <w:szCs w:val="11"/>
                <w:color w:val="0000FF"/>
              </w:rPr>
            </w:pPr>
            <w:hyperlink r:id="rId265">
              <w:r>
                <w:rPr>
                  <w:rFonts w:ascii="Arial" w:cs="Arial" w:eastAsia="Arial" w:hAnsi="Arial"/>
                  <w:sz w:val="11"/>
                  <w:szCs w:val="11"/>
                  <w:color w:val="0000FF"/>
                </w:rPr>
                <w:t>Employment Agreement, dated July 7, 2020, by and among GoHealth, Inc., GoHealth Holdings,</w:t>
              </w:r>
            </w:hyperlink>
          </w:p>
        </w:tc>
      </w:tr>
      <w:tr>
        <w:trPr>
          <w:trHeight w:val="107"/>
        </w:trPr>
        <w:tc>
          <w:tcPr>
            <w:tcW w:w="760" w:type="dxa"/>
            <w:vAlign w:val="bottom"/>
          </w:tcPr>
          <w:p>
            <w:pPr>
              <w:spacing w:after="0"/>
              <w:rPr>
                <w:sz w:val="9"/>
                <w:szCs w:val="9"/>
                <w:color w:val="auto"/>
              </w:rPr>
            </w:pPr>
          </w:p>
        </w:tc>
        <w:tc>
          <w:tcPr>
            <w:tcW w:w="4120" w:type="dxa"/>
            <w:vAlign w:val="bottom"/>
            <w:tcBorders>
              <w:top w:val="single" w:sz="8" w:color="0000FF"/>
            </w:tcBorders>
            <w:gridSpan w:val="22"/>
          </w:tcPr>
          <w:p>
            <w:pPr>
              <w:spacing w:after="0" w:line="107" w:lineRule="exact"/>
              <w:rPr>
                <w:rFonts w:ascii="Arial" w:cs="Arial" w:eastAsia="Arial" w:hAnsi="Arial"/>
                <w:sz w:val="11"/>
                <w:szCs w:val="11"/>
                <w:color w:val="0000FF"/>
              </w:rPr>
            </w:pPr>
            <w:hyperlink r:id="rId265">
              <w:r>
                <w:rPr>
                  <w:rFonts w:ascii="Arial" w:cs="Arial" w:eastAsia="Arial" w:hAnsi="Arial"/>
                  <w:sz w:val="11"/>
                  <w:szCs w:val="11"/>
                  <w:color w:val="0000FF"/>
                </w:rPr>
                <w:t>LLC, and James A. Sharman.</w:t>
              </w:r>
            </w:hyperlink>
          </w:p>
        </w:tc>
        <w:tc>
          <w:tcPr>
            <w:tcW w:w="14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76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0"/>
        </w:trPr>
        <w:tc>
          <w:tcPr>
            <w:tcW w:w="760" w:type="dxa"/>
            <w:vAlign w:val="bottom"/>
          </w:tcPr>
          <w:p>
            <w:pPr>
              <w:jc w:val="center"/>
              <w:ind w:right="363"/>
              <w:spacing w:after="0"/>
              <w:rPr>
                <w:sz w:val="20"/>
                <w:szCs w:val="20"/>
                <w:color w:val="auto"/>
              </w:rPr>
            </w:pPr>
            <w:r>
              <w:rPr>
                <w:rFonts w:ascii="Arial" w:cs="Arial" w:eastAsia="Arial" w:hAnsi="Arial"/>
                <w:sz w:val="11"/>
                <w:szCs w:val="11"/>
                <w:color w:val="auto"/>
              </w:rPr>
              <w:t>10.17#</w:t>
            </w:r>
          </w:p>
        </w:tc>
        <w:tc>
          <w:tcPr>
            <w:tcW w:w="4780" w:type="dxa"/>
            <w:vAlign w:val="bottom"/>
            <w:tcBorders>
              <w:bottom w:val="single" w:sz="8" w:color="0000FF"/>
            </w:tcBorders>
            <w:gridSpan w:val="28"/>
          </w:tcPr>
          <w:p>
            <w:pPr>
              <w:spacing w:after="0"/>
              <w:rPr>
                <w:rFonts w:ascii="Arial" w:cs="Arial" w:eastAsia="Arial" w:hAnsi="Arial"/>
                <w:sz w:val="11"/>
                <w:szCs w:val="11"/>
                <w:color w:val="0000FF"/>
              </w:rPr>
            </w:pPr>
            <w:hyperlink w:anchor="page110">
              <w:r>
                <w:rPr>
                  <w:rFonts w:ascii="Arial" w:cs="Arial" w:eastAsia="Arial" w:hAnsi="Arial"/>
                  <w:sz w:val="11"/>
                  <w:szCs w:val="11"/>
                  <w:color w:val="0000FF"/>
                </w:rPr>
                <w:t>Employment Agreement, dated July 6, 2020, by and among GoHealth, Inc., GoHealth Holdings,</w:t>
              </w:r>
            </w:hyperlink>
          </w:p>
        </w:tc>
        <w:tc>
          <w:tcPr>
            <w:tcW w:w="220" w:type="dxa"/>
            <w:vAlign w:val="bottom"/>
            <w:gridSpan w:val="9"/>
          </w:tcPr>
          <w:p>
            <w:pPr>
              <w:spacing w:after="0"/>
              <w:rPr>
                <w:sz w:val="13"/>
                <w:szCs w:val="13"/>
                <w:color w:val="auto"/>
              </w:rPr>
            </w:pPr>
          </w:p>
        </w:tc>
      </w:tr>
      <w:tr>
        <w:trPr>
          <w:trHeight w:val="107"/>
        </w:trPr>
        <w:tc>
          <w:tcPr>
            <w:tcW w:w="760" w:type="dxa"/>
            <w:vAlign w:val="bottom"/>
          </w:tcPr>
          <w:p>
            <w:pPr>
              <w:spacing w:after="0"/>
              <w:rPr>
                <w:sz w:val="9"/>
                <w:szCs w:val="9"/>
                <w:color w:val="auto"/>
              </w:rPr>
            </w:pPr>
          </w:p>
        </w:tc>
        <w:tc>
          <w:tcPr>
            <w:tcW w:w="4860" w:type="dxa"/>
            <w:vAlign w:val="bottom"/>
            <w:tcBorders>
              <w:bottom w:val="single" w:sz="8" w:color="0000FF"/>
            </w:tcBorders>
            <w:gridSpan w:val="31"/>
          </w:tcPr>
          <w:p>
            <w:pPr>
              <w:spacing w:after="0" w:line="107" w:lineRule="exact"/>
              <w:rPr>
                <w:rFonts w:ascii="Arial" w:cs="Arial" w:eastAsia="Arial" w:hAnsi="Arial"/>
                <w:sz w:val="11"/>
                <w:szCs w:val="11"/>
                <w:color w:val="0000FF"/>
              </w:rPr>
            </w:pPr>
            <w:hyperlink w:anchor="page110">
              <w:r>
                <w:rPr>
                  <w:rFonts w:ascii="Arial" w:cs="Arial" w:eastAsia="Arial" w:hAnsi="Arial"/>
                  <w:sz w:val="11"/>
                  <w:szCs w:val="11"/>
                  <w:color w:val="0000FF"/>
                </w:rPr>
                <w:t>LLC, and Travis Matthiesen; Amended Employment Agreement and Executive Common Unit and</w:t>
              </w:r>
            </w:hyperlink>
          </w:p>
        </w:tc>
        <w:tc>
          <w:tcPr>
            <w:tcW w:w="140" w:type="dxa"/>
            <w:vAlign w:val="bottom"/>
            <w:gridSpan w:val="6"/>
          </w:tcPr>
          <w:p>
            <w:pPr>
              <w:spacing w:after="0"/>
              <w:rPr>
                <w:sz w:val="9"/>
                <w:szCs w:val="9"/>
                <w:color w:val="auto"/>
              </w:rPr>
            </w:pPr>
          </w:p>
        </w:tc>
      </w:tr>
      <w:tr>
        <w:trPr>
          <w:trHeight w:val="107"/>
        </w:trPr>
        <w:tc>
          <w:tcPr>
            <w:tcW w:w="760" w:type="dxa"/>
            <w:vAlign w:val="bottom"/>
          </w:tcPr>
          <w:p>
            <w:pPr>
              <w:spacing w:after="0"/>
              <w:rPr>
                <w:sz w:val="9"/>
                <w:szCs w:val="9"/>
                <w:color w:val="auto"/>
              </w:rPr>
            </w:pPr>
          </w:p>
        </w:tc>
        <w:tc>
          <w:tcPr>
            <w:tcW w:w="5000" w:type="dxa"/>
            <w:vAlign w:val="bottom"/>
            <w:gridSpan w:val="37"/>
          </w:tcPr>
          <w:p>
            <w:pPr>
              <w:spacing w:after="0" w:line="107" w:lineRule="exact"/>
              <w:rPr>
                <w:rFonts w:ascii="Arial" w:cs="Arial" w:eastAsia="Arial" w:hAnsi="Arial"/>
                <w:sz w:val="11"/>
                <w:szCs w:val="11"/>
                <w:color w:val="0000FF"/>
              </w:rPr>
            </w:pPr>
            <w:hyperlink w:anchor="page110">
              <w:r>
                <w:rPr>
                  <w:rFonts w:ascii="Arial" w:cs="Arial" w:eastAsia="Arial" w:hAnsi="Arial"/>
                  <w:sz w:val="11"/>
                  <w:szCs w:val="11"/>
                  <w:color w:val="0000FF"/>
                </w:rPr>
                <w:t>Profit Unit Agreement, dated October 18, 2021, by and among GoHealth, Inc., GoHealth Holdings,</w:t>
              </w:r>
            </w:hyperlink>
          </w:p>
        </w:tc>
      </w:tr>
      <w:tr>
        <w:trPr>
          <w:trHeight w:val="20"/>
        </w:trPr>
        <w:tc>
          <w:tcPr>
            <w:tcW w:w="76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07"/>
        </w:trPr>
        <w:tc>
          <w:tcPr>
            <w:tcW w:w="760" w:type="dxa"/>
            <w:vAlign w:val="bottom"/>
          </w:tcPr>
          <w:p>
            <w:pPr>
              <w:spacing w:after="0"/>
              <w:rPr>
                <w:sz w:val="9"/>
                <w:szCs w:val="9"/>
                <w:color w:val="auto"/>
              </w:rPr>
            </w:pPr>
          </w:p>
        </w:tc>
        <w:tc>
          <w:tcPr>
            <w:tcW w:w="5000" w:type="dxa"/>
            <w:vAlign w:val="bottom"/>
            <w:gridSpan w:val="37"/>
          </w:tcPr>
          <w:p>
            <w:pPr>
              <w:spacing w:after="0" w:line="107" w:lineRule="exact"/>
              <w:rPr>
                <w:rFonts w:ascii="Arial" w:cs="Arial" w:eastAsia="Arial" w:hAnsi="Arial"/>
                <w:sz w:val="11"/>
                <w:szCs w:val="11"/>
                <w:color w:val="0000FF"/>
              </w:rPr>
            </w:pPr>
            <w:hyperlink w:anchor="page110">
              <w:r>
                <w:rPr>
                  <w:rFonts w:ascii="Arial" w:cs="Arial" w:eastAsia="Arial" w:hAnsi="Arial"/>
                  <w:sz w:val="11"/>
                  <w:szCs w:val="11"/>
                  <w:color w:val="0000FF"/>
                </w:rPr>
                <w:t>LLC, and Travis Matthiesen; and Second Employment Agreement Amendment, dated February 25,</w:t>
              </w:r>
            </w:hyperlink>
          </w:p>
        </w:tc>
      </w:tr>
      <w:tr>
        <w:trPr>
          <w:trHeight w:val="107"/>
        </w:trPr>
        <w:tc>
          <w:tcPr>
            <w:tcW w:w="760" w:type="dxa"/>
            <w:vAlign w:val="bottom"/>
          </w:tcPr>
          <w:p>
            <w:pPr>
              <w:spacing w:after="0"/>
              <w:rPr>
                <w:sz w:val="9"/>
                <w:szCs w:val="9"/>
                <w:color w:val="auto"/>
              </w:rPr>
            </w:pPr>
          </w:p>
        </w:tc>
        <w:tc>
          <w:tcPr>
            <w:tcW w:w="4940" w:type="dxa"/>
            <w:vAlign w:val="bottom"/>
            <w:tcBorders>
              <w:top w:val="single" w:sz="8" w:color="0000FF"/>
            </w:tcBorders>
            <w:gridSpan w:val="34"/>
          </w:tcPr>
          <w:p>
            <w:pPr>
              <w:spacing w:after="0" w:line="107" w:lineRule="exact"/>
              <w:rPr>
                <w:rFonts w:ascii="Arial" w:cs="Arial" w:eastAsia="Arial" w:hAnsi="Arial"/>
                <w:sz w:val="11"/>
                <w:szCs w:val="11"/>
                <w:color w:val="0000FF"/>
              </w:rPr>
            </w:pPr>
            <w:hyperlink w:anchor="page110">
              <w:r>
                <w:rPr>
                  <w:rFonts w:ascii="Arial" w:cs="Arial" w:eastAsia="Arial" w:hAnsi="Arial"/>
                  <w:sz w:val="11"/>
                  <w:szCs w:val="11"/>
                  <w:color w:val="0000FF"/>
                </w:rPr>
                <w:t>2022, by and among GoHealth, Inc., GoHealth Holdings, LLC, and Travis Matthiesen.</w:t>
              </w:r>
            </w:hyperlink>
          </w:p>
        </w:tc>
        <w:tc>
          <w:tcPr>
            <w:tcW w:w="60" w:type="dxa"/>
            <w:vAlign w:val="bottom"/>
            <w:gridSpan w:val="3"/>
          </w:tcPr>
          <w:p>
            <w:pPr>
              <w:spacing w:after="0"/>
              <w:rPr>
                <w:sz w:val="9"/>
                <w:szCs w:val="9"/>
                <w:color w:val="auto"/>
              </w:rPr>
            </w:pPr>
          </w:p>
        </w:tc>
      </w:tr>
      <w:tr>
        <w:trPr>
          <w:trHeight w:val="20"/>
        </w:trPr>
        <w:tc>
          <w:tcPr>
            <w:tcW w:w="76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0"/>
        </w:trPr>
        <w:tc>
          <w:tcPr>
            <w:tcW w:w="760" w:type="dxa"/>
            <w:vAlign w:val="bottom"/>
          </w:tcPr>
          <w:p>
            <w:pPr>
              <w:jc w:val="center"/>
              <w:ind w:right="363"/>
              <w:spacing w:after="0"/>
              <w:rPr>
                <w:sz w:val="20"/>
                <w:szCs w:val="20"/>
                <w:color w:val="auto"/>
              </w:rPr>
            </w:pPr>
            <w:r>
              <w:rPr>
                <w:rFonts w:ascii="Arial" w:cs="Arial" w:eastAsia="Arial" w:hAnsi="Arial"/>
                <w:sz w:val="11"/>
                <w:szCs w:val="11"/>
                <w:color w:val="auto"/>
              </w:rPr>
              <w:t>10.18#</w:t>
            </w:r>
          </w:p>
        </w:tc>
        <w:tc>
          <w:tcPr>
            <w:tcW w:w="5000" w:type="dxa"/>
            <w:vAlign w:val="bottom"/>
            <w:gridSpan w:val="37"/>
          </w:tcPr>
          <w:p>
            <w:pPr>
              <w:spacing w:after="0"/>
              <w:rPr>
                <w:rFonts w:ascii="Arial" w:cs="Arial" w:eastAsia="Arial" w:hAnsi="Arial"/>
                <w:sz w:val="11"/>
                <w:szCs w:val="11"/>
                <w:color w:val="0000FF"/>
              </w:rPr>
            </w:pPr>
            <w:hyperlink w:anchor="page138">
              <w:r>
                <w:rPr>
                  <w:rFonts w:ascii="Arial" w:cs="Arial" w:eastAsia="Arial" w:hAnsi="Arial"/>
                  <w:sz w:val="11"/>
                  <w:szCs w:val="11"/>
                  <w:color w:val="0000FF"/>
                </w:rPr>
                <w:t>Employment Agreement, dated December 2, 2021, by and among GoHealth, Inc., GoHealth</w:t>
              </w:r>
            </w:hyperlink>
          </w:p>
        </w:tc>
      </w:tr>
      <w:tr>
        <w:trPr>
          <w:trHeight w:val="107"/>
        </w:trPr>
        <w:tc>
          <w:tcPr>
            <w:tcW w:w="760" w:type="dxa"/>
            <w:vAlign w:val="bottom"/>
          </w:tcPr>
          <w:p>
            <w:pPr>
              <w:spacing w:after="0"/>
              <w:rPr>
                <w:sz w:val="9"/>
                <w:szCs w:val="9"/>
                <w:color w:val="auto"/>
              </w:rPr>
            </w:pPr>
          </w:p>
        </w:tc>
        <w:tc>
          <w:tcPr>
            <w:tcW w:w="4120" w:type="dxa"/>
            <w:vAlign w:val="bottom"/>
            <w:tcBorders>
              <w:top w:val="single" w:sz="8" w:color="0000FF"/>
            </w:tcBorders>
            <w:gridSpan w:val="22"/>
          </w:tcPr>
          <w:p>
            <w:pPr>
              <w:spacing w:after="0" w:line="107" w:lineRule="exact"/>
              <w:rPr>
                <w:rFonts w:ascii="Arial" w:cs="Arial" w:eastAsia="Arial" w:hAnsi="Arial"/>
                <w:sz w:val="11"/>
                <w:szCs w:val="11"/>
                <w:color w:val="0000FF"/>
              </w:rPr>
            </w:pPr>
            <w:hyperlink w:anchor="page138">
              <w:r>
                <w:rPr>
                  <w:rFonts w:ascii="Arial" w:cs="Arial" w:eastAsia="Arial" w:hAnsi="Arial"/>
                  <w:sz w:val="11"/>
                  <w:szCs w:val="11"/>
                  <w:color w:val="0000FF"/>
                </w:rPr>
                <w:t>Holdings, LLC, and Vance Johnston</w:t>
              </w:r>
              <w:r>
                <w:rPr>
                  <w:rFonts w:ascii="Arial" w:cs="Arial" w:eastAsia="Arial" w:hAnsi="Arial"/>
                  <w:sz w:val="11"/>
                  <w:szCs w:val="11"/>
                  <w:color w:val="000000"/>
                </w:rPr>
                <w:t>.</w:t>
              </w:r>
            </w:hyperlink>
          </w:p>
        </w:tc>
        <w:tc>
          <w:tcPr>
            <w:tcW w:w="14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76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760" w:type="dxa"/>
            <w:vAlign w:val="bottom"/>
          </w:tcPr>
          <w:p>
            <w:pPr>
              <w:jc w:val="center"/>
              <w:ind w:right="363"/>
              <w:spacing w:after="0"/>
              <w:rPr>
                <w:sz w:val="20"/>
                <w:szCs w:val="20"/>
                <w:color w:val="auto"/>
              </w:rPr>
            </w:pPr>
            <w:r>
              <w:rPr>
                <w:rFonts w:ascii="Arial" w:cs="Arial" w:eastAsia="Arial" w:hAnsi="Arial"/>
                <w:sz w:val="11"/>
                <w:szCs w:val="11"/>
                <w:color w:val="auto"/>
              </w:rPr>
              <w:t>10.19#</w:t>
            </w:r>
          </w:p>
        </w:tc>
        <w:tc>
          <w:tcPr>
            <w:tcW w:w="4120" w:type="dxa"/>
            <w:vAlign w:val="bottom"/>
            <w:gridSpan w:val="22"/>
          </w:tcPr>
          <w:p>
            <w:pPr>
              <w:spacing w:after="0"/>
              <w:rPr>
                <w:rFonts w:ascii="Arial" w:cs="Arial" w:eastAsia="Arial" w:hAnsi="Arial"/>
                <w:sz w:val="11"/>
                <w:szCs w:val="11"/>
                <w:color w:val="0000FF"/>
              </w:rPr>
            </w:pPr>
            <w:hyperlink r:id="rId266">
              <w:r>
                <w:rPr>
                  <w:rFonts w:ascii="Arial" w:cs="Arial" w:eastAsia="Arial" w:hAnsi="Arial"/>
                  <w:sz w:val="11"/>
                  <w:szCs w:val="11"/>
                  <w:color w:val="0000FF"/>
                </w:rPr>
                <w:t>GoHealth, Inc. Non-Employee Director Compensation Policy.</w:t>
              </w:r>
            </w:hyperlink>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0"/>
        </w:trPr>
        <w:tc>
          <w:tcPr>
            <w:tcW w:w="760" w:type="dxa"/>
            <w:vAlign w:val="bottom"/>
          </w:tcPr>
          <w:p>
            <w:pPr>
              <w:jc w:val="center"/>
              <w:ind w:right="363"/>
              <w:spacing w:after="0"/>
              <w:rPr>
                <w:sz w:val="20"/>
                <w:szCs w:val="20"/>
                <w:color w:val="auto"/>
              </w:rPr>
            </w:pPr>
            <w:r>
              <w:rPr>
                <w:rFonts w:ascii="Arial" w:cs="Arial" w:eastAsia="Arial" w:hAnsi="Arial"/>
                <w:sz w:val="11"/>
                <w:szCs w:val="11"/>
                <w:color w:val="auto"/>
              </w:rPr>
              <w:t>10.20#</w:t>
            </w:r>
          </w:p>
        </w:tc>
        <w:tc>
          <w:tcPr>
            <w:tcW w:w="1900" w:type="dxa"/>
            <w:vAlign w:val="bottom"/>
            <w:tcBorders>
              <w:top w:val="single" w:sz="8" w:color="0000FF"/>
              <w:bottom w:val="single" w:sz="8" w:color="0000FF"/>
            </w:tcBorders>
            <w:gridSpan w:val="8"/>
          </w:tcPr>
          <w:p>
            <w:pPr>
              <w:spacing w:after="0"/>
              <w:rPr>
                <w:rFonts w:ascii="Arial" w:cs="Arial" w:eastAsia="Arial" w:hAnsi="Arial"/>
                <w:sz w:val="11"/>
                <w:szCs w:val="11"/>
                <w:color w:val="0000FF"/>
              </w:rPr>
            </w:pPr>
            <w:hyperlink r:id="rId267">
              <w:r>
                <w:rPr>
                  <w:rFonts w:ascii="Arial" w:cs="Arial" w:eastAsia="Arial" w:hAnsi="Arial"/>
                  <w:sz w:val="11"/>
                  <w:szCs w:val="11"/>
                  <w:color w:val="0000FF"/>
                </w:rPr>
                <w:t>Form Director Profits Unit Agreement.</w:t>
              </w:r>
            </w:hyperlink>
          </w:p>
        </w:tc>
        <w:tc>
          <w:tcPr>
            <w:tcW w:w="1140" w:type="dxa"/>
            <w:vAlign w:val="bottom"/>
            <w:tcBorders>
              <w:top w:val="single" w:sz="8" w:color="0000FF"/>
            </w:tcBorders>
            <w:gridSpan w:val="7"/>
          </w:tcPr>
          <w:p>
            <w:pPr>
              <w:spacing w:after="0"/>
              <w:rPr>
                <w:sz w:val="13"/>
                <w:szCs w:val="13"/>
                <w:color w:val="auto"/>
              </w:rPr>
            </w:pPr>
          </w:p>
        </w:tc>
        <w:tc>
          <w:tcPr>
            <w:tcW w:w="1080" w:type="dxa"/>
            <w:vAlign w:val="bottom"/>
            <w:gridSpan w:val="7"/>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0"/>
        </w:trPr>
        <w:tc>
          <w:tcPr>
            <w:tcW w:w="760" w:type="dxa"/>
            <w:vAlign w:val="bottom"/>
          </w:tcPr>
          <w:p>
            <w:pPr>
              <w:jc w:val="center"/>
              <w:ind w:right="363"/>
              <w:spacing w:after="0"/>
              <w:rPr>
                <w:sz w:val="20"/>
                <w:szCs w:val="20"/>
                <w:color w:val="auto"/>
              </w:rPr>
            </w:pPr>
            <w:r>
              <w:rPr>
                <w:rFonts w:ascii="Arial" w:cs="Arial" w:eastAsia="Arial" w:hAnsi="Arial"/>
                <w:sz w:val="11"/>
                <w:szCs w:val="11"/>
                <w:color w:val="auto"/>
              </w:rPr>
              <w:t>10.21#</w:t>
            </w:r>
          </w:p>
        </w:tc>
        <w:tc>
          <w:tcPr>
            <w:tcW w:w="2960" w:type="dxa"/>
            <w:vAlign w:val="bottom"/>
            <w:tcBorders>
              <w:bottom w:val="single" w:sz="8" w:color="0000FF"/>
            </w:tcBorders>
            <w:gridSpan w:val="14"/>
          </w:tcPr>
          <w:p>
            <w:pPr>
              <w:spacing w:after="0"/>
              <w:rPr>
                <w:rFonts w:ascii="Arial" w:cs="Arial" w:eastAsia="Arial" w:hAnsi="Arial"/>
                <w:sz w:val="11"/>
                <w:szCs w:val="11"/>
                <w:color w:val="0000FF"/>
              </w:rPr>
            </w:pPr>
            <w:hyperlink r:id="rId268">
              <w:r>
                <w:rPr>
                  <w:rFonts w:ascii="Arial" w:cs="Arial" w:eastAsia="Arial" w:hAnsi="Arial"/>
                  <w:sz w:val="11"/>
                  <w:szCs w:val="11"/>
                  <w:color w:val="0000FF"/>
                </w:rPr>
                <w:t>Form Amendment No. 1 to Director Profits Unit Agreement.</w:t>
              </w:r>
            </w:hyperlink>
          </w:p>
        </w:tc>
        <w:tc>
          <w:tcPr>
            <w:tcW w:w="1160" w:type="dxa"/>
            <w:vAlign w:val="bottom"/>
            <w:gridSpan w:val="8"/>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0"/>
        </w:trPr>
        <w:tc>
          <w:tcPr>
            <w:tcW w:w="760" w:type="dxa"/>
            <w:vAlign w:val="bottom"/>
          </w:tcPr>
          <w:p>
            <w:pPr>
              <w:jc w:val="center"/>
              <w:ind w:right="363"/>
              <w:spacing w:after="0"/>
              <w:rPr>
                <w:sz w:val="20"/>
                <w:szCs w:val="20"/>
                <w:color w:val="auto"/>
              </w:rPr>
            </w:pPr>
            <w:r>
              <w:rPr>
                <w:rFonts w:ascii="Arial" w:cs="Arial" w:eastAsia="Arial" w:hAnsi="Arial"/>
                <w:sz w:val="11"/>
                <w:szCs w:val="11"/>
                <w:color w:val="auto"/>
              </w:rPr>
              <w:t>10.22#</w:t>
            </w:r>
          </w:p>
        </w:tc>
        <w:tc>
          <w:tcPr>
            <w:tcW w:w="3600" w:type="dxa"/>
            <w:vAlign w:val="bottom"/>
            <w:tcBorders>
              <w:bottom w:val="single" w:sz="8" w:color="0000FF"/>
            </w:tcBorders>
            <w:gridSpan w:val="18"/>
          </w:tcPr>
          <w:p>
            <w:pPr>
              <w:spacing w:after="0"/>
              <w:rPr>
                <w:rFonts w:ascii="Arial" w:cs="Arial" w:eastAsia="Arial" w:hAnsi="Arial"/>
                <w:sz w:val="11"/>
                <w:szCs w:val="11"/>
                <w:color w:val="0000FF"/>
              </w:rPr>
            </w:pPr>
            <w:hyperlink r:id="rId269">
              <w:r>
                <w:rPr>
                  <w:rFonts w:ascii="Arial" w:cs="Arial" w:eastAsia="Arial" w:hAnsi="Arial"/>
                  <w:sz w:val="11"/>
                  <w:szCs w:val="11"/>
                  <w:color w:val="0000FF"/>
                </w:rPr>
                <w:t>Form of Stock Option Award Grant Notice and Stock Option Agreement.</w:t>
              </w:r>
            </w:hyperlink>
          </w:p>
        </w:tc>
        <w:tc>
          <w:tcPr>
            <w:tcW w:w="520" w:type="dxa"/>
            <w:vAlign w:val="bottom"/>
            <w:gridSpan w:val="4"/>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0"/>
        </w:trPr>
        <w:tc>
          <w:tcPr>
            <w:tcW w:w="760" w:type="dxa"/>
            <w:vAlign w:val="bottom"/>
          </w:tcPr>
          <w:p>
            <w:pPr>
              <w:jc w:val="center"/>
              <w:ind w:right="363"/>
              <w:spacing w:after="0"/>
              <w:rPr>
                <w:sz w:val="20"/>
                <w:szCs w:val="20"/>
                <w:color w:val="auto"/>
              </w:rPr>
            </w:pPr>
            <w:r>
              <w:rPr>
                <w:rFonts w:ascii="Arial" w:cs="Arial" w:eastAsia="Arial" w:hAnsi="Arial"/>
                <w:sz w:val="11"/>
                <w:szCs w:val="11"/>
                <w:color w:val="auto"/>
              </w:rPr>
              <w:t>10.23#</w:t>
            </w:r>
          </w:p>
        </w:tc>
        <w:tc>
          <w:tcPr>
            <w:tcW w:w="4420" w:type="dxa"/>
            <w:vAlign w:val="bottom"/>
            <w:tcBorders>
              <w:bottom w:val="single" w:sz="8" w:color="0000FF"/>
            </w:tcBorders>
            <w:gridSpan w:val="24"/>
          </w:tcPr>
          <w:p>
            <w:pPr>
              <w:spacing w:after="0"/>
              <w:rPr>
                <w:rFonts w:ascii="Arial" w:cs="Arial" w:eastAsia="Arial" w:hAnsi="Arial"/>
                <w:sz w:val="11"/>
                <w:szCs w:val="11"/>
                <w:color w:val="0000FF"/>
              </w:rPr>
            </w:pPr>
            <w:hyperlink r:id="rId270">
              <w:r>
                <w:rPr>
                  <w:rFonts w:ascii="Arial" w:cs="Arial" w:eastAsia="Arial" w:hAnsi="Arial"/>
                  <w:sz w:val="11"/>
                  <w:szCs w:val="11"/>
                  <w:color w:val="0000FF"/>
                </w:rPr>
                <w:t>Form of Restricted Stock Unit Award Grant Notice and Restricted Stock Unit Agreement.</w:t>
              </w:r>
            </w:hyperlink>
          </w:p>
        </w:tc>
        <w:tc>
          <w:tcPr>
            <w:tcW w:w="580" w:type="dxa"/>
            <w:vAlign w:val="bottom"/>
            <w:gridSpan w:val="13"/>
          </w:tcPr>
          <w:p>
            <w:pPr>
              <w:spacing w:after="0"/>
              <w:rPr>
                <w:sz w:val="13"/>
                <w:szCs w:val="13"/>
                <w:color w:val="auto"/>
              </w:rPr>
            </w:pPr>
          </w:p>
        </w:tc>
      </w:tr>
      <w:tr>
        <w:trPr>
          <w:trHeight w:val="150"/>
        </w:trPr>
        <w:tc>
          <w:tcPr>
            <w:tcW w:w="760" w:type="dxa"/>
            <w:vAlign w:val="bottom"/>
          </w:tcPr>
          <w:p>
            <w:pPr>
              <w:jc w:val="center"/>
              <w:ind w:right="383"/>
              <w:spacing w:after="0"/>
              <w:rPr>
                <w:sz w:val="20"/>
                <w:szCs w:val="20"/>
                <w:color w:val="auto"/>
              </w:rPr>
            </w:pPr>
            <w:r>
              <w:rPr>
                <w:rFonts w:ascii="Arial" w:cs="Arial" w:eastAsia="Arial" w:hAnsi="Arial"/>
                <w:sz w:val="11"/>
                <w:szCs w:val="11"/>
                <w:color w:val="auto"/>
              </w:rPr>
              <w:t>10.24</w:t>
            </w:r>
          </w:p>
        </w:tc>
        <w:tc>
          <w:tcPr>
            <w:tcW w:w="5000" w:type="dxa"/>
            <w:vAlign w:val="bottom"/>
            <w:gridSpan w:val="37"/>
          </w:tcPr>
          <w:p>
            <w:pPr>
              <w:spacing w:after="0"/>
              <w:rPr>
                <w:rFonts w:ascii="Arial" w:cs="Arial" w:eastAsia="Arial" w:hAnsi="Arial"/>
                <w:sz w:val="11"/>
                <w:szCs w:val="11"/>
                <w:color w:val="0000FF"/>
              </w:rPr>
            </w:pPr>
            <w:hyperlink r:id="rId271">
              <w:r>
                <w:rPr>
                  <w:rFonts w:ascii="Arial" w:cs="Arial" w:eastAsia="Arial" w:hAnsi="Arial"/>
                  <w:sz w:val="11"/>
                  <w:szCs w:val="11"/>
                  <w:color w:val="0000FF"/>
                </w:rPr>
                <w:t>Tax Receivable Agreement, dated July 15, 2020, by and among the GoHealth, Inc., GoHealth, LLC,</w:t>
              </w:r>
            </w:hyperlink>
          </w:p>
        </w:tc>
      </w:tr>
      <w:tr>
        <w:trPr>
          <w:trHeight w:val="107"/>
        </w:trPr>
        <w:tc>
          <w:tcPr>
            <w:tcW w:w="760" w:type="dxa"/>
            <w:vAlign w:val="bottom"/>
          </w:tcPr>
          <w:p>
            <w:pPr>
              <w:spacing w:after="0"/>
              <w:rPr>
                <w:sz w:val="9"/>
                <w:szCs w:val="9"/>
                <w:color w:val="auto"/>
              </w:rPr>
            </w:pPr>
          </w:p>
        </w:tc>
        <w:tc>
          <w:tcPr>
            <w:tcW w:w="4960" w:type="dxa"/>
            <w:vAlign w:val="bottom"/>
            <w:tcBorders>
              <w:top w:val="single" w:sz="8" w:color="0000FF"/>
            </w:tcBorders>
            <w:gridSpan w:val="35"/>
          </w:tcPr>
          <w:p>
            <w:pPr>
              <w:spacing w:after="0" w:line="107" w:lineRule="exact"/>
              <w:rPr>
                <w:rFonts w:ascii="Arial" w:cs="Arial" w:eastAsia="Arial" w:hAnsi="Arial"/>
                <w:sz w:val="11"/>
                <w:szCs w:val="11"/>
                <w:color w:val="0000FF"/>
              </w:rPr>
            </w:pPr>
            <w:hyperlink r:id="rId271">
              <w:r>
                <w:rPr>
                  <w:rFonts w:ascii="Arial" w:cs="Arial" w:eastAsia="Arial" w:hAnsi="Arial"/>
                  <w:sz w:val="11"/>
                  <w:szCs w:val="11"/>
                  <w:color w:val="0000FF"/>
                </w:rPr>
                <w:t>CB Blizzard Co-Invest Holdings, L.P., CCP III AIV VII Holdings, L.P. and each of the Members from</w:t>
              </w:r>
            </w:hyperlink>
          </w:p>
        </w:tc>
        <w:tc>
          <w:tcPr>
            <w:tcW w:w="40" w:type="dxa"/>
            <w:vAlign w:val="bottom"/>
            <w:gridSpan w:val="2"/>
          </w:tcPr>
          <w:p>
            <w:pPr>
              <w:spacing w:after="0"/>
              <w:rPr>
                <w:sz w:val="9"/>
                <w:szCs w:val="9"/>
                <w:color w:val="auto"/>
              </w:rPr>
            </w:pPr>
          </w:p>
        </w:tc>
      </w:tr>
      <w:tr>
        <w:trPr>
          <w:trHeight w:val="107"/>
        </w:trPr>
        <w:tc>
          <w:tcPr>
            <w:tcW w:w="760" w:type="dxa"/>
            <w:vAlign w:val="bottom"/>
          </w:tcPr>
          <w:p>
            <w:pPr>
              <w:spacing w:after="0"/>
              <w:rPr>
                <w:sz w:val="9"/>
                <w:szCs w:val="9"/>
                <w:color w:val="auto"/>
              </w:rPr>
            </w:pPr>
          </w:p>
        </w:tc>
        <w:tc>
          <w:tcPr>
            <w:tcW w:w="4120" w:type="dxa"/>
            <w:vAlign w:val="bottom"/>
            <w:tcBorders>
              <w:top w:val="single" w:sz="8" w:color="0000FF"/>
            </w:tcBorders>
            <w:gridSpan w:val="22"/>
          </w:tcPr>
          <w:p>
            <w:pPr>
              <w:spacing w:after="0" w:line="107" w:lineRule="exact"/>
              <w:rPr>
                <w:rFonts w:ascii="Arial" w:cs="Arial" w:eastAsia="Arial" w:hAnsi="Arial"/>
                <w:sz w:val="11"/>
                <w:szCs w:val="11"/>
                <w:color w:val="0000FF"/>
              </w:rPr>
            </w:pPr>
            <w:hyperlink r:id="rId271">
              <w:r>
                <w:rPr>
                  <w:rFonts w:ascii="Arial" w:cs="Arial" w:eastAsia="Arial" w:hAnsi="Arial"/>
                  <w:sz w:val="11"/>
                  <w:szCs w:val="11"/>
                  <w:color w:val="0000FF"/>
                </w:rPr>
                <w:t>time to time party thereto.</w:t>
              </w:r>
            </w:hyperlink>
          </w:p>
        </w:tc>
        <w:tc>
          <w:tcPr>
            <w:tcW w:w="14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76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50"/>
        </w:trPr>
        <w:tc>
          <w:tcPr>
            <w:tcW w:w="760" w:type="dxa"/>
            <w:vAlign w:val="bottom"/>
          </w:tcPr>
          <w:p>
            <w:pPr>
              <w:jc w:val="center"/>
              <w:ind w:right="383"/>
              <w:spacing w:after="0"/>
              <w:rPr>
                <w:sz w:val="20"/>
                <w:szCs w:val="20"/>
                <w:color w:val="auto"/>
              </w:rPr>
            </w:pPr>
            <w:r>
              <w:rPr>
                <w:rFonts w:ascii="Arial" w:cs="Arial" w:eastAsia="Arial" w:hAnsi="Arial"/>
                <w:sz w:val="11"/>
                <w:szCs w:val="11"/>
                <w:color w:val="auto"/>
              </w:rPr>
              <w:t>10.25</w:t>
            </w:r>
          </w:p>
        </w:tc>
        <w:tc>
          <w:tcPr>
            <w:tcW w:w="5000" w:type="dxa"/>
            <w:vAlign w:val="bottom"/>
            <w:gridSpan w:val="37"/>
          </w:tcPr>
          <w:p>
            <w:pPr>
              <w:spacing w:after="0"/>
              <w:rPr>
                <w:rFonts w:ascii="Arial" w:cs="Arial" w:eastAsia="Arial" w:hAnsi="Arial"/>
                <w:sz w:val="11"/>
                <w:szCs w:val="11"/>
                <w:color w:val="0000FF"/>
              </w:rPr>
            </w:pPr>
            <w:hyperlink r:id="rId272">
              <w:r>
                <w:rPr>
                  <w:rFonts w:ascii="Arial" w:cs="Arial" w:eastAsia="Arial" w:hAnsi="Arial"/>
                  <w:sz w:val="11"/>
                  <w:szCs w:val="11"/>
                  <w:color w:val="0000FF"/>
                </w:rPr>
                <w:t>Registration Rights Agreement, dated July 15, 2020, by and among GoHealth, Inc. and each other</w:t>
              </w:r>
            </w:hyperlink>
          </w:p>
        </w:tc>
      </w:tr>
      <w:tr>
        <w:trPr>
          <w:trHeight w:val="107"/>
        </w:trPr>
        <w:tc>
          <w:tcPr>
            <w:tcW w:w="760" w:type="dxa"/>
            <w:vAlign w:val="bottom"/>
          </w:tcPr>
          <w:p>
            <w:pPr>
              <w:spacing w:after="0"/>
              <w:rPr>
                <w:sz w:val="9"/>
                <w:szCs w:val="9"/>
                <w:color w:val="auto"/>
              </w:rPr>
            </w:pPr>
          </w:p>
        </w:tc>
        <w:tc>
          <w:tcPr>
            <w:tcW w:w="4120" w:type="dxa"/>
            <w:vAlign w:val="bottom"/>
            <w:tcBorders>
              <w:top w:val="single" w:sz="8" w:color="0000FF"/>
            </w:tcBorders>
            <w:gridSpan w:val="22"/>
          </w:tcPr>
          <w:p>
            <w:pPr>
              <w:spacing w:after="0" w:line="107" w:lineRule="exact"/>
              <w:rPr>
                <w:rFonts w:ascii="Arial" w:cs="Arial" w:eastAsia="Arial" w:hAnsi="Arial"/>
                <w:sz w:val="11"/>
                <w:szCs w:val="11"/>
                <w:color w:val="0000FF"/>
              </w:rPr>
            </w:pPr>
            <w:hyperlink r:id="rId272">
              <w:r>
                <w:rPr>
                  <w:rFonts w:ascii="Arial" w:cs="Arial" w:eastAsia="Arial" w:hAnsi="Arial"/>
                  <w:sz w:val="11"/>
                  <w:szCs w:val="11"/>
                  <w:color w:val="0000FF"/>
                </w:rPr>
                <w:t>person identified on the schedule of investors attached thereto.</w:t>
              </w:r>
            </w:hyperlink>
          </w:p>
        </w:tc>
        <w:tc>
          <w:tcPr>
            <w:tcW w:w="14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760" w:type="dxa"/>
            <w:vAlign w:val="bottom"/>
          </w:tcPr>
          <w:p>
            <w:pPr>
              <w:spacing w:after="0" w:line="20" w:lineRule="exact"/>
              <w:rPr>
                <w:sz w:val="1"/>
                <w:szCs w:val="1"/>
                <w:color w:val="auto"/>
              </w:rPr>
            </w:pPr>
          </w:p>
        </w:tc>
        <w:tc>
          <w:tcPr>
            <w:tcW w:w="2420" w:type="dxa"/>
            <w:vAlign w:val="bottom"/>
            <w:gridSpan w:val="11"/>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50"/>
        </w:trPr>
        <w:tc>
          <w:tcPr>
            <w:tcW w:w="760" w:type="dxa"/>
            <w:vAlign w:val="bottom"/>
          </w:tcPr>
          <w:p>
            <w:pPr>
              <w:jc w:val="center"/>
              <w:ind w:right="383"/>
              <w:spacing w:after="0"/>
              <w:rPr>
                <w:sz w:val="20"/>
                <w:szCs w:val="20"/>
                <w:color w:val="auto"/>
              </w:rPr>
            </w:pPr>
            <w:r>
              <w:rPr>
                <w:rFonts w:ascii="Arial" w:cs="Arial" w:eastAsia="Arial" w:hAnsi="Arial"/>
                <w:sz w:val="11"/>
                <w:szCs w:val="11"/>
                <w:color w:val="auto"/>
              </w:rPr>
              <w:t>10.26</w:t>
            </w:r>
          </w:p>
        </w:tc>
        <w:tc>
          <w:tcPr>
            <w:tcW w:w="5000" w:type="dxa"/>
            <w:vAlign w:val="bottom"/>
            <w:tcBorders>
              <w:bottom w:val="single" w:sz="8" w:color="0000FF"/>
            </w:tcBorders>
            <w:gridSpan w:val="37"/>
          </w:tcPr>
          <w:p>
            <w:pPr>
              <w:spacing w:after="0"/>
              <w:rPr>
                <w:rFonts w:ascii="Arial" w:cs="Arial" w:eastAsia="Arial" w:hAnsi="Arial"/>
                <w:sz w:val="11"/>
                <w:szCs w:val="11"/>
                <w:color w:val="0000FF"/>
              </w:rPr>
            </w:pPr>
            <w:hyperlink r:id="rId273">
              <w:r>
                <w:rPr>
                  <w:rFonts w:ascii="Arial" w:cs="Arial" w:eastAsia="Arial" w:hAnsi="Arial"/>
                  <w:sz w:val="11"/>
                  <w:szCs w:val="11"/>
                  <w:color w:val="0000FF"/>
                </w:rPr>
                <w:t>Second Amended and Restated Limited Liability Company Agreement of GoHealth, LLC, dated July</w:t>
              </w:r>
            </w:hyperlink>
          </w:p>
        </w:tc>
      </w:tr>
      <w:tr>
        <w:trPr>
          <w:trHeight w:val="107"/>
        </w:trPr>
        <w:tc>
          <w:tcPr>
            <w:tcW w:w="760" w:type="dxa"/>
            <w:vAlign w:val="bottom"/>
          </w:tcPr>
          <w:p>
            <w:pPr>
              <w:spacing w:after="0"/>
              <w:rPr>
                <w:sz w:val="9"/>
                <w:szCs w:val="9"/>
                <w:color w:val="auto"/>
              </w:rPr>
            </w:pPr>
          </w:p>
        </w:tc>
        <w:tc>
          <w:tcPr>
            <w:tcW w:w="2900" w:type="dxa"/>
            <w:vAlign w:val="bottom"/>
            <w:tcBorders>
              <w:bottom w:val="single" w:sz="8" w:color="0000FF"/>
            </w:tcBorders>
            <w:gridSpan w:val="13"/>
          </w:tcPr>
          <w:p>
            <w:pPr>
              <w:spacing w:after="0" w:line="107" w:lineRule="exact"/>
              <w:rPr>
                <w:rFonts w:ascii="Arial" w:cs="Arial" w:eastAsia="Arial" w:hAnsi="Arial"/>
                <w:sz w:val="11"/>
                <w:szCs w:val="11"/>
                <w:color w:val="0000FF"/>
              </w:rPr>
            </w:pPr>
            <w:hyperlink r:id="rId273">
              <w:r>
                <w:rPr>
                  <w:rFonts w:ascii="Arial" w:cs="Arial" w:eastAsia="Arial" w:hAnsi="Arial"/>
                  <w:sz w:val="11"/>
                  <w:szCs w:val="11"/>
                  <w:color w:val="0000FF"/>
                </w:rPr>
                <w:t>15, 2020, by and among GoHealth, LLC and its Members.</w:t>
              </w:r>
            </w:hyperlink>
          </w:p>
        </w:tc>
        <w:tc>
          <w:tcPr>
            <w:tcW w:w="1220" w:type="dxa"/>
            <w:vAlign w:val="bottom"/>
            <w:gridSpan w:val="9"/>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760" w:type="dxa"/>
            <w:vAlign w:val="bottom"/>
          </w:tcPr>
          <w:p>
            <w:pPr>
              <w:jc w:val="center"/>
              <w:ind w:right="383"/>
              <w:spacing w:after="0"/>
              <w:rPr>
                <w:sz w:val="20"/>
                <w:szCs w:val="20"/>
                <w:color w:val="auto"/>
              </w:rPr>
            </w:pPr>
            <w:r>
              <w:rPr>
                <w:rFonts w:ascii="Arial" w:cs="Arial" w:eastAsia="Arial" w:hAnsi="Arial"/>
                <w:sz w:val="11"/>
                <w:szCs w:val="11"/>
                <w:color w:val="auto"/>
              </w:rPr>
              <w:t>10.27</w:t>
            </w:r>
          </w:p>
        </w:tc>
        <w:tc>
          <w:tcPr>
            <w:tcW w:w="5000" w:type="dxa"/>
            <w:vAlign w:val="bottom"/>
            <w:gridSpan w:val="37"/>
          </w:tcPr>
          <w:p>
            <w:pPr>
              <w:spacing w:after="0"/>
              <w:rPr>
                <w:rFonts w:ascii="Arial" w:cs="Arial" w:eastAsia="Arial" w:hAnsi="Arial"/>
                <w:sz w:val="11"/>
                <w:szCs w:val="11"/>
                <w:color w:val="0000FF"/>
              </w:rPr>
            </w:pPr>
            <w:hyperlink r:id="rId274">
              <w:r>
                <w:rPr>
                  <w:rFonts w:ascii="Arial" w:cs="Arial" w:eastAsia="Arial" w:hAnsi="Arial"/>
                  <w:sz w:val="11"/>
                  <w:szCs w:val="11"/>
                  <w:color w:val="0000FF"/>
                </w:rPr>
                <w:t>Stockholders Agreement, dated July 15, 2020, by and among GoHealth, Inc. and the persons and</w:t>
              </w:r>
            </w:hyperlink>
          </w:p>
        </w:tc>
      </w:tr>
      <w:tr>
        <w:trPr>
          <w:trHeight w:val="107"/>
        </w:trPr>
        <w:tc>
          <w:tcPr>
            <w:tcW w:w="760" w:type="dxa"/>
            <w:vAlign w:val="bottom"/>
          </w:tcPr>
          <w:p>
            <w:pPr>
              <w:spacing w:after="0"/>
              <w:rPr>
                <w:sz w:val="9"/>
                <w:szCs w:val="9"/>
                <w:color w:val="auto"/>
              </w:rPr>
            </w:pPr>
          </w:p>
        </w:tc>
        <w:tc>
          <w:tcPr>
            <w:tcW w:w="2420" w:type="dxa"/>
            <w:vAlign w:val="bottom"/>
            <w:tcBorders>
              <w:top w:val="single" w:sz="8" w:color="0000FF"/>
              <w:bottom w:val="single" w:sz="8" w:color="0000FF"/>
            </w:tcBorders>
            <w:gridSpan w:val="11"/>
          </w:tcPr>
          <w:p>
            <w:pPr>
              <w:spacing w:after="0" w:line="107" w:lineRule="exact"/>
              <w:rPr>
                <w:rFonts w:ascii="Arial" w:cs="Arial" w:eastAsia="Arial" w:hAnsi="Arial"/>
                <w:sz w:val="11"/>
                <w:szCs w:val="11"/>
                <w:color w:val="0000FF"/>
              </w:rPr>
            </w:pPr>
            <w:hyperlink r:id="rId274">
              <w:r>
                <w:rPr>
                  <w:rFonts w:ascii="Arial" w:cs="Arial" w:eastAsia="Arial" w:hAnsi="Arial"/>
                  <w:sz w:val="11"/>
                  <w:szCs w:val="11"/>
                  <w:color w:val="0000FF"/>
                </w:rPr>
                <w:t>entities listed on the schedules attached thereto.</w:t>
              </w:r>
            </w:hyperlink>
          </w:p>
        </w:tc>
        <w:tc>
          <w:tcPr>
            <w:tcW w:w="1700" w:type="dxa"/>
            <w:vAlign w:val="bottom"/>
            <w:tcBorders>
              <w:top w:val="single" w:sz="8" w:color="0000FF"/>
            </w:tcBorders>
            <w:gridSpan w:val="11"/>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760" w:type="dxa"/>
            <w:vAlign w:val="bottom"/>
          </w:tcPr>
          <w:p>
            <w:pPr>
              <w:jc w:val="center"/>
              <w:ind w:right="383"/>
              <w:spacing w:after="0"/>
              <w:rPr>
                <w:sz w:val="20"/>
                <w:szCs w:val="20"/>
                <w:color w:val="auto"/>
              </w:rPr>
            </w:pPr>
            <w:r>
              <w:rPr>
                <w:rFonts w:ascii="Arial" w:cs="Arial" w:eastAsia="Arial" w:hAnsi="Arial"/>
                <w:sz w:val="11"/>
                <w:szCs w:val="11"/>
                <w:color w:val="auto"/>
              </w:rPr>
              <w:t>10.28</w:t>
            </w:r>
          </w:p>
        </w:tc>
        <w:tc>
          <w:tcPr>
            <w:tcW w:w="5000" w:type="dxa"/>
            <w:vAlign w:val="bottom"/>
            <w:gridSpan w:val="37"/>
          </w:tcPr>
          <w:p>
            <w:pPr>
              <w:spacing w:after="0"/>
              <w:rPr>
                <w:rFonts w:ascii="Arial" w:cs="Arial" w:eastAsia="Arial" w:hAnsi="Arial"/>
                <w:sz w:val="11"/>
                <w:szCs w:val="11"/>
                <w:color w:val="0000FF"/>
              </w:rPr>
            </w:pPr>
            <w:hyperlink r:id="rId275">
              <w:r>
                <w:rPr>
                  <w:rFonts w:ascii="Arial" w:cs="Arial" w:eastAsia="Arial" w:hAnsi="Arial"/>
                  <w:sz w:val="11"/>
                  <w:szCs w:val="11"/>
                  <w:color w:val="0000FF"/>
                </w:rPr>
                <w:t>Amendment No. 7 to the Credit Agreement and Incremental Facility Agreement, dated as of March</w:t>
              </w:r>
            </w:hyperlink>
          </w:p>
        </w:tc>
      </w:tr>
      <w:tr>
        <w:trPr>
          <w:trHeight w:val="107"/>
        </w:trPr>
        <w:tc>
          <w:tcPr>
            <w:tcW w:w="760" w:type="dxa"/>
            <w:vAlign w:val="bottom"/>
          </w:tcPr>
          <w:p>
            <w:pPr>
              <w:spacing w:after="0"/>
              <w:rPr>
                <w:sz w:val="9"/>
                <w:szCs w:val="9"/>
                <w:color w:val="auto"/>
              </w:rPr>
            </w:pPr>
          </w:p>
        </w:tc>
        <w:tc>
          <w:tcPr>
            <w:tcW w:w="4920" w:type="dxa"/>
            <w:vAlign w:val="bottom"/>
            <w:tcBorders>
              <w:top w:val="single" w:sz="8" w:color="0000FF"/>
            </w:tcBorders>
            <w:gridSpan w:val="33"/>
          </w:tcPr>
          <w:p>
            <w:pPr>
              <w:spacing w:after="0" w:line="107" w:lineRule="exact"/>
              <w:rPr>
                <w:rFonts w:ascii="Arial" w:cs="Arial" w:eastAsia="Arial" w:hAnsi="Arial"/>
                <w:sz w:val="11"/>
                <w:szCs w:val="11"/>
                <w:color w:val="0000FF"/>
              </w:rPr>
            </w:pPr>
            <w:hyperlink r:id="rId275">
              <w:r>
                <w:rPr>
                  <w:rFonts w:ascii="Arial" w:cs="Arial" w:eastAsia="Arial" w:hAnsi="Arial"/>
                  <w:sz w:val="11"/>
                  <w:szCs w:val="11"/>
                  <w:color w:val="0000FF"/>
                </w:rPr>
                <w:t>14, 2022, among Norvax, LLC, as borrower, Blizzard Midco, LLC, as a guarantor, the other</w:t>
              </w:r>
            </w:hyperlink>
          </w:p>
        </w:tc>
        <w:tc>
          <w:tcPr>
            <w:tcW w:w="80" w:type="dxa"/>
            <w:vAlign w:val="bottom"/>
            <w:gridSpan w:val="4"/>
          </w:tcPr>
          <w:p>
            <w:pPr>
              <w:spacing w:after="0"/>
              <w:rPr>
                <w:sz w:val="9"/>
                <w:szCs w:val="9"/>
                <w:color w:val="auto"/>
              </w:rPr>
            </w:pPr>
          </w:p>
        </w:tc>
      </w:tr>
      <w:tr>
        <w:trPr>
          <w:trHeight w:val="20"/>
        </w:trPr>
        <w:tc>
          <w:tcPr>
            <w:tcW w:w="760" w:type="dxa"/>
            <w:vAlign w:val="bottom"/>
          </w:tcPr>
          <w:p>
            <w:pPr>
              <w:spacing w:after="0" w:line="20" w:lineRule="exact"/>
              <w:rPr>
                <w:sz w:val="1"/>
                <w:szCs w:val="1"/>
                <w:color w:val="auto"/>
              </w:rPr>
            </w:pPr>
          </w:p>
        </w:tc>
        <w:tc>
          <w:tcPr>
            <w:tcW w:w="3700" w:type="dxa"/>
            <w:vAlign w:val="bottom"/>
            <w:gridSpan w:val="19"/>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r>
      <w:tr>
        <w:trPr>
          <w:trHeight w:val="107"/>
        </w:trPr>
        <w:tc>
          <w:tcPr>
            <w:tcW w:w="760" w:type="dxa"/>
            <w:vAlign w:val="bottom"/>
          </w:tcPr>
          <w:p>
            <w:pPr>
              <w:spacing w:after="0"/>
              <w:rPr>
                <w:sz w:val="9"/>
                <w:szCs w:val="9"/>
                <w:color w:val="auto"/>
              </w:rPr>
            </w:pPr>
          </w:p>
        </w:tc>
        <w:tc>
          <w:tcPr>
            <w:tcW w:w="5000" w:type="dxa"/>
            <w:vAlign w:val="bottom"/>
            <w:gridSpan w:val="37"/>
          </w:tcPr>
          <w:p>
            <w:pPr>
              <w:spacing w:after="0" w:line="107" w:lineRule="exact"/>
              <w:rPr>
                <w:rFonts w:ascii="Arial" w:cs="Arial" w:eastAsia="Arial" w:hAnsi="Arial"/>
                <w:sz w:val="11"/>
                <w:szCs w:val="11"/>
                <w:color w:val="0000FF"/>
              </w:rPr>
            </w:pPr>
            <w:hyperlink r:id="rId275">
              <w:r>
                <w:rPr>
                  <w:rFonts w:ascii="Arial" w:cs="Arial" w:eastAsia="Arial" w:hAnsi="Arial"/>
                  <w:sz w:val="11"/>
                  <w:szCs w:val="11"/>
                  <w:color w:val="0000FF"/>
                </w:rPr>
                <w:t>guarantors party thereto, Owl Rock Capital Corporation, as administrative agent, collateral agent</w:t>
              </w:r>
            </w:hyperlink>
          </w:p>
        </w:tc>
      </w:tr>
      <w:tr>
        <w:trPr>
          <w:trHeight w:val="107"/>
        </w:trPr>
        <w:tc>
          <w:tcPr>
            <w:tcW w:w="760" w:type="dxa"/>
            <w:vAlign w:val="bottom"/>
          </w:tcPr>
          <w:p>
            <w:pPr>
              <w:spacing w:after="0"/>
              <w:rPr>
                <w:sz w:val="9"/>
                <w:szCs w:val="9"/>
                <w:color w:val="auto"/>
              </w:rPr>
            </w:pPr>
          </w:p>
        </w:tc>
        <w:tc>
          <w:tcPr>
            <w:tcW w:w="4120" w:type="dxa"/>
            <w:vAlign w:val="bottom"/>
            <w:tcBorders>
              <w:top w:val="single" w:sz="8" w:color="0000FF"/>
            </w:tcBorders>
            <w:gridSpan w:val="22"/>
          </w:tcPr>
          <w:p>
            <w:pPr>
              <w:spacing w:after="0" w:line="107" w:lineRule="exact"/>
              <w:rPr>
                <w:rFonts w:ascii="Arial" w:cs="Arial" w:eastAsia="Arial" w:hAnsi="Arial"/>
                <w:sz w:val="11"/>
                <w:szCs w:val="11"/>
                <w:color w:val="0000FF"/>
              </w:rPr>
            </w:pPr>
            <w:hyperlink r:id="rId275">
              <w:r>
                <w:rPr>
                  <w:rFonts w:ascii="Arial" w:cs="Arial" w:eastAsia="Arial" w:hAnsi="Arial"/>
                  <w:sz w:val="11"/>
                  <w:szCs w:val="11"/>
                  <w:color w:val="0000FF"/>
                </w:rPr>
                <w:t>and swingline lender and the other lenders from time to time party thereto.</w:t>
              </w:r>
            </w:hyperlink>
          </w:p>
        </w:tc>
        <w:tc>
          <w:tcPr>
            <w:tcW w:w="14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468"/>
        </w:trPr>
        <w:tc>
          <w:tcPr>
            <w:tcW w:w="76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gridSpan w:val="7"/>
          </w:tcPr>
          <w:p>
            <w:pPr>
              <w:spacing w:after="0"/>
              <w:rPr>
                <w:sz w:val="24"/>
                <w:szCs w:val="24"/>
                <w:color w:val="auto"/>
              </w:rPr>
            </w:pPr>
          </w:p>
        </w:tc>
        <w:tc>
          <w:tcPr>
            <w:tcW w:w="420" w:type="dxa"/>
            <w:vAlign w:val="bottom"/>
            <w:gridSpan w:val="3"/>
          </w:tcPr>
          <w:p>
            <w:pPr>
              <w:spacing w:after="0"/>
              <w:rPr>
                <w:sz w:val="24"/>
                <w:szCs w:val="24"/>
                <w:color w:val="auto"/>
              </w:rPr>
            </w:pPr>
          </w:p>
        </w:tc>
        <w:tc>
          <w:tcPr>
            <w:tcW w:w="880" w:type="dxa"/>
            <w:vAlign w:val="bottom"/>
            <w:gridSpan w:val="15"/>
          </w:tcPr>
          <w:p>
            <w:pPr>
              <w:spacing w:after="0"/>
              <w:rPr>
                <w:sz w:val="24"/>
                <w:szCs w:val="24"/>
                <w:color w:val="auto"/>
              </w:rPr>
            </w:pPr>
          </w:p>
        </w:tc>
      </w:tr>
      <w:tr>
        <w:trPr>
          <w:trHeight w:val="149"/>
        </w:trPr>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Borders>
              <w:right w:val="single" w:sz="8" w:color="auto"/>
            </w:tcBorders>
            <w:gridSpan w:val="8"/>
          </w:tcPr>
          <w:p>
            <w:pPr>
              <w:ind w:left="20"/>
              <w:spacing w:after="0"/>
              <w:rPr>
                <w:sz w:val="20"/>
                <w:szCs w:val="20"/>
                <w:color w:val="auto"/>
              </w:rPr>
            </w:pPr>
            <w:r>
              <w:rPr>
                <w:rFonts w:ascii="Arial" w:cs="Arial" w:eastAsia="Arial" w:hAnsi="Arial"/>
                <w:sz w:val="11"/>
                <w:szCs w:val="11"/>
                <w:color w:val="auto"/>
              </w:rPr>
              <w:t>GoHealth, Inc.</w:t>
            </w:r>
          </w:p>
        </w:tc>
        <w:tc>
          <w:tcPr>
            <w:tcW w:w="320" w:type="dxa"/>
            <w:vAlign w:val="bottom"/>
            <w:gridSpan w:val="2"/>
          </w:tcPr>
          <w:p>
            <w:pPr>
              <w:spacing w:after="0"/>
              <w:rPr>
                <w:sz w:val="12"/>
                <w:szCs w:val="12"/>
                <w:color w:val="auto"/>
              </w:rPr>
            </w:pPr>
          </w:p>
        </w:tc>
        <w:tc>
          <w:tcPr>
            <w:tcW w:w="880" w:type="dxa"/>
            <w:vAlign w:val="bottom"/>
            <w:gridSpan w:val="15"/>
          </w:tcPr>
          <w:p>
            <w:pPr>
              <w:ind w:left="40"/>
              <w:spacing w:after="0"/>
              <w:rPr>
                <w:sz w:val="20"/>
                <w:szCs w:val="20"/>
                <w:color w:val="auto"/>
              </w:rPr>
            </w:pPr>
            <w:r>
              <w:rPr>
                <w:rFonts w:ascii="Arial" w:cs="Arial" w:eastAsia="Arial" w:hAnsi="Arial"/>
                <w:sz w:val="11"/>
                <w:szCs w:val="11"/>
                <w:color w:val="auto"/>
              </w:rPr>
              <w:t>2021 Form 10-K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88265</wp:posOffset>
            </wp:positionV>
            <wp:extent cx="7186930"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6"/>
        </w:trPr>
        <w:tc>
          <w:tcPr>
            <w:tcW w:w="580" w:type="dxa"/>
            <w:vAlign w:val="bottom"/>
          </w:tcPr>
          <w:p>
            <w:pPr>
              <w:jc w:val="center"/>
              <w:ind w:right="223"/>
              <w:spacing w:after="0"/>
              <w:rPr>
                <w:sz w:val="20"/>
                <w:szCs w:val="20"/>
                <w:color w:val="auto"/>
              </w:rPr>
            </w:pPr>
            <w:r>
              <w:rPr>
                <w:rFonts w:ascii="Arial" w:cs="Arial" w:eastAsia="Arial" w:hAnsi="Arial"/>
                <w:sz w:val="11"/>
                <w:szCs w:val="11"/>
                <w:color w:val="auto"/>
              </w:rPr>
              <w:t>8-K</w:t>
            </w:r>
          </w:p>
        </w:tc>
        <w:tc>
          <w:tcPr>
            <w:tcW w:w="1200" w:type="dxa"/>
            <w:vAlign w:val="bottom"/>
          </w:tcPr>
          <w:p>
            <w:pPr>
              <w:jc w:val="center"/>
              <w:spacing w:after="0"/>
              <w:rPr>
                <w:sz w:val="20"/>
                <w:szCs w:val="20"/>
                <w:color w:val="auto"/>
              </w:rPr>
            </w:pPr>
            <w:r>
              <w:rPr>
                <w:rFonts w:ascii="Arial" w:cs="Arial" w:eastAsia="Arial" w:hAnsi="Arial"/>
                <w:sz w:val="11"/>
                <w:szCs w:val="11"/>
                <w:color w:val="auto"/>
              </w:rPr>
              <w:t>001-39390</w:t>
            </w:r>
          </w:p>
        </w:tc>
        <w:tc>
          <w:tcPr>
            <w:tcW w:w="860" w:type="dxa"/>
            <w:vAlign w:val="bottom"/>
          </w:tcPr>
          <w:p>
            <w:pPr>
              <w:jc w:val="center"/>
              <w:spacing w:after="0"/>
              <w:rPr>
                <w:sz w:val="20"/>
                <w:szCs w:val="20"/>
                <w:color w:val="auto"/>
              </w:rPr>
            </w:pPr>
            <w:r>
              <w:rPr>
                <w:rFonts w:ascii="Arial" w:cs="Arial" w:eastAsia="Arial" w:hAnsi="Arial"/>
                <w:sz w:val="11"/>
                <w:szCs w:val="11"/>
                <w:color w:val="auto"/>
              </w:rPr>
              <w:t>10.1</w:t>
            </w:r>
          </w:p>
        </w:tc>
        <w:tc>
          <w:tcPr>
            <w:tcW w:w="840" w:type="dxa"/>
            <w:vAlign w:val="bottom"/>
          </w:tcPr>
          <w:p>
            <w:pPr>
              <w:jc w:val="center"/>
              <w:ind w:left="223"/>
              <w:spacing w:after="0"/>
              <w:rPr>
                <w:sz w:val="20"/>
                <w:szCs w:val="20"/>
                <w:color w:val="auto"/>
              </w:rPr>
            </w:pPr>
            <w:r>
              <w:rPr>
                <w:rFonts w:ascii="Arial" w:cs="Arial" w:eastAsia="Arial" w:hAnsi="Arial"/>
                <w:sz w:val="11"/>
                <w:szCs w:val="11"/>
                <w:color w:val="auto"/>
              </w:rPr>
              <w:t>11/10/2021</w:t>
            </w:r>
          </w:p>
        </w:tc>
      </w:tr>
      <w:tr>
        <w:trPr>
          <w:trHeight w:val="361"/>
        </w:trPr>
        <w:tc>
          <w:tcPr>
            <w:tcW w:w="580" w:type="dxa"/>
            <w:vAlign w:val="bottom"/>
          </w:tcPr>
          <w:p>
            <w:pPr>
              <w:jc w:val="center"/>
              <w:ind w:right="223"/>
              <w:spacing w:after="0"/>
              <w:rPr>
                <w:sz w:val="20"/>
                <w:szCs w:val="20"/>
                <w:color w:val="auto"/>
              </w:rPr>
            </w:pPr>
            <w:r>
              <w:rPr>
                <w:rFonts w:ascii="Arial" w:cs="Arial" w:eastAsia="Arial" w:hAnsi="Arial"/>
                <w:sz w:val="11"/>
                <w:szCs w:val="11"/>
                <w:color w:val="auto"/>
              </w:rPr>
              <w:t>S-1/A</w:t>
            </w:r>
          </w:p>
        </w:tc>
        <w:tc>
          <w:tcPr>
            <w:tcW w:w="1200" w:type="dxa"/>
            <w:vAlign w:val="bottom"/>
          </w:tcPr>
          <w:p>
            <w:pPr>
              <w:jc w:val="center"/>
              <w:spacing w:after="0"/>
              <w:rPr>
                <w:sz w:val="20"/>
                <w:szCs w:val="20"/>
                <w:color w:val="auto"/>
              </w:rPr>
            </w:pPr>
            <w:r>
              <w:rPr>
                <w:rFonts w:ascii="Arial" w:cs="Arial" w:eastAsia="Arial" w:hAnsi="Arial"/>
                <w:sz w:val="11"/>
                <w:szCs w:val="11"/>
                <w:color w:val="auto"/>
              </w:rPr>
              <w:t>333-239287</w:t>
            </w:r>
          </w:p>
        </w:tc>
        <w:tc>
          <w:tcPr>
            <w:tcW w:w="860" w:type="dxa"/>
            <w:vAlign w:val="bottom"/>
          </w:tcPr>
          <w:p>
            <w:pPr>
              <w:jc w:val="center"/>
              <w:spacing w:after="0"/>
              <w:rPr>
                <w:sz w:val="20"/>
                <w:szCs w:val="20"/>
                <w:color w:val="auto"/>
              </w:rPr>
            </w:pPr>
            <w:r>
              <w:rPr>
                <w:rFonts w:ascii="Arial" w:cs="Arial" w:eastAsia="Arial" w:hAnsi="Arial"/>
                <w:sz w:val="11"/>
                <w:szCs w:val="11"/>
                <w:color w:val="auto"/>
              </w:rPr>
              <w:t>10.6</w:t>
            </w:r>
          </w:p>
        </w:tc>
        <w:tc>
          <w:tcPr>
            <w:tcW w:w="840" w:type="dxa"/>
            <w:vAlign w:val="bottom"/>
          </w:tcPr>
          <w:p>
            <w:pPr>
              <w:jc w:val="center"/>
              <w:ind w:left="223"/>
              <w:spacing w:after="0"/>
              <w:rPr>
                <w:sz w:val="20"/>
                <w:szCs w:val="20"/>
                <w:color w:val="auto"/>
              </w:rPr>
            </w:pPr>
            <w:r>
              <w:rPr>
                <w:rFonts w:ascii="Arial" w:cs="Arial" w:eastAsia="Arial" w:hAnsi="Arial"/>
                <w:sz w:val="11"/>
                <w:szCs w:val="11"/>
                <w:color w:val="auto"/>
              </w:rPr>
              <w:t>7/8/2020</w:t>
            </w:r>
          </w:p>
        </w:tc>
      </w:tr>
      <w:tr>
        <w:trPr>
          <w:trHeight w:val="170"/>
        </w:trPr>
        <w:tc>
          <w:tcPr>
            <w:tcW w:w="580" w:type="dxa"/>
            <w:vAlign w:val="bottom"/>
          </w:tcPr>
          <w:p>
            <w:pPr>
              <w:jc w:val="center"/>
              <w:ind w:right="223"/>
              <w:spacing w:after="0"/>
              <w:rPr>
                <w:sz w:val="20"/>
                <w:szCs w:val="20"/>
                <w:color w:val="auto"/>
              </w:rPr>
            </w:pPr>
            <w:r>
              <w:rPr>
                <w:rFonts w:ascii="Arial" w:cs="Arial" w:eastAsia="Arial" w:hAnsi="Arial"/>
                <w:sz w:val="11"/>
                <w:szCs w:val="11"/>
                <w:color w:val="auto"/>
              </w:rPr>
              <w:t>S-1/A</w:t>
            </w:r>
          </w:p>
        </w:tc>
        <w:tc>
          <w:tcPr>
            <w:tcW w:w="1200" w:type="dxa"/>
            <w:vAlign w:val="bottom"/>
          </w:tcPr>
          <w:p>
            <w:pPr>
              <w:jc w:val="center"/>
              <w:spacing w:after="0"/>
              <w:rPr>
                <w:sz w:val="20"/>
                <w:szCs w:val="20"/>
                <w:color w:val="auto"/>
              </w:rPr>
            </w:pPr>
            <w:r>
              <w:rPr>
                <w:rFonts w:ascii="Arial" w:cs="Arial" w:eastAsia="Arial" w:hAnsi="Arial"/>
                <w:sz w:val="11"/>
                <w:szCs w:val="11"/>
                <w:color w:val="auto"/>
              </w:rPr>
              <w:t>333-239287</w:t>
            </w:r>
          </w:p>
        </w:tc>
        <w:tc>
          <w:tcPr>
            <w:tcW w:w="860" w:type="dxa"/>
            <w:vAlign w:val="bottom"/>
          </w:tcPr>
          <w:p>
            <w:pPr>
              <w:jc w:val="center"/>
              <w:spacing w:after="0"/>
              <w:rPr>
                <w:sz w:val="20"/>
                <w:szCs w:val="20"/>
                <w:color w:val="auto"/>
              </w:rPr>
            </w:pPr>
            <w:r>
              <w:rPr>
                <w:rFonts w:ascii="Arial" w:cs="Arial" w:eastAsia="Arial" w:hAnsi="Arial"/>
                <w:sz w:val="11"/>
                <w:szCs w:val="11"/>
                <w:color w:val="auto"/>
              </w:rPr>
              <w:t>10.7</w:t>
            </w:r>
          </w:p>
        </w:tc>
        <w:tc>
          <w:tcPr>
            <w:tcW w:w="840" w:type="dxa"/>
            <w:vAlign w:val="bottom"/>
          </w:tcPr>
          <w:p>
            <w:pPr>
              <w:jc w:val="center"/>
              <w:ind w:left="223"/>
              <w:spacing w:after="0"/>
              <w:rPr>
                <w:sz w:val="20"/>
                <w:szCs w:val="20"/>
                <w:color w:val="auto"/>
              </w:rPr>
            </w:pPr>
            <w:r>
              <w:rPr>
                <w:rFonts w:ascii="Arial" w:cs="Arial" w:eastAsia="Arial" w:hAnsi="Arial"/>
                <w:sz w:val="11"/>
                <w:szCs w:val="11"/>
                <w:color w:val="auto"/>
              </w:rPr>
              <w:t>7/8/2020</w:t>
            </w:r>
          </w:p>
        </w:tc>
      </w:tr>
      <w:tr>
        <w:trPr>
          <w:trHeight w:val="170"/>
        </w:trPr>
        <w:tc>
          <w:tcPr>
            <w:tcW w:w="580" w:type="dxa"/>
            <w:vAlign w:val="bottom"/>
          </w:tcPr>
          <w:p>
            <w:pPr>
              <w:jc w:val="center"/>
              <w:ind w:right="223"/>
              <w:spacing w:after="0"/>
              <w:rPr>
                <w:sz w:val="20"/>
                <w:szCs w:val="20"/>
                <w:color w:val="auto"/>
              </w:rPr>
            </w:pPr>
            <w:r>
              <w:rPr>
                <w:rFonts w:ascii="Arial" w:cs="Arial" w:eastAsia="Arial" w:hAnsi="Arial"/>
                <w:sz w:val="11"/>
                <w:szCs w:val="11"/>
                <w:color w:val="auto"/>
              </w:rPr>
              <w:t>S-8</w:t>
            </w:r>
          </w:p>
        </w:tc>
        <w:tc>
          <w:tcPr>
            <w:tcW w:w="1200" w:type="dxa"/>
            <w:vAlign w:val="bottom"/>
          </w:tcPr>
          <w:p>
            <w:pPr>
              <w:jc w:val="center"/>
              <w:spacing w:after="0"/>
              <w:rPr>
                <w:sz w:val="20"/>
                <w:szCs w:val="20"/>
                <w:color w:val="auto"/>
              </w:rPr>
            </w:pPr>
            <w:r>
              <w:rPr>
                <w:rFonts w:ascii="Arial" w:cs="Arial" w:eastAsia="Arial" w:hAnsi="Arial"/>
                <w:sz w:val="11"/>
                <w:szCs w:val="11"/>
                <w:color w:val="auto"/>
              </w:rPr>
              <w:t>333-239287</w:t>
            </w:r>
          </w:p>
        </w:tc>
        <w:tc>
          <w:tcPr>
            <w:tcW w:w="860" w:type="dxa"/>
            <w:vAlign w:val="bottom"/>
          </w:tcPr>
          <w:p>
            <w:pPr>
              <w:jc w:val="center"/>
              <w:spacing w:after="0"/>
              <w:rPr>
                <w:sz w:val="20"/>
                <w:szCs w:val="20"/>
                <w:color w:val="auto"/>
              </w:rPr>
            </w:pPr>
            <w:r>
              <w:rPr>
                <w:rFonts w:ascii="Arial" w:cs="Arial" w:eastAsia="Arial" w:hAnsi="Arial"/>
                <w:sz w:val="11"/>
                <w:szCs w:val="11"/>
                <w:color w:val="auto"/>
              </w:rPr>
              <w:t>99.1</w:t>
            </w:r>
          </w:p>
        </w:tc>
        <w:tc>
          <w:tcPr>
            <w:tcW w:w="840" w:type="dxa"/>
            <w:vAlign w:val="bottom"/>
          </w:tcPr>
          <w:p>
            <w:pPr>
              <w:jc w:val="center"/>
              <w:ind w:left="223"/>
              <w:spacing w:after="0"/>
              <w:rPr>
                <w:sz w:val="20"/>
                <w:szCs w:val="20"/>
                <w:color w:val="auto"/>
              </w:rPr>
            </w:pPr>
            <w:r>
              <w:rPr>
                <w:rFonts w:ascii="Arial" w:cs="Arial" w:eastAsia="Arial" w:hAnsi="Arial"/>
                <w:sz w:val="11"/>
                <w:szCs w:val="11"/>
                <w:color w:val="auto"/>
              </w:rPr>
              <w:t>12/20/2021</w:t>
            </w:r>
          </w:p>
        </w:tc>
      </w:tr>
      <w:tr>
        <w:trPr>
          <w:trHeight w:val="170"/>
        </w:trPr>
        <w:tc>
          <w:tcPr>
            <w:tcW w:w="580" w:type="dxa"/>
            <w:vAlign w:val="bottom"/>
          </w:tcPr>
          <w:p>
            <w:pPr>
              <w:jc w:val="center"/>
              <w:ind w:right="223"/>
              <w:spacing w:after="0"/>
              <w:rPr>
                <w:sz w:val="20"/>
                <w:szCs w:val="20"/>
                <w:color w:val="auto"/>
              </w:rPr>
            </w:pPr>
            <w:r>
              <w:rPr>
                <w:rFonts w:ascii="Arial" w:cs="Arial" w:eastAsia="Arial" w:hAnsi="Arial"/>
                <w:sz w:val="11"/>
                <w:szCs w:val="11"/>
                <w:color w:val="auto"/>
              </w:rPr>
              <w:t>S-8</w:t>
            </w:r>
          </w:p>
        </w:tc>
        <w:tc>
          <w:tcPr>
            <w:tcW w:w="1200" w:type="dxa"/>
            <w:vAlign w:val="bottom"/>
          </w:tcPr>
          <w:p>
            <w:pPr>
              <w:jc w:val="center"/>
              <w:spacing w:after="0"/>
              <w:rPr>
                <w:sz w:val="20"/>
                <w:szCs w:val="20"/>
                <w:color w:val="auto"/>
              </w:rPr>
            </w:pPr>
            <w:r>
              <w:rPr>
                <w:rFonts w:ascii="Arial" w:cs="Arial" w:eastAsia="Arial" w:hAnsi="Arial"/>
                <w:sz w:val="11"/>
                <w:szCs w:val="11"/>
                <w:color w:val="auto"/>
              </w:rPr>
              <w:t>333-239287</w:t>
            </w:r>
          </w:p>
        </w:tc>
        <w:tc>
          <w:tcPr>
            <w:tcW w:w="860" w:type="dxa"/>
            <w:vAlign w:val="bottom"/>
          </w:tcPr>
          <w:p>
            <w:pPr>
              <w:jc w:val="center"/>
              <w:spacing w:after="0"/>
              <w:rPr>
                <w:sz w:val="20"/>
                <w:szCs w:val="20"/>
                <w:color w:val="auto"/>
              </w:rPr>
            </w:pPr>
            <w:r>
              <w:rPr>
                <w:rFonts w:ascii="Arial" w:cs="Arial" w:eastAsia="Arial" w:hAnsi="Arial"/>
                <w:sz w:val="11"/>
                <w:szCs w:val="11"/>
                <w:color w:val="auto"/>
              </w:rPr>
              <w:t>99.2</w:t>
            </w:r>
          </w:p>
        </w:tc>
        <w:tc>
          <w:tcPr>
            <w:tcW w:w="840" w:type="dxa"/>
            <w:vAlign w:val="bottom"/>
          </w:tcPr>
          <w:p>
            <w:pPr>
              <w:jc w:val="center"/>
              <w:ind w:left="223"/>
              <w:spacing w:after="0"/>
              <w:rPr>
                <w:sz w:val="20"/>
                <w:szCs w:val="20"/>
                <w:color w:val="auto"/>
              </w:rPr>
            </w:pPr>
            <w:r>
              <w:rPr>
                <w:rFonts w:ascii="Arial" w:cs="Arial" w:eastAsia="Arial" w:hAnsi="Arial"/>
                <w:sz w:val="11"/>
                <w:szCs w:val="11"/>
                <w:color w:val="auto"/>
              </w:rPr>
              <w:t>12/20/2021</w:t>
            </w:r>
          </w:p>
        </w:tc>
      </w:tr>
      <w:tr>
        <w:trPr>
          <w:trHeight w:val="233"/>
        </w:trPr>
        <w:tc>
          <w:tcPr>
            <w:tcW w:w="580" w:type="dxa"/>
            <w:vAlign w:val="bottom"/>
          </w:tcPr>
          <w:p>
            <w:pPr>
              <w:jc w:val="center"/>
              <w:ind w:right="223"/>
              <w:spacing w:after="0"/>
              <w:rPr>
                <w:sz w:val="20"/>
                <w:szCs w:val="20"/>
                <w:color w:val="auto"/>
              </w:rPr>
            </w:pPr>
            <w:r>
              <w:rPr>
                <w:rFonts w:ascii="Arial" w:cs="Arial" w:eastAsia="Arial" w:hAnsi="Arial"/>
                <w:sz w:val="11"/>
                <w:szCs w:val="11"/>
                <w:color w:val="auto"/>
              </w:rPr>
              <w:t>S-8</w:t>
            </w:r>
          </w:p>
        </w:tc>
        <w:tc>
          <w:tcPr>
            <w:tcW w:w="1200" w:type="dxa"/>
            <w:vAlign w:val="bottom"/>
          </w:tcPr>
          <w:p>
            <w:pPr>
              <w:jc w:val="center"/>
              <w:spacing w:after="0"/>
              <w:rPr>
                <w:sz w:val="20"/>
                <w:szCs w:val="20"/>
                <w:color w:val="auto"/>
              </w:rPr>
            </w:pPr>
            <w:r>
              <w:rPr>
                <w:rFonts w:ascii="Arial" w:cs="Arial" w:eastAsia="Arial" w:hAnsi="Arial"/>
                <w:sz w:val="11"/>
                <w:szCs w:val="11"/>
                <w:color w:val="auto"/>
              </w:rPr>
              <w:t>333-239287</w:t>
            </w:r>
          </w:p>
        </w:tc>
        <w:tc>
          <w:tcPr>
            <w:tcW w:w="860" w:type="dxa"/>
            <w:vAlign w:val="bottom"/>
          </w:tcPr>
          <w:p>
            <w:pPr>
              <w:jc w:val="center"/>
              <w:spacing w:after="0"/>
              <w:rPr>
                <w:sz w:val="20"/>
                <w:szCs w:val="20"/>
                <w:color w:val="auto"/>
              </w:rPr>
            </w:pPr>
            <w:r>
              <w:rPr>
                <w:rFonts w:ascii="Arial" w:cs="Arial" w:eastAsia="Arial" w:hAnsi="Arial"/>
                <w:sz w:val="11"/>
                <w:szCs w:val="11"/>
                <w:color w:val="auto"/>
              </w:rPr>
              <w:t>99.3</w:t>
            </w:r>
          </w:p>
        </w:tc>
        <w:tc>
          <w:tcPr>
            <w:tcW w:w="840" w:type="dxa"/>
            <w:vAlign w:val="bottom"/>
          </w:tcPr>
          <w:p>
            <w:pPr>
              <w:jc w:val="center"/>
              <w:ind w:left="223"/>
              <w:spacing w:after="0"/>
              <w:rPr>
                <w:sz w:val="20"/>
                <w:szCs w:val="20"/>
                <w:color w:val="auto"/>
              </w:rPr>
            </w:pPr>
            <w:r>
              <w:rPr>
                <w:rFonts w:ascii="Arial" w:cs="Arial" w:eastAsia="Arial" w:hAnsi="Arial"/>
                <w:sz w:val="11"/>
                <w:szCs w:val="11"/>
                <w:color w:val="auto"/>
              </w:rPr>
              <w:t>12/20/2021</w:t>
            </w:r>
          </w:p>
        </w:tc>
      </w:tr>
      <w:tr>
        <w:trPr>
          <w:trHeight w:val="297"/>
        </w:trPr>
        <w:tc>
          <w:tcPr>
            <w:tcW w:w="580" w:type="dxa"/>
            <w:vAlign w:val="bottom"/>
          </w:tcPr>
          <w:p>
            <w:pPr>
              <w:jc w:val="center"/>
              <w:ind w:right="223"/>
              <w:spacing w:after="0"/>
              <w:rPr>
                <w:sz w:val="20"/>
                <w:szCs w:val="20"/>
                <w:color w:val="auto"/>
              </w:rPr>
            </w:pPr>
            <w:r>
              <w:rPr>
                <w:rFonts w:ascii="Arial" w:cs="Arial" w:eastAsia="Arial" w:hAnsi="Arial"/>
                <w:sz w:val="11"/>
                <w:szCs w:val="11"/>
                <w:color w:val="auto"/>
              </w:rPr>
              <w:t>S-1</w:t>
            </w:r>
          </w:p>
        </w:tc>
        <w:tc>
          <w:tcPr>
            <w:tcW w:w="1200" w:type="dxa"/>
            <w:vAlign w:val="bottom"/>
          </w:tcPr>
          <w:p>
            <w:pPr>
              <w:jc w:val="center"/>
              <w:spacing w:after="0"/>
              <w:rPr>
                <w:sz w:val="20"/>
                <w:szCs w:val="20"/>
                <w:color w:val="auto"/>
              </w:rPr>
            </w:pPr>
            <w:r>
              <w:rPr>
                <w:rFonts w:ascii="Arial" w:cs="Arial" w:eastAsia="Arial" w:hAnsi="Arial"/>
                <w:sz w:val="11"/>
                <w:szCs w:val="11"/>
                <w:color w:val="auto"/>
              </w:rPr>
              <w:t>333-239287</w:t>
            </w:r>
          </w:p>
        </w:tc>
        <w:tc>
          <w:tcPr>
            <w:tcW w:w="860" w:type="dxa"/>
            <w:vAlign w:val="bottom"/>
          </w:tcPr>
          <w:p>
            <w:pPr>
              <w:jc w:val="center"/>
              <w:spacing w:after="0"/>
              <w:rPr>
                <w:sz w:val="20"/>
                <w:szCs w:val="20"/>
                <w:color w:val="auto"/>
              </w:rPr>
            </w:pPr>
            <w:r>
              <w:rPr>
                <w:rFonts w:ascii="Arial" w:cs="Arial" w:eastAsia="Arial" w:hAnsi="Arial"/>
                <w:sz w:val="11"/>
                <w:szCs w:val="11"/>
                <w:color w:val="auto"/>
              </w:rPr>
              <w:t>10.9</w:t>
            </w:r>
          </w:p>
        </w:tc>
        <w:tc>
          <w:tcPr>
            <w:tcW w:w="840" w:type="dxa"/>
            <w:vAlign w:val="bottom"/>
          </w:tcPr>
          <w:p>
            <w:pPr>
              <w:jc w:val="center"/>
              <w:ind w:left="243"/>
              <w:spacing w:after="0"/>
              <w:rPr>
                <w:sz w:val="20"/>
                <w:szCs w:val="20"/>
                <w:color w:val="auto"/>
              </w:rPr>
            </w:pPr>
            <w:r>
              <w:rPr>
                <w:rFonts w:ascii="Arial" w:cs="Arial" w:eastAsia="Arial" w:hAnsi="Arial"/>
                <w:sz w:val="11"/>
                <w:szCs w:val="11"/>
                <w:color w:val="auto"/>
              </w:rPr>
              <w:t>6/19/2020</w:t>
            </w:r>
          </w:p>
        </w:tc>
      </w:tr>
      <w:tr>
        <w:trPr>
          <w:trHeight w:val="233"/>
        </w:trPr>
        <w:tc>
          <w:tcPr>
            <w:tcW w:w="580" w:type="dxa"/>
            <w:vAlign w:val="bottom"/>
          </w:tcPr>
          <w:p>
            <w:pPr>
              <w:jc w:val="center"/>
              <w:ind w:right="223"/>
              <w:spacing w:after="0"/>
              <w:rPr>
                <w:sz w:val="20"/>
                <w:szCs w:val="20"/>
                <w:color w:val="auto"/>
              </w:rPr>
            </w:pPr>
            <w:r>
              <w:rPr>
                <w:rFonts w:ascii="Arial" w:cs="Arial" w:eastAsia="Arial" w:hAnsi="Arial"/>
                <w:sz w:val="11"/>
                <w:szCs w:val="11"/>
                <w:color w:val="auto"/>
              </w:rPr>
              <w:t>S-1/A</w:t>
            </w:r>
          </w:p>
        </w:tc>
        <w:tc>
          <w:tcPr>
            <w:tcW w:w="1200" w:type="dxa"/>
            <w:vAlign w:val="bottom"/>
          </w:tcPr>
          <w:p>
            <w:pPr>
              <w:jc w:val="center"/>
              <w:spacing w:after="0"/>
              <w:rPr>
                <w:sz w:val="20"/>
                <w:szCs w:val="20"/>
                <w:color w:val="auto"/>
              </w:rPr>
            </w:pPr>
            <w:r>
              <w:rPr>
                <w:rFonts w:ascii="Arial" w:cs="Arial" w:eastAsia="Arial" w:hAnsi="Arial"/>
                <w:sz w:val="11"/>
                <w:szCs w:val="11"/>
                <w:color w:val="auto"/>
              </w:rPr>
              <w:t>333-239287</w:t>
            </w:r>
          </w:p>
        </w:tc>
        <w:tc>
          <w:tcPr>
            <w:tcW w:w="860" w:type="dxa"/>
            <w:vAlign w:val="bottom"/>
          </w:tcPr>
          <w:p>
            <w:pPr>
              <w:jc w:val="center"/>
              <w:spacing w:after="0"/>
              <w:rPr>
                <w:sz w:val="20"/>
                <w:szCs w:val="20"/>
                <w:color w:val="auto"/>
              </w:rPr>
            </w:pPr>
            <w:r>
              <w:rPr>
                <w:rFonts w:ascii="Arial" w:cs="Arial" w:eastAsia="Arial" w:hAnsi="Arial"/>
                <w:sz w:val="11"/>
                <w:szCs w:val="11"/>
                <w:color w:val="auto"/>
              </w:rPr>
              <w:t>10.9</w:t>
            </w:r>
          </w:p>
        </w:tc>
        <w:tc>
          <w:tcPr>
            <w:tcW w:w="840" w:type="dxa"/>
            <w:vAlign w:val="bottom"/>
          </w:tcPr>
          <w:p>
            <w:pPr>
              <w:jc w:val="center"/>
              <w:ind w:left="223"/>
              <w:spacing w:after="0"/>
              <w:rPr>
                <w:sz w:val="20"/>
                <w:szCs w:val="20"/>
                <w:color w:val="auto"/>
              </w:rPr>
            </w:pPr>
            <w:r>
              <w:rPr>
                <w:rFonts w:ascii="Arial" w:cs="Arial" w:eastAsia="Arial" w:hAnsi="Arial"/>
                <w:sz w:val="11"/>
                <w:szCs w:val="11"/>
                <w:color w:val="auto"/>
              </w:rPr>
              <w:t>7/6/2020</w:t>
            </w:r>
          </w:p>
        </w:tc>
      </w:tr>
      <w:tr>
        <w:trPr>
          <w:trHeight w:val="170"/>
        </w:trPr>
        <w:tc>
          <w:tcPr>
            <w:tcW w:w="580" w:type="dxa"/>
            <w:vAlign w:val="bottom"/>
          </w:tcPr>
          <w:p>
            <w:pPr>
              <w:jc w:val="center"/>
              <w:ind w:right="223"/>
              <w:spacing w:after="0"/>
              <w:rPr>
                <w:sz w:val="20"/>
                <w:szCs w:val="20"/>
                <w:color w:val="auto"/>
              </w:rPr>
            </w:pPr>
            <w:r>
              <w:rPr>
                <w:rFonts w:ascii="Arial" w:cs="Arial" w:eastAsia="Arial" w:hAnsi="Arial"/>
                <w:sz w:val="11"/>
                <w:szCs w:val="11"/>
                <w:color w:val="auto"/>
              </w:rPr>
              <w:t>S-1/A</w:t>
            </w:r>
          </w:p>
        </w:tc>
        <w:tc>
          <w:tcPr>
            <w:tcW w:w="1200" w:type="dxa"/>
            <w:vAlign w:val="bottom"/>
          </w:tcPr>
          <w:p>
            <w:pPr>
              <w:jc w:val="center"/>
              <w:spacing w:after="0"/>
              <w:rPr>
                <w:sz w:val="20"/>
                <w:szCs w:val="20"/>
                <w:color w:val="auto"/>
              </w:rPr>
            </w:pPr>
            <w:r>
              <w:rPr>
                <w:rFonts w:ascii="Arial" w:cs="Arial" w:eastAsia="Arial" w:hAnsi="Arial"/>
                <w:sz w:val="11"/>
                <w:szCs w:val="11"/>
                <w:color w:val="auto"/>
              </w:rPr>
              <w:t>333-239287</w:t>
            </w:r>
          </w:p>
        </w:tc>
        <w:tc>
          <w:tcPr>
            <w:tcW w:w="860" w:type="dxa"/>
            <w:vAlign w:val="bottom"/>
          </w:tcPr>
          <w:p>
            <w:pPr>
              <w:jc w:val="center"/>
              <w:spacing w:after="0"/>
              <w:rPr>
                <w:sz w:val="20"/>
                <w:szCs w:val="20"/>
                <w:color w:val="auto"/>
              </w:rPr>
            </w:pPr>
            <w:r>
              <w:rPr>
                <w:rFonts w:ascii="Arial" w:cs="Arial" w:eastAsia="Arial" w:hAnsi="Arial"/>
                <w:sz w:val="11"/>
                <w:szCs w:val="11"/>
                <w:color w:val="auto"/>
              </w:rPr>
              <w:t>10.10</w:t>
            </w:r>
          </w:p>
        </w:tc>
        <w:tc>
          <w:tcPr>
            <w:tcW w:w="840" w:type="dxa"/>
            <w:vAlign w:val="bottom"/>
          </w:tcPr>
          <w:p>
            <w:pPr>
              <w:jc w:val="center"/>
              <w:ind w:left="223"/>
              <w:spacing w:after="0"/>
              <w:rPr>
                <w:sz w:val="20"/>
                <w:szCs w:val="20"/>
                <w:color w:val="auto"/>
              </w:rPr>
            </w:pPr>
            <w:r>
              <w:rPr>
                <w:rFonts w:ascii="Arial" w:cs="Arial" w:eastAsia="Arial" w:hAnsi="Arial"/>
                <w:sz w:val="11"/>
                <w:szCs w:val="11"/>
                <w:color w:val="auto"/>
              </w:rPr>
              <w:t>7/6/2020</w:t>
            </w:r>
          </w:p>
        </w:tc>
      </w:tr>
      <w:tr>
        <w:trPr>
          <w:trHeight w:val="170"/>
        </w:trPr>
        <w:tc>
          <w:tcPr>
            <w:tcW w:w="580" w:type="dxa"/>
            <w:vAlign w:val="bottom"/>
          </w:tcPr>
          <w:p>
            <w:pPr>
              <w:jc w:val="center"/>
              <w:ind w:right="223"/>
              <w:spacing w:after="0"/>
              <w:rPr>
                <w:sz w:val="20"/>
                <w:szCs w:val="20"/>
                <w:color w:val="auto"/>
              </w:rPr>
            </w:pPr>
            <w:r>
              <w:rPr>
                <w:rFonts w:ascii="Arial" w:cs="Arial" w:eastAsia="Arial" w:hAnsi="Arial"/>
                <w:sz w:val="11"/>
                <w:szCs w:val="11"/>
                <w:color w:val="auto"/>
              </w:rPr>
              <w:t>S-1/A</w:t>
            </w:r>
          </w:p>
        </w:tc>
        <w:tc>
          <w:tcPr>
            <w:tcW w:w="1200" w:type="dxa"/>
            <w:vAlign w:val="bottom"/>
          </w:tcPr>
          <w:p>
            <w:pPr>
              <w:jc w:val="center"/>
              <w:spacing w:after="0"/>
              <w:rPr>
                <w:sz w:val="20"/>
                <w:szCs w:val="20"/>
                <w:color w:val="auto"/>
              </w:rPr>
            </w:pPr>
            <w:r>
              <w:rPr>
                <w:rFonts w:ascii="Arial" w:cs="Arial" w:eastAsia="Arial" w:hAnsi="Arial"/>
                <w:sz w:val="11"/>
                <w:szCs w:val="11"/>
                <w:color w:val="auto"/>
              </w:rPr>
              <w:t>333-239287</w:t>
            </w:r>
          </w:p>
        </w:tc>
        <w:tc>
          <w:tcPr>
            <w:tcW w:w="860" w:type="dxa"/>
            <w:vAlign w:val="bottom"/>
          </w:tcPr>
          <w:p>
            <w:pPr>
              <w:jc w:val="center"/>
              <w:spacing w:after="0"/>
              <w:rPr>
                <w:sz w:val="20"/>
                <w:szCs w:val="20"/>
                <w:color w:val="auto"/>
              </w:rPr>
            </w:pPr>
            <w:r>
              <w:rPr>
                <w:rFonts w:ascii="Arial" w:cs="Arial" w:eastAsia="Arial" w:hAnsi="Arial"/>
                <w:sz w:val="11"/>
                <w:szCs w:val="11"/>
                <w:color w:val="auto"/>
              </w:rPr>
              <w:t>10.11</w:t>
            </w:r>
          </w:p>
        </w:tc>
        <w:tc>
          <w:tcPr>
            <w:tcW w:w="840" w:type="dxa"/>
            <w:vAlign w:val="bottom"/>
          </w:tcPr>
          <w:p>
            <w:pPr>
              <w:jc w:val="center"/>
              <w:ind w:left="223"/>
              <w:spacing w:after="0"/>
              <w:rPr>
                <w:sz w:val="20"/>
                <w:szCs w:val="20"/>
                <w:color w:val="auto"/>
              </w:rPr>
            </w:pPr>
            <w:r>
              <w:rPr>
                <w:rFonts w:ascii="Arial" w:cs="Arial" w:eastAsia="Arial" w:hAnsi="Arial"/>
                <w:sz w:val="11"/>
                <w:szCs w:val="11"/>
                <w:color w:val="auto"/>
              </w:rPr>
              <w:t>7/8/2020</w:t>
            </w:r>
          </w:p>
        </w:tc>
      </w:tr>
      <w:tr>
        <w:trPr>
          <w:trHeight w:val="233"/>
        </w:trPr>
        <w:tc>
          <w:tcPr>
            <w:tcW w:w="580" w:type="dxa"/>
            <w:vAlign w:val="bottom"/>
          </w:tcPr>
          <w:p>
            <w:pPr>
              <w:jc w:val="center"/>
              <w:ind w:right="223"/>
              <w:spacing w:after="0"/>
              <w:rPr>
                <w:sz w:val="20"/>
                <w:szCs w:val="20"/>
                <w:color w:val="auto"/>
              </w:rPr>
            </w:pPr>
            <w:r>
              <w:rPr>
                <w:rFonts w:ascii="Arial" w:cs="Arial" w:eastAsia="Arial" w:hAnsi="Arial"/>
                <w:sz w:val="11"/>
                <w:szCs w:val="11"/>
                <w:color w:val="auto"/>
              </w:rPr>
              <w:t>S-1/A</w:t>
            </w:r>
          </w:p>
        </w:tc>
        <w:tc>
          <w:tcPr>
            <w:tcW w:w="1200" w:type="dxa"/>
            <w:vAlign w:val="bottom"/>
          </w:tcPr>
          <w:p>
            <w:pPr>
              <w:jc w:val="center"/>
              <w:spacing w:after="0"/>
              <w:rPr>
                <w:sz w:val="20"/>
                <w:szCs w:val="20"/>
                <w:color w:val="auto"/>
              </w:rPr>
            </w:pPr>
            <w:r>
              <w:rPr>
                <w:rFonts w:ascii="Arial" w:cs="Arial" w:eastAsia="Arial" w:hAnsi="Arial"/>
                <w:sz w:val="11"/>
                <w:szCs w:val="11"/>
                <w:color w:val="auto"/>
              </w:rPr>
              <w:t>333-239287</w:t>
            </w:r>
          </w:p>
        </w:tc>
        <w:tc>
          <w:tcPr>
            <w:tcW w:w="860" w:type="dxa"/>
            <w:vAlign w:val="bottom"/>
          </w:tcPr>
          <w:p>
            <w:pPr>
              <w:jc w:val="center"/>
              <w:spacing w:after="0"/>
              <w:rPr>
                <w:sz w:val="20"/>
                <w:szCs w:val="20"/>
                <w:color w:val="auto"/>
              </w:rPr>
            </w:pPr>
            <w:r>
              <w:rPr>
                <w:rFonts w:ascii="Arial" w:cs="Arial" w:eastAsia="Arial" w:hAnsi="Arial"/>
                <w:sz w:val="11"/>
                <w:szCs w:val="11"/>
                <w:color w:val="auto"/>
              </w:rPr>
              <w:t>10.13</w:t>
            </w:r>
          </w:p>
        </w:tc>
        <w:tc>
          <w:tcPr>
            <w:tcW w:w="840" w:type="dxa"/>
            <w:vAlign w:val="bottom"/>
          </w:tcPr>
          <w:p>
            <w:pPr>
              <w:jc w:val="center"/>
              <w:ind w:left="223"/>
              <w:spacing w:after="0"/>
              <w:rPr>
                <w:sz w:val="20"/>
                <w:szCs w:val="20"/>
                <w:color w:val="auto"/>
              </w:rPr>
            </w:pPr>
            <w:r>
              <w:rPr>
                <w:rFonts w:ascii="Arial" w:cs="Arial" w:eastAsia="Arial" w:hAnsi="Arial"/>
                <w:sz w:val="11"/>
                <w:szCs w:val="11"/>
                <w:color w:val="auto"/>
              </w:rPr>
              <w:t>7/8/2020</w:t>
            </w:r>
          </w:p>
        </w:tc>
      </w:tr>
      <w:tr>
        <w:trPr>
          <w:trHeight w:val="297"/>
        </w:trPr>
        <w:tc>
          <w:tcPr>
            <w:tcW w:w="580" w:type="dxa"/>
            <w:vAlign w:val="bottom"/>
          </w:tcPr>
          <w:p>
            <w:pPr>
              <w:jc w:val="center"/>
              <w:ind w:right="223"/>
              <w:spacing w:after="0"/>
              <w:rPr>
                <w:sz w:val="20"/>
                <w:szCs w:val="20"/>
                <w:color w:val="auto"/>
              </w:rPr>
            </w:pPr>
            <w:r>
              <w:rPr>
                <w:rFonts w:ascii="Arial" w:cs="Arial" w:eastAsia="Arial" w:hAnsi="Arial"/>
                <w:sz w:val="11"/>
                <w:szCs w:val="11"/>
                <w:color w:val="auto"/>
              </w:rPr>
              <w:t>S-1/A</w:t>
            </w:r>
          </w:p>
        </w:tc>
        <w:tc>
          <w:tcPr>
            <w:tcW w:w="1200" w:type="dxa"/>
            <w:vAlign w:val="bottom"/>
          </w:tcPr>
          <w:p>
            <w:pPr>
              <w:jc w:val="center"/>
              <w:spacing w:after="0"/>
              <w:rPr>
                <w:sz w:val="20"/>
                <w:szCs w:val="20"/>
                <w:color w:val="auto"/>
              </w:rPr>
            </w:pPr>
            <w:r>
              <w:rPr>
                <w:rFonts w:ascii="Arial" w:cs="Arial" w:eastAsia="Arial" w:hAnsi="Arial"/>
                <w:sz w:val="11"/>
                <w:szCs w:val="11"/>
                <w:color w:val="auto"/>
              </w:rPr>
              <w:t>333-239287</w:t>
            </w:r>
          </w:p>
        </w:tc>
        <w:tc>
          <w:tcPr>
            <w:tcW w:w="860" w:type="dxa"/>
            <w:vAlign w:val="bottom"/>
          </w:tcPr>
          <w:p>
            <w:pPr>
              <w:jc w:val="center"/>
              <w:spacing w:after="0"/>
              <w:rPr>
                <w:sz w:val="20"/>
                <w:szCs w:val="20"/>
                <w:color w:val="auto"/>
              </w:rPr>
            </w:pPr>
            <w:r>
              <w:rPr>
                <w:rFonts w:ascii="Arial" w:cs="Arial" w:eastAsia="Arial" w:hAnsi="Arial"/>
                <w:sz w:val="11"/>
                <w:szCs w:val="11"/>
                <w:color w:val="auto"/>
              </w:rPr>
              <w:t>10.14</w:t>
            </w:r>
          </w:p>
        </w:tc>
        <w:tc>
          <w:tcPr>
            <w:tcW w:w="840" w:type="dxa"/>
            <w:vAlign w:val="bottom"/>
          </w:tcPr>
          <w:p>
            <w:pPr>
              <w:jc w:val="center"/>
              <w:ind w:left="223"/>
              <w:spacing w:after="0"/>
              <w:rPr>
                <w:sz w:val="20"/>
                <w:szCs w:val="20"/>
                <w:color w:val="auto"/>
              </w:rPr>
            </w:pPr>
            <w:r>
              <w:rPr>
                <w:rFonts w:ascii="Arial" w:cs="Arial" w:eastAsia="Arial" w:hAnsi="Arial"/>
                <w:sz w:val="11"/>
                <w:szCs w:val="11"/>
                <w:color w:val="auto"/>
              </w:rPr>
              <w:t>7/8/2020</w:t>
            </w:r>
          </w:p>
        </w:tc>
      </w:tr>
      <w:tr>
        <w:trPr>
          <w:trHeight w:val="297"/>
        </w:trPr>
        <w:tc>
          <w:tcPr>
            <w:tcW w:w="580" w:type="dxa"/>
            <w:vAlign w:val="bottom"/>
          </w:tcPr>
          <w:p>
            <w:pPr>
              <w:jc w:val="center"/>
              <w:ind w:right="223"/>
              <w:spacing w:after="0"/>
              <w:rPr>
                <w:sz w:val="20"/>
                <w:szCs w:val="20"/>
                <w:color w:val="auto"/>
              </w:rPr>
            </w:pPr>
            <w:r>
              <w:rPr>
                <w:rFonts w:ascii="Arial" w:cs="Arial" w:eastAsia="Arial" w:hAnsi="Arial"/>
                <w:sz w:val="11"/>
                <w:szCs w:val="11"/>
                <w:color w:val="auto"/>
              </w:rPr>
              <w:t>S-1/A</w:t>
            </w:r>
          </w:p>
        </w:tc>
        <w:tc>
          <w:tcPr>
            <w:tcW w:w="1200" w:type="dxa"/>
            <w:vAlign w:val="bottom"/>
          </w:tcPr>
          <w:p>
            <w:pPr>
              <w:jc w:val="center"/>
              <w:spacing w:after="0"/>
              <w:rPr>
                <w:sz w:val="20"/>
                <w:szCs w:val="20"/>
                <w:color w:val="auto"/>
              </w:rPr>
            </w:pPr>
            <w:r>
              <w:rPr>
                <w:rFonts w:ascii="Arial" w:cs="Arial" w:eastAsia="Arial" w:hAnsi="Arial"/>
                <w:sz w:val="11"/>
                <w:szCs w:val="11"/>
                <w:color w:val="auto"/>
              </w:rPr>
              <w:t>333-239287</w:t>
            </w:r>
          </w:p>
        </w:tc>
        <w:tc>
          <w:tcPr>
            <w:tcW w:w="860" w:type="dxa"/>
            <w:vAlign w:val="bottom"/>
          </w:tcPr>
          <w:p>
            <w:pPr>
              <w:jc w:val="center"/>
              <w:spacing w:after="0"/>
              <w:rPr>
                <w:sz w:val="20"/>
                <w:szCs w:val="20"/>
                <w:color w:val="auto"/>
              </w:rPr>
            </w:pPr>
            <w:r>
              <w:rPr>
                <w:rFonts w:ascii="Arial" w:cs="Arial" w:eastAsia="Arial" w:hAnsi="Arial"/>
                <w:sz w:val="11"/>
                <w:szCs w:val="11"/>
                <w:color w:val="auto"/>
              </w:rPr>
              <w:t>10.15</w:t>
            </w:r>
          </w:p>
        </w:tc>
        <w:tc>
          <w:tcPr>
            <w:tcW w:w="840" w:type="dxa"/>
            <w:vAlign w:val="bottom"/>
          </w:tcPr>
          <w:p>
            <w:pPr>
              <w:jc w:val="center"/>
              <w:ind w:left="223"/>
              <w:spacing w:after="0"/>
              <w:rPr>
                <w:sz w:val="20"/>
                <w:szCs w:val="20"/>
                <w:color w:val="auto"/>
              </w:rPr>
            </w:pPr>
            <w:r>
              <w:rPr>
                <w:rFonts w:ascii="Arial" w:cs="Arial" w:eastAsia="Arial" w:hAnsi="Arial"/>
                <w:sz w:val="11"/>
                <w:szCs w:val="11"/>
                <w:color w:val="auto"/>
              </w:rPr>
              <w:t>7/8/2020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600" w:type="dxa"/>
            <w:vAlign w:val="bottom"/>
            <w:gridSpan w:val="2"/>
          </w:tcPr>
          <w:p>
            <w:pPr>
              <w:jc w:val="center"/>
              <w:ind w:right="243"/>
              <w:spacing w:after="0"/>
              <w:rPr>
                <w:sz w:val="20"/>
                <w:szCs w:val="20"/>
                <w:color w:val="auto"/>
              </w:rPr>
            </w:pPr>
            <w:r>
              <w:rPr>
                <w:rFonts w:ascii="Arial" w:cs="Arial" w:eastAsia="Arial" w:hAnsi="Arial"/>
                <w:sz w:val="11"/>
                <w:szCs w:val="11"/>
                <w:color w:val="auto"/>
              </w:rPr>
              <w:t>S-1/A</w:t>
            </w:r>
          </w:p>
        </w:tc>
        <w:tc>
          <w:tcPr>
            <w:tcW w:w="1180" w:type="dxa"/>
            <w:vAlign w:val="bottom"/>
          </w:tcPr>
          <w:p>
            <w:pPr>
              <w:jc w:val="center"/>
              <w:spacing w:after="0"/>
              <w:rPr>
                <w:sz w:val="20"/>
                <w:szCs w:val="20"/>
                <w:color w:val="auto"/>
              </w:rPr>
            </w:pPr>
            <w:r>
              <w:rPr>
                <w:rFonts w:ascii="Arial" w:cs="Arial" w:eastAsia="Arial" w:hAnsi="Arial"/>
                <w:sz w:val="11"/>
                <w:szCs w:val="11"/>
                <w:color w:val="auto"/>
              </w:rPr>
              <w:t>333-239287</w:t>
            </w:r>
          </w:p>
        </w:tc>
        <w:tc>
          <w:tcPr>
            <w:tcW w:w="880" w:type="dxa"/>
            <w:vAlign w:val="bottom"/>
          </w:tcPr>
          <w:p>
            <w:pPr>
              <w:jc w:val="center"/>
              <w:spacing w:after="0"/>
              <w:rPr>
                <w:sz w:val="20"/>
                <w:szCs w:val="20"/>
                <w:color w:val="auto"/>
              </w:rPr>
            </w:pPr>
            <w:r>
              <w:rPr>
                <w:rFonts w:ascii="Arial" w:cs="Arial" w:eastAsia="Arial" w:hAnsi="Arial"/>
                <w:sz w:val="11"/>
                <w:szCs w:val="11"/>
                <w:color w:val="auto"/>
              </w:rPr>
              <w:t>10.16</w:t>
            </w:r>
          </w:p>
        </w:tc>
        <w:tc>
          <w:tcPr>
            <w:tcW w:w="800" w:type="dxa"/>
            <w:vAlign w:val="bottom"/>
          </w:tcPr>
          <w:p>
            <w:pPr>
              <w:jc w:val="center"/>
              <w:ind w:left="223"/>
              <w:spacing w:after="0"/>
              <w:rPr>
                <w:sz w:val="20"/>
                <w:szCs w:val="20"/>
                <w:color w:val="auto"/>
              </w:rPr>
            </w:pPr>
            <w:r>
              <w:rPr>
                <w:rFonts w:ascii="Arial" w:cs="Arial" w:eastAsia="Arial" w:hAnsi="Arial"/>
                <w:sz w:val="11"/>
                <w:szCs w:val="11"/>
                <w:color w:val="auto"/>
              </w:rPr>
              <w:t>7/8/2020</w:t>
            </w:r>
          </w:p>
        </w:tc>
      </w:tr>
      <w:tr>
        <w:trPr>
          <w:trHeight w:val="170"/>
        </w:trPr>
        <w:tc>
          <w:tcPr>
            <w:tcW w:w="600" w:type="dxa"/>
            <w:vAlign w:val="bottom"/>
            <w:gridSpan w:val="2"/>
          </w:tcPr>
          <w:p>
            <w:pPr>
              <w:jc w:val="center"/>
              <w:ind w:right="243"/>
              <w:spacing w:after="0"/>
              <w:rPr>
                <w:sz w:val="20"/>
                <w:szCs w:val="20"/>
                <w:color w:val="auto"/>
              </w:rPr>
            </w:pPr>
            <w:r>
              <w:rPr>
                <w:rFonts w:ascii="Arial" w:cs="Arial" w:eastAsia="Arial" w:hAnsi="Arial"/>
                <w:sz w:val="11"/>
                <w:szCs w:val="11"/>
                <w:color w:val="auto"/>
              </w:rPr>
              <w:t>S-1/A</w:t>
            </w:r>
          </w:p>
        </w:tc>
        <w:tc>
          <w:tcPr>
            <w:tcW w:w="1180" w:type="dxa"/>
            <w:vAlign w:val="bottom"/>
          </w:tcPr>
          <w:p>
            <w:pPr>
              <w:jc w:val="center"/>
              <w:spacing w:after="0"/>
              <w:rPr>
                <w:sz w:val="20"/>
                <w:szCs w:val="20"/>
                <w:color w:val="auto"/>
              </w:rPr>
            </w:pPr>
            <w:r>
              <w:rPr>
                <w:rFonts w:ascii="Arial" w:cs="Arial" w:eastAsia="Arial" w:hAnsi="Arial"/>
                <w:sz w:val="11"/>
                <w:szCs w:val="11"/>
                <w:color w:val="auto"/>
              </w:rPr>
              <w:t>333-239287</w:t>
            </w:r>
          </w:p>
        </w:tc>
        <w:tc>
          <w:tcPr>
            <w:tcW w:w="880" w:type="dxa"/>
            <w:vAlign w:val="bottom"/>
          </w:tcPr>
          <w:p>
            <w:pPr>
              <w:jc w:val="center"/>
              <w:spacing w:after="0"/>
              <w:rPr>
                <w:sz w:val="20"/>
                <w:szCs w:val="20"/>
                <w:color w:val="auto"/>
              </w:rPr>
            </w:pPr>
            <w:r>
              <w:rPr>
                <w:rFonts w:ascii="Arial" w:cs="Arial" w:eastAsia="Arial" w:hAnsi="Arial"/>
                <w:sz w:val="11"/>
                <w:szCs w:val="11"/>
                <w:color w:val="auto"/>
              </w:rPr>
              <w:t>10.17</w:t>
            </w:r>
          </w:p>
        </w:tc>
        <w:tc>
          <w:tcPr>
            <w:tcW w:w="800" w:type="dxa"/>
            <w:vAlign w:val="bottom"/>
          </w:tcPr>
          <w:p>
            <w:pPr>
              <w:jc w:val="center"/>
              <w:ind w:left="223"/>
              <w:spacing w:after="0"/>
              <w:rPr>
                <w:sz w:val="20"/>
                <w:szCs w:val="20"/>
                <w:color w:val="auto"/>
              </w:rPr>
            </w:pPr>
            <w:r>
              <w:rPr>
                <w:rFonts w:ascii="Arial" w:cs="Arial" w:eastAsia="Arial" w:hAnsi="Arial"/>
                <w:sz w:val="11"/>
                <w:szCs w:val="11"/>
                <w:color w:val="auto"/>
              </w:rPr>
              <w:t>7/8/2020</w:t>
            </w:r>
          </w:p>
        </w:tc>
      </w:tr>
      <w:tr>
        <w:trPr>
          <w:trHeight w:val="170"/>
        </w:trPr>
        <w:tc>
          <w:tcPr>
            <w:tcW w:w="600" w:type="dxa"/>
            <w:vAlign w:val="bottom"/>
            <w:gridSpan w:val="2"/>
          </w:tcPr>
          <w:p>
            <w:pPr>
              <w:jc w:val="center"/>
              <w:ind w:right="243"/>
              <w:spacing w:after="0"/>
              <w:rPr>
                <w:sz w:val="20"/>
                <w:szCs w:val="20"/>
                <w:color w:val="auto"/>
              </w:rPr>
            </w:pPr>
            <w:r>
              <w:rPr>
                <w:rFonts w:ascii="Arial" w:cs="Arial" w:eastAsia="Arial" w:hAnsi="Arial"/>
                <w:sz w:val="11"/>
                <w:szCs w:val="11"/>
                <w:color w:val="auto"/>
              </w:rPr>
              <w:t>S-1/A</w:t>
            </w:r>
          </w:p>
        </w:tc>
        <w:tc>
          <w:tcPr>
            <w:tcW w:w="1180" w:type="dxa"/>
            <w:vAlign w:val="bottom"/>
          </w:tcPr>
          <w:p>
            <w:pPr>
              <w:jc w:val="center"/>
              <w:spacing w:after="0"/>
              <w:rPr>
                <w:sz w:val="20"/>
                <w:szCs w:val="20"/>
                <w:color w:val="auto"/>
              </w:rPr>
            </w:pPr>
            <w:r>
              <w:rPr>
                <w:rFonts w:ascii="Arial" w:cs="Arial" w:eastAsia="Arial" w:hAnsi="Arial"/>
                <w:sz w:val="11"/>
                <w:szCs w:val="11"/>
                <w:color w:val="auto"/>
              </w:rPr>
              <w:t>333-239287</w:t>
            </w:r>
          </w:p>
        </w:tc>
        <w:tc>
          <w:tcPr>
            <w:tcW w:w="880" w:type="dxa"/>
            <w:vAlign w:val="bottom"/>
          </w:tcPr>
          <w:p>
            <w:pPr>
              <w:jc w:val="center"/>
              <w:spacing w:after="0"/>
              <w:rPr>
                <w:sz w:val="20"/>
                <w:szCs w:val="20"/>
                <w:color w:val="auto"/>
              </w:rPr>
            </w:pPr>
            <w:r>
              <w:rPr>
                <w:rFonts w:ascii="Arial" w:cs="Arial" w:eastAsia="Arial" w:hAnsi="Arial"/>
                <w:sz w:val="11"/>
                <w:szCs w:val="11"/>
                <w:color w:val="auto"/>
              </w:rPr>
              <w:t>10.18</w:t>
            </w:r>
          </w:p>
        </w:tc>
        <w:tc>
          <w:tcPr>
            <w:tcW w:w="800" w:type="dxa"/>
            <w:vAlign w:val="bottom"/>
          </w:tcPr>
          <w:p>
            <w:pPr>
              <w:jc w:val="center"/>
              <w:ind w:left="223"/>
              <w:spacing w:after="0"/>
              <w:rPr>
                <w:sz w:val="20"/>
                <w:szCs w:val="20"/>
                <w:color w:val="auto"/>
              </w:rPr>
            </w:pPr>
            <w:r>
              <w:rPr>
                <w:rFonts w:ascii="Arial" w:cs="Arial" w:eastAsia="Arial" w:hAnsi="Arial"/>
                <w:sz w:val="11"/>
                <w:szCs w:val="11"/>
                <w:color w:val="auto"/>
              </w:rPr>
              <w:t>7/8/2020</w:t>
            </w:r>
          </w:p>
        </w:tc>
      </w:tr>
      <w:tr>
        <w:trPr>
          <w:trHeight w:val="170"/>
        </w:trPr>
        <w:tc>
          <w:tcPr>
            <w:tcW w:w="600" w:type="dxa"/>
            <w:vAlign w:val="bottom"/>
            <w:gridSpan w:val="2"/>
          </w:tcPr>
          <w:p>
            <w:pPr>
              <w:jc w:val="center"/>
              <w:ind w:right="243"/>
              <w:spacing w:after="0"/>
              <w:rPr>
                <w:sz w:val="20"/>
                <w:szCs w:val="20"/>
                <w:color w:val="auto"/>
              </w:rPr>
            </w:pPr>
            <w:r>
              <w:rPr>
                <w:rFonts w:ascii="Arial" w:cs="Arial" w:eastAsia="Arial" w:hAnsi="Arial"/>
                <w:sz w:val="11"/>
                <w:szCs w:val="11"/>
                <w:color w:val="auto"/>
              </w:rPr>
              <w:t>S-1/A</w:t>
            </w:r>
          </w:p>
        </w:tc>
        <w:tc>
          <w:tcPr>
            <w:tcW w:w="1180" w:type="dxa"/>
            <w:vAlign w:val="bottom"/>
          </w:tcPr>
          <w:p>
            <w:pPr>
              <w:jc w:val="center"/>
              <w:spacing w:after="0"/>
              <w:rPr>
                <w:sz w:val="20"/>
                <w:szCs w:val="20"/>
                <w:color w:val="auto"/>
              </w:rPr>
            </w:pPr>
            <w:r>
              <w:rPr>
                <w:rFonts w:ascii="Arial" w:cs="Arial" w:eastAsia="Arial" w:hAnsi="Arial"/>
                <w:sz w:val="11"/>
                <w:szCs w:val="11"/>
                <w:color w:val="auto"/>
              </w:rPr>
              <w:t>333-239287</w:t>
            </w:r>
          </w:p>
        </w:tc>
        <w:tc>
          <w:tcPr>
            <w:tcW w:w="880" w:type="dxa"/>
            <w:vAlign w:val="bottom"/>
          </w:tcPr>
          <w:p>
            <w:pPr>
              <w:jc w:val="center"/>
              <w:spacing w:after="0"/>
              <w:rPr>
                <w:sz w:val="20"/>
                <w:szCs w:val="20"/>
                <w:color w:val="auto"/>
              </w:rPr>
            </w:pPr>
            <w:r>
              <w:rPr>
                <w:rFonts w:ascii="Arial" w:cs="Arial" w:eastAsia="Arial" w:hAnsi="Arial"/>
                <w:sz w:val="11"/>
                <w:szCs w:val="11"/>
                <w:color w:val="auto"/>
              </w:rPr>
              <w:t>10.19</w:t>
            </w:r>
          </w:p>
        </w:tc>
        <w:tc>
          <w:tcPr>
            <w:tcW w:w="800" w:type="dxa"/>
            <w:vAlign w:val="bottom"/>
          </w:tcPr>
          <w:p>
            <w:pPr>
              <w:jc w:val="center"/>
              <w:ind w:left="223"/>
              <w:spacing w:after="0"/>
              <w:rPr>
                <w:sz w:val="20"/>
                <w:szCs w:val="20"/>
                <w:color w:val="auto"/>
              </w:rPr>
            </w:pPr>
            <w:r>
              <w:rPr>
                <w:rFonts w:ascii="Arial" w:cs="Arial" w:eastAsia="Arial" w:hAnsi="Arial"/>
                <w:sz w:val="11"/>
                <w:szCs w:val="11"/>
                <w:color w:val="auto"/>
              </w:rPr>
              <w:t>7/8/2020</w:t>
            </w:r>
          </w:p>
        </w:tc>
      </w:tr>
      <w:tr>
        <w:trPr>
          <w:trHeight w:val="170"/>
        </w:trPr>
        <w:tc>
          <w:tcPr>
            <w:tcW w:w="600" w:type="dxa"/>
            <w:vAlign w:val="bottom"/>
            <w:gridSpan w:val="2"/>
          </w:tcPr>
          <w:p>
            <w:pPr>
              <w:jc w:val="center"/>
              <w:ind w:right="243"/>
              <w:spacing w:after="0"/>
              <w:rPr>
                <w:sz w:val="20"/>
                <w:szCs w:val="20"/>
                <w:color w:val="auto"/>
              </w:rPr>
            </w:pPr>
            <w:r>
              <w:rPr>
                <w:rFonts w:ascii="Arial" w:cs="Arial" w:eastAsia="Arial" w:hAnsi="Arial"/>
                <w:sz w:val="11"/>
                <w:szCs w:val="11"/>
                <w:color w:val="auto"/>
              </w:rPr>
              <w:t>S-1/A</w:t>
            </w:r>
          </w:p>
        </w:tc>
        <w:tc>
          <w:tcPr>
            <w:tcW w:w="1180" w:type="dxa"/>
            <w:vAlign w:val="bottom"/>
          </w:tcPr>
          <w:p>
            <w:pPr>
              <w:jc w:val="center"/>
              <w:spacing w:after="0"/>
              <w:rPr>
                <w:sz w:val="20"/>
                <w:szCs w:val="20"/>
                <w:color w:val="auto"/>
              </w:rPr>
            </w:pPr>
            <w:r>
              <w:rPr>
                <w:rFonts w:ascii="Arial" w:cs="Arial" w:eastAsia="Arial" w:hAnsi="Arial"/>
                <w:sz w:val="11"/>
                <w:szCs w:val="11"/>
                <w:color w:val="auto"/>
              </w:rPr>
              <w:t>333-239287</w:t>
            </w:r>
          </w:p>
        </w:tc>
        <w:tc>
          <w:tcPr>
            <w:tcW w:w="880" w:type="dxa"/>
            <w:vAlign w:val="bottom"/>
          </w:tcPr>
          <w:p>
            <w:pPr>
              <w:jc w:val="center"/>
              <w:spacing w:after="0"/>
              <w:rPr>
                <w:sz w:val="20"/>
                <w:szCs w:val="20"/>
                <w:color w:val="auto"/>
              </w:rPr>
            </w:pPr>
            <w:r>
              <w:rPr>
                <w:rFonts w:ascii="Arial" w:cs="Arial" w:eastAsia="Arial" w:hAnsi="Arial"/>
                <w:sz w:val="11"/>
                <w:szCs w:val="11"/>
                <w:color w:val="auto"/>
              </w:rPr>
              <w:t>10.20</w:t>
            </w:r>
          </w:p>
        </w:tc>
        <w:tc>
          <w:tcPr>
            <w:tcW w:w="800" w:type="dxa"/>
            <w:vAlign w:val="bottom"/>
          </w:tcPr>
          <w:p>
            <w:pPr>
              <w:jc w:val="center"/>
              <w:ind w:left="223"/>
              <w:spacing w:after="0"/>
              <w:rPr>
                <w:sz w:val="20"/>
                <w:szCs w:val="20"/>
                <w:color w:val="auto"/>
              </w:rPr>
            </w:pPr>
            <w:r>
              <w:rPr>
                <w:rFonts w:ascii="Arial" w:cs="Arial" w:eastAsia="Arial" w:hAnsi="Arial"/>
                <w:sz w:val="11"/>
                <w:szCs w:val="11"/>
                <w:color w:val="auto"/>
              </w:rPr>
              <w:t>7/8/2020</w:t>
            </w:r>
          </w:p>
        </w:tc>
      </w:tr>
      <w:tr>
        <w:trPr>
          <w:trHeight w:val="297"/>
        </w:trPr>
        <w:tc>
          <w:tcPr>
            <w:tcW w:w="600" w:type="dxa"/>
            <w:vAlign w:val="bottom"/>
            <w:gridSpan w:val="2"/>
          </w:tcPr>
          <w:p>
            <w:pPr>
              <w:jc w:val="center"/>
              <w:ind w:right="243"/>
              <w:spacing w:after="0"/>
              <w:rPr>
                <w:sz w:val="20"/>
                <w:szCs w:val="20"/>
                <w:color w:val="auto"/>
              </w:rPr>
            </w:pPr>
            <w:r>
              <w:rPr>
                <w:rFonts w:ascii="Arial" w:cs="Arial" w:eastAsia="Arial" w:hAnsi="Arial"/>
                <w:sz w:val="11"/>
                <w:szCs w:val="11"/>
                <w:color w:val="auto"/>
              </w:rPr>
              <w:t>8-K</w:t>
            </w:r>
          </w:p>
        </w:tc>
        <w:tc>
          <w:tcPr>
            <w:tcW w:w="1180" w:type="dxa"/>
            <w:vAlign w:val="bottom"/>
          </w:tcPr>
          <w:p>
            <w:pPr>
              <w:jc w:val="center"/>
              <w:spacing w:after="0"/>
              <w:rPr>
                <w:sz w:val="20"/>
                <w:szCs w:val="20"/>
                <w:color w:val="auto"/>
              </w:rPr>
            </w:pPr>
            <w:r>
              <w:rPr>
                <w:rFonts w:ascii="Arial" w:cs="Arial" w:eastAsia="Arial" w:hAnsi="Arial"/>
                <w:sz w:val="11"/>
                <w:szCs w:val="11"/>
                <w:color w:val="auto"/>
              </w:rPr>
              <w:t>001-39390</w:t>
            </w:r>
          </w:p>
        </w:tc>
        <w:tc>
          <w:tcPr>
            <w:tcW w:w="880" w:type="dxa"/>
            <w:vAlign w:val="bottom"/>
          </w:tcPr>
          <w:p>
            <w:pPr>
              <w:jc w:val="center"/>
              <w:spacing w:after="0"/>
              <w:rPr>
                <w:sz w:val="20"/>
                <w:szCs w:val="20"/>
                <w:color w:val="auto"/>
              </w:rPr>
            </w:pPr>
            <w:r>
              <w:rPr>
                <w:rFonts w:ascii="Arial" w:cs="Arial" w:eastAsia="Arial" w:hAnsi="Arial"/>
                <w:sz w:val="11"/>
                <w:szCs w:val="11"/>
                <w:color w:val="auto"/>
              </w:rPr>
              <w:t>10.1</w:t>
            </w:r>
          </w:p>
        </w:tc>
        <w:tc>
          <w:tcPr>
            <w:tcW w:w="800" w:type="dxa"/>
            <w:vAlign w:val="bottom"/>
          </w:tcPr>
          <w:p>
            <w:pPr>
              <w:jc w:val="center"/>
              <w:ind w:left="243"/>
              <w:spacing w:after="0"/>
              <w:rPr>
                <w:sz w:val="20"/>
                <w:szCs w:val="20"/>
                <w:color w:val="auto"/>
              </w:rPr>
            </w:pPr>
            <w:r>
              <w:rPr>
                <w:rFonts w:ascii="Arial" w:cs="Arial" w:eastAsia="Arial" w:hAnsi="Arial"/>
                <w:sz w:val="11"/>
                <w:szCs w:val="11"/>
                <w:color w:val="auto"/>
              </w:rPr>
              <w:t>7/17/2020</w:t>
            </w:r>
          </w:p>
        </w:tc>
      </w:tr>
      <w:tr>
        <w:trPr>
          <w:trHeight w:val="361"/>
        </w:trPr>
        <w:tc>
          <w:tcPr>
            <w:tcW w:w="600" w:type="dxa"/>
            <w:vAlign w:val="bottom"/>
            <w:gridSpan w:val="2"/>
          </w:tcPr>
          <w:p>
            <w:pPr>
              <w:jc w:val="center"/>
              <w:ind w:right="243"/>
              <w:spacing w:after="0"/>
              <w:rPr>
                <w:sz w:val="20"/>
                <w:szCs w:val="20"/>
                <w:color w:val="auto"/>
              </w:rPr>
            </w:pPr>
            <w:r>
              <w:rPr>
                <w:rFonts w:ascii="Arial" w:cs="Arial" w:eastAsia="Arial" w:hAnsi="Arial"/>
                <w:sz w:val="11"/>
                <w:szCs w:val="11"/>
                <w:color w:val="auto"/>
              </w:rPr>
              <w:t>8-K</w:t>
            </w:r>
          </w:p>
        </w:tc>
        <w:tc>
          <w:tcPr>
            <w:tcW w:w="1180" w:type="dxa"/>
            <w:vAlign w:val="bottom"/>
          </w:tcPr>
          <w:p>
            <w:pPr>
              <w:jc w:val="center"/>
              <w:spacing w:after="0"/>
              <w:rPr>
                <w:sz w:val="20"/>
                <w:szCs w:val="20"/>
                <w:color w:val="auto"/>
              </w:rPr>
            </w:pPr>
            <w:r>
              <w:rPr>
                <w:rFonts w:ascii="Arial" w:cs="Arial" w:eastAsia="Arial" w:hAnsi="Arial"/>
                <w:sz w:val="11"/>
                <w:szCs w:val="11"/>
                <w:color w:val="auto"/>
              </w:rPr>
              <w:t>001-39390</w:t>
            </w:r>
          </w:p>
        </w:tc>
        <w:tc>
          <w:tcPr>
            <w:tcW w:w="880" w:type="dxa"/>
            <w:vAlign w:val="bottom"/>
          </w:tcPr>
          <w:p>
            <w:pPr>
              <w:jc w:val="center"/>
              <w:spacing w:after="0"/>
              <w:rPr>
                <w:sz w:val="20"/>
                <w:szCs w:val="20"/>
                <w:color w:val="auto"/>
              </w:rPr>
            </w:pPr>
            <w:r>
              <w:rPr>
                <w:rFonts w:ascii="Arial" w:cs="Arial" w:eastAsia="Arial" w:hAnsi="Arial"/>
                <w:sz w:val="11"/>
                <w:szCs w:val="11"/>
                <w:color w:val="auto"/>
              </w:rPr>
              <w:t>10.2</w:t>
            </w:r>
          </w:p>
        </w:tc>
        <w:tc>
          <w:tcPr>
            <w:tcW w:w="800" w:type="dxa"/>
            <w:vAlign w:val="bottom"/>
          </w:tcPr>
          <w:p>
            <w:pPr>
              <w:jc w:val="center"/>
              <w:ind w:left="243"/>
              <w:spacing w:after="0"/>
              <w:rPr>
                <w:sz w:val="20"/>
                <w:szCs w:val="20"/>
                <w:color w:val="auto"/>
              </w:rPr>
            </w:pPr>
            <w:r>
              <w:rPr>
                <w:rFonts w:ascii="Arial" w:cs="Arial" w:eastAsia="Arial" w:hAnsi="Arial"/>
                <w:sz w:val="11"/>
                <w:szCs w:val="11"/>
                <w:color w:val="auto"/>
              </w:rPr>
              <w:t>7/17/2020</w:t>
            </w:r>
          </w:p>
        </w:tc>
      </w:tr>
      <w:tr>
        <w:trPr>
          <w:trHeight w:val="297"/>
        </w:trPr>
        <w:tc>
          <w:tcPr>
            <w:tcW w:w="600" w:type="dxa"/>
            <w:vAlign w:val="bottom"/>
            <w:gridSpan w:val="2"/>
          </w:tcPr>
          <w:p>
            <w:pPr>
              <w:jc w:val="center"/>
              <w:ind w:right="243"/>
              <w:spacing w:after="0"/>
              <w:rPr>
                <w:sz w:val="20"/>
                <w:szCs w:val="20"/>
                <w:color w:val="auto"/>
              </w:rPr>
            </w:pPr>
            <w:r>
              <w:rPr>
                <w:rFonts w:ascii="Arial" w:cs="Arial" w:eastAsia="Arial" w:hAnsi="Arial"/>
                <w:sz w:val="11"/>
                <w:szCs w:val="11"/>
                <w:color w:val="auto"/>
              </w:rPr>
              <w:t>8-K</w:t>
            </w:r>
          </w:p>
        </w:tc>
        <w:tc>
          <w:tcPr>
            <w:tcW w:w="1180" w:type="dxa"/>
            <w:vAlign w:val="bottom"/>
          </w:tcPr>
          <w:p>
            <w:pPr>
              <w:jc w:val="center"/>
              <w:spacing w:after="0"/>
              <w:rPr>
                <w:sz w:val="20"/>
                <w:szCs w:val="20"/>
                <w:color w:val="auto"/>
              </w:rPr>
            </w:pPr>
            <w:r>
              <w:rPr>
                <w:rFonts w:ascii="Arial" w:cs="Arial" w:eastAsia="Arial" w:hAnsi="Arial"/>
                <w:sz w:val="11"/>
                <w:szCs w:val="11"/>
                <w:color w:val="auto"/>
              </w:rPr>
              <w:t>001-39390</w:t>
            </w:r>
          </w:p>
        </w:tc>
        <w:tc>
          <w:tcPr>
            <w:tcW w:w="880" w:type="dxa"/>
            <w:vAlign w:val="bottom"/>
          </w:tcPr>
          <w:p>
            <w:pPr>
              <w:jc w:val="center"/>
              <w:spacing w:after="0"/>
              <w:rPr>
                <w:sz w:val="20"/>
                <w:szCs w:val="20"/>
                <w:color w:val="auto"/>
              </w:rPr>
            </w:pPr>
            <w:r>
              <w:rPr>
                <w:rFonts w:ascii="Arial" w:cs="Arial" w:eastAsia="Arial" w:hAnsi="Arial"/>
                <w:sz w:val="11"/>
                <w:szCs w:val="11"/>
                <w:color w:val="auto"/>
              </w:rPr>
              <w:t>10.3</w:t>
            </w:r>
          </w:p>
        </w:tc>
        <w:tc>
          <w:tcPr>
            <w:tcW w:w="800" w:type="dxa"/>
            <w:vAlign w:val="bottom"/>
          </w:tcPr>
          <w:p>
            <w:pPr>
              <w:jc w:val="center"/>
              <w:ind w:left="243"/>
              <w:spacing w:after="0"/>
              <w:rPr>
                <w:sz w:val="20"/>
                <w:szCs w:val="20"/>
                <w:color w:val="auto"/>
              </w:rPr>
            </w:pPr>
            <w:r>
              <w:rPr>
                <w:rFonts w:ascii="Arial" w:cs="Arial" w:eastAsia="Arial" w:hAnsi="Arial"/>
                <w:sz w:val="11"/>
                <w:szCs w:val="11"/>
                <w:color w:val="auto"/>
              </w:rPr>
              <w:t>7/17/2020</w:t>
            </w:r>
          </w:p>
        </w:tc>
      </w:tr>
      <w:tr>
        <w:trPr>
          <w:trHeight w:val="297"/>
        </w:trPr>
        <w:tc>
          <w:tcPr>
            <w:tcW w:w="600" w:type="dxa"/>
            <w:vAlign w:val="bottom"/>
            <w:gridSpan w:val="2"/>
          </w:tcPr>
          <w:p>
            <w:pPr>
              <w:jc w:val="center"/>
              <w:ind w:right="243"/>
              <w:spacing w:after="0"/>
              <w:rPr>
                <w:sz w:val="20"/>
                <w:szCs w:val="20"/>
                <w:color w:val="auto"/>
              </w:rPr>
            </w:pPr>
            <w:r>
              <w:rPr>
                <w:rFonts w:ascii="Arial" w:cs="Arial" w:eastAsia="Arial" w:hAnsi="Arial"/>
                <w:sz w:val="11"/>
                <w:szCs w:val="11"/>
                <w:color w:val="auto"/>
              </w:rPr>
              <w:t>8-K</w:t>
            </w:r>
          </w:p>
        </w:tc>
        <w:tc>
          <w:tcPr>
            <w:tcW w:w="1180" w:type="dxa"/>
            <w:vAlign w:val="bottom"/>
          </w:tcPr>
          <w:p>
            <w:pPr>
              <w:jc w:val="center"/>
              <w:spacing w:after="0"/>
              <w:rPr>
                <w:sz w:val="20"/>
                <w:szCs w:val="20"/>
                <w:color w:val="auto"/>
              </w:rPr>
            </w:pPr>
            <w:r>
              <w:rPr>
                <w:rFonts w:ascii="Arial" w:cs="Arial" w:eastAsia="Arial" w:hAnsi="Arial"/>
                <w:sz w:val="11"/>
                <w:szCs w:val="11"/>
                <w:color w:val="auto"/>
              </w:rPr>
              <w:t>001-39390</w:t>
            </w:r>
          </w:p>
        </w:tc>
        <w:tc>
          <w:tcPr>
            <w:tcW w:w="880" w:type="dxa"/>
            <w:vAlign w:val="bottom"/>
          </w:tcPr>
          <w:p>
            <w:pPr>
              <w:jc w:val="center"/>
              <w:spacing w:after="0"/>
              <w:rPr>
                <w:sz w:val="20"/>
                <w:szCs w:val="20"/>
                <w:color w:val="auto"/>
              </w:rPr>
            </w:pPr>
            <w:r>
              <w:rPr>
                <w:rFonts w:ascii="Arial" w:cs="Arial" w:eastAsia="Arial" w:hAnsi="Arial"/>
                <w:sz w:val="11"/>
                <w:szCs w:val="11"/>
                <w:color w:val="auto"/>
              </w:rPr>
              <w:t>10.4</w:t>
            </w:r>
          </w:p>
        </w:tc>
        <w:tc>
          <w:tcPr>
            <w:tcW w:w="800" w:type="dxa"/>
            <w:vAlign w:val="bottom"/>
          </w:tcPr>
          <w:p>
            <w:pPr>
              <w:jc w:val="center"/>
              <w:ind w:left="243"/>
              <w:spacing w:after="0"/>
              <w:rPr>
                <w:sz w:val="20"/>
                <w:szCs w:val="20"/>
                <w:color w:val="auto"/>
              </w:rPr>
            </w:pPr>
            <w:r>
              <w:rPr>
                <w:rFonts w:ascii="Arial" w:cs="Arial" w:eastAsia="Arial" w:hAnsi="Arial"/>
                <w:sz w:val="11"/>
                <w:szCs w:val="11"/>
                <w:color w:val="auto"/>
              </w:rPr>
              <w:t>7/17/2020</w:t>
            </w:r>
          </w:p>
        </w:tc>
      </w:tr>
      <w:tr>
        <w:trPr>
          <w:trHeight w:val="424"/>
        </w:trPr>
        <w:tc>
          <w:tcPr>
            <w:tcW w:w="600" w:type="dxa"/>
            <w:vAlign w:val="bottom"/>
            <w:gridSpan w:val="2"/>
          </w:tcPr>
          <w:p>
            <w:pPr>
              <w:jc w:val="center"/>
              <w:ind w:right="243"/>
              <w:spacing w:after="0"/>
              <w:rPr>
                <w:sz w:val="20"/>
                <w:szCs w:val="20"/>
                <w:color w:val="auto"/>
              </w:rPr>
            </w:pPr>
            <w:r>
              <w:rPr>
                <w:rFonts w:ascii="Arial" w:cs="Arial" w:eastAsia="Arial" w:hAnsi="Arial"/>
                <w:sz w:val="11"/>
                <w:szCs w:val="11"/>
                <w:color w:val="auto"/>
              </w:rPr>
              <w:t>8-K</w:t>
            </w:r>
          </w:p>
        </w:tc>
        <w:tc>
          <w:tcPr>
            <w:tcW w:w="1180" w:type="dxa"/>
            <w:vAlign w:val="bottom"/>
          </w:tcPr>
          <w:p>
            <w:pPr>
              <w:jc w:val="center"/>
              <w:spacing w:after="0"/>
              <w:rPr>
                <w:sz w:val="20"/>
                <w:szCs w:val="20"/>
                <w:color w:val="auto"/>
              </w:rPr>
            </w:pPr>
            <w:r>
              <w:rPr>
                <w:rFonts w:ascii="Arial" w:cs="Arial" w:eastAsia="Arial" w:hAnsi="Arial"/>
                <w:sz w:val="11"/>
                <w:szCs w:val="11"/>
                <w:color w:val="auto"/>
              </w:rPr>
              <w:t>001-39390</w:t>
            </w:r>
          </w:p>
        </w:tc>
        <w:tc>
          <w:tcPr>
            <w:tcW w:w="880" w:type="dxa"/>
            <w:vAlign w:val="bottom"/>
          </w:tcPr>
          <w:p>
            <w:pPr>
              <w:jc w:val="center"/>
              <w:spacing w:after="0"/>
              <w:rPr>
                <w:sz w:val="20"/>
                <w:szCs w:val="20"/>
                <w:color w:val="auto"/>
              </w:rPr>
            </w:pPr>
            <w:r>
              <w:rPr>
                <w:rFonts w:ascii="Arial" w:cs="Arial" w:eastAsia="Arial" w:hAnsi="Arial"/>
                <w:sz w:val="11"/>
                <w:szCs w:val="11"/>
                <w:color w:val="auto"/>
              </w:rPr>
              <w:t>10.1</w:t>
            </w:r>
          </w:p>
        </w:tc>
        <w:tc>
          <w:tcPr>
            <w:tcW w:w="800" w:type="dxa"/>
            <w:vAlign w:val="bottom"/>
          </w:tcPr>
          <w:p>
            <w:pPr>
              <w:jc w:val="center"/>
              <w:ind w:left="243"/>
              <w:spacing w:after="0"/>
              <w:rPr>
                <w:sz w:val="20"/>
                <w:szCs w:val="20"/>
                <w:color w:val="auto"/>
              </w:rPr>
            </w:pPr>
            <w:r>
              <w:rPr>
                <w:rFonts w:ascii="Arial" w:cs="Arial" w:eastAsia="Arial" w:hAnsi="Arial"/>
                <w:sz w:val="11"/>
                <w:szCs w:val="11"/>
                <w:color w:val="auto"/>
              </w:rPr>
              <w:t>3/16/2022</w:t>
            </w:r>
          </w:p>
        </w:tc>
      </w:tr>
      <w:tr>
        <w:trPr>
          <w:trHeight w:val="656"/>
        </w:trPr>
        <w:tc>
          <w:tcPr>
            <w:tcW w:w="600" w:type="dxa"/>
            <w:vAlign w:val="bottom"/>
            <w:gridSpan w:val="2"/>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49"/>
        </w:trPr>
        <w:tc>
          <w:tcPr>
            <w:tcW w:w="100" w:type="dxa"/>
            <w:vAlign w:val="bottom"/>
            <w:tcBorders>
              <w:right w:val="single" w:sz="8" w:color="auto"/>
            </w:tcBorders>
          </w:tcPr>
          <w:p>
            <w:pPr>
              <w:spacing w:after="0"/>
              <w:rPr>
                <w:sz w:val="12"/>
                <w:szCs w:val="12"/>
                <w:color w:val="auto"/>
              </w:rPr>
            </w:pPr>
          </w:p>
        </w:tc>
        <w:tc>
          <w:tcPr>
            <w:tcW w:w="500" w:type="dxa"/>
            <w:vAlign w:val="bottom"/>
          </w:tcPr>
          <w:p>
            <w:pPr>
              <w:jc w:val="right"/>
              <w:ind w:right="203"/>
              <w:spacing w:after="0"/>
              <w:rPr>
                <w:sz w:val="20"/>
                <w:szCs w:val="20"/>
                <w:color w:val="auto"/>
              </w:rPr>
            </w:pPr>
            <w:r>
              <w:rPr>
                <w:rFonts w:ascii="Arial" w:cs="Arial" w:eastAsia="Arial" w:hAnsi="Arial"/>
                <w:sz w:val="11"/>
                <w:szCs w:val="11"/>
                <w:color w:val="auto"/>
              </w:rPr>
              <w:t>104</w:t>
            </w:r>
          </w:p>
        </w:tc>
        <w:tc>
          <w:tcPr>
            <w:tcW w:w="1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362"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ectPr>
          <w:pgSz w:w="11900" w:h="16838" w:orient="portrait"/>
          <w:cols w:equalWidth="0" w:num="3">
            <w:col w:w="5760" w:space="280"/>
            <w:col w:w="3620" w:space="720"/>
            <w:col w:w="60"/>
          </w:cols>
          <w:pgMar w:left="620" w:top="1116" w:right="839" w:bottom="1440" w:gutter="0" w:footer="0" w:header="0"/>
        </w:sectPr>
      </w:pPr>
    </w:p>
    <w:bookmarkStart w:id="107" w:name="page108"/>
    <w:bookmarkEnd w:id="107"/>
    <w:tbl>
      <w:tblPr>
        <w:tblLayout w:type="fixed"/>
        <w:tblInd w:w="260" w:type="dxa"/>
        <w:tblCellMar>
          <w:top w:w="0" w:type="dxa"/>
          <w:left w:w="0" w:type="dxa"/>
          <w:bottom w:w="0" w:type="dxa"/>
          <w:right w:w="0" w:type="dxa"/>
        </w:tblCellMar>
      </w:tblPr>
      <w:tr>
        <w:trPr>
          <w:trHeight w:val="126"/>
        </w:trPr>
        <w:tc>
          <w:tcPr>
            <w:tcW w:w="840" w:type="dxa"/>
            <w:vAlign w:val="bottom"/>
          </w:tcPr>
          <w:p>
            <w:pPr>
              <w:jc w:val="center"/>
              <w:ind w:right="323"/>
              <w:spacing w:after="0"/>
              <w:rPr>
                <w:sz w:val="20"/>
                <w:szCs w:val="20"/>
                <w:color w:val="auto"/>
              </w:rPr>
            </w:pPr>
            <w:r>
              <w:rPr>
                <w:rFonts w:ascii="Arial" w:cs="Arial" w:eastAsia="Arial" w:hAnsi="Arial"/>
                <w:sz w:val="11"/>
                <w:szCs w:val="11"/>
                <w:color w:val="auto"/>
              </w:rPr>
              <w:t>21.1</w:t>
            </w:r>
          </w:p>
        </w:tc>
        <w:tc>
          <w:tcPr>
            <w:tcW w:w="7220" w:type="dxa"/>
            <w:vAlign w:val="bottom"/>
            <w:gridSpan w:val="7"/>
          </w:tcPr>
          <w:p>
            <w:pPr>
              <w:spacing w:after="0"/>
              <w:rPr>
                <w:rFonts w:ascii="Arial" w:cs="Arial" w:eastAsia="Arial" w:hAnsi="Arial"/>
                <w:sz w:val="11"/>
                <w:szCs w:val="11"/>
                <w:color w:val="0000FF"/>
              </w:rPr>
            </w:pPr>
            <w:hyperlink w:anchor="page163">
              <w:r>
                <w:rPr>
                  <w:rFonts w:ascii="Arial" w:cs="Arial" w:eastAsia="Arial" w:hAnsi="Arial"/>
                  <w:sz w:val="11"/>
                  <w:szCs w:val="11"/>
                  <w:color w:val="0000FF"/>
                </w:rPr>
                <w:t>Subsidiaries of the Registrant</w:t>
              </w:r>
            </w:hyperlink>
          </w:p>
        </w:tc>
        <w:tc>
          <w:tcPr>
            <w:tcW w:w="2460" w:type="dxa"/>
            <w:vAlign w:val="bottom"/>
          </w:tcPr>
          <w:p>
            <w:pPr>
              <w:jc w:val="center"/>
              <w:ind w:left="230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40" w:type="dxa"/>
            <w:vAlign w:val="bottom"/>
          </w:tcPr>
          <w:p>
            <w:pPr>
              <w:jc w:val="center"/>
              <w:ind w:right="323"/>
              <w:spacing w:after="0"/>
              <w:rPr>
                <w:sz w:val="20"/>
                <w:szCs w:val="20"/>
                <w:color w:val="auto"/>
              </w:rPr>
            </w:pPr>
            <w:r>
              <w:rPr>
                <w:rFonts w:ascii="Arial" w:cs="Arial" w:eastAsia="Arial" w:hAnsi="Arial"/>
                <w:sz w:val="11"/>
                <w:szCs w:val="11"/>
                <w:color w:val="auto"/>
              </w:rPr>
              <w:t>23.1</w:t>
            </w:r>
          </w:p>
        </w:tc>
        <w:tc>
          <w:tcPr>
            <w:tcW w:w="7220" w:type="dxa"/>
            <w:vAlign w:val="bottom"/>
            <w:gridSpan w:val="7"/>
          </w:tcPr>
          <w:p>
            <w:pPr>
              <w:spacing w:after="0"/>
              <w:rPr>
                <w:rFonts w:ascii="Arial" w:cs="Arial" w:eastAsia="Arial" w:hAnsi="Arial"/>
                <w:sz w:val="11"/>
                <w:szCs w:val="11"/>
                <w:color w:val="0000FF"/>
              </w:rPr>
            </w:pPr>
            <w:hyperlink w:anchor="page164">
              <w:r>
                <w:rPr>
                  <w:rFonts w:ascii="Arial" w:cs="Arial" w:eastAsia="Arial" w:hAnsi="Arial"/>
                  <w:sz w:val="11"/>
                  <w:szCs w:val="11"/>
                  <w:color w:val="0000FF"/>
                </w:rPr>
                <w:t>Consent of Independent Registered Public Accounting Firm</w:t>
              </w:r>
            </w:hyperlink>
          </w:p>
        </w:tc>
        <w:tc>
          <w:tcPr>
            <w:tcW w:w="2460" w:type="dxa"/>
            <w:vAlign w:val="bottom"/>
          </w:tcPr>
          <w:p>
            <w:pPr>
              <w:jc w:val="center"/>
              <w:ind w:left="230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96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40" w:type="dxa"/>
            <w:vAlign w:val="bottom"/>
          </w:tcPr>
          <w:p>
            <w:pPr>
              <w:jc w:val="center"/>
              <w:ind w:right="323"/>
              <w:spacing w:after="0"/>
              <w:rPr>
                <w:sz w:val="20"/>
                <w:szCs w:val="20"/>
                <w:color w:val="auto"/>
              </w:rPr>
            </w:pPr>
            <w:r>
              <w:rPr>
                <w:rFonts w:ascii="Arial" w:cs="Arial" w:eastAsia="Arial" w:hAnsi="Arial"/>
                <w:sz w:val="11"/>
                <w:szCs w:val="11"/>
                <w:color w:val="auto"/>
              </w:rPr>
              <w:t>31.1</w:t>
            </w:r>
          </w:p>
        </w:tc>
        <w:tc>
          <w:tcPr>
            <w:tcW w:w="4040" w:type="dxa"/>
            <w:vAlign w:val="bottom"/>
            <w:tcBorders>
              <w:bottom w:val="single" w:sz="8" w:color="0000FF"/>
            </w:tcBorders>
            <w:gridSpan w:val="6"/>
          </w:tcPr>
          <w:p>
            <w:pPr>
              <w:spacing w:after="0"/>
              <w:rPr>
                <w:rFonts w:ascii="Arial" w:cs="Arial" w:eastAsia="Arial" w:hAnsi="Arial"/>
                <w:sz w:val="11"/>
                <w:szCs w:val="11"/>
                <w:color w:val="0000FF"/>
              </w:rPr>
            </w:pPr>
            <w:hyperlink w:anchor="page165">
              <w:r>
                <w:rPr>
                  <w:rFonts w:ascii="Arial" w:cs="Arial" w:eastAsia="Arial" w:hAnsi="Arial"/>
                  <w:sz w:val="11"/>
                  <w:szCs w:val="11"/>
                  <w:color w:val="0000FF"/>
                </w:rPr>
                <w:t>Certification of Chief Executive Officer pursuant to Exchange Act Rule 13a-14(a).</w:t>
              </w:r>
            </w:hyperlink>
          </w:p>
        </w:tc>
        <w:tc>
          <w:tcPr>
            <w:tcW w:w="3180" w:type="dxa"/>
            <w:vAlign w:val="bottom"/>
          </w:tcPr>
          <w:p>
            <w:pPr>
              <w:spacing w:after="0"/>
              <w:rPr>
                <w:sz w:val="13"/>
                <w:szCs w:val="13"/>
                <w:color w:val="auto"/>
              </w:rPr>
            </w:pPr>
          </w:p>
        </w:tc>
        <w:tc>
          <w:tcPr>
            <w:tcW w:w="2460" w:type="dxa"/>
            <w:vAlign w:val="bottom"/>
          </w:tcPr>
          <w:p>
            <w:pPr>
              <w:jc w:val="center"/>
              <w:ind w:left="230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0"/>
        </w:trPr>
        <w:tc>
          <w:tcPr>
            <w:tcW w:w="840" w:type="dxa"/>
            <w:vAlign w:val="bottom"/>
          </w:tcPr>
          <w:p>
            <w:pPr>
              <w:jc w:val="center"/>
              <w:ind w:right="323"/>
              <w:spacing w:after="0"/>
              <w:rPr>
                <w:sz w:val="20"/>
                <w:szCs w:val="20"/>
                <w:color w:val="auto"/>
              </w:rPr>
            </w:pPr>
            <w:r>
              <w:rPr>
                <w:rFonts w:ascii="Arial" w:cs="Arial" w:eastAsia="Arial" w:hAnsi="Arial"/>
                <w:sz w:val="11"/>
                <w:szCs w:val="11"/>
                <w:color w:val="auto"/>
              </w:rPr>
              <w:t>31.2</w:t>
            </w:r>
          </w:p>
        </w:tc>
        <w:tc>
          <w:tcPr>
            <w:tcW w:w="4000" w:type="dxa"/>
            <w:vAlign w:val="bottom"/>
            <w:tcBorders>
              <w:bottom w:val="single" w:sz="8" w:color="0000FF"/>
            </w:tcBorders>
            <w:gridSpan w:val="5"/>
          </w:tcPr>
          <w:p>
            <w:pPr>
              <w:spacing w:after="0"/>
              <w:rPr>
                <w:rFonts w:ascii="Arial" w:cs="Arial" w:eastAsia="Arial" w:hAnsi="Arial"/>
                <w:sz w:val="11"/>
                <w:szCs w:val="11"/>
                <w:color w:val="0000FF"/>
              </w:rPr>
            </w:pPr>
            <w:hyperlink w:anchor="page166">
              <w:r>
                <w:rPr>
                  <w:rFonts w:ascii="Arial" w:cs="Arial" w:eastAsia="Arial" w:hAnsi="Arial"/>
                  <w:sz w:val="11"/>
                  <w:szCs w:val="11"/>
                  <w:color w:val="0000FF"/>
                </w:rPr>
                <w:t>Certification of Chief Financial Officer pursuant to Exchange Act Rule 13a-14(a).</w:t>
              </w:r>
            </w:hyperlink>
          </w:p>
        </w:tc>
        <w:tc>
          <w:tcPr>
            <w:tcW w:w="3220" w:type="dxa"/>
            <w:vAlign w:val="bottom"/>
            <w:gridSpan w:val="2"/>
          </w:tcPr>
          <w:p>
            <w:pPr>
              <w:spacing w:after="0"/>
              <w:rPr>
                <w:sz w:val="13"/>
                <w:szCs w:val="13"/>
                <w:color w:val="auto"/>
              </w:rPr>
            </w:pPr>
          </w:p>
        </w:tc>
        <w:tc>
          <w:tcPr>
            <w:tcW w:w="2460" w:type="dxa"/>
            <w:vAlign w:val="bottom"/>
          </w:tcPr>
          <w:p>
            <w:pPr>
              <w:jc w:val="center"/>
              <w:ind w:left="230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0"/>
        </w:trPr>
        <w:tc>
          <w:tcPr>
            <w:tcW w:w="840" w:type="dxa"/>
            <w:vAlign w:val="bottom"/>
          </w:tcPr>
          <w:p>
            <w:pPr>
              <w:jc w:val="center"/>
              <w:ind w:right="323"/>
              <w:spacing w:after="0"/>
              <w:rPr>
                <w:sz w:val="20"/>
                <w:szCs w:val="20"/>
                <w:color w:val="auto"/>
              </w:rPr>
            </w:pPr>
            <w:r>
              <w:rPr>
                <w:rFonts w:ascii="Arial" w:cs="Arial" w:eastAsia="Arial" w:hAnsi="Arial"/>
                <w:sz w:val="11"/>
                <w:szCs w:val="11"/>
                <w:color w:val="auto"/>
              </w:rPr>
              <w:t>32.1</w:t>
            </w:r>
          </w:p>
        </w:tc>
        <w:tc>
          <w:tcPr>
            <w:tcW w:w="7220" w:type="dxa"/>
            <w:vAlign w:val="bottom"/>
            <w:gridSpan w:val="7"/>
          </w:tcPr>
          <w:p>
            <w:pPr>
              <w:spacing w:after="0"/>
              <w:rPr>
                <w:rFonts w:ascii="Arial" w:cs="Arial" w:eastAsia="Arial" w:hAnsi="Arial"/>
                <w:sz w:val="11"/>
                <w:szCs w:val="11"/>
                <w:color w:val="0000FF"/>
              </w:rPr>
            </w:pPr>
            <w:hyperlink w:anchor="page167">
              <w:r>
                <w:rPr>
                  <w:rFonts w:ascii="Arial" w:cs="Arial" w:eastAsia="Arial" w:hAnsi="Arial"/>
                  <w:sz w:val="11"/>
                  <w:szCs w:val="11"/>
                  <w:color w:val="0000FF"/>
                </w:rPr>
                <w:t>Certification of Principal Executive Officer pursuant to 18 U.S.C. Section 1350.</w:t>
              </w:r>
            </w:hyperlink>
          </w:p>
        </w:tc>
        <w:tc>
          <w:tcPr>
            <w:tcW w:w="2460" w:type="dxa"/>
            <w:vAlign w:val="bottom"/>
          </w:tcPr>
          <w:p>
            <w:pPr>
              <w:jc w:val="center"/>
              <w:ind w:left="230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0"/>
        </w:trPr>
        <w:tc>
          <w:tcPr>
            <w:tcW w:w="840" w:type="dxa"/>
            <w:vAlign w:val="bottom"/>
          </w:tcPr>
          <w:p>
            <w:pPr>
              <w:jc w:val="center"/>
              <w:ind w:right="323"/>
              <w:spacing w:after="0"/>
              <w:rPr>
                <w:sz w:val="20"/>
                <w:szCs w:val="20"/>
                <w:color w:val="auto"/>
              </w:rPr>
            </w:pPr>
            <w:r>
              <w:rPr>
                <w:rFonts w:ascii="Arial" w:cs="Arial" w:eastAsia="Arial" w:hAnsi="Arial"/>
                <w:sz w:val="11"/>
                <w:szCs w:val="11"/>
                <w:color w:val="auto"/>
              </w:rPr>
              <w:t>32.2</w:t>
            </w:r>
          </w:p>
        </w:tc>
        <w:tc>
          <w:tcPr>
            <w:tcW w:w="3700" w:type="dxa"/>
            <w:vAlign w:val="bottom"/>
            <w:tcBorders>
              <w:top w:val="single" w:sz="8" w:color="0000FF"/>
              <w:bottom w:val="single" w:sz="8" w:color="0000FF"/>
            </w:tcBorders>
            <w:gridSpan w:val="3"/>
          </w:tcPr>
          <w:p>
            <w:pPr>
              <w:spacing w:after="0"/>
              <w:rPr>
                <w:rFonts w:ascii="Arial" w:cs="Arial" w:eastAsia="Arial" w:hAnsi="Arial"/>
                <w:sz w:val="11"/>
                <w:szCs w:val="11"/>
                <w:color w:val="0000FF"/>
              </w:rPr>
            </w:pPr>
            <w:hyperlink w:anchor="page168">
              <w:r>
                <w:rPr>
                  <w:rFonts w:ascii="Arial" w:cs="Arial" w:eastAsia="Arial" w:hAnsi="Arial"/>
                  <w:sz w:val="11"/>
                  <w:szCs w:val="11"/>
                  <w:color w:val="0000FF"/>
                </w:rPr>
                <w:t>Certification of Chief Financial Officer pursuant to 18 U.S.C. Section 1350.</w:t>
              </w:r>
            </w:hyperlink>
          </w:p>
        </w:tc>
        <w:tc>
          <w:tcPr>
            <w:tcW w:w="200" w:type="dxa"/>
            <w:vAlign w:val="bottom"/>
            <w:tcBorders>
              <w:top w:val="single" w:sz="8" w:color="0000FF"/>
            </w:tcBorders>
          </w:tcPr>
          <w:p>
            <w:pPr>
              <w:spacing w:after="0"/>
              <w:rPr>
                <w:sz w:val="13"/>
                <w:szCs w:val="13"/>
                <w:color w:val="auto"/>
              </w:rPr>
            </w:pPr>
          </w:p>
        </w:tc>
        <w:tc>
          <w:tcPr>
            <w:tcW w:w="3320" w:type="dxa"/>
            <w:vAlign w:val="bottom"/>
            <w:gridSpan w:val="3"/>
          </w:tcPr>
          <w:p>
            <w:pPr>
              <w:spacing w:after="0"/>
              <w:rPr>
                <w:sz w:val="13"/>
                <w:szCs w:val="13"/>
                <w:color w:val="auto"/>
              </w:rPr>
            </w:pPr>
          </w:p>
        </w:tc>
        <w:tc>
          <w:tcPr>
            <w:tcW w:w="2460" w:type="dxa"/>
            <w:vAlign w:val="bottom"/>
          </w:tcPr>
          <w:p>
            <w:pPr>
              <w:jc w:val="center"/>
              <w:ind w:left="230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4"/>
        </w:trPr>
        <w:tc>
          <w:tcPr>
            <w:tcW w:w="840" w:type="dxa"/>
            <w:vAlign w:val="bottom"/>
          </w:tcPr>
          <w:p>
            <w:pPr>
              <w:jc w:val="center"/>
              <w:ind w:right="323"/>
              <w:spacing w:after="0"/>
              <w:rPr>
                <w:sz w:val="20"/>
                <w:szCs w:val="20"/>
                <w:color w:val="auto"/>
              </w:rPr>
            </w:pPr>
            <w:r>
              <w:rPr>
                <w:rFonts w:ascii="Arial" w:cs="Arial" w:eastAsia="Arial" w:hAnsi="Arial"/>
                <w:sz w:val="11"/>
                <w:szCs w:val="11"/>
                <w:color w:val="auto"/>
              </w:rPr>
              <w:t>101.INS</w:t>
            </w:r>
          </w:p>
        </w:tc>
        <w:tc>
          <w:tcPr>
            <w:tcW w:w="7220" w:type="dxa"/>
            <w:vAlign w:val="bottom"/>
            <w:gridSpan w:val="7"/>
          </w:tcPr>
          <w:p>
            <w:pPr>
              <w:spacing w:after="0"/>
              <w:rPr>
                <w:sz w:val="20"/>
                <w:szCs w:val="20"/>
                <w:color w:val="auto"/>
              </w:rPr>
            </w:pPr>
            <w:r>
              <w:rPr>
                <w:rFonts w:ascii="Arial" w:cs="Arial" w:eastAsia="Arial" w:hAnsi="Arial"/>
                <w:sz w:val="11"/>
                <w:szCs w:val="11"/>
                <w:color w:val="auto"/>
              </w:rPr>
              <w:t>Inline XBRL Instance Document – the instance document does not appear in the Interactive Data</w:t>
            </w:r>
          </w:p>
        </w:tc>
        <w:tc>
          <w:tcPr>
            <w:tcW w:w="2460" w:type="dxa"/>
            <w:vAlign w:val="bottom"/>
            <w:vMerge w:val="restart"/>
          </w:tcPr>
          <w:p>
            <w:pPr>
              <w:jc w:val="center"/>
              <w:ind w:left="230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73"/>
        </w:trPr>
        <w:tc>
          <w:tcPr>
            <w:tcW w:w="840" w:type="dxa"/>
            <w:vAlign w:val="bottom"/>
          </w:tcPr>
          <w:p>
            <w:pPr>
              <w:spacing w:after="0"/>
              <w:rPr>
                <w:sz w:val="6"/>
                <w:szCs w:val="6"/>
                <w:color w:val="auto"/>
              </w:rPr>
            </w:pPr>
          </w:p>
        </w:tc>
        <w:tc>
          <w:tcPr>
            <w:tcW w:w="7220" w:type="dxa"/>
            <w:vAlign w:val="bottom"/>
            <w:gridSpan w:val="7"/>
            <w:vMerge w:val="restart"/>
          </w:tcPr>
          <w:p>
            <w:pPr>
              <w:spacing w:after="0"/>
              <w:rPr>
                <w:sz w:val="20"/>
                <w:szCs w:val="20"/>
                <w:color w:val="auto"/>
              </w:rPr>
            </w:pPr>
            <w:r>
              <w:rPr>
                <w:rFonts w:ascii="Arial" w:cs="Arial" w:eastAsia="Arial" w:hAnsi="Arial"/>
                <w:sz w:val="11"/>
                <w:szCs w:val="11"/>
                <w:color w:val="auto"/>
              </w:rPr>
              <w:t>File because its XBRL tags are embedded within the Inline XBRL document.</w:t>
            </w:r>
          </w:p>
        </w:tc>
        <w:tc>
          <w:tcPr>
            <w:tcW w:w="2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840" w:type="dxa"/>
            <w:vAlign w:val="bottom"/>
          </w:tcPr>
          <w:p>
            <w:pPr>
              <w:spacing w:after="0"/>
              <w:rPr>
                <w:sz w:val="5"/>
                <w:szCs w:val="5"/>
                <w:color w:val="auto"/>
              </w:rPr>
            </w:pPr>
          </w:p>
        </w:tc>
        <w:tc>
          <w:tcPr>
            <w:tcW w:w="7220" w:type="dxa"/>
            <w:vAlign w:val="bottom"/>
            <w:gridSpan w:val="7"/>
            <w:vMerge w:val="continue"/>
          </w:tcPr>
          <w:p>
            <w:pPr>
              <w:spacing w:after="0"/>
              <w:rPr>
                <w:sz w:val="5"/>
                <w:szCs w:val="5"/>
                <w:color w:val="auto"/>
              </w:rPr>
            </w:pPr>
          </w:p>
        </w:tc>
        <w:tc>
          <w:tcPr>
            <w:tcW w:w="2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840" w:type="dxa"/>
            <w:vAlign w:val="bottom"/>
          </w:tcPr>
          <w:p>
            <w:pPr>
              <w:jc w:val="center"/>
              <w:ind w:right="323"/>
              <w:spacing w:after="0"/>
              <w:rPr>
                <w:sz w:val="20"/>
                <w:szCs w:val="20"/>
                <w:color w:val="auto"/>
              </w:rPr>
            </w:pPr>
            <w:r>
              <w:rPr>
                <w:rFonts w:ascii="Arial" w:cs="Arial" w:eastAsia="Arial" w:hAnsi="Arial"/>
                <w:sz w:val="11"/>
                <w:szCs w:val="11"/>
                <w:color w:val="auto"/>
              </w:rPr>
              <w:t>101.SCH</w:t>
            </w:r>
          </w:p>
        </w:tc>
        <w:tc>
          <w:tcPr>
            <w:tcW w:w="7220" w:type="dxa"/>
            <w:vAlign w:val="bottom"/>
            <w:gridSpan w:val="7"/>
          </w:tcPr>
          <w:p>
            <w:pPr>
              <w:spacing w:after="0"/>
              <w:rPr>
                <w:sz w:val="20"/>
                <w:szCs w:val="20"/>
                <w:color w:val="auto"/>
              </w:rPr>
            </w:pPr>
            <w:r>
              <w:rPr>
                <w:rFonts w:ascii="Arial" w:cs="Arial" w:eastAsia="Arial" w:hAnsi="Arial"/>
                <w:sz w:val="11"/>
                <w:szCs w:val="11"/>
                <w:color w:val="auto"/>
              </w:rPr>
              <w:t>Inline XBRL Taxonomy Extension Schema Document</w:t>
            </w:r>
          </w:p>
        </w:tc>
        <w:tc>
          <w:tcPr>
            <w:tcW w:w="2460" w:type="dxa"/>
            <w:vAlign w:val="bottom"/>
          </w:tcPr>
          <w:p>
            <w:pPr>
              <w:jc w:val="center"/>
              <w:ind w:left="230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0"/>
        </w:trPr>
        <w:tc>
          <w:tcPr>
            <w:tcW w:w="840" w:type="dxa"/>
            <w:vAlign w:val="bottom"/>
          </w:tcPr>
          <w:p>
            <w:pPr>
              <w:jc w:val="center"/>
              <w:ind w:right="303"/>
              <w:spacing w:after="0"/>
              <w:rPr>
                <w:sz w:val="20"/>
                <w:szCs w:val="20"/>
                <w:color w:val="auto"/>
              </w:rPr>
            </w:pPr>
            <w:r>
              <w:rPr>
                <w:rFonts w:ascii="Arial" w:cs="Arial" w:eastAsia="Arial" w:hAnsi="Arial"/>
                <w:sz w:val="11"/>
                <w:szCs w:val="11"/>
                <w:color w:val="auto"/>
              </w:rPr>
              <w:t>101.CAL</w:t>
            </w:r>
          </w:p>
        </w:tc>
        <w:tc>
          <w:tcPr>
            <w:tcW w:w="7220" w:type="dxa"/>
            <w:vAlign w:val="bottom"/>
            <w:gridSpan w:val="7"/>
          </w:tcPr>
          <w:p>
            <w:pPr>
              <w:spacing w:after="0"/>
              <w:rPr>
                <w:sz w:val="20"/>
                <w:szCs w:val="20"/>
                <w:color w:val="auto"/>
              </w:rPr>
            </w:pPr>
            <w:r>
              <w:rPr>
                <w:rFonts w:ascii="Arial" w:cs="Arial" w:eastAsia="Arial" w:hAnsi="Arial"/>
                <w:sz w:val="11"/>
                <w:szCs w:val="11"/>
                <w:color w:val="auto"/>
              </w:rPr>
              <w:t>Inline XBRL Taxonomy Extension Calculation Linkbase Document</w:t>
            </w:r>
          </w:p>
        </w:tc>
        <w:tc>
          <w:tcPr>
            <w:tcW w:w="2460" w:type="dxa"/>
            <w:vAlign w:val="bottom"/>
          </w:tcPr>
          <w:p>
            <w:pPr>
              <w:jc w:val="center"/>
              <w:ind w:left="230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0"/>
        </w:trPr>
        <w:tc>
          <w:tcPr>
            <w:tcW w:w="840" w:type="dxa"/>
            <w:vAlign w:val="bottom"/>
          </w:tcPr>
          <w:p>
            <w:pPr>
              <w:jc w:val="center"/>
              <w:ind w:right="323"/>
              <w:spacing w:after="0"/>
              <w:rPr>
                <w:sz w:val="20"/>
                <w:szCs w:val="20"/>
                <w:color w:val="auto"/>
              </w:rPr>
            </w:pPr>
            <w:r>
              <w:rPr>
                <w:rFonts w:ascii="Arial" w:cs="Arial" w:eastAsia="Arial" w:hAnsi="Arial"/>
                <w:sz w:val="11"/>
                <w:szCs w:val="11"/>
                <w:color w:val="auto"/>
              </w:rPr>
              <w:t>101.DEF</w:t>
            </w:r>
          </w:p>
        </w:tc>
        <w:tc>
          <w:tcPr>
            <w:tcW w:w="7220" w:type="dxa"/>
            <w:vAlign w:val="bottom"/>
            <w:gridSpan w:val="7"/>
          </w:tcPr>
          <w:p>
            <w:pPr>
              <w:spacing w:after="0"/>
              <w:rPr>
                <w:sz w:val="20"/>
                <w:szCs w:val="20"/>
                <w:color w:val="auto"/>
              </w:rPr>
            </w:pPr>
            <w:r>
              <w:rPr>
                <w:rFonts w:ascii="Arial" w:cs="Arial" w:eastAsia="Arial" w:hAnsi="Arial"/>
                <w:sz w:val="11"/>
                <w:szCs w:val="11"/>
                <w:color w:val="auto"/>
              </w:rPr>
              <w:t>Inline XBRL Taxonomy Extension Definition Linkbase Document</w:t>
            </w:r>
          </w:p>
        </w:tc>
        <w:tc>
          <w:tcPr>
            <w:tcW w:w="2460" w:type="dxa"/>
            <w:vAlign w:val="bottom"/>
          </w:tcPr>
          <w:p>
            <w:pPr>
              <w:jc w:val="center"/>
              <w:ind w:left="230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0"/>
        </w:trPr>
        <w:tc>
          <w:tcPr>
            <w:tcW w:w="840" w:type="dxa"/>
            <w:vAlign w:val="bottom"/>
          </w:tcPr>
          <w:p>
            <w:pPr>
              <w:jc w:val="center"/>
              <w:ind w:right="323"/>
              <w:spacing w:after="0"/>
              <w:rPr>
                <w:sz w:val="20"/>
                <w:szCs w:val="20"/>
                <w:color w:val="auto"/>
              </w:rPr>
            </w:pPr>
            <w:r>
              <w:rPr>
                <w:rFonts w:ascii="Arial" w:cs="Arial" w:eastAsia="Arial" w:hAnsi="Arial"/>
                <w:sz w:val="11"/>
                <w:szCs w:val="11"/>
                <w:color w:val="auto"/>
                <w:w w:val="99"/>
              </w:rPr>
              <w:t>101.LAB</w:t>
            </w:r>
          </w:p>
        </w:tc>
        <w:tc>
          <w:tcPr>
            <w:tcW w:w="7220" w:type="dxa"/>
            <w:vAlign w:val="bottom"/>
            <w:gridSpan w:val="7"/>
          </w:tcPr>
          <w:p>
            <w:pPr>
              <w:spacing w:after="0"/>
              <w:rPr>
                <w:sz w:val="20"/>
                <w:szCs w:val="20"/>
                <w:color w:val="auto"/>
              </w:rPr>
            </w:pPr>
            <w:r>
              <w:rPr>
                <w:rFonts w:ascii="Arial" w:cs="Arial" w:eastAsia="Arial" w:hAnsi="Arial"/>
                <w:sz w:val="11"/>
                <w:szCs w:val="11"/>
                <w:color w:val="auto"/>
              </w:rPr>
              <w:t>Inline XBRL Taxonomy Extension Label Linkbase Document</w:t>
            </w:r>
          </w:p>
        </w:tc>
        <w:tc>
          <w:tcPr>
            <w:tcW w:w="2460" w:type="dxa"/>
            <w:vAlign w:val="bottom"/>
          </w:tcPr>
          <w:p>
            <w:pPr>
              <w:jc w:val="center"/>
              <w:ind w:left="230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0"/>
        </w:trPr>
        <w:tc>
          <w:tcPr>
            <w:tcW w:w="840" w:type="dxa"/>
            <w:vAlign w:val="bottom"/>
          </w:tcPr>
          <w:p>
            <w:pPr>
              <w:jc w:val="center"/>
              <w:ind w:right="323"/>
              <w:spacing w:after="0"/>
              <w:rPr>
                <w:sz w:val="20"/>
                <w:szCs w:val="20"/>
                <w:color w:val="auto"/>
              </w:rPr>
            </w:pPr>
            <w:r>
              <w:rPr>
                <w:rFonts w:ascii="Arial" w:cs="Arial" w:eastAsia="Arial" w:hAnsi="Arial"/>
                <w:sz w:val="11"/>
                <w:szCs w:val="11"/>
                <w:color w:val="auto"/>
              </w:rPr>
              <w:t>101.PRE</w:t>
            </w:r>
          </w:p>
        </w:tc>
        <w:tc>
          <w:tcPr>
            <w:tcW w:w="7220" w:type="dxa"/>
            <w:vAlign w:val="bottom"/>
            <w:gridSpan w:val="7"/>
          </w:tcPr>
          <w:p>
            <w:pPr>
              <w:spacing w:after="0"/>
              <w:rPr>
                <w:sz w:val="20"/>
                <w:szCs w:val="20"/>
                <w:color w:val="auto"/>
              </w:rPr>
            </w:pPr>
            <w:r>
              <w:rPr>
                <w:rFonts w:ascii="Arial" w:cs="Arial" w:eastAsia="Arial" w:hAnsi="Arial"/>
                <w:sz w:val="11"/>
                <w:szCs w:val="11"/>
                <w:color w:val="auto"/>
              </w:rPr>
              <w:t>Inline XBRL Taxonomy Extension Presentation Linkbase Document</w:t>
            </w:r>
          </w:p>
        </w:tc>
        <w:tc>
          <w:tcPr>
            <w:tcW w:w="2460" w:type="dxa"/>
            <w:vAlign w:val="bottom"/>
          </w:tcPr>
          <w:p>
            <w:pPr>
              <w:jc w:val="center"/>
              <w:ind w:left="230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0"/>
        </w:trPr>
        <w:tc>
          <w:tcPr>
            <w:tcW w:w="840" w:type="dxa"/>
            <w:vAlign w:val="bottom"/>
          </w:tcPr>
          <w:p>
            <w:pPr>
              <w:jc w:val="center"/>
              <w:ind w:right="323"/>
              <w:spacing w:after="0"/>
              <w:rPr>
                <w:sz w:val="20"/>
                <w:szCs w:val="20"/>
                <w:color w:val="auto"/>
              </w:rPr>
            </w:pPr>
            <w:r>
              <w:rPr>
                <w:rFonts w:ascii="Arial" w:cs="Arial" w:eastAsia="Arial" w:hAnsi="Arial"/>
                <w:sz w:val="11"/>
                <w:szCs w:val="11"/>
                <w:color w:val="auto"/>
                <w:w w:val="97"/>
              </w:rPr>
              <w:t>104</w:t>
            </w:r>
          </w:p>
        </w:tc>
        <w:tc>
          <w:tcPr>
            <w:tcW w:w="7220" w:type="dxa"/>
            <w:vAlign w:val="bottom"/>
            <w:gridSpan w:val="7"/>
          </w:tcPr>
          <w:p>
            <w:pPr>
              <w:spacing w:after="0"/>
              <w:rPr>
                <w:sz w:val="20"/>
                <w:szCs w:val="20"/>
                <w:color w:val="auto"/>
              </w:rPr>
            </w:pPr>
            <w:r>
              <w:rPr>
                <w:rFonts w:ascii="Arial" w:cs="Arial" w:eastAsia="Arial" w:hAnsi="Arial"/>
                <w:sz w:val="11"/>
                <w:szCs w:val="11"/>
                <w:color w:val="auto"/>
              </w:rPr>
              <w:t>Cover Page Interactive Data File (formatted as Inline XBRL and contained in Exhibit 101)</w:t>
            </w:r>
          </w:p>
        </w:tc>
        <w:tc>
          <w:tcPr>
            <w:tcW w:w="2460" w:type="dxa"/>
            <w:vAlign w:val="bottom"/>
          </w:tcPr>
          <w:p>
            <w:pPr>
              <w:jc w:val="center"/>
              <w:ind w:left="230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180" w:hanging="175"/>
        <w:spacing w:after="0"/>
        <w:tabs>
          <w:tab w:leader="none" w:pos="180" w:val="left"/>
        </w:tabs>
        <w:numPr>
          <w:ilvl w:val="0"/>
          <w:numId w:val="51"/>
        </w:numPr>
        <w:rPr>
          <w:rFonts w:ascii="Arial" w:cs="Arial" w:eastAsia="Arial" w:hAnsi="Arial"/>
          <w:sz w:val="11"/>
          <w:szCs w:val="11"/>
          <w:color w:val="auto"/>
        </w:rPr>
      </w:pPr>
      <w:r>
        <w:rPr>
          <w:rFonts w:ascii="Arial" w:cs="Arial" w:eastAsia="Arial" w:hAnsi="Arial"/>
          <w:sz w:val="11"/>
          <w:szCs w:val="11"/>
          <w:color w:val="auto"/>
        </w:rPr>
        <w:t>Filed herewith.</w:t>
      </w:r>
    </w:p>
    <w:p>
      <w:pPr>
        <w:spacing w:after="0" w:line="1" w:lineRule="exact"/>
        <w:rPr>
          <w:sz w:val="20"/>
          <w:szCs w:val="20"/>
          <w:color w:val="auto"/>
        </w:rPr>
      </w:pPr>
    </w:p>
    <w:p>
      <w:pPr>
        <w:ind w:left="220" w:hanging="215"/>
        <w:spacing w:after="0"/>
        <w:tabs>
          <w:tab w:leader="none" w:pos="220" w:val="left"/>
        </w:tabs>
        <w:numPr>
          <w:ilvl w:val="0"/>
          <w:numId w:val="52"/>
        </w:numPr>
        <w:rPr>
          <w:rFonts w:ascii="Arial" w:cs="Arial" w:eastAsia="Arial" w:hAnsi="Arial"/>
          <w:sz w:val="11"/>
          <w:szCs w:val="11"/>
          <w:color w:val="auto"/>
        </w:rPr>
      </w:pPr>
      <w:r>
        <w:rPr>
          <w:rFonts w:ascii="Arial" w:cs="Arial" w:eastAsia="Arial" w:hAnsi="Arial"/>
          <w:sz w:val="11"/>
          <w:szCs w:val="11"/>
          <w:color w:val="auto"/>
        </w:rPr>
        <w:t>Furnished herewith.</w:t>
      </w:r>
    </w:p>
    <w:p>
      <w:pPr>
        <w:spacing w:after="0" w:line="1" w:lineRule="exact"/>
        <w:rPr>
          <w:sz w:val="20"/>
          <w:szCs w:val="20"/>
          <w:color w:val="auto"/>
        </w:rPr>
      </w:pPr>
    </w:p>
    <w:p>
      <w:pPr>
        <w:ind w:left="200" w:hanging="195"/>
        <w:spacing w:after="0"/>
        <w:tabs>
          <w:tab w:leader="none" w:pos="200" w:val="left"/>
        </w:tabs>
        <w:numPr>
          <w:ilvl w:val="0"/>
          <w:numId w:val="53"/>
        </w:numPr>
        <w:rPr>
          <w:rFonts w:ascii="Arial" w:cs="Arial" w:eastAsia="Arial" w:hAnsi="Arial"/>
          <w:sz w:val="11"/>
          <w:szCs w:val="11"/>
          <w:color w:val="auto"/>
        </w:rPr>
      </w:pPr>
      <w:r>
        <w:rPr>
          <w:rFonts w:ascii="Arial" w:cs="Arial" w:eastAsia="Arial" w:hAnsi="Arial"/>
          <w:sz w:val="11"/>
          <w:szCs w:val="11"/>
          <w:color w:val="auto"/>
        </w:rPr>
        <w:t>Indicates management contract or compensatory plan.</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0A2299"/>
        </w:rPr>
        <w:t>ITEM 16. FORM 10-K SUMMARY</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Borders>
              <w:right w:val="single" w:sz="8" w:color="auto"/>
            </w:tcBorders>
          </w:tcPr>
          <w:p>
            <w:pPr>
              <w:ind w:left="3760"/>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4820" w:type="dxa"/>
            <w:vAlign w:val="bottom"/>
          </w:tcPr>
          <w:p>
            <w:pPr>
              <w:jc w:val="right"/>
              <w:ind w:right="4523"/>
              <w:spacing w:after="0"/>
              <w:rPr>
                <w:sz w:val="20"/>
                <w:szCs w:val="20"/>
                <w:color w:val="auto"/>
              </w:rPr>
            </w:pPr>
            <w:r>
              <w:rPr>
                <w:rFonts w:ascii="Arial" w:cs="Arial" w:eastAsia="Arial" w:hAnsi="Arial"/>
                <w:sz w:val="11"/>
                <w:szCs w:val="11"/>
                <w:color w:val="auto"/>
              </w:rPr>
              <w:t>105</w:t>
            </w:r>
          </w:p>
        </w:tc>
      </w:tr>
      <w:tr>
        <w:trPr>
          <w:trHeight w:val="160"/>
        </w:trPr>
        <w:tc>
          <w:tcPr>
            <w:tcW w:w="48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48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16" w:right="319" w:bottom="1440" w:gutter="0" w:footer="0" w:header="0"/>
        </w:sectPr>
      </w:pPr>
    </w:p>
    <w:bookmarkStart w:id="108" w:name="page109"/>
    <w:bookmarkEnd w:id="108"/>
    <w:p>
      <w:pPr>
        <w:spacing w:after="0"/>
        <w:rPr>
          <w:sz w:val="20"/>
          <w:szCs w:val="20"/>
          <w:color w:val="auto"/>
        </w:rPr>
      </w:pPr>
      <w:r>
        <w:rPr>
          <w:rFonts w:ascii="Arial" w:cs="Arial" w:eastAsia="Arial" w:hAnsi="Arial"/>
          <w:sz w:val="13"/>
          <w:szCs w:val="13"/>
          <w:b w:val="1"/>
          <w:bCs w:val="1"/>
          <w:color w:val="0A2299"/>
        </w:rPr>
        <w:t>SIGNATURES</w:t>
      </w:r>
    </w:p>
    <w:p>
      <w:pPr>
        <w:spacing w:after="0" w:line="185"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400"/>
        <w:spacing w:after="0"/>
        <w:rPr>
          <w:sz w:val="20"/>
          <w:szCs w:val="20"/>
          <w:color w:val="auto"/>
        </w:rPr>
      </w:pPr>
      <w:r>
        <w:rPr>
          <w:rFonts w:ascii="Arial" w:cs="Arial" w:eastAsia="Arial" w:hAnsi="Arial"/>
          <w:sz w:val="13"/>
          <w:szCs w:val="13"/>
          <w:b w:val="1"/>
          <w:bCs w:val="1"/>
          <w:color w:val="auto"/>
        </w:rPr>
        <w:t>GoHealth, Inc.</w:t>
      </w:r>
    </w:p>
    <w:p>
      <w:pPr>
        <w:spacing w:after="0" w:line="15" w:lineRule="exact"/>
        <w:rPr>
          <w:sz w:val="20"/>
          <w:szCs w:val="20"/>
          <w:color w:val="auto"/>
        </w:rPr>
      </w:pPr>
    </w:p>
    <w:p>
      <w:pPr>
        <w:ind w:left="5400"/>
        <w:spacing w:after="0"/>
        <w:rPr>
          <w:sz w:val="20"/>
          <w:szCs w:val="20"/>
          <w:color w:val="auto"/>
        </w:rPr>
      </w:pPr>
      <w:r>
        <w:rPr>
          <w:rFonts w:ascii="Arial" w:cs="Arial" w:eastAsia="Arial" w:hAnsi="Arial"/>
          <w:sz w:val="13"/>
          <w:szCs w:val="13"/>
          <w:b w:val="1"/>
          <w:bCs w:val="1"/>
          <w:color w:val="auto"/>
        </w:rPr>
        <w:t>(Registrant)</w:t>
      </w:r>
    </w:p>
    <w:p>
      <w:pPr>
        <w:spacing w:after="0" w:line="126" w:lineRule="exact"/>
        <w:rPr>
          <w:sz w:val="20"/>
          <w:szCs w:val="20"/>
          <w:color w:val="auto"/>
        </w:rPr>
      </w:pPr>
    </w:p>
    <w:p>
      <w:pPr>
        <w:ind w:left="340"/>
        <w:spacing w:after="0"/>
        <w:tabs>
          <w:tab w:leader="none" w:pos="5800" w:val="left"/>
        </w:tabs>
        <w:rPr>
          <w:sz w:val="20"/>
          <w:szCs w:val="20"/>
          <w:color w:val="auto"/>
        </w:rPr>
      </w:pPr>
      <w:r>
        <w:rPr>
          <w:rFonts w:ascii="Arial" w:cs="Arial" w:eastAsia="Arial" w:hAnsi="Arial"/>
          <w:sz w:val="13"/>
          <w:szCs w:val="13"/>
          <w:color w:val="auto"/>
        </w:rPr>
        <w:t>Date: March 16, 2022</w:t>
      </w:r>
      <w:r>
        <w:rPr>
          <w:sz w:val="20"/>
          <w:szCs w:val="20"/>
          <w:color w:val="auto"/>
        </w:rPr>
        <w:tab/>
      </w:r>
      <w:r>
        <w:rPr>
          <w:rFonts w:ascii="Arial" w:cs="Arial" w:eastAsia="Arial" w:hAnsi="Arial"/>
          <w:sz w:val="12"/>
          <w:szCs w:val="12"/>
          <w:color w:val="auto"/>
        </w:rPr>
        <w:t>By: /s/ Clinton P.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3823335</wp:posOffset>
            </wp:positionH>
            <wp:positionV relativeFrom="paragraph">
              <wp:posOffset>12065</wp:posOffset>
            </wp:positionV>
            <wp:extent cx="3341370"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9">
                      <a:extLst>
                        <a:ext uri="{28A0092B-C50C-407E-A947-70E740481C1C}"/>
                      </a:extLst>
                    </a:blip>
                    <a:srcRect/>
                    <a:stretch>
                      <a:fillRect/>
                    </a:stretch>
                  </pic:blipFill>
                  <pic:spPr bwMode="auto">
                    <a:xfrm>
                      <a:off x="0" y="0"/>
                      <a:ext cx="3341370" cy="6985"/>
                    </a:xfrm>
                    <a:prstGeom prst="rect">
                      <a:avLst/>
                    </a:prstGeom>
                    <a:noFill/>
                  </pic:spPr>
                </pic:pic>
              </a:graphicData>
            </a:graphic>
          </wp:anchor>
        </w:drawing>
      </w:r>
    </w:p>
    <w:p>
      <w:pPr>
        <w:spacing w:after="0" w:line="31" w:lineRule="exact"/>
        <w:rPr>
          <w:sz w:val="20"/>
          <w:szCs w:val="20"/>
          <w:color w:val="auto"/>
        </w:rPr>
      </w:pPr>
    </w:p>
    <w:p>
      <w:pPr>
        <w:ind w:left="6040"/>
        <w:spacing w:after="0"/>
        <w:rPr>
          <w:sz w:val="20"/>
          <w:szCs w:val="20"/>
          <w:color w:val="auto"/>
        </w:rPr>
      </w:pPr>
      <w:r>
        <w:rPr>
          <w:rFonts w:ascii="Arial" w:cs="Arial" w:eastAsia="Arial" w:hAnsi="Arial"/>
          <w:sz w:val="13"/>
          <w:szCs w:val="13"/>
          <w:color w:val="auto"/>
        </w:rPr>
        <w:t>Clinton P. Jones</w:t>
      </w:r>
    </w:p>
    <w:p>
      <w:pPr>
        <w:ind w:left="6040"/>
        <w:spacing w:after="0"/>
        <w:rPr>
          <w:sz w:val="20"/>
          <w:szCs w:val="20"/>
          <w:color w:val="auto"/>
        </w:rPr>
      </w:pPr>
      <w:r>
        <w:rPr>
          <w:rFonts w:ascii="Arial" w:cs="Arial" w:eastAsia="Arial" w:hAnsi="Arial"/>
          <w:sz w:val="13"/>
          <w:szCs w:val="13"/>
          <w:color w:val="auto"/>
        </w:rPr>
        <w:t>Chief Executive Officer</w:t>
      </w:r>
    </w:p>
    <w:p>
      <w:pPr>
        <w:ind w:left="6040"/>
        <w:spacing w:after="0"/>
        <w:rPr>
          <w:sz w:val="20"/>
          <w:szCs w:val="20"/>
          <w:color w:val="auto"/>
        </w:rPr>
      </w:pPr>
      <w:r>
        <w:rPr>
          <w:rFonts w:ascii="Arial" w:cs="Arial" w:eastAsia="Arial" w:hAnsi="Arial"/>
          <w:sz w:val="13"/>
          <w:szCs w:val="13"/>
          <w:i w:val="1"/>
          <w:iCs w:val="1"/>
          <w:color w:val="auto"/>
        </w:rPr>
        <w:t>(Principal Executive Officer)</w:t>
      </w:r>
    </w:p>
    <w:p>
      <w:pPr>
        <w:spacing w:after="0" w:line="126" w:lineRule="exact"/>
        <w:rPr>
          <w:sz w:val="20"/>
          <w:szCs w:val="20"/>
          <w:color w:val="auto"/>
        </w:rPr>
      </w:pPr>
    </w:p>
    <w:p>
      <w:pPr>
        <w:ind w:left="340"/>
        <w:spacing w:after="0"/>
        <w:tabs>
          <w:tab w:leader="none" w:pos="5800" w:val="left"/>
        </w:tabs>
        <w:rPr>
          <w:sz w:val="20"/>
          <w:szCs w:val="20"/>
          <w:color w:val="auto"/>
        </w:rPr>
      </w:pPr>
      <w:r>
        <w:rPr>
          <w:rFonts w:ascii="Arial" w:cs="Arial" w:eastAsia="Arial" w:hAnsi="Arial"/>
          <w:sz w:val="13"/>
          <w:szCs w:val="13"/>
          <w:color w:val="auto"/>
        </w:rPr>
        <w:t>Date: March 16, 2022</w:t>
      </w:r>
      <w:r>
        <w:rPr>
          <w:sz w:val="20"/>
          <w:szCs w:val="20"/>
          <w:color w:val="auto"/>
        </w:rPr>
        <w:tab/>
      </w:r>
      <w:r>
        <w:rPr>
          <w:rFonts w:ascii="Arial" w:cs="Arial" w:eastAsia="Arial" w:hAnsi="Arial"/>
          <w:sz w:val="12"/>
          <w:szCs w:val="12"/>
          <w:color w:val="auto"/>
        </w:rPr>
        <w:t>By: /s/ Travis Matthiesen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3823335</wp:posOffset>
            </wp:positionH>
            <wp:positionV relativeFrom="paragraph">
              <wp:posOffset>12065</wp:posOffset>
            </wp:positionV>
            <wp:extent cx="3341370" cy="69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0">
                      <a:extLst>
                        <a:ext uri="{28A0092B-C50C-407E-A947-70E740481C1C}"/>
                      </a:extLst>
                    </a:blip>
                    <a:srcRect/>
                    <a:stretch>
                      <a:fillRect/>
                    </a:stretch>
                  </pic:blipFill>
                  <pic:spPr bwMode="auto">
                    <a:xfrm>
                      <a:off x="0" y="0"/>
                      <a:ext cx="3341370" cy="6985"/>
                    </a:xfrm>
                    <a:prstGeom prst="rect">
                      <a:avLst/>
                    </a:prstGeom>
                    <a:noFill/>
                  </pic:spPr>
                </pic:pic>
              </a:graphicData>
            </a:graphic>
          </wp:anchor>
        </w:drawing>
      </w:r>
    </w:p>
    <w:p>
      <w:pPr>
        <w:spacing w:after="0" w:line="31" w:lineRule="exact"/>
        <w:rPr>
          <w:sz w:val="20"/>
          <w:szCs w:val="20"/>
          <w:color w:val="auto"/>
        </w:rPr>
      </w:pPr>
    </w:p>
    <w:p>
      <w:pPr>
        <w:ind w:left="6040"/>
        <w:spacing w:after="0"/>
        <w:rPr>
          <w:sz w:val="20"/>
          <w:szCs w:val="20"/>
          <w:color w:val="auto"/>
        </w:rPr>
      </w:pPr>
      <w:r>
        <w:rPr>
          <w:rFonts w:ascii="Arial" w:cs="Arial" w:eastAsia="Arial" w:hAnsi="Arial"/>
          <w:sz w:val="13"/>
          <w:szCs w:val="13"/>
          <w:color w:val="auto"/>
        </w:rPr>
        <w:t>Travis Matthiesen</w:t>
      </w:r>
    </w:p>
    <w:p>
      <w:pPr>
        <w:ind w:left="6040"/>
        <w:spacing w:after="0"/>
        <w:rPr>
          <w:sz w:val="20"/>
          <w:szCs w:val="20"/>
          <w:color w:val="auto"/>
        </w:rPr>
      </w:pPr>
      <w:r>
        <w:rPr>
          <w:rFonts w:ascii="Arial" w:cs="Arial" w:eastAsia="Arial" w:hAnsi="Arial"/>
          <w:sz w:val="13"/>
          <w:szCs w:val="13"/>
          <w:color w:val="auto"/>
        </w:rPr>
        <w:t>Interim Chief Financial Officer</w:t>
      </w:r>
    </w:p>
    <w:p>
      <w:pPr>
        <w:ind w:left="6040"/>
        <w:spacing w:after="0"/>
        <w:rPr>
          <w:sz w:val="20"/>
          <w:szCs w:val="20"/>
          <w:color w:val="auto"/>
        </w:rPr>
      </w:pPr>
      <w:r>
        <w:rPr>
          <w:rFonts w:ascii="Arial" w:cs="Arial" w:eastAsia="Arial" w:hAnsi="Arial"/>
          <w:sz w:val="13"/>
          <w:szCs w:val="13"/>
          <w:i w:val="1"/>
          <w:iCs w:val="1"/>
          <w:color w:val="auto"/>
        </w:rPr>
        <w:t>(Principal Financial and Accounting Officer)</w:t>
      </w:r>
    </w:p>
    <w:p>
      <w:pPr>
        <w:spacing w:after="0" w:line="264" w:lineRule="exact"/>
        <w:rPr>
          <w:sz w:val="20"/>
          <w:szCs w:val="20"/>
          <w:color w:val="auto"/>
        </w:rPr>
      </w:pPr>
    </w:p>
    <w:p>
      <w:pPr>
        <w:ind w:right="260"/>
        <w:spacing w:after="0" w:line="244" w:lineRule="auto"/>
        <w:rPr>
          <w:sz w:val="20"/>
          <w:szCs w:val="20"/>
          <w:color w:val="auto"/>
        </w:rPr>
      </w:pPr>
      <w:r>
        <w:rPr>
          <w:rFonts w:ascii="Arial" w:cs="Arial" w:eastAsia="Arial" w:hAnsi="Arial"/>
          <w:sz w:val="13"/>
          <w:szCs w:val="13"/>
          <w:color w:val="auto"/>
        </w:rPr>
        <w:t>Pursuant to the requirements of the Securities Exchange Act of 1934, this report has been signed below by the following persons on behalf of the Registrant and in the capacities indicated on March 16, 2022.</w:t>
      </w:r>
    </w:p>
    <w:p>
      <w:pPr>
        <w:sectPr>
          <w:pgSz w:w="11900" w:h="16838" w:orient="portrait"/>
          <w:cols w:equalWidth="0" w:num="1">
            <w:col w:w="10960"/>
          </w:cols>
          <w:pgMar w:left="300" w:top="1069" w:right="639" w:bottom="1440" w:gutter="0" w:footer="0" w:header="0"/>
        </w:sect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Clinton P.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3482975" cy="69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1">
                      <a:extLst>
                        <a:ext uri="{28A0092B-C50C-407E-A947-70E740481C1C}"/>
                      </a:extLst>
                    </a:blip>
                    <a:srcRect/>
                    <a:stretch>
                      <a:fillRect/>
                    </a:stretch>
                  </pic:blipFill>
                  <pic:spPr bwMode="auto">
                    <a:xfrm>
                      <a:off x="0" y="0"/>
                      <a:ext cx="3482975" cy="698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Clinton P. Jones</w:t>
      </w:r>
    </w:p>
    <w:p>
      <w:pPr>
        <w:ind w:left="20" w:right="1520"/>
        <w:spacing w:after="0" w:line="244" w:lineRule="auto"/>
        <w:rPr>
          <w:sz w:val="20"/>
          <w:szCs w:val="20"/>
          <w:color w:val="auto"/>
        </w:rPr>
      </w:pPr>
      <w:r>
        <w:rPr>
          <w:rFonts w:ascii="Arial" w:cs="Arial" w:eastAsia="Arial" w:hAnsi="Arial"/>
          <w:sz w:val="13"/>
          <w:szCs w:val="13"/>
          <w:color w:val="auto"/>
        </w:rPr>
        <w:t xml:space="preserve">Chief Executive Officer and Co-Chair of the Board of Directors </w:t>
      </w:r>
      <w:r>
        <w:rPr>
          <w:rFonts w:ascii="Arial" w:cs="Arial" w:eastAsia="Arial" w:hAnsi="Arial"/>
          <w:sz w:val="13"/>
          <w:szCs w:val="13"/>
          <w:i w:val="1"/>
          <w:iCs w:val="1"/>
          <w:color w:val="auto"/>
        </w:rPr>
        <w:t>(Principal Executive Officer)</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Brandon M. Cruz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3482975" cy="69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2">
                      <a:extLst>
                        <a:ext uri="{28A0092B-C50C-407E-A947-70E740481C1C}"/>
                      </a:extLst>
                    </a:blip>
                    <a:srcRect/>
                    <a:stretch>
                      <a:fillRect/>
                    </a:stretch>
                  </pic:blipFill>
                  <pic:spPr bwMode="auto">
                    <a:xfrm>
                      <a:off x="0" y="0"/>
                      <a:ext cx="3482975" cy="698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Brandon M. Cruz</w:t>
      </w:r>
    </w:p>
    <w:p>
      <w:pPr>
        <w:ind w:left="20"/>
        <w:spacing w:after="0"/>
        <w:rPr>
          <w:sz w:val="20"/>
          <w:szCs w:val="20"/>
          <w:color w:val="auto"/>
        </w:rPr>
      </w:pPr>
      <w:r>
        <w:rPr>
          <w:rFonts w:ascii="Arial" w:cs="Arial" w:eastAsia="Arial" w:hAnsi="Arial"/>
          <w:sz w:val="13"/>
          <w:szCs w:val="13"/>
          <w:color w:val="auto"/>
        </w:rPr>
        <w:t>Co-Chair of the Board of Directors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Helene D. Gayle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3482975"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3">
                      <a:extLst>
                        <a:ext uri="{28A0092B-C50C-407E-A947-70E740481C1C}"/>
                      </a:extLst>
                    </a:blip>
                    <a:srcRect/>
                    <a:stretch>
                      <a:fillRect/>
                    </a:stretch>
                  </pic:blipFill>
                  <pic:spPr bwMode="auto">
                    <a:xfrm>
                      <a:off x="0" y="0"/>
                      <a:ext cx="3482975" cy="698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Helene Gayle</w:t>
      </w:r>
    </w:p>
    <w:p>
      <w:pPr>
        <w:ind w:left="20"/>
        <w:spacing w:after="0"/>
        <w:rPr>
          <w:sz w:val="20"/>
          <w:szCs w:val="20"/>
          <w:color w:val="auto"/>
        </w:rPr>
      </w:pPr>
      <w:r>
        <w:rPr>
          <w:rFonts w:ascii="Arial" w:cs="Arial" w:eastAsia="Arial" w:hAnsi="Arial"/>
          <w:sz w:val="13"/>
          <w:szCs w:val="13"/>
          <w:color w:val="auto"/>
        </w:rPr>
        <w:t>Director</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Anita V. Pramoda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3482975" cy="69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4">
                      <a:extLst>
                        <a:ext uri="{28A0092B-C50C-407E-A947-70E740481C1C}"/>
                      </a:extLst>
                    </a:blip>
                    <a:srcRect/>
                    <a:stretch>
                      <a:fillRect/>
                    </a:stretch>
                  </pic:blipFill>
                  <pic:spPr bwMode="auto">
                    <a:xfrm>
                      <a:off x="0" y="0"/>
                      <a:ext cx="3482975" cy="698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Anita Pramoda</w:t>
      </w:r>
    </w:p>
    <w:p>
      <w:pPr>
        <w:ind w:left="20"/>
        <w:spacing w:after="0"/>
        <w:rPr>
          <w:sz w:val="20"/>
          <w:szCs w:val="20"/>
          <w:color w:val="auto"/>
        </w:rPr>
      </w:pPr>
      <w:r>
        <w:rPr>
          <w:rFonts w:ascii="Arial" w:cs="Arial" w:eastAsia="Arial" w:hAnsi="Arial"/>
          <w:sz w:val="13"/>
          <w:szCs w:val="13"/>
          <w:color w:val="auto"/>
        </w:rPr>
        <w:t>Director</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Alexander E.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3482975"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5">
                      <a:extLst>
                        <a:ext uri="{28A0092B-C50C-407E-A947-70E740481C1C}"/>
                      </a:extLst>
                    </a:blip>
                    <a:srcRect/>
                    <a:stretch>
                      <a:fillRect/>
                    </a:stretch>
                  </pic:blipFill>
                  <pic:spPr bwMode="auto">
                    <a:xfrm>
                      <a:off x="0" y="0"/>
                      <a:ext cx="3482975" cy="698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Alexander E. Timm</w:t>
      </w:r>
    </w:p>
    <w:p>
      <w:pPr>
        <w:ind w:left="20"/>
        <w:spacing w:after="0"/>
        <w:rPr>
          <w:sz w:val="20"/>
          <w:szCs w:val="20"/>
          <w:color w:val="auto"/>
        </w:rPr>
      </w:pPr>
      <w:r>
        <w:rPr>
          <w:rFonts w:ascii="Arial" w:cs="Arial" w:eastAsia="Arial" w:hAnsi="Arial"/>
          <w:sz w:val="13"/>
          <w:szCs w:val="13"/>
          <w:color w:val="auto"/>
        </w:rPr>
        <w:t>Director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/s/ Travis Matthiesen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3496310" cy="69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6">
                      <a:extLst>
                        <a:ext uri="{28A0092B-C50C-407E-A947-70E740481C1C}"/>
                      </a:extLst>
                    </a:blip>
                    <a:srcRect/>
                    <a:stretch>
                      <a:fillRect/>
                    </a:stretch>
                  </pic:blipFill>
                  <pic:spPr bwMode="auto">
                    <a:xfrm>
                      <a:off x="0" y="0"/>
                      <a:ext cx="3496310" cy="6985"/>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Travis Matthiesen</w:t>
      </w:r>
    </w:p>
    <w:p>
      <w:pPr>
        <w:spacing w:after="0"/>
        <w:rPr>
          <w:sz w:val="20"/>
          <w:szCs w:val="20"/>
          <w:color w:val="auto"/>
        </w:rPr>
      </w:pPr>
      <w:r>
        <w:rPr>
          <w:rFonts w:ascii="Arial" w:cs="Arial" w:eastAsia="Arial" w:hAnsi="Arial"/>
          <w:sz w:val="13"/>
          <w:szCs w:val="13"/>
          <w:color w:val="auto"/>
        </w:rPr>
        <w:t>Interim Chief Financial Officer</w:t>
      </w:r>
    </w:p>
    <w:p>
      <w:pPr>
        <w:spacing w:after="0"/>
        <w:rPr>
          <w:sz w:val="20"/>
          <w:szCs w:val="20"/>
          <w:color w:val="auto"/>
        </w:rPr>
      </w:pPr>
      <w:r>
        <w:rPr>
          <w:rFonts w:ascii="Arial" w:cs="Arial" w:eastAsia="Arial" w:hAnsi="Arial"/>
          <w:sz w:val="12"/>
          <w:szCs w:val="12"/>
          <w:i w:val="1"/>
          <w:iCs w:val="1"/>
          <w:color w:val="auto"/>
        </w:rPr>
        <w:t>(Principal Financial and Accounting Officer)</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/s/ Joseph G. Flanagan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3496310" cy="69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7">
                      <a:extLst>
                        <a:ext uri="{28A0092B-C50C-407E-A947-70E740481C1C}"/>
                      </a:extLst>
                    </a:blip>
                    <a:srcRect/>
                    <a:stretch>
                      <a:fillRect/>
                    </a:stretch>
                  </pic:blipFill>
                  <pic:spPr bwMode="auto">
                    <a:xfrm>
                      <a:off x="0" y="0"/>
                      <a:ext cx="3496310" cy="6985"/>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Joseph G. Flanagan</w:t>
      </w:r>
    </w:p>
    <w:p>
      <w:pPr>
        <w:spacing w:after="0"/>
        <w:rPr>
          <w:sz w:val="20"/>
          <w:szCs w:val="20"/>
          <w:color w:val="auto"/>
        </w:rPr>
      </w:pPr>
      <w:r>
        <w:rPr>
          <w:rFonts w:ascii="Arial" w:cs="Arial" w:eastAsia="Arial" w:hAnsi="Arial"/>
          <w:sz w:val="13"/>
          <w:szCs w:val="13"/>
          <w:color w:val="auto"/>
        </w:rPr>
        <w:t>Director</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/s/ Jeremy W. Gelber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3496310" cy="69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8">
                      <a:extLst>
                        <a:ext uri="{28A0092B-C50C-407E-A947-70E740481C1C}"/>
                      </a:extLst>
                    </a:blip>
                    <a:srcRect/>
                    <a:stretch>
                      <a:fillRect/>
                    </a:stretch>
                  </pic:blipFill>
                  <pic:spPr bwMode="auto">
                    <a:xfrm>
                      <a:off x="0" y="0"/>
                      <a:ext cx="3496310" cy="6985"/>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Jeremy W. Gelber</w:t>
      </w:r>
    </w:p>
    <w:p>
      <w:pPr>
        <w:spacing w:after="0"/>
        <w:rPr>
          <w:sz w:val="20"/>
          <w:szCs w:val="20"/>
          <w:color w:val="auto"/>
        </w:rPr>
      </w:pPr>
      <w:r>
        <w:rPr>
          <w:rFonts w:ascii="Arial" w:cs="Arial" w:eastAsia="Arial" w:hAnsi="Arial"/>
          <w:sz w:val="13"/>
          <w:szCs w:val="13"/>
          <w:color w:val="auto"/>
        </w:rPr>
        <w:t>Director</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/s/ Miriam A. Tawil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3496310" cy="6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9">
                      <a:extLst>
                        <a:ext uri="{28A0092B-C50C-407E-A947-70E740481C1C}"/>
                      </a:extLst>
                    </a:blip>
                    <a:srcRect/>
                    <a:stretch>
                      <a:fillRect/>
                    </a:stretch>
                  </pic:blipFill>
                  <pic:spPr bwMode="auto">
                    <a:xfrm>
                      <a:off x="0" y="0"/>
                      <a:ext cx="3496310" cy="6985"/>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Miriam A. Tawil</w:t>
      </w:r>
    </w:p>
    <w:p>
      <w:pPr>
        <w:spacing w:after="0"/>
        <w:rPr>
          <w:sz w:val="20"/>
          <w:szCs w:val="20"/>
          <w:color w:val="auto"/>
        </w:rPr>
      </w:pPr>
      <w:r>
        <w:rPr>
          <w:rFonts w:ascii="Arial" w:cs="Arial" w:eastAsia="Arial" w:hAnsi="Arial"/>
          <w:sz w:val="13"/>
          <w:szCs w:val="13"/>
          <w:color w:val="auto"/>
        </w:rPr>
        <w:t>Director</w:t>
      </w:r>
    </w:p>
    <w:p>
      <w:pPr>
        <w:spacing w:after="0" w:line="857" w:lineRule="exact"/>
        <w:rPr>
          <w:sz w:val="20"/>
          <w:szCs w:val="20"/>
          <w:color w:val="auto"/>
        </w:rPr>
      </w:pPr>
    </w:p>
    <w:p>
      <w:pPr>
        <w:sectPr>
          <w:pgSz w:w="11900" w:h="16838" w:orient="portrait"/>
          <w:cols w:equalWidth="0" w:num="2">
            <w:col w:w="5040" w:space="720"/>
            <w:col w:w="5200"/>
          </w:cols>
          <w:pgMar w:left="300" w:top="1069" w:right="639" w:bottom="1440" w:gutter="0" w:footer="0" w:header="0"/>
          <w:type w:val="continuous"/>
        </w:sectPr>
      </w:pPr>
    </w:p>
    <w:p>
      <w:pPr>
        <w:spacing w:after="0" w:line="275" w:lineRule="exact"/>
        <w:rPr>
          <w:sz w:val="20"/>
          <w:szCs w:val="20"/>
          <w:color w:val="auto"/>
        </w:rPr>
      </w:pPr>
    </w:p>
    <w:tbl>
      <w:tblPr>
        <w:tblLayout w:type="fixed"/>
        <w:tblInd w:w="3760" w:type="dxa"/>
        <w:tblCellMar>
          <w:top w:w="0" w:type="dxa"/>
          <w:left w:w="0" w:type="dxa"/>
          <w:bottom w:w="0" w:type="dxa"/>
          <w:right w:w="0" w:type="dxa"/>
        </w:tblCellMar>
      </w:tblPr>
      <w:tr>
        <w:trPr>
          <w:trHeight w:val="149"/>
        </w:trPr>
        <w:tc>
          <w:tcPr>
            <w:tcW w:w="112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GoHealth, Inc.</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1"/>
                <w:szCs w:val="11"/>
                <w:color w:val="auto"/>
              </w:rPr>
              <w:t>2021 Form 10-K</w:t>
            </w:r>
          </w:p>
        </w:tc>
        <w:tc>
          <w:tcPr>
            <w:tcW w:w="240" w:type="dxa"/>
            <w:vAlign w:val="bottom"/>
          </w:tcPr>
          <w:p>
            <w:pPr>
              <w:jc w:val="right"/>
              <w:spacing w:after="0"/>
              <w:rPr>
                <w:sz w:val="20"/>
                <w:szCs w:val="20"/>
                <w:color w:val="auto"/>
              </w:rPr>
            </w:pPr>
            <w:r>
              <w:rPr>
                <w:rFonts w:ascii="Arial" w:cs="Arial" w:eastAsia="Arial" w:hAnsi="Arial"/>
                <w:sz w:val="11"/>
                <w:szCs w:val="11"/>
                <w:color w:val="auto"/>
              </w:rPr>
              <w:t>106</w:t>
            </w:r>
          </w:p>
        </w:tc>
      </w:tr>
    </w:tbl>
    <w:p>
      <w:pPr>
        <w:sectPr>
          <w:pgSz w:w="11900" w:h="16838" w:orient="portrait"/>
          <w:cols w:equalWidth="0" w:num="1">
            <w:col w:w="10960"/>
          </w:cols>
          <w:pgMar w:left="300" w:top="1069" w:right="639" w:bottom="1440" w:gutter="0" w:footer="0" w:header="0"/>
          <w:type w:val="continuous"/>
        </w:sectPr>
      </w:pPr>
    </w:p>
    <w:bookmarkStart w:id="109" w:name="page110"/>
    <w:bookmarkEnd w:id="10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37" w:name="page138"/>
    <w:bookmarkEnd w:id="13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6">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62" w:name="page163"/>
    <w:bookmarkEnd w:id="162"/>
    <w:p>
      <w:pPr>
        <w:jc w:val="right"/>
        <w:spacing w:after="0"/>
        <w:rPr>
          <w:sz w:val="20"/>
          <w:szCs w:val="20"/>
          <w:color w:val="auto"/>
        </w:rPr>
      </w:pPr>
      <w:r>
        <w:rPr>
          <w:rFonts w:ascii="Arial" w:cs="Arial" w:eastAsia="Arial" w:hAnsi="Arial"/>
          <w:sz w:val="13"/>
          <w:szCs w:val="13"/>
          <w:b w:val="1"/>
          <w:bCs w:val="1"/>
          <w:color w:val="auto"/>
        </w:rPr>
        <w:t>Exhibit 21.1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000" w:type="dxa"/>
            <w:vAlign w:val="bottom"/>
          </w:tcPr>
          <w:p>
            <w:pPr>
              <w:spacing w:after="0"/>
              <w:rPr>
                <w:sz w:val="14"/>
                <w:szCs w:val="14"/>
                <w:color w:val="auto"/>
              </w:rPr>
            </w:pPr>
          </w:p>
        </w:tc>
        <w:tc>
          <w:tcPr>
            <w:tcW w:w="8280" w:type="dxa"/>
            <w:vAlign w:val="bottom"/>
            <w:gridSpan w:val="3"/>
          </w:tcPr>
          <w:p>
            <w:pPr>
              <w:ind w:left="1740"/>
              <w:spacing w:after="0"/>
              <w:rPr>
                <w:sz w:val="20"/>
                <w:szCs w:val="20"/>
                <w:color w:val="auto"/>
              </w:rPr>
            </w:pPr>
            <w:r>
              <w:rPr>
                <w:rFonts w:ascii="Arial" w:cs="Arial" w:eastAsia="Arial" w:hAnsi="Arial"/>
                <w:sz w:val="13"/>
                <w:szCs w:val="13"/>
                <w:b w:val="1"/>
                <w:bCs w:val="1"/>
                <w:color w:val="auto"/>
              </w:rPr>
              <w:t>Subsidiaries of GoHealth, Inc.</w:t>
            </w:r>
          </w:p>
        </w:tc>
      </w:tr>
      <w:tr>
        <w:trPr>
          <w:trHeight w:val="333"/>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Legal Name</w:t>
            </w:r>
          </w:p>
        </w:tc>
        <w:tc>
          <w:tcPr>
            <w:tcW w:w="380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Jurisdiction of Incorporation or Organization</w:t>
            </w:r>
          </w:p>
        </w:tc>
      </w:tr>
      <w:tr>
        <w:trPr>
          <w:trHeight w:val="139"/>
        </w:trPr>
        <w:tc>
          <w:tcPr>
            <w:tcW w:w="3000" w:type="dxa"/>
            <w:vAlign w:val="bottom"/>
            <w:shd w:val="clear" w:color="auto" w:fill="CCEEFF"/>
          </w:tcPr>
          <w:p>
            <w:pPr>
              <w:ind w:left="20"/>
              <w:spacing w:after="0"/>
              <w:rPr>
                <w:sz w:val="20"/>
                <w:szCs w:val="20"/>
                <w:color w:val="auto"/>
              </w:rPr>
            </w:pPr>
            <w:r>
              <w:rPr>
                <w:rFonts w:ascii="Arial" w:cs="Arial" w:eastAsia="Arial" w:hAnsi="Arial"/>
                <w:sz w:val="11"/>
                <w:szCs w:val="11"/>
                <w:color w:val="auto"/>
              </w:rPr>
              <w:t>GoHealth Holdings, LLC</w:t>
            </w:r>
          </w:p>
        </w:tc>
        <w:tc>
          <w:tcPr>
            <w:tcW w:w="3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Delaware, USA</w:t>
            </w:r>
          </w:p>
        </w:tc>
      </w:tr>
      <w:tr>
        <w:trPr>
          <w:trHeight w:val="149"/>
        </w:trPr>
        <w:tc>
          <w:tcPr>
            <w:tcW w:w="3000" w:type="dxa"/>
            <w:vAlign w:val="bottom"/>
          </w:tcPr>
          <w:p>
            <w:pPr>
              <w:ind w:left="20"/>
              <w:spacing w:after="0"/>
              <w:rPr>
                <w:sz w:val="20"/>
                <w:szCs w:val="20"/>
                <w:color w:val="auto"/>
              </w:rPr>
            </w:pPr>
            <w:r>
              <w:rPr>
                <w:rFonts w:ascii="Arial" w:cs="Arial" w:eastAsia="Arial" w:hAnsi="Arial"/>
                <w:sz w:val="11"/>
                <w:szCs w:val="11"/>
                <w:color w:val="auto"/>
              </w:rPr>
              <w:t>Blizzard Midco, LLC</w:t>
            </w:r>
          </w:p>
        </w:tc>
        <w:tc>
          <w:tcPr>
            <w:tcW w:w="3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0" w:type="dxa"/>
            <w:vAlign w:val="bottom"/>
          </w:tcPr>
          <w:p>
            <w:pPr>
              <w:ind w:left="20"/>
              <w:spacing w:after="0"/>
              <w:rPr>
                <w:sz w:val="20"/>
                <w:szCs w:val="20"/>
                <w:color w:val="auto"/>
              </w:rPr>
            </w:pPr>
            <w:r>
              <w:rPr>
                <w:rFonts w:ascii="Arial" w:cs="Arial" w:eastAsia="Arial" w:hAnsi="Arial"/>
                <w:sz w:val="11"/>
                <w:szCs w:val="11"/>
                <w:color w:val="auto"/>
              </w:rPr>
              <w:t>Delaware, USA</w:t>
            </w:r>
          </w:p>
        </w:tc>
      </w:tr>
      <w:tr>
        <w:trPr>
          <w:trHeight w:val="149"/>
        </w:trPr>
        <w:tc>
          <w:tcPr>
            <w:tcW w:w="3000" w:type="dxa"/>
            <w:vAlign w:val="bottom"/>
            <w:shd w:val="clear" w:color="auto" w:fill="CCEEFF"/>
          </w:tcPr>
          <w:p>
            <w:pPr>
              <w:ind w:left="20"/>
              <w:spacing w:after="0"/>
              <w:rPr>
                <w:sz w:val="20"/>
                <w:szCs w:val="20"/>
                <w:color w:val="auto"/>
              </w:rPr>
            </w:pPr>
            <w:r>
              <w:rPr>
                <w:rFonts w:ascii="Arial" w:cs="Arial" w:eastAsia="Arial" w:hAnsi="Arial"/>
                <w:sz w:val="11"/>
                <w:szCs w:val="11"/>
                <w:color w:val="auto"/>
              </w:rPr>
              <w:t>Norvax, LLC</w:t>
            </w:r>
          </w:p>
        </w:tc>
        <w:tc>
          <w:tcPr>
            <w:tcW w:w="3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Delaware, USA</w:t>
            </w:r>
          </w:p>
        </w:tc>
      </w:tr>
      <w:tr>
        <w:trPr>
          <w:trHeight w:val="149"/>
        </w:trPr>
        <w:tc>
          <w:tcPr>
            <w:tcW w:w="3000" w:type="dxa"/>
            <w:vAlign w:val="bottom"/>
          </w:tcPr>
          <w:p>
            <w:pPr>
              <w:ind w:left="20"/>
              <w:spacing w:after="0"/>
              <w:rPr>
                <w:sz w:val="20"/>
                <w:szCs w:val="20"/>
                <w:color w:val="auto"/>
              </w:rPr>
            </w:pPr>
            <w:r>
              <w:rPr>
                <w:rFonts w:ascii="Arial" w:cs="Arial" w:eastAsia="Arial" w:hAnsi="Arial"/>
                <w:sz w:val="11"/>
                <w:szCs w:val="11"/>
                <w:color w:val="auto"/>
              </w:rPr>
              <w:t>GoHealth, LLC</w:t>
            </w:r>
          </w:p>
        </w:tc>
        <w:tc>
          <w:tcPr>
            <w:tcW w:w="3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0" w:type="dxa"/>
            <w:vAlign w:val="bottom"/>
          </w:tcPr>
          <w:p>
            <w:pPr>
              <w:ind w:left="20"/>
              <w:spacing w:after="0"/>
              <w:rPr>
                <w:sz w:val="20"/>
                <w:szCs w:val="20"/>
                <w:color w:val="auto"/>
              </w:rPr>
            </w:pPr>
            <w:r>
              <w:rPr>
                <w:rFonts w:ascii="Arial" w:cs="Arial" w:eastAsia="Arial" w:hAnsi="Arial"/>
                <w:sz w:val="11"/>
                <w:szCs w:val="11"/>
                <w:color w:val="auto"/>
              </w:rPr>
              <w:t>Delaware, USA</w:t>
            </w:r>
          </w:p>
        </w:tc>
      </w:tr>
      <w:tr>
        <w:trPr>
          <w:trHeight w:val="149"/>
        </w:trPr>
        <w:tc>
          <w:tcPr>
            <w:tcW w:w="3000" w:type="dxa"/>
            <w:vAlign w:val="bottom"/>
            <w:shd w:val="clear" w:color="auto" w:fill="CCEEFF"/>
          </w:tcPr>
          <w:p>
            <w:pPr>
              <w:ind w:left="20"/>
              <w:spacing w:after="0"/>
              <w:rPr>
                <w:sz w:val="20"/>
                <w:szCs w:val="20"/>
                <w:color w:val="auto"/>
              </w:rPr>
            </w:pPr>
            <w:r>
              <w:rPr>
                <w:rFonts w:ascii="Arial" w:cs="Arial" w:eastAsia="Arial" w:hAnsi="Arial"/>
                <w:sz w:val="11"/>
                <w:szCs w:val="11"/>
                <w:color w:val="auto"/>
              </w:rPr>
              <w:t>Creatix, Inc.</w:t>
            </w:r>
          </w:p>
        </w:tc>
        <w:tc>
          <w:tcPr>
            <w:tcW w:w="3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0" w:type="dxa"/>
            <w:vAlign w:val="bottom"/>
            <w:shd w:val="clear" w:color="auto" w:fill="CCEEFF"/>
          </w:tcPr>
          <w:p>
            <w:pPr>
              <w:ind w:left="20"/>
              <w:spacing w:after="0"/>
              <w:rPr>
                <w:sz w:val="20"/>
                <w:szCs w:val="20"/>
                <w:color w:val="auto"/>
              </w:rPr>
            </w:pPr>
            <w:r>
              <w:rPr>
                <w:rFonts w:ascii="Arial" w:cs="Arial" w:eastAsia="Arial" w:hAnsi="Arial"/>
                <w:sz w:val="11"/>
                <w:szCs w:val="11"/>
                <w:color w:val="auto"/>
              </w:rPr>
              <w:t>Illinois, USA</w:t>
            </w:r>
          </w:p>
        </w:tc>
      </w:tr>
      <w:tr>
        <w:trPr>
          <w:trHeight w:val="149"/>
        </w:trPr>
        <w:tc>
          <w:tcPr>
            <w:tcW w:w="3000" w:type="dxa"/>
            <w:vAlign w:val="bottom"/>
          </w:tcPr>
          <w:p>
            <w:pPr>
              <w:ind w:left="20"/>
              <w:spacing w:after="0"/>
              <w:rPr>
                <w:sz w:val="20"/>
                <w:szCs w:val="20"/>
                <w:color w:val="auto"/>
              </w:rPr>
            </w:pPr>
            <w:r>
              <w:rPr>
                <w:rFonts w:ascii="Arial" w:cs="Arial" w:eastAsia="Arial" w:hAnsi="Arial"/>
                <w:sz w:val="11"/>
                <w:szCs w:val="11"/>
                <w:color w:val="auto"/>
              </w:rPr>
              <w:t>Connected Benefits, LLC</w:t>
            </w:r>
          </w:p>
        </w:tc>
        <w:tc>
          <w:tcPr>
            <w:tcW w:w="3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0" w:type="dxa"/>
            <w:vAlign w:val="bottom"/>
          </w:tcPr>
          <w:p>
            <w:pPr>
              <w:ind w:left="20"/>
              <w:spacing w:after="0"/>
              <w:rPr>
                <w:sz w:val="20"/>
                <w:szCs w:val="20"/>
                <w:color w:val="auto"/>
              </w:rPr>
            </w:pPr>
            <w:r>
              <w:rPr>
                <w:rFonts w:ascii="Arial" w:cs="Arial" w:eastAsia="Arial" w:hAnsi="Arial"/>
                <w:sz w:val="11"/>
                <w:szCs w:val="11"/>
                <w:color w:val="auto"/>
              </w:rPr>
              <w:t>Delaware, USA</w:t>
            </w:r>
          </w:p>
        </w:tc>
      </w:tr>
      <w:tr>
        <w:trPr>
          <w:trHeight w:val="149"/>
        </w:trPr>
        <w:tc>
          <w:tcPr>
            <w:tcW w:w="3000" w:type="dxa"/>
            <w:vAlign w:val="bottom"/>
            <w:shd w:val="clear" w:color="auto" w:fill="CCEEFF"/>
          </w:tcPr>
          <w:p>
            <w:pPr>
              <w:ind w:left="20"/>
              <w:spacing w:after="0"/>
              <w:rPr>
                <w:sz w:val="20"/>
                <w:szCs w:val="20"/>
                <w:color w:val="auto"/>
              </w:rPr>
            </w:pPr>
            <w:r>
              <w:rPr>
                <w:rFonts w:ascii="Arial" w:cs="Arial" w:eastAsia="Arial" w:hAnsi="Arial"/>
                <w:sz w:val="11"/>
                <w:szCs w:val="11"/>
                <w:color w:val="auto"/>
              </w:rPr>
              <w:t>GoHealth, s.r.o.</w:t>
            </w:r>
          </w:p>
        </w:tc>
        <w:tc>
          <w:tcPr>
            <w:tcW w:w="3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0" w:type="dxa"/>
            <w:vAlign w:val="bottom"/>
            <w:shd w:val="clear" w:color="auto" w:fill="CCEEFF"/>
          </w:tcPr>
          <w:p>
            <w:pPr>
              <w:ind w:left="20"/>
              <w:spacing w:after="0"/>
              <w:rPr>
                <w:sz w:val="20"/>
                <w:szCs w:val="20"/>
                <w:color w:val="auto"/>
              </w:rPr>
            </w:pPr>
            <w:r>
              <w:rPr>
                <w:rFonts w:ascii="Arial" w:cs="Arial" w:eastAsia="Arial" w:hAnsi="Arial"/>
                <w:sz w:val="11"/>
                <w:szCs w:val="11"/>
                <w:color w:val="auto"/>
              </w:rPr>
              <w:t>Slovakia</w:t>
            </w:r>
          </w:p>
        </w:tc>
      </w:tr>
    </w:tbl>
    <w:p>
      <w:pPr>
        <w:sectPr>
          <w:pgSz w:w="11900" w:h="16838" w:orient="portrait"/>
          <w:cols w:equalWidth="0" w:num="1">
            <w:col w:w="11280"/>
          </w:cols>
          <w:pgMar w:left="300" w:top="899" w:right="319" w:bottom="1440" w:gutter="0" w:footer="0" w:header="0"/>
        </w:sectPr>
      </w:pPr>
    </w:p>
    <w:bookmarkStart w:id="163" w:name="page164"/>
    <w:bookmarkEnd w:id="163"/>
    <w:p>
      <w:pPr>
        <w:jc w:val="right"/>
        <w:spacing w:after="0"/>
        <w:rPr>
          <w:sz w:val="20"/>
          <w:szCs w:val="20"/>
          <w:color w:val="auto"/>
        </w:rPr>
      </w:pPr>
      <w:r>
        <w:rPr>
          <w:rFonts w:ascii="Arial" w:cs="Arial" w:eastAsia="Arial" w:hAnsi="Arial"/>
          <w:sz w:val="13"/>
          <w:szCs w:val="13"/>
          <w:b w:val="1"/>
          <w:bCs w:val="1"/>
          <w:color w:val="auto"/>
        </w:rPr>
        <w:t>Exhibit 23.1</w:t>
      </w:r>
    </w:p>
    <w:p>
      <w:pPr>
        <w:spacing w:after="0" w:line="169"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We consent to the incorporation by reference in the following Registration Statements:</w:t>
      </w:r>
    </w:p>
    <w:p>
      <w:pPr>
        <w:spacing w:after="0" w:line="211" w:lineRule="exact"/>
        <w:rPr>
          <w:sz w:val="20"/>
          <w:szCs w:val="20"/>
          <w:color w:val="auto"/>
        </w:rPr>
      </w:pPr>
    </w:p>
    <w:p>
      <w:pPr>
        <w:ind w:left="1220" w:right="1280" w:hanging="186"/>
        <w:spacing w:after="0" w:line="244" w:lineRule="auto"/>
        <w:tabs>
          <w:tab w:leader="none" w:pos="1220" w:val="left"/>
        </w:tabs>
        <w:numPr>
          <w:ilvl w:val="0"/>
          <w:numId w:val="54"/>
        </w:numPr>
        <w:rPr>
          <w:rFonts w:ascii="Arial" w:cs="Arial" w:eastAsia="Arial" w:hAnsi="Arial"/>
          <w:sz w:val="13"/>
          <w:szCs w:val="13"/>
          <w:color w:val="auto"/>
        </w:rPr>
      </w:pPr>
      <w:r>
        <w:rPr>
          <w:rFonts w:ascii="Arial" w:cs="Arial" w:eastAsia="Arial" w:hAnsi="Arial"/>
          <w:sz w:val="13"/>
          <w:szCs w:val="13"/>
          <w:color w:val="auto"/>
        </w:rPr>
        <w:t>Registration Statements (Form S-8 Nos. 333-239879 and 222-252962) pertaining to the 2020 Incentive Award Plan and the 2020 Employee Stock Purchase Plan of GoHealth, Inc.; and</w:t>
      </w:r>
    </w:p>
    <w:p>
      <w:pPr>
        <w:spacing w:after="0" w:line="35" w:lineRule="exact"/>
        <w:rPr>
          <w:rFonts w:ascii="Arial" w:cs="Arial" w:eastAsia="Arial" w:hAnsi="Arial"/>
          <w:sz w:val="13"/>
          <w:szCs w:val="13"/>
          <w:color w:val="auto"/>
        </w:rPr>
      </w:pPr>
    </w:p>
    <w:p>
      <w:pPr>
        <w:ind w:left="1220" w:hanging="186"/>
        <w:spacing w:after="0"/>
        <w:tabs>
          <w:tab w:leader="none" w:pos="1220" w:val="left"/>
        </w:tabs>
        <w:numPr>
          <w:ilvl w:val="0"/>
          <w:numId w:val="54"/>
        </w:numPr>
        <w:rPr>
          <w:rFonts w:ascii="Arial" w:cs="Arial" w:eastAsia="Arial" w:hAnsi="Arial"/>
          <w:sz w:val="13"/>
          <w:szCs w:val="13"/>
          <w:color w:val="auto"/>
        </w:rPr>
      </w:pPr>
      <w:r>
        <w:rPr>
          <w:rFonts w:ascii="Arial" w:cs="Arial" w:eastAsia="Arial" w:hAnsi="Arial"/>
          <w:sz w:val="13"/>
          <w:szCs w:val="13"/>
          <w:color w:val="auto"/>
        </w:rPr>
        <w:t>Registration Statement (Form S-8 No. 333-261770) pertaining to the 2021 Inducement Award Plan of GoHealth, Inc.;</w:t>
      </w:r>
    </w:p>
    <w:p>
      <w:pPr>
        <w:spacing w:after="0" w:line="275" w:lineRule="exact"/>
        <w:rPr>
          <w:sz w:val="20"/>
          <w:szCs w:val="20"/>
          <w:color w:val="auto"/>
        </w:rPr>
      </w:pPr>
    </w:p>
    <w:p>
      <w:pPr>
        <w:ind w:right="100"/>
        <w:spacing w:after="0" w:line="225" w:lineRule="auto"/>
        <w:rPr>
          <w:sz w:val="20"/>
          <w:szCs w:val="20"/>
          <w:color w:val="auto"/>
        </w:rPr>
      </w:pPr>
      <w:r>
        <w:rPr>
          <w:rFonts w:ascii="Arial" w:cs="Arial" w:eastAsia="Arial" w:hAnsi="Arial"/>
          <w:sz w:val="13"/>
          <w:szCs w:val="13"/>
          <w:color w:val="auto"/>
        </w:rPr>
        <w:t>of our reports dated March 16, 2022, with respect to the consolidated financial statements of GoHealth, Inc., and the effectiveness of internal control over financial reporting of GoHealth, Inc., included in this Annual Report (Form 10-K) of GoHealth, Inc. for the year ended December 31, 2021.</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Ernst &amp; Young LLP</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3"/>
          <w:szCs w:val="13"/>
          <w:color w:val="auto"/>
        </w:rPr>
        <w:t>Chicago, Illinois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March 16, 2022</w:t>
      </w:r>
    </w:p>
    <w:p>
      <w:pPr>
        <w:sectPr>
          <w:pgSz w:w="11900" w:h="16838" w:orient="portrait"/>
          <w:cols w:equalWidth="0" w:num="1">
            <w:col w:w="11280"/>
          </w:cols>
          <w:pgMar w:left="300" w:top="899" w:right="319" w:bottom="1440" w:gutter="0" w:footer="0" w:header="0"/>
        </w:sectPr>
      </w:pPr>
    </w:p>
    <w:bookmarkStart w:id="164" w:name="page165"/>
    <w:bookmarkEnd w:id="164"/>
    <w:p>
      <w:pPr>
        <w:jc w:val="right"/>
        <w:spacing w:after="0"/>
        <w:rPr>
          <w:sz w:val="20"/>
          <w:szCs w:val="20"/>
          <w:color w:val="auto"/>
        </w:rPr>
      </w:pPr>
      <w:r>
        <w:rPr>
          <w:rFonts w:ascii="Arial" w:cs="Arial" w:eastAsia="Arial" w:hAnsi="Arial"/>
          <w:sz w:val="13"/>
          <w:szCs w:val="13"/>
          <w:b w:val="1"/>
          <w:bCs w:val="1"/>
          <w:color w:val="auto"/>
        </w:rPr>
        <w:t>Exhibit 31.1</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I, Clinton P. Jones, certify that:</w:t>
      </w:r>
    </w:p>
    <w:p>
      <w:pPr>
        <w:spacing w:after="0" w:line="169" w:lineRule="exact"/>
        <w:rPr>
          <w:sz w:val="20"/>
          <w:szCs w:val="20"/>
          <w:color w:val="auto"/>
        </w:rPr>
      </w:pPr>
    </w:p>
    <w:p>
      <w:pPr>
        <w:ind w:left="760" w:hanging="373"/>
        <w:spacing w:after="0"/>
        <w:tabs>
          <w:tab w:leader="none" w:pos="760" w:val="left"/>
        </w:tabs>
        <w:numPr>
          <w:ilvl w:val="0"/>
          <w:numId w:val="55"/>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GoHealth, Inc.;</w:t>
      </w:r>
    </w:p>
    <w:p>
      <w:pPr>
        <w:spacing w:after="0" w:line="168" w:lineRule="exact"/>
        <w:rPr>
          <w:rFonts w:ascii="Arial" w:cs="Arial" w:eastAsia="Arial" w:hAnsi="Arial"/>
          <w:sz w:val="13"/>
          <w:szCs w:val="13"/>
          <w:color w:val="auto"/>
        </w:rPr>
      </w:pPr>
    </w:p>
    <w:p>
      <w:pPr>
        <w:ind w:left="760" w:right="480" w:hanging="373"/>
        <w:spacing w:after="0" w:line="244" w:lineRule="auto"/>
        <w:tabs>
          <w:tab w:leader="none" w:pos="760" w:val="left"/>
        </w:tabs>
        <w:numPr>
          <w:ilvl w:val="0"/>
          <w:numId w:val="55"/>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3"/>
          <w:szCs w:val="13"/>
          <w:color w:val="auto"/>
        </w:rPr>
      </w:pPr>
    </w:p>
    <w:p>
      <w:pPr>
        <w:ind w:left="760" w:right="120" w:hanging="373"/>
        <w:spacing w:after="0" w:line="244" w:lineRule="auto"/>
        <w:tabs>
          <w:tab w:leader="none" w:pos="760" w:val="left"/>
        </w:tabs>
        <w:numPr>
          <w:ilvl w:val="0"/>
          <w:numId w:val="55"/>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3"/>
          <w:szCs w:val="13"/>
          <w:color w:val="auto"/>
        </w:rPr>
      </w:pPr>
    </w:p>
    <w:p>
      <w:pPr>
        <w:ind w:left="760" w:right="80" w:hanging="373"/>
        <w:spacing w:after="0" w:line="244" w:lineRule="auto"/>
        <w:tabs>
          <w:tab w:leader="none" w:pos="76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Arial" w:cs="Arial" w:eastAsia="Arial" w:hAnsi="Arial"/>
          <w:sz w:val="13"/>
          <w:szCs w:val="13"/>
          <w:color w:val="auto"/>
        </w:rPr>
      </w:pPr>
    </w:p>
    <w:p>
      <w:pPr>
        <w:ind w:left="1160" w:right="200" w:hanging="391"/>
        <w:spacing w:after="0" w:line="241" w:lineRule="auto"/>
        <w:tabs>
          <w:tab w:leader="none" w:pos="1156" w:val="left"/>
        </w:tabs>
        <w:numPr>
          <w:ilvl w:val="1"/>
          <w:numId w:val="55"/>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3"/>
          <w:szCs w:val="13"/>
          <w:color w:val="auto"/>
        </w:rPr>
      </w:pPr>
    </w:p>
    <w:p>
      <w:pPr>
        <w:jc w:val="both"/>
        <w:ind w:left="1160" w:right="520" w:hanging="391"/>
        <w:spacing w:after="0" w:line="241" w:lineRule="auto"/>
        <w:tabs>
          <w:tab w:leader="none" w:pos="1156" w:val="left"/>
        </w:tabs>
        <w:numPr>
          <w:ilvl w:val="1"/>
          <w:numId w:val="55"/>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3"/>
          <w:szCs w:val="13"/>
          <w:color w:val="auto"/>
        </w:rPr>
      </w:pPr>
    </w:p>
    <w:p>
      <w:pPr>
        <w:ind w:left="1160" w:right="20" w:hanging="391"/>
        <w:spacing w:after="0" w:line="244" w:lineRule="auto"/>
        <w:tabs>
          <w:tab w:leader="none" w:pos="1160" w:val="left"/>
        </w:tabs>
        <w:numPr>
          <w:ilvl w:val="1"/>
          <w:numId w:val="55"/>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3"/>
          <w:szCs w:val="13"/>
          <w:color w:val="auto"/>
        </w:rPr>
      </w:pPr>
    </w:p>
    <w:p>
      <w:pPr>
        <w:ind w:left="1160" w:right="180" w:hanging="391"/>
        <w:spacing w:after="0" w:line="284" w:lineRule="auto"/>
        <w:tabs>
          <w:tab w:leader="none" w:pos="1156" w:val="left"/>
        </w:tabs>
        <w:numPr>
          <w:ilvl w:val="1"/>
          <w:numId w:val="55"/>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2"/>
          <w:szCs w:val="12"/>
          <w:color w:val="auto"/>
        </w:rPr>
      </w:pPr>
    </w:p>
    <w:p>
      <w:pPr>
        <w:ind w:left="760" w:right="280" w:hanging="373"/>
        <w:spacing w:after="0" w:line="244" w:lineRule="auto"/>
        <w:tabs>
          <w:tab w:leader="none" w:pos="76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3"/>
          <w:szCs w:val="13"/>
          <w:color w:val="auto"/>
        </w:rPr>
      </w:pPr>
    </w:p>
    <w:p>
      <w:pPr>
        <w:ind w:left="1160" w:right="580" w:hanging="391"/>
        <w:spacing w:after="0" w:line="244" w:lineRule="auto"/>
        <w:tabs>
          <w:tab w:leader="none" w:pos="1156" w:val="left"/>
        </w:tabs>
        <w:numPr>
          <w:ilvl w:val="1"/>
          <w:numId w:val="55"/>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Arial" w:cs="Arial" w:eastAsia="Arial" w:hAnsi="Arial"/>
          <w:sz w:val="13"/>
          <w:szCs w:val="13"/>
          <w:color w:val="auto"/>
        </w:rPr>
      </w:pPr>
    </w:p>
    <w:p>
      <w:pPr>
        <w:ind w:left="1140" w:hanging="371"/>
        <w:spacing w:after="0"/>
        <w:tabs>
          <w:tab w:leader="none" w:pos="1140" w:val="left"/>
        </w:tabs>
        <w:numPr>
          <w:ilvl w:val="1"/>
          <w:numId w:val="55"/>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720" w:val="left"/>
          <w:tab w:leader="none" w:pos="5720" w:val="left"/>
          <w:tab w:leader="none" w:pos="6180" w:val="left"/>
        </w:tabs>
        <w:rPr>
          <w:sz w:val="20"/>
          <w:szCs w:val="20"/>
          <w:color w:val="auto"/>
        </w:rPr>
      </w:pP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March 16, 2022</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Clinton P.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12065</wp:posOffset>
            </wp:positionV>
            <wp:extent cx="3234055" cy="698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1">
                      <a:extLst>
                        <a:ext uri="{28A0092B-C50C-407E-A947-70E740481C1C}"/>
                      </a:extLst>
                    </a:blip>
                    <a:srcRect/>
                    <a:stretch>
                      <a:fillRect/>
                    </a:stretch>
                  </pic:blipFill>
                  <pic:spPr bwMode="auto">
                    <a:xfrm>
                      <a:off x="0" y="0"/>
                      <a:ext cx="3234055" cy="6985"/>
                    </a:xfrm>
                    <a:prstGeom prst="rect">
                      <a:avLst/>
                    </a:prstGeom>
                    <a:noFill/>
                  </pic:spPr>
                </pic:pic>
              </a:graphicData>
            </a:graphic>
          </wp:anchor>
        </w:drawing>
      </w:r>
    </w:p>
    <w:p>
      <w:pPr>
        <w:spacing w:after="0" w:line="31"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Clinton P. Jones</w:t>
      </w:r>
    </w:p>
    <w:p>
      <w:pPr>
        <w:ind w:left="6200"/>
        <w:spacing w:after="0"/>
        <w:rPr>
          <w:sz w:val="20"/>
          <w:szCs w:val="20"/>
          <w:color w:val="auto"/>
        </w:rPr>
      </w:pPr>
      <w:r>
        <w:rPr>
          <w:rFonts w:ascii="Arial" w:cs="Arial" w:eastAsia="Arial" w:hAnsi="Arial"/>
          <w:sz w:val="13"/>
          <w:szCs w:val="13"/>
          <w:color w:val="auto"/>
        </w:rPr>
        <w:t>Chief Executive Officer</w:t>
      </w:r>
    </w:p>
    <w:p>
      <w:pPr>
        <w:ind w:left="6200"/>
        <w:spacing w:after="0"/>
        <w:rPr>
          <w:sz w:val="20"/>
          <w:szCs w:val="20"/>
          <w:color w:val="auto"/>
        </w:rPr>
      </w:pPr>
      <w:r>
        <w:rPr>
          <w:rFonts w:ascii="Arial" w:cs="Arial" w:eastAsia="Arial" w:hAnsi="Arial"/>
          <w:sz w:val="13"/>
          <w:szCs w:val="13"/>
          <w:i w:val="1"/>
          <w:iCs w:val="1"/>
          <w:color w:val="auto"/>
        </w:rPr>
        <w:t>(Principal Executive Officer)</w:t>
      </w:r>
    </w:p>
    <w:p>
      <w:pPr>
        <w:sectPr>
          <w:pgSz w:w="11900" w:h="16838" w:orient="portrait"/>
          <w:cols w:equalWidth="0" w:num="1">
            <w:col w:w="11280"/>
          </w:cols>
          <w:pgMar w:left="300" w:top="900" w:right="319" w:bottom="1440" w:gutter="0" w:footer="0" w:header="0"/>
        </w:sectPr>
      </w:pPr>
    </w:p>
    <w:bookmarkStart w:id="165" w:name="page166"/>
    <w:bookmarkEnd w:id="165"/>
    <w:p>
      <w:pPr>
        <w:jc w:val="right"/>
        <w:spacing w:after="0"/>
        <w:rPr>
          <w:sz w:val="20"/>
          <w:szCs w:val="20"/>
          <w:color w:val="auto"/>
        </w:rPr>
      </w:pPr>
      <w:r>
        <w:rPr>
          <w:rFonts w:ascii="Arial" w:cs="Arial" w:eastAsia="Arial" w:hAnsi="Arial"/>
          <w:sz w:val="13"/>
          <w:szCs w:val="13"/>
          <w:b w:val="1"/>
          <w:bCs w:val="1"/>
          <w:color w:val="auto"/>
        </w:rPr>
        <w:t>Exhibit 31.2</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I, Travis J. Matthiesen, certify that:</w:t>
      </w:r>
    </w:p>
    <w:p>
      <w:pPr>
        <w:spacing w:after="0" w:line="169" w:lineRule="exact"/>
        <w:rPr>
          <w:sz w:val="20"/>
          <w:szCs w:val="20"/>
          <w:color w:val="auto"/>
        </w:rPr>
      </w:pPr>
    </w:p>
    <w:p>
      <w:pPr>
        <w:ind w:left="760" w:hanging="373"/>
        <w:spacing w:after="0"/>
        <w:tabs>
          <w:tab w:leader="none" w:pos="760" w:val="left"/>
        </w:tabs>
        <w:numPr>
          <w:ilvl w:val="0"/>
          <w:numId w:val="56"/>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GoHealth, Inc.;</w:t>
      </w:r>
    </w:p>
    <w:p>
      <w:pPr>
        <w:spacing w:after="0" w:line="168" w:lineRule="exact"/>
        <w:rPr>
          <w:rFonts w:ascii="Arial" w:cs="Arial" w:eastAsia="Arial" w:hAnsi="Arial"/>
          <w:sz w:val="13"/>
          <w:szCs w:val="13"/>
          <w:color w:val="auto"/>
        </w:rPr>
      </w:pPr>
    </w:p>
    <w:p>
      <w:pPr>
        <w:ind w:left="760" w:right="480" w:hanging="373"/>
        <w:spacing w:after="0" w:line="244" w:lineRule="auto"/>
        <w:tabs>
          <w:tab w:leader="none" w:pos="760" w:val="left"/>
        </w:tabs>
        <w:numPr>
          <w:ilvl w:val="0"/>
          <w:numId w:val="56"/>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3"/>
          <w:szCs w:val="13"/>
          <w:color w:val="auto"/>
        </w:rPr>
      </w:pPr>
    </w:p>
    <w:p>
      <w:pPr>
        <w:ind w:left="760" w:right="120" w:hanging="373"/>
        <w:spacing w:after="0" w:line="244" w:lineRule="auto"/>
        <w:tabs>
          <w:tab w:leader="none" w:pos="760" w:val="left"/>
        </w:tabs>
        <w:numPr>
          <w:ilvl w:val="0"/>
          <w:numId w:val="56"/>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3"/>
          <w:szCs w:val="13"/>
          <w:color w:val="auto"/>
        </w:rPr>
      </w:pPr>
    </w:p>
    <w:p>
      <w:pPr>
        <w:ind w:left="760" w:right="80" w:hanging="373"/>
        <w:spacing w:after="0" w:line="244" w:lineRule="auto"/>
        <w:tabs>
          <w:tab w:leader="none" w:pos="760"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Arial" w:cs="Arial" w:eastAsia="Arial" w:hAnsi="Arial"/>
          <w:sz w:val="13"/>
          <w:szCs w:val="13"/>
          <w:color w:val="auto"/>
        </w:rPr>
      </w:pPr>
    </w:p>
    <w:p>
      <w:pPr>
        <w:ind w:left="1160" w:right="200" w:hanging="391"/>
        <w:spacing w:after="0" w:line="241" w:lineRule="auto"/>
        <w:tabs>
          <w:tab w:leader="none" w:pos="1156" w:val="left"/>
        </w:tabs>
        <w:numPr>
          <w:ilvl w:val="1"/>
          <w:numId w:val="56"/>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3"/>
          <w:szCs w:val="13"/>
          <w:color w:val="auto"/>
        </w:rPr>
      </w:pPr>
    </w:p>
    <w:p>
      <w:pPr>
        <w:jc w:val="both"/>
        <w:ind w:left="1160" w:right="520" w:hanging="391"/>
        <w:spacing w:after="0" w:line="241" w:lineRule="auto"/>
        <w:tabs>
          <w:tab w:leader="none" w:pos="1156" w:val="left"/>
        </w:tabs>
        <w:numPr>
          <w:ilvl w:val="1"/>
          <w:numId w:val="56"/>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3"/>
          <w:szCs w:val="13"/>
          <w:color w:val="auto"/>
        </w:rPr>
      </w:pPr>
    </w:p>
    <w:p>
      <w:pPr>
        <w:ind w:left="1160" w:right="20" w:hanging="391"/>
        <w:spacing w:after="0" w:line="244" w:lineRule="auto"/>
        <w:tabs>
          <w:tab w:leader="none" w:pos="1160" w:val="left"/>
        </w:tabs>
        <w:numPr>
          <w:ilvl w:val="1"/>
          <w:numId w:val="56"/>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3"/>
          <w:szCs w:val="13"/>
          <w:color w:val="auto"/>
        </w:rPr>
      </w:pPr>
    </w:p>
    <w:p>
      <w:pPr>
        <w:ind w:left="1160" w:right="180" w:hanging="391"/>
        <w:spacing w:after="0" w:line="284" w:lineRule="auto"/>
        <w:tabs>
          <w:tab w:leader="none" w:pos="1156" w:val="left"/>
        </w:tabs>
        <w:numPr>
          <w:ilvl w:val="1"/>
          <w:numId w:val="56"/>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2"/>
          <w:szCs w:val="12"/>
          <w:color w:val="auto"/>
        </w:rPr>
      </w:pPr>
    </w:p>
    <w:p>
      <w:pPr>
        <w:ind w:left="760" w:right="280" w:hanging="373"/>
        <w:spacing w:after="0" w:line="244" w:lineRule="auto"/>
        <w:tabs>
          <w:tab w:leader="none" w:pos="760"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3"/>
          <w:szCs w:val="13"/>
          <w:color w:val="auto"/>
        </w:rPr>
      </w:pPr>
    </w:p>
    <w:p>
      <w:pPr>
        <w:ind w:left="1160" w:right="580" w:hanging="391"/>
        <w:spacing w:after="0" w:line="244" w:lineRule="auto"/>
        <w:tabs>
          <w:tab w:leader="none" w:pos="1156" w:val="left"/>
        </w:tabs>
        <w:numPr>
          <w:ilvl w:val="1"/>
          <w:numId w:val="56"/>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Arial" w:cs="Arial" w:eastAsia="Arial" w:hAnsi="Arial"/>
          <w:sz w:val="13"/>
          <w:szCs w:val="13"/>
          <w:color w:val="auto"/>
        </w:rPr>
      </w:pPr>
    </w:p>
    <w:p>
      <w:pPr>
        <w:ind w:left="1140" w:hanging="371"/>
        <w:spacing w:after="0"/>
        <w:tabs>
          <w:tab w:leader="none" w:pos="1140" w:val="left"/>
        </w:tabs>
        <w:numPr>
          <w:ilvl w:val="1"/>
          <w:numId w:val="56"/>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720" w:val="left"/>
          <w:tab w:leader="none" w:pos="5720" w:val="left"/>
          <w:tab w:leader="none" w:pos="6180" w:val="left"/>
        </w:tabs>
        <w:rPr>
          <w:sz w:val="20"/>
          <w:szCs w:val="20"/>
          <w:color w:val="auto"/>
        </w:rPr>
      </w:pP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March 16, 2022</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Travis J. Matthiesen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12065</wp:posOffset>
            </wp:positionV>
            <wp:extent cx="3234055" cy="69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2">
                      <a:extLst>
                        <a:ext uri="{28A0092B-C50C-407E-A947-70E740481C1C}"/>
                      </a:extLst>
                    </a:blip>
                    <a:srcRect/>
                    <a:stretch>
                      <a:fillRect/>
                    </a:stretch>
                  </pic:blipFill>
                  <pic:spPr bwMode="auto">
                    <a:xfrm>
                      <a:off x="0" y="0"/>
                      <a:ext cx="3234055" cy="6985"/>
                    </a:xfrm>
                    <a:prstGeom prst="rect">
                      <a:avLst/>
                    </a:prstGeom>
                    <a:noFill/>
                  </pic:spPr>
                </pic:pic>
              </a:graphicData>
            </a:graphic>
          </wp:anchor>
        </w:drawing>
      </w:r>
    </w:p>
    <w:p>
      <w:pPr>
        <w:spacing w:after="0" w:line="31"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Travis J. Matthiesen</w:t>
      </w:r>
    </w:p>
    <w:p>
      <w:pPr>
        <w:ind w:left="6200"/>
        <w:spacing w:after="0"/>
        <w:rPr>
          <w:sz w:val="20"/>
          <w:szCs w:val="20"/>
          <w:color w:val="auto"/>
        </w:rPr>
      </w:pPr>
      <w:r>
        <w:rPr>
          <w:rFonts w:ascii="Arial" w:cs="Arial" w:eastAsia="Arial" w:hAnsi="Arial"/>
          <w:sz w:val="13"/>
          <w:szCs w:val="13"/>
          <w:color w:val="auto"/>
        </w:rPr>
        <w:t>Interim Chief Financial Officer</w:t>
      </w:r>
    </w:p>
    <w:p>
      <w:pPr>
        <w:ind w:left="6200"/>
        <w:spacing w:after="0"/>
        <w:rPr>
          <w:sz w:val="20"/>
          <w:szCs w:val="20"/>
          <w:color w:val="auto"/>
        </w:rPr>
      </w:pPr>
      <w:r>
        <w:rPr>
          <w:rFonts w:ascii="Arial" w:cs="Arial" w:eastAsia="Arial" w:hAnsi="Arial"/>
          <w:sz w:val="13"/>
          <w:szCs w:val="13"/>
          <w:i w:val="1"/>
          <w:iCs w:val="1"/>
          <w:color w:val="auto"/>
        </w:rPr>
        <w:t>(Principal Financial and Accounting Officer)</w:t>
      </w:r>
    </w:p>
    <w:p>
      <w:pPr>
        <w:sectPr>
          <w:pgSz w:w="11900" w:h="16838" w:orient="portrait"/>
          <w:cols w:equalWidth="0" w:num="1">
            <w:col w:w="11280"/>
          </w:cols>
          <w:pgMar w:left="300" w:top="900" w:right="319" w:bottom="1440" w:gutter="0" w:footer="0" w:header="0"/>
        </w:sectPr>
      </w:pPr>
    </w:p>
    <w:bookmarkStart w:id="166" w:name="page167"/>
    <w:bookmarkEnd w:id="166"/>
    <w:p>
      <w:pPr>
        <w:jc w:val="right"/>
        <w:spacing w:after="0"/>
        <w:rPr>
          <w:sz w:val="20"/>
          <w:szCs w:val="20"/>
          <w:color w:val="auto"/>
        </w:rPr>
      </w:pPr>
      <w:r>
        <w:rPr>
          <w:rFonts w:ascii="Arial" w:cs="Arial" w:eastAsia="Arial" w:hAnsi="Arial"/>
          <w:sz w:val="13"/>
          <w:szCs w:val="13"/>
          <w:b w:val="1"/>
          <w:bCs w:val="1"/>
          <w:color w:val="auto"/>
        </w:rPr>
        <w:t>Exhibit 32.1</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41"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18 U.S.C. Section 1350, as Adopted Pursuant to</w:t>
      </w:r>
    </w:p>
    <w:p>
      <w:pPr>
        <w:spacing w:after="0" w:line="41"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185" w:lineRule="exact"/>
        <w:rPr>
          <w:sz w:val="20"/>
          <w:szCs w:val="20"/>
          <w:color w:val="auto"/>
        </w:rPr>
      </w:pPr>
    </w:p>
    <w:p>
      <w:pPr>
        <w:ind w:right="340"/>
        <w:spacing w:after="0" w:line="244" w:lineRule="auto"/>
        <w:rPr>
          <w:sz w:val="20"/>
          <w:szCs w:val="20"/>
          <w:color w:val="auto"/>
        </w:rPr>
      </w:pPr>
      <w:r>
        <w:rPr>
          <w:rFonts w:ascii="Arial" w:cs="Arial" w:eastAsia="Arial" w:hAnsi="Arial"/>
          <w:sz w:val="13"/>
          <w:szCs w:val="13"/>
          <w:color w:val="auto"/>
        </w:rPr>
        <w:t>In connection with the Annual Report on Form 10-K of GoHealth, Inc. (the “Company”) for the period ended December 31, 2021 as filed with the Securities and Exchange Commission on the date hereof (the “Report”), I certify, pursuant to 18 U.S.C. § 1350, as adopted pursuant to § 906 of the Sarbanes-Oxley Act of 2002, that:</w:t>
      </w:r>
    </w:p>
    <w:p>
      <w:pPr>
        <w:spacing w:after="0" w:line="163" w:lineRule="exact"/>
        <w:rPr>
          <w:sz w:val="20"/>
          <w:szCs w:val="20"/>
          <w:color w:val="auto"/>
        </w:rPr>
      </w:pPr>
    </w:p>
    <w:p>
      <w:pPr>
        <w:ind w:left="760" w:hanging="437"/>
        <w:spacing w:after="0"/>
        <w:tabs>
          <w:tab w:leader="none" w:pos="76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as amended; and</w:t>
      </w:r>
    </w:p>
    <w:p>
      <w:pPr>
        <w:spacing w:after="0" w:line="168" w:lineRule="exact"/>
        <w:rPr>
          <w:rFonts w:ascii="Arial" w:cs="Arial" w:eastAsia="Arial" w:hAnsi="Arial"/>
          <w:sz w:val="13"/>
          <w:szCs w:val="13"/>
          <w:color w:val="auto"/>
        </w:rPr>
      </w:pPr>
    </w:p>
    <w:p>
      <w:pPr>
        <w:ind w:left="760" w:hanging="437"/>
        <w:spacing w:after="0"/>
        <w:tabs>
          <w:tab w:leader="none" w:pos="76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ind w:left="20"/>
        <w:spacing w:after="0"/>
        <w:tabs>
          <w:tab w:leader="none" w:pos="720" w:val="left"/>
          <w:tab w:leader="none" w:pos="5720" w:val="left"/>
          <w:tab w:leader="none" w:pos="6180" w:val="left"/>
        </w:tabs>
        <w:rPr>
          <w:sz w:val="20"/>
          <w:szCs w:val="20"/>
          <w:color w:val="auto"/>
        </w:rPr>
      </w:pP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March 16, 2022</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Clinton P.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12065</wp:posOffset>
            </wp:positionV>
            <wp:extent cx="3234055" cy="69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3">
                      <a:extLst>
                        <a:ext uri="{28A0092B-C50C-407E-A947-70E740481C1C}"/>
                      </a:extLst>
                    </a:blip>
                    <a:srcRect/>
                    <a:stretch>
                      <a:fillRect/>
                    </a:stretch>
                  </pic:blipFill>
                  <pic:spPr bwMode="auto">
                    <a:xfrm>
                      <a:off x="0" y="0"/>
                      <a:ext cx="3234055" cy="6985"/>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3"/>
          <w:szCs w:val="13"/>
          <w:color w:val="auto"/>
        </w:rPr>
        <w:t>Clinton P. Jones</w:t>
      </w:r>
    </w:p>
    <w:p>
      <w:pPr>
        <w:ind w:left="6200"/>
        <w:spacing w:after="0" w:line="204" w:lineRule="auto"/>
        <w:rPr>
          <w:sz w:val="20"/>
          <w:szCs w:val="20"/>
          <w:color w:val="auto"/>
        </w:rPr>
      </w:pPr>
      <w:r>
        <w:rPr>
          <w:rFonts w:ascii="Arial" w:cs="Arial" w:eastAsia="Arial" w:hAnsi="Arial"/>
          <w:sz w:val="13"/>
          <w:szCs w:val="13"/>
          <w:color w:val="auto"/>
        </w:rPr>
        <w:t>Chief Executive Officer</w:t>
      </w:r>
    </w:p>
    <w:p>
      <w:pPr>
        <w:ind w:left="6200"/>
        <w:spacing w:after="0"/>
        <w:rPr>
          <w:sz w:val="20"/>
          <w:szCs w:val="20"/>
          <w:color w:val="auto"/>
        </w:rPr>
      </w:pPr>
      <w:r>
        <w:rPr>
          <w:rFonts w:ascii="Arial" w:cs="Arial" w:eastAsia="Arial" w:hAnsi="Arial"/>
          <w:sz w:val="13"/>
          <w:szCs w:val="13"/>
          <w:i w:val="1"/>
          <w:iCs w:val="1"/>
          <w:color w:val="auto"/>
        </w:rPr>
        <w:t>(Principal Executive Officer)</w:t>
      </w:r>
    </w:p>
    <w:p>
      <w:pPr>
        <w:sectPr>
          <w:pgSz w:w="11900" w:h="16838" w:orient="portrait"/>
          <w:cols w:equalWidth="0" w:num="1">
            <w:col w:w="11280"/>
          </w:cols>
          <w:pgMar w:left="300" w:top="899" w:right="319" w:bottom="1440" w:gutter="0" w:footer="0" w:header="0"/>
        </w:sectPr>
      </w:pPr>
    </w:p>
    <w:bookmarkStart w:id="167" w:name="page168"/>
    <w:bookmarkEnd w:id="167"/>
    <w:p>
      <w:pPr>
        <w:jc w:val="right"/>
        <w:spacing w:after="0"/>
        <w:rPr>
          <w:sz w:val="20"/>
          <w:szCs w:val="20"/>
          <w:color w:val="auto"/>
        </w:rPr>
      </w:pPr>
      <w:r>
        <w:rPr>
          <w:rFonts w:ascii="Arial" w:cs="Arial" w:eastAsia="Arial" w:hAnsi="Arial"/>
          <w:sz w:val="13"/>
          <w:szCs w:val="13"/>
          <w:b w:val="1"/>
          <w:bCs w:val="1"/>
          <w:color w:val="auto"/>
        </w:rPr>
        <w:t>Exhibit 32.2</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41"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18 U.S.C. Section 1350, as Adopted Pursuant to</w:t>
      </w:r>
    </w:p>
    <w:p>
      <w:pPr>
        <w:spacing w:after="0" w:line="41"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185" w:lineRule="exact"/>
        <w:rPr>
          <w:sz w:val="20"/>
          <w:szCs w:val="20"/>
          <w:color w:val="auto"/>
        </w:rPr>
      </w:pPr>
    </w:p>
    <w:p>
      <w:pPr>
        <w:ind w:right="340"/>
        <w:spacing w:after="0" w:line="244" w:lineRule="auto"/>
        <w:rPr>
          <w:sz w:val="20"/>
          <w:szCs w:val="20"/>
          <w:color w:val="auto"/>
        </w:rPr>
      </w:pPr>
      <w:r>
        <w:rPr>
          <w:rFonts w:ascii="Arial" w:cs="Arial" w:eastAsia="Arial" w:hAnsi="Arial"/>
          <w:sz w:val="13"/>
          <w:szCs w:val="13"/>
          <w:color w:val="auto"/>
        </w:rPr>
        <w:t>In connection with the Annual Report on Form 10-K of GoHealth, Inc. (the “Company”) for the period ended December 31, 2021 as filed with the Securities and Exchange Commission on the date hereof (the “Report”), I certify, pursuant to 18 U.S.C. § 1350, as adopted pursuant to § 906 of the Sarbanes-Oxley Act of 2002, that:</w:t>
      </w:r>
    </w:p>
    <w:p>
      <w:pPr>
        <w:spacing w:after="0" w:line="163" w:lineRule="exact"/>
        <w:rPr>
          <w:sz w:val="20"/>
          <w:szCs w:val="20"/>
          <w:color w:val="auto"/>
        </w:rPr>
      </w:pPr>
    </w:p>
    <w:p>
      <w:pPr>
        <w:ind w:left="760" w:hanging="437"/>
        <w:spacing w:after="0"/>
        <w:tabs>
          <w:tab w:leader="none" w:pos="7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as amended; and</w:t>
      </w:r>
    </w:p>
    <w:p>
      <w:pPr>
        <w:spacing w:after="0" w:line="168" w:lineRule="exact"/>
        <w:rPr>
          <w:rFonts w:ascii="Arial" w:cs="Arial" w:eastAsia="Arial" w:hAnsi="Arial"/>
          <w:sz w:val="13"/>
          <w:szCs w:val="13"/>
          <w:color w:val="auto"/>
        </w:rPr>
      </w:pPr>
    </w:p>
    <w:p>
      <w:pPr>
        <w:ind w:left="760" w:hanging="437"/>
        <w:spacing w:after="0"/>
        <w:tabs>
          <w:tab w:leader="none" w:pos="7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ind w:left="20"/>
        <w:spacing w:after="0"/>
        <w:tabs>
          <w:tab w:leader="none" w:pos="720" w:val="left"/>
          <w:tab w:leader="none" w:pos="5720" w:val="left"/>
          <w:tab w:leader="none" w:pos="6180" w:val="left"/>
        </w:tabs>
        <w:rPr>
          <w:sz w:val="20"/>
          <w:szCs w:val="20"/>
          <w:color w:val="auto"/>
        </w:rPr>
      </w:pP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March 16, 2022</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Travis J. Matthiesen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12065</wp:posOffset>
            </wp:positionV>
            <wp:extent cx="3234055" cy="69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4">
                      <a:extLst>
                        <a:ext uri="{28A0092B-C50C-407E-A947-70E740481C1C}"/>
                      </a:extLst>
                    </a:blip>
                    <a:srcRect/>
                    <a:stretch>
                      <a:fillRect/>
                    </a:stretch>
                  </pic:blipFill>
                  <pic:spPr bwMode="auto">
                    <a:xfrm>
                      <a:off x="0" y="0"/>
                      <a:ext cx="3234055" cy="6985"/>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3"/>
          <w:szCs w:val="13"/>
          <w:color w:val="auto"/>
        </w:rPr>
        <w:t>Travis J. Matthiesen</w:t>
      </w:r>
    </w:p>
    <w:p>
      <w:pPr>
        <w:ind w:left="6200"/>
        <w:spacing w:after="0" w:line="204" w:lineRule="auto"/>
        <w:rPr>
          <w:sz w:val="20"/>
          <w:szCs w:val="20"/>
          <w:color w:val="auto"/>
        </w:rPr>
      </w:pPr>
      <w:r>
        <w:rPr>
          <w:rFonts w:ascii="Arial" w:cs="Arial" w:eastAsia="Arial" w:hAnsi="Arial"/>
          <w:sz w:val="13"/>
          <w:szCs w:val="13"/>
          <w:color w:val="auto"/>
        </w:rPr>
        <w:t>Interim Chief Financial Officer</w:t>
      </w:r>
    </w:p>
    <w:p>
      <w:pPr>
        <w:ind w:left="6200"/>
        <w:spacing w:after="0"/>
        <w:rPr>
          <w:sz w:val="20"/>
          <w:szCs w:val="20"/>
          <w:color w:val="auto"/>
        </w:rPr>
      </w:pPr>
      <w:r>
        <w:rPr>
          <w:rFonts w:ascii="Arial" w:cs="Arial" w:eastAsia="Arial" w:hAnsi="Arial"/>
          <w:sz w:val="13"/>
          <w:szCs w:val="13"/>
          <w:i w:val="1"/>
          <w:iCs w:val="1"/>
          <w:color w:val="auto"/>
        </w:rPr>
        <w:t>(Principal Financial and Accounting Officer)</w:t>
      </w:r>
    </w:p>
    <w:sectPr>
      <w:pgSz w:w="11900" w:h="16838" w:orient="portrait"/>
      <w:cols w:equalWidth="0" w:num="1">
        <w:col w:w="11280"/>
      </w:cols>
      <w:pgMar w:left="300" w:top="89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1)"/>
      <w:numFmt w:val="decimal"/>
      <w:start w:val="1"/>
    </w:lvl>
  </w:abstractNum>
  <w:abstractNum w:abstractNumId="29">
    <w:nsid w:val="725A06FB"/>
    <w:multiLevelType w:val="hybridMultilevel"/>
    <w:lvl w:ilvl="0">
      <w:lvlJc w:val="left"/>
      <w:lvlText w:val="(%1)"/>
      <w:numFmt w:val="decimal"/>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1)"/>
      <w:numFmt w:val="decimal"/>
      <w:start w:val="1"/>
    </w:lvl>
  </w:abstractNum>
  <w:abstractNum w:abstractNumId="32">
    <w:nsid w:val="7A6D8D3C"/>
    <w:multiLevelType w:val="hybridMultilevel"/>
    <w:lvl w:ilvl="0">
      <w:lvlJc w:val="left"/>
      <w:lvlText w:val="%1."/>
      <w:numFmt w:val="decimal"/>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3"/>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1."/>
      <w:numFmt w:val="decimal"/>
      <w:start w:val="2"/>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1."/>
      <w:numFmt w:val="decimal"/>
      <w:start w:val="4"/>
    </w:lvl>
  </w:abstractNum>
  <w:abstractNum w:abstractNumId="41">
    <w:nsid w:val="749ABB43"/>
    <w:multiLevelType w:val="hybridMultilevel"/>
    <w:lvl w:ilvl="0">
      <w:lvlJc w:val="left"/>
      <w:lvlText w:val="%1."/>
      <w:numFmt w:val="decimal"/>
      <w:start w:val="6"/>
    </w:lvl>
  </w:abstractNum>
  <w:abstractNum w:abstractNumId="42">
    <w:nsid w:val="3DC240FB"/>
    <w:multiLevelType w:val="hybridMultilevel"/>
    <w:lvl w:ilvl="0">
      <w:lvlJc w:val="left"/>
      <w:lvlText w:val="(%1)"/>
      <w:numFmt w:val="decimal"/>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1)"/>
      <w:numFmt w:val="decimal"/>
      <w:start w:val="1"/>
    </w:lvl>
  </w:abstractNum>
  <w:abstractNum w:abstractNumId="45">
    <w:nsid w:val="75C6C33A"/>
    <w:multiLevelType w:val="hybridMultilevel"/>
    <w:lvl w:ilvl="0">
      <w:lvlJc w:val="left"/>
      <w:lvlText w:val="%1."/>
      <w:numFmt w:val="decimal"/>
      <w:start w:val="14"/>
    </w:lvl>
  </w:abstractNum>
  <w:abstractNum w:abstractNumId="46">
    <w:nsid w:val="12E685FB"/>
    <w:multiLevelType w:val="hybridMultilevel"/>
    <w:lvl w:ilvl="0">
      <w:lvlJc w:val="left"/>
      <w:lvlText w:val="%1."/>
      <w:numFmt w:val="decimal"/>
      <w:start w:val="1"/>
    </w:lvl>
  </w:abstractNum>
  <w:abstractNum w:abstractNumId="47">
    <w:nsid w:val="70C6A529"/>
    <w:multiLevelType w:val="hybridMultilevel"/>
    <w:lvl w:ilvl="0">
      <w:lvlJc w:val="left"/>
      <w:lvlText w:val="%1."/>
      <w:numFmt w:val="decimal"/>
      <w:start w:val="1"/>
    </w:lvl>
  </w:abstractNum>
  <w:abstractNum w:abstractNumId="48">
    <w:nsid w:val="520EEDD1"/>
    <w:multiLevelType w:val="hybridMultilevel"/>
    <w:lvl w:ilvl="0">
      <w:lvlJc w:val="left"/>
      <w:lvlText w:val="%1."/>
      <w:numFmt w:val="decimal"/>
      <w:start w:val="2"/>
    </w:lvl>
  </w:abstractNum>
  <w:abstractNum w:abstractNumId="49">
    <w:nsid w:val="374A3FE6"/>
    <w:multiLevelType w:val="hybridMultilevel"/>
    <w:lvl w:ilvl="0">
      <w:lvlJc w:val="left"/>
      <w:lvlText w:val="%1."/>
      <w:numFmt w:val="decimal"/>
      <w:start w:val="3"/>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1)"/>
      <w:numFmt w:val="decimal"/>
      <w:start w:val="1"/>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51" Type="http://schemas.openxmlformats.org/officeDocument/2006/relationships/image" Target="media/image236.png"/><Relationship Id="rId252" Type="http://schemas.openxmlformats.org/officeDocument/2006/relationships/image" Target="media/image237.png"/><Relationship Id="rId276" Type="http://schemas.openxmlformats.org/officeDocument/2006/relationships/image" Target="media/image238.png"/><Relationship Id="rId277" Type="http://schemas.openxmlformats.org/officeDocument/2006/relationships/image" Target="media/image239.png"/><Relationship Id="rId278" Type="http://schemas.openxmlformats.org/officeDocument/2006/relationships/image" Target="media/image240.png"/><Relationship Id="rId279" Type="http://schemas.openxmlformats.org/officeDocument/2006/relationships/image" Target="media/image241.png"/><Relationship Id="rId280" Type="http://schemas.openxmlformats.org/officeDocument/2006/relationships/image" Target="media/image242.png"/><Relationship Id="rId281" Type="http://schemas.openxmlformats.org/officeDocument/2006/relationships/image" Target="media/image243.png"/><Relationship Id="rId282" Type="http://schemas.openxmlformats.org/officeDocument/2006/relationships/image" Target="media/image244.png"/><Relationship Id="rId283" Type="http://schemas.openxmlformats.org/officeDocument/2006/relationships/image" Target="media/image245.png"/><Relationship Id="rId284" Type="http://schemas.openxmlformats.org/officeDocument/2006/relationships/image" Target="media/image246.png"/><Relationship Id="rId285" Type="http://schemas.openxmlformats.org/officeDocument/2006/relationships/image" Target="media/image247.png"/><Relationship Id="rId286" Type="http://schemas.openxmlformats.org/officeDocument/2006/relationships/image" Target="media/image248.png"/><Relationship Id="rId287" Type="http://schemas.openxmlformats.org/officeDocument/2006/relationships/image" Target="media/image249.png"/><Relationship Id="rId288" Type="http://schemas.openxmlformats.org/officeDocument/2006/relationships/image" Target="media/image250.png"/><Relationship Id="rId289" Type="http://schemas.openxmlformats.org/officeDocument/2006/relationships/image" Target="media/image251.png"/><Relationship Id="rId290" Type="http://schemas.openxmlformats.org/officeDocument/2006/relationships/image" Target="media/image252.png"/><Relationship Id="rId291" Type="http://schemas.openxmlformats.org/officeDocument/2006/relationships/image" Target="media/image253.png"/><Relationship Id="rId292" Type="http://schemas.openxmlformats.org/officeDocument/2006/relationships/image" Target="media/image254.png"/><Relationship Id="rId293" Type="http://schemas.openxmlformats.org/officeDocument/2006/relationships/image" Target="media/image255.png"/><Relationship Id="rId294" Type="http://schemas.openxmlformats.org/officeDocument/2006/relationships/image" Target="media/image256.png"/><Relationship Id="rId295" Type="http://schemas.openxmlformats.org/officeDocument/2006/relationships/image" Target="media/image257.png"/><Relationship Id="rId296" Type="http://schemas.openxmlformats.org/officeDocument/2006/relationships/image" Target="media/image258.png"/><Relationship Id="rId297" Type="http://schemas.openxmlformats.org/officeDocument/2006/relationships/image" Target="media/image259.png"/><Relationship Id="rId298" Type="http://schemas.openxmlformats.org/officeDocument/2006/relationships/image" Target="media/image260.png"/><Relationship Id="rId299" Type="http://schemas.openxmlformats.org/officeDocument/2006/relationships/image" Target="media/image261.png"/><Relationship Id="rId300" Type="http://schemas.openxmlformats.org/officeDocument/2006/relationships/image" Target="media/image262.png"/><Relationship Id="rId301" Type="http://schemas.openxmlformats.org/officeDocument/2006/relationships/image" Target="media/image263.png"/><Relationship Id="rId302" Type="http://schemas.openxmlformats.org/officeDocument/2006/relationships/image" Target="media/image264.png"/><Relationship Id="rId303" Type="http://schemas.openxmlformats.org/officeDocument/2006/relationships/image" Target="media/image265.png"/><Relationship Id="rId304" Type="http://schemas.openxmlformats.org/officeDocument/2006/relationships/image" Target="media/image266.png"/><Relationship Id="rId305" Type="http://schemas.openxmlformats.org/officeDocument/2006/relationships/image" Target="media/image267.png"/><Relationship Id="rId306" Type="http://schemas.openxmlformats.org/officeDocument/2006/relationships/image" Target="media/image268.png"/><Relationship Id="rId307" Type="http://schemas.openxmlformats.org/officeDocument/2006/relationships/image" Target="media/image269.png"/><Relationship Id="rId308" Type="http://schemas.openxmlformats.org/officeDocument/2006/relationships/image" Target="media/image270.png"/><Relationship Id="rId309" Type="http://schemas.openxmlformats.org/officeDocument/2006/relationships/image" Target="media/image271.png"/><Relationship Id="rId310" Type="http://schemas.openxmlformats.org/officeDocument/2006/relationships/image" Target="media/image272.png"/><Relationship Id="rId311" Type="http://schemas.openxmlformats.org/officeDocument/2006/relationships/image" Target="media/image273.png"/><Relationship Id="rId312" Type="http://schemas.openxmlformats.org/officeDocument/2006/relationships/image" Target="media/image274.png"/><Relationship Id="rId313" Type="http://schemas.openxmlformats.org/officeDocument/2006/relationships/image" Target="media/image275.png"/><Relationship Id="rId314" Type="http://schemas.openxmlformats.org/officeDocument/2006/relationships/image" Target="media/image276.png"/><Relationship Id="rId315" Type="http://schemas.openxmlformats.org/officeDocument/2006/relationships/image" Target="media/image277.png"/><Relationship Id="rId316" Type="http://schemas.openxmlformats.org/officeDocument/2006/relationships/image" Target="media/image278.png"/><Relationship Id="rId317" Type="http://schemas.openxmlformats.org/officeDocument/2006/relationships/image" Target="media/image279.png"/><Relationship Id="rId318" Type="http://schemas.openxmlformats.org/officeDocument/2006/relationships/image" Target="media/image280.png"/><Relationship Id="rId319" Type="http://schemas.openxmlformats.org/officeDocument/2006/relationships/image" Target="media/image281.png"/><Relationship Id="rId320" Type="http://schemas.openxmlformats.org/officeDocument/2006/relationships/image" Target="media/image282.png"/><Relationship Id="rId321" Type="http://schemas.openxmlformats.org/officeDocument/2006/relationships/image" Target="media/image283.png"/><Relationship Id="rId322" Type="http://schemas.openxmlformats.org/officeDocument/2006/relationships/image" Target="media/image284.png"/><Relationship Id="rId323" Type="http://schemas.openxmlformats.org/officeDocument/2006/relationships/image" Target="media/image285.png"/><Relationship Id="rId324" Type="http://schemas.openxmlformats.org/officeDocument/2006/relationships/image" Target="media/image286.png"/><Relationship Id="rId325" Type="http://schemas.openxmlformats.org/officeDocument/2006/relationships/image" Target="media/image287.png"/><Relationship Id="rId326" Type="http://schemas.openxmlformats.org/officeDocument/2006/relationships/image" Target="media/image288.png"/><Relationship Id="rId327" Type="http://schemas.openxmlformats.org/officeDocument/2006/relationships/image" Target="media/image289.png"/><Relationship Id="rId328" Type="http://schemas.openxmlformats.org/officeDocument/2006/relationships/image" Target="media/image290.png"/><Relationship Id="rId329" Type="http://schemas.openxmlformats.org/officeDocument/2006/relationships/image" Target="media/image291.png"/><Relationship Id="rId330" Type="http://schemas.openxmlformats.org/officeDocument/2006/relationships/image" Target="media/image292.png"/><Relationship Id="rId331" Type="http://schemas.openxmlformats.org/officeDocument/2006/relationships/image" Target="media/image293.png"/><Relationship Id="rId332" Type="http://schemas.openxmlformats.org/officeDocument/2006/relationships/image" Target="media/image294.png"/><Relationship Id="rId333" Type="http://schemas.openxmlformats.org/officeDocument/2006/relationships/image" Target="media/image295.png"/><Relationship Id="rId334" Type="http://schemas.openxmlformats.org/officeDocument/2006/relationships/image" Target="media/image296.png"/><Relationship Id="rId335" Type="http://schemas.openxmlformats.org/officeDocument/2006/relationships/image" Target="media/image297.png"/><Relationship Id="rId336" Type="http://schemas.openxmlformats.org/officeDocument/2006/relationships/image" Target="media/image298.png"/><Relationship Id="rId337" Type="http://schemas.openxmlformats.org/officeDocument/2006/relationships/image" Target="media/image299.png"/><Relationship Id="rId338" Type="http://schemas.openxmlformats.org/officeDocument/2006/relationships/image" Target="media/image300.png"/><Relationship Id="rId339" Type="http://schemas.openxmlformats.org/officeDocument/2006/relationships/image" Target="media/image301.png"/><Relationship Id="rId340" Type="http://schemas.openxmlformats.org/officeDocument/2006/relationships/image" Target="media/image302.png"/><Relationship Id="rId341" Type="http://schemas.openxmlformats.org/officeDocument/2006/relationships/image" Target="media/image303.png"/><Relationship Id="rId342" Type="http://schemas.openxmlformats.org/officeDocument/2006/relationships/image" Target="media/image304.png"/><Relationship Id="rId343" Type="http://schemas.openxmlformats.org/officeDocument/2006/relationships/image" Target="media/image305.png"/><Relationship Id="rId344" Type="http://schemas.openxmlformats.org/officeDocument/2006/relationships/image" Target="media/image306.png"/><Relationship Id="rId243" Type="http://schemas.openxmlformats.org/officeDocument/2006/relationships/hyperlink" Target="https://www.sec.gov/Archives/edgar/data/1808220/000119312520224832/d935246dex31.htm" TargetMode="External"/><Relationship Id="rId244" Type="http://schemas.openxmlformats.org/officeDocument/2006/relationships/hyperlink" Target="https://www.sec.gov/Archives/edgar/data/1808220/000119312520224832/d935246dex32.htm" TargetMode="External"/><Relationship Id="rId245" Type="http://schemas.openxmlformats.org/officeDocument/2006/relationships/hyperlink" Target="https://www.sec.gov/Archives/edgar/data/1808220/000119312520173051/d797183dex41.htm" TargetMode="External"/><Relationship Id="rId246" Type="http://schemas.openxmlformats.org/officeDocument/2006/relationships/hyperlink" Target="https://www.sec.gov/Archives/edgar/data/0001808220/000180822021000010/goco-20201231xex42xform10xk.htm" TargetMode="External"/><Relationship Id="rId247" Type="http://schemas.openxmlformats.org/officeDocument/2006/relationships/hyperlink" Target="https://www.sec.gov/Archives/edgar/data/1808220/000119312520173051/d797183dex105.htm" TargetMode="External"/><Relationship Id="rId248" Type="http://schemas.openxmlformats.org/officeDocument/2006/relationships/hyperlink" Target="https://www.sec.gov/Archives/edgar/data/1808220/000119312520224832/d935246dex102.htm" TargetMode="External"/><Relationship Id="rId249" Type="http://schemas.openxmlformats.org/officeDocument/2006/relationships/hyperlink" Target="https://www.sec.gov/Archives/edgar/data/1808220/000180822021000019/exhibit102.htm" TargetMode="External"/><Relationship Id="rId250" Type="http://schemas.openxmlformats.org/officeDocument/2006/relationships/hyperlink" Target="https://www.sec.gov/Archives/edgar/data/0001808220/000180822021000022/exhibit101toformdated614.htm" TargetMode="External"/><Relationship Id="rId253" Type="http://schemas.openxmlformats.org/officeDocument/2006/relationships/hyperlink" Target="https://www.sec.gov/Archives/edgar/data/0001808220/000180822021000066/exhibit101toformdated111.htm" TargetMode="External"/><Relationship Id="rId254" Type="http://schemas.openxmlformats.org/officeDocument/2006/relationships/hyperlink" Target="https://www.sec.gov/Archives/edgar/data/1808220/000119312520189225/d797183dex106.htm" TargetMode="External"/><Relationship Id="rId255" Type="http://schemas.openxmlformats.org/officeDocument/2006/relationships/hyperlink" Target="https://www.sec.gov/Archives/edgar/data/1808220/000119312520189225/d797183dex107.htm" TargetMode="External"/><Relationship Id="rId256" Type="http://schemas.openxmlformats.org/officeDocument/2006/relationships/hyperlink" Target="https://www.sec.gov/Archives/edgar/data/0001808220/000119312521362438/d270006dex991.htm" TargetMode="External"/><Relationship Id="rId257" Type="http://schemas.openxmlformats.org/officeDocument/2006/relationships/hyperlink" Target="https://www.sec.gov/Archives/edgar/data/0001808220/000119312521362438/d270006dex992.htm" TargetMode="External"/><Relationship Id="rId258" Type="http://schemas.openxmlformats.org/officeDocument/2006/relationships/hyperlink" Target="https://www.sec.gov/Archives/edgar/data/0001808220/000119312521362438/d270006dex993.htm" TargetMode="External"/><Relationship Id="rId259" Type="http://schemas.openxmlformats.org/officeDocument/2006/relationships/hyperlink" Target="https://www.sec.gov/Archives/edgar/data/1808220/000119312520173051/d797183dex109.htm" TargetMode="External"/><Relationship Id="rId260" Type="http://schemas.openxmlformats.org/officeDocument/2006/relationships/hyperlink" Target="https://www.sec.gov/Archives/edgar/data/1808220/000119312520187065/d797183dex109.htm" TargetMode="External"/><Relationship Id="rId261" Type="http://schemas.openxmlformats.org/officeDocument/2006/relationships/hyperlink" Target="https://www.sec.gov/Archives/edgar/data/1808220/000119312520187065/d797183dex1010.htm" TargetMode="External"/><Relationship Id="rId262" Type="http://schemas.openxmlformats.org/officeDocument/2006/relationships/hyperlink" Target="https://www.sec.gov/Archives/edgar/data/1808220/000119312520189225/d797183dex1011.htm" TargetMode="External"/><Relationship Id="rId263" Type="http://schemas.openxmlformats.org/officeDocument/2006/relationships/hyperlink" Target="https://www.sec.gov/Archives/edgar/data/1808220/000119312520189225/d797183dex1013.htm" TargetMode="External"/><Relationship Id="rId264" Type="http://schemas.openxmlformats.org/officeDocument/2006/relationships/hyperlink" Target="https://www.sec.gov/Archives/edgar/data/1808220/000119312520189225/d797183dex1014.htm" TargetMode="External"/><Relationship Id="rId265" Type="http://schemas.openxmlformats.org/officeDocument/2006/relationships/hyperlink" Target="https://www.sec.gov/Archives/edgar/data/1808220/000119312520189225/d797183dex1015.htm" TargetMode="External"/><Relationship Id="rId266" Type="http://schemas.openxmlformats.org/officeDocument/2006/relationships/hyperlink" Target="https://www.sec.gov/Archives/edgar/data/1808220/000119312520189225/d797183dex1016.htm" TargetMode="External"/><Relationship Id="rId267" Type="http://schemas.openxmlformats.org/officeDocument/2006/relationships/hyperlink" Target="https://www.sec.gov/Archives/edgar/data/1808220/000119312520189225/d797183dex1017.htm" TargetMode="External"/><Relationship Id="rId268" Type="http://schemas.openxmlformats.org/officeDocument/2006/relationships/hyperlink" Target="https://www.sec.gov/Archives/edgar/data/1808220/000119312520189225/d797183dex1018.htm" TargetMode="External"/><Relationship Id="rId269" Type="http://schemas.openxmlformats.org/officeDocument/2006/relationships/hyperlink" Target="https://www.sec.gov/Archives/edgar/data/1808220/000119312520189225/d797183dex1019.htm" TargetMode="External"/><Relationship Id="rId270" Type="http://schemas.openxmlformats.org/officeDocument/2006/relationships/hyperlink" Target="https://www.sec.gov/Archives/edgar/data/1808220/000119312520189225/d797183dex1020.htm" TargetMode="External"/><Relationship Id="rId271" Type="http://schemas.openxmlformats.org/officeDocument/2006/relationships/hyperlink" Target="https://www.sec.gov/Archives/edgar/data/1808220/000119312520194605/d924307dex101.htm" TargetMode="External"/><Relationship Id="rId272" Type="http://schemas.openxmlformats.org/officeDocument/2006/relationships/hyperlink" Target="https://www.sec.gov/Archives/edgar/data/1808220/000119312520194605/d924307dex102.htm" TargetMode="External"/><Relationship Id="rId273" Type="http://schemas.openxmlformats.org/officeDocument/2006/relationships/hyperlink" Target="https://www.sec.gov/Archives/edgar/data/1808220/000119312520194605/d924307dex103.htm" TargetMode="External"/><Relationship Id="rId274" Type="http://schemas.openxmlformats.org/officeDocument/2006/relationships/hyperlink" Target="https://www.sec.gov/Archives/edgar/data/1808220/000119312520194605/d924307dex104.htm" TargetMode="External"/><Relationship Id="rId275" Type="http://schemas.openxmlformats.org/officeDocument/2006/relationships/hyperlink" Target="https://www.sec.gov/Archives/edgar/data/0001808220/000119312522076947/d22964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2022-03-16T15:32:35Z</dcterms:created>
  <dcterms:modified xsi:type="dcterms:W3CDTF">2022-03-16T15:32:35Z</dcterms:modified>
</cp:coreProperties>
</file>