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169545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189865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10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93" w:lineRule="exact"/>
        <w:rPr>
          <w:sz w:val="24"/>
          <w:szCs w:val="24"/>
          <w:color w:val="auto"/>
        </w:rPr>
      </w:pPr>
    </w:p>
    <w:p>
      <w:pPr>
        <w:ind w:left="4640"/>
        <w:spacing w:after="0"/>
        <w:rPr>
          <w:sz w:val="20"/>
          <w:szCs w:val="20"/>
          <w:color w:val="auto"/>
        </w:rPr>
      </w:pPr>
      <w:r>
        <w:rPr>
          <w:rFonts w:ascii="Arial" w:cs="Arial" w:eastAsia="Arial" w:hAnsi="Arial"/>
          <w:sz w:val="17"/>
          <w:szCs w:val="17"/>
          <w:color w:val="auto"/>
        </w:rPr>
        <w:t>WASHINGTON, DC 20549</w:t>
      </w:r>
    </w:p>
    <w:p>
      <w:pPr>
        <w:spacing w:after="0" w:line="354" w:lineRule="exact"/>
        <w:rPr>
          <w:sz w:val="24"/>
          <w:szCs w:val="24"/>
          <w:color w:val="auto"/>
        </w:rPr>
      </w:pPr>
    </w:p>
    <w:p>
      <w:pPr>
        <w:ind w:left="4720"/>
        <w:spacing w:after="0"/>
        <w:rPr>
          <w:sz w:val="20"/>
          <w:szCs w:val="20"/>
          <w:color w:val="auto"/>
        </w:rPr>
      </w:pPr>
      <w:r>
        <w:rPr>
          <w:rFonts w:ascii="Arial" w:cs="Arial" w:eastAsia="Arial" w:hAnsi="Arial"/>
          <w:sz w:val="34"/>
          <w:szCs w:val="34"/>
          <w:b w:val="1"/>
          <w:bCs w:val="1"/>
          <w:color w:val="auto"/>
        </w:rPr>
        <w:t>FORM 10-Q</w:t>
      </w:r>
    </w:p>
    <w:p>
      <w:pPr>
        <w:spacing w:after="0" w:line="11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37"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 the quarterly period ended March 31, 2022</w:t>
      </w:r>
    </w:p>
    <w:p>
      <w:pPr>
        <w:spacing w:after="0" w:line="95"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OR</w:t>
      </w:r>
    </w:p>
    <w:p>
      <w:pPr>
        <w:spacing w:after="0" w:line="126"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86" w:lineRule="exact"/>
        <w:rPr>
          <w:sz w:val="24"/>
          <w:szCs w:val="24"/>
          <w:color w:val="auto"/>
        </w:rPr>
      </w:pPr>
    </w:p>
    <w:p>
      <w:pPr>
        <w:ind w:left="4020"/>
        <w:spacing w:after="0"/>
        <w:tabs>
          <w:tab w:leader="none" w:pos="640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3"/>
          <w:szCs w:val="13"/>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3608705</wp:posOffset>
            </wp:positionH>
            <wp:positionV relativeFrom="paragraph">
              <wp:posOffset>-6985</wp:posOffset>
            </wp:positionV>
            <wp:extent cx="1010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0920" cy="6985"/>
                    </a:xfrm>
                    <a:prstGeom prst="rect">
                      <a:avLst/>
                    </a:prstGeom>
                    <a:noFill/>
                  </pic:spPr>
                </pic:pic>
              </a:graphicData>
            </a:graphic>
          </wp:anchor>
        </w:drawing>
      </w:r>
    </w:p>
    <w:p>
      <w:pPr>
        <w:spacing w:after="0" w:line="34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59690</wp:posOffset>
            </wp:positionV>
            <wp:extent cx="1684020" cy="88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4020"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34"/>
          <w:szCs w:val="34"/>
          <w:b w:val="1"/>
          <w:bCs w:val="1"/>
          <w:color w:val="auto"/>
        </w:rPr>
        <w:t>GoHealth, Inc.</w:t>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131" w:lineRule="exact"/>
        <w:rPr>
          <w:sz w:val="24"/>
          <w:szCs w:val="24"/>
          <w:color w:val="auto"/>
        </w:rPr>
      </w:pPr>
    </w:p>
    <w:tbl>
      <w:tblPr>
        <w:tblLayout w:type="fixed"/>
        <w:tblInd w:w="1180" w:type="dxa"/>
        <w:tblCellMar>
          <w:top w:w="0" w:type="dxa"/>
          <w:left w:w="0" w:type="dxa"/>
          <w:bottom w:w="0" w:type="dxa"/>
          <w:right w:w="0" w:type="dxa"/>
        </w:tblCellMar>
      </w:tblPr>
      <w:tr>
        <w:trPr>
          <w:trHeight w:val="154"/>
        </w:trPr>
        <w:tc>
          <w:tcPr>
            <w:tcW w:w="6120" w:type="dxa"/>
            <w:vAlign w:val="bottom"/>
          </w:tcPr>
          <w:p>
            <w:pPr>
              <w:jc w:val="center"/>
              <w:ind w:right="2799"/>
              <w:spacing w:after="0"/>
              <w:rPr>
                <w:sz w:val="20"/>
                <w:szCs w:val="20"/>
                <w:color w:val="auto"/>
              </w:rPr>
            </w:pPr>
            <w:r>
              <w:rPr>
                <w:rFonts w:ascii="Arial" w:cs="Arial" w:eastAsia="Arial" w:hAnsi="Arial"/>
                <w:sz w:val="11"/>
                <w:szCs w:val="11"/>
                <w:b w:val="1"/>
                <w:bCs w:val="1"/>
                <w:color w:val="auto"/>
              </w:rPr>
              <w:t>Delaware</w:t>
            </w:r>
          </w:p>
        </w:tc>
        <w:tc>
          <w:tcPr>
            <w:tcW w:w="2120" w:type="dxa"/>
            <w:vAlign w:val="bottom"/>
          </w:tcPr>
          <w:p>
            <w:pPr>
              <w:jc w:val="center"/>
              <w:ind w:left="100"/>
              <w:spacing w:after="0"/>
              <w:rPr>
                <w:sz w:val="20"/>
                <w:szCs w:val="20"/>
                <w:color w:val="auto"/>
              </w:rPr>
            </w:pPr>
            <w:r>
              <w:rPr>
                <w:rFonts w:ascii="Arial" w:cs="Arial" w:eastAsia="Arial" w:hAnsi="Arial"/>
                <w:sz w:val="11"/>
                <w:szCs w:val="11"/>
                <w:b w:val="1"/>
                <w:bCs w:val="1"/>
                <w:color w:val="auto"/>
              </w:rPr>
              <w:t>85-0563805</w:t>
            </w:r>
          </w:p>
        </w:tc>
      </w:tr>
      <w:tr>
        <w:trPr>
          <w:trHeight w:val="189"/>
        </w:trPr>
        <w:tc>
          <w:tcPr>
            <w:tcW w:w="6120" w:type="dxa"/>
            <w:vAlign w:val="bottom"/>
          </w:tcPr>
          <w:p>
            <w:pPr>
              <w:jc w:val="center"/>
              <w:ind w:right="2779"/>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120" w:type="dxa"/>
            <w:vAlign w:val="bottom"/>
          </w:tcPr>
          <w:p>
            <w:pPr>
              <w:jc w:val="center"/>
              <w:ind w:left="100"/>
              <w:spacing w:after="0"/>
              <w:rPr>
                <w:sz w:val="20"/>
                <w:szCs w:val="20"/>
                <w:color w:val="auto"/>
              </w:rPr>
            </w:pPr>
            <w:r>
              <w:rPr>
                <w:rFonts w:ascii="Arial" w:cs="Arial" w:eastAsia="Arial" w:hAnsi="Arial"/>
                <w:sz w:val="13"/>
                <w:szCs w:val="13"/>
                <w:color w:val="auto"/>
                <w:w w:val="97"/>
              </w:rPr>
              <w:t>(I.R.S. Employer Identification No.)</w:t>
            </w:r>
          </w:p>
        </w:tc>
      </w:tr>
      <w:tr>
        <w:trPr>
          <w:trHeight w:val="384"/>
        </w:trPr>
        <w:tc>
          <w:tcPr>
            <w:tcW w:w="6120" w:type="dxa"/>
            <w:vAlign w:val="bottom"/>
          </w:tcPr>
          <w:p>
            <w:pPr>
              <w:jc w:val="center"/>
              <w:ind w:right="2859"/>
              <w:spacing w:after="0"/>
              <w:rPr>
                <w:sz w:val="20"/>
                <w:szCs w:val="20"/>
                <w:color w:val="auto"/>
              </w:rPr>
            </w:pPr>
            <w:r>
              <w:rPr>
                <w:rFonts w:ascii="Arial" w:cs="Arial" w:eastAsia="Arial" w:hAnsi="Arial"/>
                <w:sz w:val="11"/>
                <w:szCs w:val="11"/>
                <w:b w:val="1"/>
                <w:bCs w:val="1"/>
                <w:color w:val="auto"/>
              </w:rPr>
              <w:t>214 West Huron St.</w:t>
            </w:r>
          </w:p>
        </w:tc>
        <w:tc>
          <w:tcPr>
            <w:tcW w:w="2120" w:type="dxa"/>
            <w:vAlign w:val="bottom"/>
          </w:tcPr>
          <w:p>
            <w:pPr>
              <w:spacing w:after="0"/>
              <w:rPr>
                <w:sz w:val="24"/>
                <w:szCs w:val="24"/>
                <w:color w:val="auto"/>
              </w:rPr>
            </w:pPr>
          </w:p>
        </w:tc>
      </w:tr>
      <w:tr>
        <w:trPr>
          <w:trHeight w:val="202"/>
        </w:trPr>
        <w:tc>
          <w:tcPr>
            <w:tcW w:w="6120" w:type="dxa"/>
            <w:vAlign w:val="bottom"/>
          </w:tcPr>
          <w:p>
            <w:pPr>
              <w:ind w:left="1140"/>
              <w:spacing w:after="0"/>
              <w:rPr>
                <w:sz w:val="20"/>
                <w:szCs w:val="20"/>
                <w:color w:val="auto"/>
              </w:rPr>
            </w:pPr>
            <w:r>
              <w:rPr>
                <w:rFonts w:ascii="Arial" w:cs="Arial" w:eastAsia="Arial" w:hAnsi="Arial"/>
                <w:sz w:val="11"/>
                <w:szCs w:val="11"/>
                <w:b w:val="1"/>
                <w:bCs w:val="1"/>
                <w:color w:val="auto"/>
              </w:rPr>
              <w:t>Chicago, Illinois</w:t>
            </w:r>
          </w:p>
        </w:tc>
        <w:tc>
          <w:tcPr>
            <w:tcW w:w="2120" w:type="dxa"/>
            <w:vAlign w:val="bottom"/>
          </w:tcPr>
          <w:p>
            <w:pPr>
              <w:jc w:val="center"/>
              <w:ind w:left="60"/>
              <w:spacing w:after="0"/>
              <w:rPr>
                <w:sz w:val="20"/>
                <w:szCs w:val="20"/>
                <w:color w:val="auto"/>
              </w:rPr>
            </w:pPr>
            <w:r>
              <w:rPr>
                <w:rFonts w:ascii="Arial" w:cs="Arial" w:eastAsia="Arial" w:hAnsi="Arial"/>
                <w:sz w:val="11"/>
                <w:szCs w:val="11"/>
                <w:b w:val="1"/>
                <w:bCs w:val="1"/>
                <w:color w:val="auto"/>
              </w:rPr>
              <w:t>60654</w:t>
            </w:r>
          </w:p>
        </w:tc>
      </w:tr>
      <w:tr>
        <w:trPr>
          <w:trHeight w:val="189"/>
        </w:trPr>
        <w:tc>
          <w:tcPr>
            <w:tcW w:w="6120" w:type="dxa"/>
            <w:vAlign w:val="bottom"/>
          </w:tcPr>
          <w:p>
            <w:pPr>
              <w:jc w:val="center"/>
              <w:ind w:right="2859"/>
              <w:spacing w:after="0"/>
              <w:rPr>
                <w:sz w:val="20"/>
                <w:szCs w:val="20"/>
                <w:color w:val="auto"/>
              </w:rPr>
            </w:pPr>
            <w:r>
              <w:rPr>
                <w:rFonts w:ascii="Arial" w:cs="Arial" w:eastAsia="Arial" w:hAnsi="Arial"/>
                <w:sz w:val="13"/>
                <w:szCs w:val="13"/>
                <w:color w:val="auto"/>
                <w:w w:val="97"/>
              </w:rPr>
              <w:t>(Address of principal executive offices)</w:t>
            </w:r>
          </w:p>
        </w:tc>
        <w:tc>
          <w:tcPr>
            <w:tcW w:w="2120" w:type="dxa"/>
            <w:vAlign w:val="bottom"/>
          </w:tcPr>
          <w:p>
            <w:pPr>
              <w:jc w:val="center"/>
              <w:ind w:left="60"/>
              <w:spacing w:after="0"/>
              <w:rPr>
                <w:sz w:val="20"/>
                <w:szCs w:val="20"/>
                <w:color w:val="auto"/>
              </w:rPr>
            </w:pPr>
            <w:r>
              <w:rPr>
                <w:rFonts w:ascii="Arial" w:cs="Arial" w:eastAsia="Arial" w:hAnsi="Arial"/>
                <w:sz w:val="13"/>
                <w:szCs w:val="13"/>
                <w:color w:val="auto"/>
                <w:w w:val="97"/>
              </w:rPr>
              <w:t>(Zip Code)</w:t>
            </w:r>
          </w:p>
        </w:tc>
      </w:tr>
      <w:tr>
        <w:trPr>
          <w:trHeight w:val="335"/>
        </w:trPr>
        <w:tc>
          <w:tcPr>
            <w:tcW w:w="6120" w:type="dxa"/>
            <w:vAlign w:val="bottom"/>
          </w:tcPr>
          <w:p>
            <w:pPr>
              <w:jc w:val="center"/>
              <w:ind w:left="2739"/>
              <w:spacing w:after="0"/>
              <w:rPr>
                <w:sz w:val="20"/>
                <w:szCs w:val="20"/>
                <w:color w:val="auto"/>
              </w:rPr>
            </w:pPr>
            <w:r>
              <w:rPr>
                <w:rFonts w:ascii="Arial" w:cs="Arial" w:eastAsia="Arial" w:hAnsi="Arial"/>
                <w:sz w:val="13"/>
                <w:szCs w:val="13"/>
                <w:b w:val="1"/>
                <w:bCs w:val="1"/>
                <w:color w:val="auto"/>
                <w:w w:val="98"/>
              </w:rPr>
              <w:t>(312) 386-8200</w:t>
            </w:r>
          </w:p>
        </w:tc>
        <w:tc>
          <w:tcPr>
            <w:tcW w:w="2120" w:type="dxa"/>
            <w:vAlign w:val="bottom"/>
          </w:tcPr>
          <w:p>
            <w:pPr>
              <w:spacing w:after="0"/>
              <w:rPr>
                <w:sz w:val="24"/>
                <w:szCs w:val="24"/>
                <w:color w:val="auto"/>
              </w:rPr>
            </w:pPr>
          </w:p>
        </w:tc>
      </w:tr>
      <w:tr>
        <w:trPr>
          <w:trHeight w:val="227"/>
        </w:trPr>
        <w:tc>
          <w:tcPr>
            <w:tcW w:w="6120" w:type="dxa"/>
            <w:vAlign w:val="bottom"/>
          </w:tcPr>
          <w:p>
            <w:pPr>
              <w:jc w:val="center"/>
              <w:ind w:left="2759"/>
              <w:spacing w:after="0"/>
              <w:rPr>
                <w:sz w:val="20"/>
                <w:szCs w:val="20"/>
                <w:color w:val="auto"/>
              </w:rPr>
            </w:pPr>
            <w:r>
              <w:rPr>
                <w:rFonts w:ascii="Arial" w:cs="Arial" w:eastAsia="Arial" w:hAnsi="Arial"/>
                <w:sz w:val="13"/>
                <w:szCs w:val="13"/>
                <w:color w:val="auto"/>
                <w:w w:val="97"/>
              </w:rPr>
              <w:t>(Registrant’s telephone number, including area code)</w:t>
            </w:r>
          </w:p>
        </w:tc>
        <w:tc>
          <w:tcPr>
            <w:tcW w:w="2120" w:type="dxa"/>
            <w:vAlign w:val="bottom"/>
          </w:tcPr>
          <w:p>
            <w:pPr>
              <w:spacing w:after="0"/>
              <w:rPr>
                <w:sz w:val="19"/>
                <w:szCs w:val="19"/>
                <w:color w:val="auto"/>
              </w:rPr>
            </w:pPr>
          </w:p>
        </w:tc>
      </w:tr>
      <w:tr>
        <w:trPr>
          <w:trHeight w:val="239"/>
        </w:trPr>
        <w:tc>
          <w:tcPr>
            <w:tcW w:w="6120" w:type="dxa"/>
            <w:vAlign w:val="bottom"/>
          </w:tcPr>
          <w:p>
            <w:pPr>
              <w:jc w:val="center"/>
              <w:ind w:left="2759"/>
              <w:spacing w:after="0"/>
              <w:rPr>
                <w:sz w:val="20"/>
                <w:szCs w:val="20"/>
                <w:color w:val="auto"/>
              </w:rPr>
            </w:pPr>
            <w:r>
              <w:rPr>
                <w:rFonts w:ascii="Arial" w:cs="Arial" w:eastAsia="Arial" w:hAnsi="Arial"/>
                <w:sz w:val="13"/>
                <w:szCs w:val="13"/>
                <w:b w:val="1"/>
                <w:bCs w:val="1"/>
                <w:color w:val="auto"/>
                <w:w w:val="98"/>
              </w:rPr>
              <w:t>N/A</w:t>
            </w:r>
          </w:p>
        </w:tc>
        <w:tc>
          <w:tcPr>
            <w:tcW w:w="2120" w:type="dxa"/>
            <w:vAlign w:val="bottom"/>
          </w:tcPr>
          <w:p>
            <w:pPr>
              <w:spacing w:after="0"/>
              <w:rPr>
                <w:sz w:val="20"/>
                <w:szCs w:val="20"/>
                <w:color w:val="auto"/>
              </w:rPr>
            </w:pPr>
          </w:p>
        </w:tc>
      </w:tr>
    </w:tbl>
    <w:p>
      <w:pPr>
        <w:spacing w:after="0" w:line="71"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84"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7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64"/>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62" w:lineRule="exact"/>
        <w:rPr>
          <w:sz w:val="20"/>
          <w:szCs w:val="20"/>
          <w:color w:val="auto"/>
        </w:rPr>
      </w:pPr>
    </w:p>
    <w:p>
      <w:pPr>
        <w:ind w:right="22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5" w:lineRule="exact"/>
        <w:rPr>
          <w:sz w:val="20"/>
          <w:szCs w:val="20"/>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5"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Smaller reporting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Non-accelerated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Emerging growth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200"/>
        </w:trPr>
        <w:tc>
          <w:tcPr>
            <w:tcW w:w="3180" w:type="dxa"/>
            <w:vAlign w:val="bottom"/>
          </w:tcPr>
          <w:p>
            <w:pPr>
              <w:spacing w:after="0"/>
              <w:rPr>
                <w:sz w:val="20"/>
                <w:szCs w:val="20"/>
                <w:color w:val="auto"/>
              </w:rPr>
            </w:pPr>
            <w:r>
              <w:rPr>
                <w:rFonts w:ascii="Arial" w:cs="Arial" w:eastAsia="Arial" w:hAnsi="Arial"/>
                <w:sz w:val="13"/>
                <w:szCs w:val="13"/>
                <w:color w:val="auto"/>
              </w:rPr>
              <w:t>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150" w:lineRule="exact"/>
        <w:rPr>
          <w:sz w:val="20"/>
          <w:szCs w:val="20"/>
          <w:color w:val="auto"/>
        </w:rPr>
      </w:pPr>
    </w:p>
    <w:p>
      <w:pPr>
        <w:ind w:right="32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44" w:lineRule="exact"/>
        <w:rPr>
          <w:sz w:val="20"/>
          <w:szCs w:val="20"/>
          <w:color w:val="auto"/>
        </w:rPr>
      </w:pPr>
    </w:p>
    <w:p>
      <w:pPr>
        <w:spacing w:after="0" w:line="150" w:lineRule="exact"/>
        <w:tabs>
          <w:tab w:leader="none" w:pos="6480" w:val="left"/>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highlight w:val="black"/>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highlight w:val="black"/>
        </w:rPr>
        <w:t>☒</w:t>
      </w:r>
    </w:p>
    <w:p>
      <w:pPr>
        <w:spacing w:after="0" w:line="105" w:lineRule="exact"/>
        <w:rPr>
          <w:sz w:val="20"/>
          <w:szCs w:val="20"/>
          <w:color w:val="auto"/>
        </w:rPr>
      </w:pPr>
    </w:p>
    <w:p>
      <w:pPr>
        <w:ind w:right="160"/>
        <w:spacing w:after="0" w:line="283" w:lineRule="auto"/>
        <w:rPr>
          <w:sz w:val="20"/>
          <w:szCs w:val="20"/>
          <w:color w:val="auto"/>
        </w:rPr>
      </w:pPr>
      <w:r>
        <w:rPr>
          <w:rFonts w:ascii="Arial" w:cs="Arial" w:eastAsia="Arial" w:hAnsi="Arial"/>
          <w:sz w:val="13"/>
          <w:szCs w:val="13"/>
          <w:color w:val="auto"/>
        </w:rPr>
        <w:t>As of May 3, 2022, the registrant had 121,782,131 shares of Class A common stock, $0.0001 par value per share, outstanding and 199,223,623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403225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288290</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308610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98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gridSpan w:val="9"/>
          </w:tcPr>
          <w:p>
            <w:pPr>
              <w:jc w:val="center"/>
              <w:ind w:right="2500"/>
              <w:spacing w:after="0"/>
              <w:rPr>
                <w:sz w:val="20"/>
                <w:szCs w:val="20"/>
                <w:color w:val="auto"/>
              </w:rPr>
            </w:pPr>
            <w:r>
              <w:rPr>
                <w:rFonts w:ascii="Arial" w:cs="Arial" w:eastAsia="Arial" w:hAnsi="Arial"/>
                <w:sz w:val="13"/>
                <w:szCs w:val="13"/>
                <w:b w:val="1"/>
                <w:bCs w:val="1"/>
                <w:color w:val="auto"/>
                <w:w w:val="97"/>
              </w:rPr>
              <w:t>TABLE OF CONTENTS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40" w:type="dxa"/>
            <w:vAlign w:val="bottom"/>
            <w:gridSpan w:val="4"/>
          </w:tcPr>
          <w:p>
            <w:pPr>
              <w:ind w:left="1320"/>
              <w:spacing w:after="0"/>
              <w:rPr>
                <w:sz w:val="20"/>
                <w:szCs w:val="20"/>
                <w:color w:val="auto"/>
              </w:rPr>
            </w:pPr>
            <w:r>
              <w:rPr>
                <w:rFonts w:ascii="Arial" w:cs="Arial" w:eastAsia="Arial" w:hAnsi="Arial"/>
                <w:sz w:val="13"/>
                <w:szCs w:val="13"/>
                <w:color w:val="auto"/>
              </w:rPr>
              <w:t>PAGE</w:t>
            </w:r>
          </w:p>
        </w:tc>
      </w:tr>
      <w:tr>
        <w:trPr>
          <w:trHeight w:val="171"/>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360" w:type="dxa"/>
            <w:vAlign w:val="bottom"/>
            <w:shd w:val="clear" w:color="auto" w:fill="00497F"/>
          </w:tcPr>
          <w:p>
            <w:pPr>
              <w:spacing w:after="0"/>
              <w:rPr>
                <w:sz w:val="14"/>
                <w:szCs w:val="14"/>
                <w:color w:val="auto"/>
              </w:rPr>
            </w:pPr>
          </w:p>
        </w:tc>
        <w:tc>
          <w:tcPr>
            <w:tcW w:w="860" w:type="dxa"/>
            <w:vAlign w:val="bottom"/>
            <w:shd w:val="clear" w:color="auto" w:fill="00497F"/>
          </w:tcPr>
          <w:p>
            <w:pPr>
              <w:spacing w:after="0"/>
              <w:rPr>
                <w:sz w:val="14"/>
                <w:szCs w:val="14"/>
                <w:color w:val="auto"/>
              </w:rPr>
            </w:pPr>
          </w:p>
        </w:tc>
        <w:tc>
          <w:tcPr>
            <w:tcW w:w="4720" w:type="dxa"/>
            <w:vAlign w:val="bottom"/>
            <w:gridSpan w:val="10"/>
            <w:shd w:val="clear" w:color="auto" w:fill="00497F"/>
          </w:tcPr>
          <w:p>
            <w:pPr>
              <w:jc w:val="center"/>
              <w:ind w:right="2280"/>
              <w:spacing w:after="0"/>
              <w:rPr>
                <w:sz w:val="20"/>
                <w:szCs w:val="20"/>
                <w:color w:val="auto"/>
              </w:rPr>
            </w:pPr>
            <w:r>
              <w:rPr>
                <w:rFonts w:ascii="Arial" w:cs="Arial" w:eastAsia="Arial" w:hAnsi="Arial"/>
                <w:sz w:val="13"/>
                <w:szCs w:val="13"/>
                <w:b w:val="1"/>
                <w:bCs w:val="1"/>
                <w:color w:val="FFFFFF"/>
                <w:w w:val="96"/>
              </w:rPr>
              <w:t>PART I - FINANCIAL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7920" w:type="dxa"/>
            <w:vAlign w:val="bottom"/>
            <w:gridSpan w:val="20"/>
          </w:tcPr>
          <w:p>
            <w:pPr>
              <w:spacing w:after="0" w:line="138" w:lineRule="exact"/>
              <w:rPr>
                <w:sz w:val="20"/>
                <w:szCs w:val="20"/>
                <w:color w:val="auto"/>
              </w:rPr>
            </w:pPr>
            <w:r>
              <w:rPr>
                <w:rFonts w:ascii="Arial" w:cs="Arial" w:eastAsia="Arial" w:hAnsi="Arial"/>
                <w:sz w:val="13"/>
                <w:szCs w:val="13"/>
                <w:color w:val="0000FF"/>
              </w:rPr>
              <w:t>FINANCIAL STATEMENTS.</w:t>
            </w: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CONDENSED CONSOLIDATED FINANCIAL STATEMENTS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COMPREHENSIVE INCOME (LOSS)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5</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9"/>
          </w:tcPr>
          <w:p>
            <w:pPr>
              <w:spacing w:after="0"/>
              <w:rPr>
                <w:sz w:val="20"/>
                <w:szCs w:val="20"/>
                <w:color w:val="auto"/>
              </w:rPr>
            </w:pPr>
            <w:r>
              <w:rPr>
                <w:rFonts w:ascii="Arial" w:cs="Arial" w:eastAsia="Arial" w:hAnsi="Arial"/>
                <w:sz w:val="13"/>
                <w:szCs w:val="13"/>
                <w:color w:val="0000FF"/>
                <w:w w:val="97"/>
              </w:rPr>
              <w:t>CONDENSED CONSOLIDATED BALANCE SHEETS</w:t>
            </w:r>
          </w:p>
        </w:tc>
        <w:tc>
          <w:tcPr>
            <w:tcW w:w="2060" w:type="dxa"/>
            <w:vAlign w:val="bottom"/>
            <w:gridSpan w:val="7"/>
          </w:tcPr>
          <w:p>
            <w:pPr>
              <w:spacing w:after="0"/>
              <w:rPr>
                <w:sz w:val="13"/>
                <w:szCs w:val="13"/>
                <w:color w:val="auto"/>
              </w:rPr>
            </w:pPr>
          </w:p>
        </w:tc>
        <w:tc>
          <w:tcPr>
            <w:tcW w:w="2660" w:type="dxa"/>
            <w:vAlign w:val="bottom"/>
            <w:gridSpan w:val="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6</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gridSpan w:val="17"/>
          </w:tcPr>
          <w:p>
            <w:pPr>
              <w:spacing w:after="0"/>
              <w:rPr>
                <w:sz w:val="20"/>
                <w:szCs w:val="20"/>
                <w:color w:val="auto"/>
              </w:rPr>
            </w:pPr>
            <w:r>
              <w:rPr>
                <w:rFonts w:ascii="Arial" w:cs="Arial" w:eastAsia="Arial" w:hAnsi="Arial"/>
                <w:sz w:val="13"/>
                <w:szCs w:val="13"/>
                <w:color w:val="0000FF"/>
                <w:w w:val="96"/>
              </w:rPr>
              <w:t>CONDENSED CONSOLIDATED STATEMENTS OF CHANGES IN STOCKHOLDERS’ EQUITY</w:t>
            </w:r>
          </w:p>
        </w:tc>
        <w:tc>
          <w:tcPr>
            <w:tcW w:w="236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7</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gridSpan w:val="17"/>
          </w:tcPr>
          <w:p>
            <w:pPr>
              <w:spacing w:after="0"/>
              <w:rPr>
                <w:sz w:val="20"/>
                <w:szCs w:val="20"/>
                <w:color w:val="auto"/>
              </w:rPr>
            </w:pPr>
            <w:r>
              <w:rPr>
                <w:rFonts w:ascii="Arial" w:cs="Arial" w:eastAsia="Arial" w:hAnsi="Arial"/>
                <w:sz w:val="13"/>
                <w:szCs w:val="13"/>
                <w:color w:val="0000FF"/>
              </w:rPr>
              <w:t>CONDENSED CONSOLIDATED STATEMENTS OF CASH FLOWS</w:t>
            </w:r>
          </w:p>
        </w:tc>
        <w:tc>
          <w:tcPr>
            <w:tcW w:w="236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8</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00" w:type="dxa"/>
            <w:vAlign w:val="bottom"/>
            <w:gridSpan w:val="13"/>
          </w:tcPr>
          <w:p>
            <w:pPr>
              <w:spacing w:after="0"/>
              <w:rPr>
                <w:sz w:val="20"/>
                <w:szCs w:val="20"/>
                <w:color w:val="auto"/>
              </w:rPr>
            </w:pPr>
            <w:r>
              <w:rPr>
                <w:rFonts w:ascii="Arial" w:cs="Arial" w:eastAsia="Arial" w:hAnsi="Arial"/>
                <w:sz w:val="13"/>
                <w:szCs w:val="13"/>
                <w:color w:val="0000FF"/>
                <w:w w:val="96"/>
              </w:rPr>
              <w:t>NOTES TO CONDENSED CONSOLIDATED FINANCIAL STATEMENTS</w:t>
            </w:r>
          </w:p>
        </w:tc>
        <w:tc>
          <w:tcPr>
            <w:tcW w:w="3640" w:type="dxa"/>
            <w:vAlign w:val="bottom"/>
            <w:gridSpan w:val="6"/>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MANAGEMENT’S DISCUSSION AND ANALYSIS OF FINANCIAL CONDITIONS AND RESULTS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23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6580" w:type="dxa"/>
            <w:vAlign w:val="bottom"/>
            <w:gridSpan w:val="19"/>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1340" w:type="dxa"/>
            <w:vAlign w:val="bottom"/>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4420" w:type="dxa"/>
            <w:vAlign w:val="bottom"/>
            <w:gridSpan w:val="15"/>
          </w:tcPr>
          <w:p>
            <w:pPr>
              <w:spacing w:after="0"/>
              <w:rPr>
                <w:sz w:val="20"/>
                <w:szCs w:val="20"/>
                <w:color w:val="auto"/>
              </w:rPr>
            </w:pPr>
            <w:r>
              <w:rPr>
                <w:rFonts w:ascii="Arial" w:cs="Arial" w:eastAsia="Arial" w:hAnsi="Arial"/>
                <w:sz w:val="13"/>
                <w:szCs w:val="13"/>
                <w:color w:val="0000FF"/>
              </w:rPr>
              <w:t>CONTROLS AND PROCEDURES.</w:t>
            </w:r>
          </w:p>
        </w:tc>
        <w:tc>
          <w:tcPr>
            <w:tcW w:w="3500" w:type="dxa"/>
            <w:vAlign w:val="bottom"/>
            <w:gridSpan w:val="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34</w:t>
            </w:r>
          </w:p>
        </w:tc>
        <w:tc>
          <w:tcPr>
            <w:tcW w:w="580" w:type="dxa"/>
            <w:vAlign w:val="bottom"/>
          </w:tcPr>
          <w:p>
            <w:pPr>
              <w:spacing w:after="0"/>
              <w:rPr>
                <w:sz w:val="13"/>
                <w:szCs w:val="13"/>
                <w:color w:val="auto"/>
              </w:rPr>
            </w:pPr>
          </w:p>
        </w:tc>
      </w:tr>
      <w:tr>
        <w:trPr>
          <w:trHeight w:val="54"/>
        </w:trPr>
        <w:tc>
          <w:tcPr>
            <w:tcW w:w="12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r>
      <w:tr>
        <w:trPr>
          <w:trHeight w:val="170"/>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360" w:type="dxa"/>
            <w:vAlign w:val="bottom"/>
            <w:shd w:val="clear" w:color="auto" w:fill="00497F"/>
          </w:tcPr>
          <w:p>
            <w:pPr>
              <w:spacing w:after="0"/>
              <w:rPr>
                <w:sz w:val="14"/>
                <w:szCs w:val="14"/>
                <w:color w:val="auto"/>
              </w:rPr>
            </w:pPr>
          </w:p>
        </w:tc>
        <w:tc>
          <w:tcPr>
            <w:tcW w:w="860" w:type="dxa"/>
            <w:vAlign w:val="bottom"/>
            <w:shd w:val="clear" w:color="auto" w:fill="00497F"/>
          </w:tcPr>
          <w:p>
            <w:pPr>
              <w:spacing w:after="0"/>
              <w:rPr>
                <w:sz w:val="14"/>
                <w:szCs w:val="14"/>
                <w:color w:val="auto"/>
              </w:rPr>
            </w:pPr>
          </w:p>
        </w:tc>
        <w:tc>
          <w:tcPr>
            <w:tcW w:w="220" w:type="dxa"/>
            <w:vAlign w:val="bottom"/>
            <w:shd w:val="clear" w:color="auto" w:fill="00497F"/>
          </w:tcPr>
          <w:p>
            <w:pPr>
              <w:spacing w:after="0"/>
              <w:rPr>
                <w:sz w:val="14"/>
                <w:szCs w:val="14"/>
                <w:color w:val="auto"/>
              </w:rPr>
            </w:pPr>
          </w:p>
        </w:tc>
        <w:tc>
          <w:tcPr>
            <w:tcW w:w="4500" w:type="dxa"/>
            <w:vAlign w:val="bottom"/>
            <w:gridSpan w:val="9"/>
            <w:shd w:val="clear" w:color="auto" w:fill="00497F"/>
          </w:tcPr>
          <w:p>
            <w:pPr>
              <w:jc w:val="center"/>
              <w:ind w:right="2500"/>
              <w:spacing w:after="0"/>
              <w:rPr>
                <w:sz w:val="20"/>
                <w:szCs w:val="20"/>
                <w:color w:val="auto"/>
              </w:rPr>
            </w:pPr>
            <w:r>
              <w:rPr>
                <w:rFonts w:ascii="Arial" w:cs="Arial" w:eastAsia="Arial" w:hAnsi="Arial"/>
                <w:sz w:val="13"/>
                <w:szCs w:val="13"/>
                <w:b w:val="1"/>
                <w:bCs w:val="1"/>
                <w:color w:val="FFFFFF"/>
                <w:w w:val="96"/>
              </w:rPr>
              <w:t>PART II - OTHER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1400" w:type="dxa"/>
            <w:vAlign w:val="bottom"/>
            <w:gridSpan w:val="5"/>
          </w:tcPr>
          <w:p>
            <w:pPr>
              <w:spacing w:after="0" w:line="138" w:lineRule="exact"/>
              <w:rPr>
                <w:sz w:val="20"/>
                <w:szCs w:val="20"/>
                <w:color w:val="auto"/>
              </w:rPr>
            </w:pPr>
            <w:r>
              <w:rPr>
                <w:rFonts w:ascii="Arial" w:cs="Arial" w:eastAsia="Arial" w:hAnsi="Arial"/>
                <w:sz w:val="13"/>
                <w:szCs w:val="13"/>
                <w:color w:val="0000FF"/>
                <w:w w:val="93"/>
              </w:rPr>
              <w:t>LEGAL PROCEEDINGS.</w:t>
            </w:r>
          </w:p>
        </w:tc>
        <w:tc>
          <w:tcPr>
            <w:tcW w:w="6520" w:type="dxa"/>
            <w:vAlign w:val="bottom"/>
            <w:gridSpan w:val="15"/>
          </w:tcPr>
          <w:p>
            <w:pPr>
              <w:spacing w:after="0"/>
              <w:rPr>
                <w:sz w:val="11"/>
                <w:szCs w:val="11"/>
                <w:color w:val="auto"/>
              </w:rPr>
            </w:pP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96"/>
              </w:rPr>
              <w:t>36</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1A.</w:t>
            </w:r>
          </w:p>
        </w:tc>
        <w:tc>
          <w:tcPr>
            <w:tcW w:w="980" w:type="dxa"/>
            <w:vAlign w:val="bottom"/>
            <w:gridSpan w:val="4"/>
          </w:tcPr>
          <w:p>
            <w:pPr>
              <w:spacing w:after="0"/>
              <w:rPr>
                <w:sz w:val="20"/>
                <w:szCs w:val="20"/>
                <w:color w:val="auto"/>
              </w:rPr>
            </w:pPr>
            <w:r>
              <w:rPr>
                <w:rFonts w:ascii="Arial" w:cs="Arial" w:eastAsia="Arial" w:hAnsi="Arial"/>
                <w:sz w:val="13"/>
                <w:szCs w:val="13"/>
                <w:color w:val="0000FF"/>
                <w:w w:val="96"/>
              </w:rPr>
              <w:t>RISK FACTORS.</w:t>
            </w:r>
          </w:p>
        </w:tc>
        <w:tc>
          <w:tcPr>
            <w:tcW w:w="420" w:type="dxa"/>
            <w:vAlign w:val="bottom"/>
          </w:tcPr>
          <w:p>
            <w:pPr>
              <w:spacing w:after="0"/>
              <w:rPr>
                <w:sz w:val="13"/>
                <w:szCs w:val="13"/>
                <w:color w:val="auto"/>
              </w:rPr>
            </w:pP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36</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38</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2340" w:type="dxa"/>
            <w:vAlign w:val="bottom"/>
            <w:gridSpan w:val="9"/>
          </w:tcPr>
          <w:p>
            <w:pPr>
              <w:spacing w:after="0"/>
              <w:rPr>
                <w:sz w:val="20"/>
                <w:szCs w:val="20"/>
                <w:color w:val="auto"/>
              </w:rPr>
            </w:pPr>
            <w:r>
              <w:rPr>
                <w:rFonts w:ascii="Arial" w:cs="Arial" w:eastAsia="Arial" w:hAnsi="Arial"/>
                <w:sz w:val="13"/>
                <w:szCs w:val="13"/>
                <w:color w:val="0000FF"/>
                <w:w w:val="97"/>
              </w:rPr>
              <w:t>DEFAULT UPON SENIOR SECURITIES.</w:t>
            </w:r>
          </w:p>
        </w:tc>
        <w:tc>
          <w:tcPr>
            <w:tcW w:w="2240" w:type="dxa"/>
            <w:vAlign w:val="bottom"/>
            <w:gridSpan w:val="7"/>
          </w:tcPr>
          <w:p>
            <w:pPr>
              <w:spacing w:after="0"/>
              <w:rPr>
                <w:sz w:val="13"/>
                <w:szCs w:val="13"/>
                <w:color w:val="auto"/>
              </w:rPr>
            </w:pPr>
          </w:p>
        </w:tc>
        <w:tc>
          <w:tcPr>
            <w:tcW w:w="3340" w:type="dxa"/>
            <w:vAlign w:val="bottom"/>
            <w:gridSpan w:val="4"/>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38</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2340" w:type="dxa"/>
            <w:vAlign w:val="bottom"/>
            <w:gridSpan w:val="9"/>
          </w:tcPr>
          <w:p>
            <w:pPr>
              <w:spacing w:after="0"/>
              <w:rPr>
                <w:sz w:val="20"/>
                <w:szCs w:val="20"/>
                <w:color w:val="auto"/>
              </w:rPr>
            </w:pPr>
            <w:r>
              <w:rPr>
                <w:rFonts w:ascii="Arial" w:cs="Arial" w:eastAsia="Arial" w:hAnsi="Arial"/>
                <w:sz w:val="13"/>
                <w:szCs w:val="13"/>
                <w:color w:val="0000FF"/>
              </w:rPr>
              <w:t>MINE SAFETY DISCLOSURES.</w:t>
            </w:r>
          </w:p>
        </w:tc>
        <w:tc>
          <w:tcPr>
            <w:tcW w:w="5580" w:type="dxa"/>
            <w:vAlign w:val="bottom"/>
            <w:gridSpan w:val="11"/>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38</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08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5.</w:t>
            </w:r>
          </w:p>
        </w:tc>
        <w:tc>
          <w:tcPr>
            <w:tcW w:w="1840" w:type="dxa"/>
            <w:vAlign w:val="bottom"/>
            <w:gridSpan w:val="7"/>
          </w:tcPr>
          <w:p>
            <w:pPr>
              <w:spacing w:after="0"/>
              <w:rPr>
                <w:sz w:val="20"/>
                <w:szCs w:val="20"/>
                <w:color w:val="auto"/>
              </w:rPr>
            </w:pPr>
            <w:r>
              <w:rPr>
                <w:rFonts w:ascii="Arial" w:cs="Arial" w:eastAsia="Arial" w:hAnsi="Arial"/>
                <w:sz w:val="13"/>
                <w:szCs w:val="13"/>
                <w:color w:val="0000FF"/>
              </w:rPr>
              <w:t>OTHER INFORMATION.</w:t>
            </w:r>
          </w:p>
        </w:tc>
        <w:tc>
          <w:tcPr>
            <w:tcW w:w="6080" w:type="dxa"/>
            <w:vAlign w:val="bottom"/>
            <w:gridSpan w:val="1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38</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520" w:type="dxa"/>
            <w:vAlign w:val="bottom"/>
            <w:gridSpan w:val="1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6.</w:t>
            </w:r>
          </w:p>
        </w:tc>
        <w:tc>
          <w:tcPr>
            <w:tcW w:w="1400" w:type="dxa"/>
            <w:vAlign w:val="bottom"/>
            <w:gridSpan w:val="5"/>
          </w:tcPr>
          <w:p>
            <w:pPr>
              <w:spacing w:after="0"/>
              <w:rPr>
                <w:sz w:val="20"/>
                <w:szCs w:val="20"/>
                <w:color w:val="auto"/>
              </w:rPr>
            </w:pPr>
            <w:r>
              <w:rPr>
                <w:rFonts w:ascii="Arial" w:cs="Arial" w:eastAsia="Arial" w:hAnsi="Arial"/>
                <w:sz w:val="13"/>
                <w:szCs w:val="13"/>
                <w:color w:val="0000FF"/>
              </w:rPr>
              <w:t>EXHIBITS.</w:t>
            </w: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SIGNATURES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40</w:t>
            </w:r>
          </w:p>
        </w:tc>
        <w:tc>
          <w:tcPr>
            <w:tcW w:w="580" w:type="dxa"/>
            <w:vAlign w:val="bottom"/>
          </w:tcPr>
          <w:p>
            <w:pPr>
              <w:spacing w:after="0"/>
              <w:rPr>
                <w:sz w:val="13"/>
                <w:szCs w:val="13"/>
                <w:color w:val="auto"/>
              </w:rPr>
            </w:pPr>
          </w:p>
        </w:tc>
      </w:tr>
      <w:tr>
        <w:trPr>
          <w:trHeight w:val="777"/>
        </w:trPr>
        <w:tc>
          <w:tcPr>
            <w:tcW w:w="12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69" w:lineRule="exact"/>
        <w:rPr>
          <w:sz w:val="20"/>
          <w:szCs w:val="20"/>
          <w:color w:val="auto"/>
        </w:rPr>
      </w:pPr>
    </w:p>
    <w:p>
      <w:pPr>
        <w:ind w:right="160"/>
        <w:spacing w:after="0" w:line="254" w:lineRule="auto"/>
        <w:rPr>
          <w:sz w:val="20"/>
          <w:szCs w:val="20"/>
          <w:color w:val="auto"/>
        </w:rPr>
      </w:pPr>
      <w:r>
        <w:rPr>
          <w:rFonts w:ascii="Arial" w:cs="Arial" w:eastAsia="Arial" w:hAnsi="Arial"/>
          <w:sz w:val="13"/>
          <w:szCs w:val="13"/>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43" w:lineRule="exact"/>
        <w:rPr>
          <w:sz w:val="20"/>
          <w:szCs w:val="20"/>
          <w:color w:val="auto"/>
        </w:rPr>
      </w:pPr>
    </w:p>
    <w:p>
      <w:pPr>
        <w:jc w:val="both"/>
        <w:ind w:right="120"/>
        <w:spacing w:after="0" w:line="275" w:lineRule="auto"/>
        <w:rPr>
          <w:sz w:val="20"/>
          <w:szCs w:val="20"/>
          <w:color w:val="auto"/>
        </w:rPr>
      </w:pPr>
      <w:r>
        <w:rPr>
          <w:rFonts w:ascii="Arial" w:cs="Arial" w:eastAsia="Arial" w:hAnsi="Arial"/>
          <w:sz w:val="12"/>
          <w:szCs w:val="12"/>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w:t>
      </w:r>
    </w:p>
    <w:p>
      <w:pPr>
        <w:spacing w:after="0" w:line="1" w:lineRule="exact"/>
        <w:rPr>
          <w:sz w:val="20"/>
          <w:szCs w:val="20"/>
          <w:color w:val="auto"/>
        </w:rPr>
      </w:pPr>
    </w:p>
    <w:p>
      <w:pPr>
        <w:ind w:right="560"/>
        <w:spacing w:after="0" w:line="253" w:lineRule="auto"/>
        <w:rPr>
          <w:sz w:val="20"/>
          <w:szCs w:val="20"/>
          <w:color w:val="auto"/>
        </w:rPr>
      </w:pPr>
      <w:r>
        <w:rPr>
          <w:rFonts w:ascii="Arial" w:cs="Arial" w:eastAsia="Arial" w:hAnsi="Arial"/>
          <w:sz w:val="13"/>
          <w:szCs w:val="13"/>
          <w:color w:val="auto"/>
        </w:rPr>
        <w:t>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4"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These forward-looking statements speak only as of the date of this Quarterly Report on Form 10-Q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carriers may reduce the commissions paid to us and change their underwriting practices in ways that reduce the number of, or impact the renewal or approval rates of, insurance policies sold through our platform; factors that impact our estimate of LTV (as defined below) may be adversely impacted; 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 the potential delisting of our common stock from the NASDAQ; volatility in general economic conditions, including inflation, interest rates, and other commodity prices and exchange rates may impact our financial position and performance; we currently depend on a small group of carriers for a substantial portion of our revenue; information technology system failures could interrupt our operations; our ability to sell Medicare-related health insurance plans is largely dependent on our licensed health insurance agents; operating and growing our business may require additional capital; we may lose key employees or fail to attract qualified employees; the Founders and Centerbridge have significant influence over us, including control over decisions that require the approval of stockholders; and other important factors described in the section titled “Risk Factors” in our Annual Report on Form 10-K for the year ended December 31, 2021 (the “2021 Form 10-K”), the section titled “Management’s Discussion and Analysis of Financial Condition and Results of Operations” in this Quarterly Report on Form 10-Q, and in our other filings with the Securities and Exchange Commission.</w:t>
      </w:r>
    </w:p>
    <w:p>
      <w:pPr>
        <w:spacing w:after="0" w:line="154"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CERTAIN DEFINITIONS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Quarterly Report on Form 10-Q, unless the context otherwise requires:</w:t>
      </w:r>
    </w:p>
    <w:p>
      <w:pPr>
        <w:spacing w:after="0" w:line="169" w:lineRule="exact"/>
        <w:rPr>
          <w:sz w:val="20"/>
          <w:szCs w:val="20"/>
          <w:color w:val="auto"/>
        </w:rPr>
      </w:pPr>
    </w:p>
    <w:p>
      <w:pPr>
        <w:ind w:left="520" w:right="6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w:t>
      </w:r>
      <w:r>
        <w:rPr>
          <w:rFonts w:ascii="Arial" w:cs="Arial" w:eastAsia="Arial" w:hAnsi="Arial"/>
          <w:sz w:val="13"/>
          <w:szCs w:val="13"/>
          <w:i w:val="1"/>
          <w:iCs w:val="1"/>
          <w:color w:val="auto"/>
        </w:rPr>
        <w:t>our</w:t>
      </w:r>
      <w:r>
        <w:rPr>
          <w:rFonts w:ascii="Arial" w:cs="Arial" w:eastAsia="Arial" w:hAnsi="Arial"/>
          <w:sz w:val="13"/>
          <w:szCs w:val="13"/>
          <w:color w:val="auto"/>
        </w:rPr>
        <w:t>,” the “</w:t>
      </w:r>
      <w:r>
        <w:rPr>
          <w:rFonts w:ascii="Arial" w:cs="Arial" w:eastAsia="Arial" w:hAnsi="Arial"/>
          <w:sz w:val="13"/>
          <w:szCs w:val="13"/>
          <w:i w:val="1"/>
          <w:iCs w:val="1"/>
          <w:color w:val="auto"/>
        </w:rPr>
        <w:t>Company</w:t>
      </w:r>
      <w:r>
        <w:rPr>
          <w:rFonts w:ascii="Arial" w:cs="Arial" w:eastAsia="Arial" w:hAnsi="Arial"/>
          <w:sz w:val="13"/>
          <w:szCs w:val="13"/>
          <w:color w:val="auto"/>
        </w:rPr>
        <w:t>,” “</w:t>
      </w:r>
      <w:r>
        <w:rPr>
          <w:rFonts w:ascii="Arial" w:cs="Arial" w:eastAsia="Arial" w:hAnsi="Arial"/>
          <w:sz w:val="13"/>
          <w:szCs w:val="13"/>
          <w:i w:val="1"/>
          <w:iCs w:val="1"/>
          <w:color w:val="auto"/>
        </w:rPr>
        <w:t>GoHealth</w:t>
      </w:r>
      <w:r>
        <w:rPr>
          <w:rFonts w:ascii="Arial" w:cs="Arial" w:eastAsia="Arial" w:hAnsi="Arial"/>
          <w:sz w:val="13"/>
          <w:szCs w:val="13"/>
          <w:color w:val="auto"/>
        </w:rPr>
        <w:t>” and similar references refer to GoHealth, Inc., and, unless otherwise stated, all of its direct and indirect subsidiaries, including GoHealth Holdings, LLC (formerly known as Blizzard Parent, LLC).</w:t>
      </w:r>
    </w:p>
    <w:p>
      <w:pPr>
        <w:spacing w:after="0" w:line="124" w:lineRule="exact"/>
        <w:rPr>
          <w:rFonts w:ascii="Arial" w:cs="Arial" w:eastAsia="Arial" w:hAnsi="Arial"/>
          <w:sz w:val="13"/>
          <w:szCs w:val="13"/>
          <w:color w:val="auto"/>
        </w:rPr>
      </w:pPr>
    </w:p>
    <w:p>
      <w:pPr>
        <w:ind w:left="520" w:right="64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Company</w:t>
      </w:r>
      <w:r>
        <w:rPr>
          <w:rFonts w:ascii="Arial" w:cs="Arial" w:eastAsia="Arial" w:hAnsi="Arial"/>
          <w:sz w:val="13"/>
          <w:szCs w:val="13"/>
          <w:color w:val="auto"/>
        </w:rPr>
        <w:t>” refers to an entity affiliated with Centerbridge that was an indirect owner of LLC Interests in GoHealth Holdings, LLC prior to the Transactions and is taxable as a corporation for U.S. federal income tax purposes.</w:t>
      </w:r>
    </w:p>
    <w:p>
      <w:pPr>
        <w:spacing w:after="0" w:line="124" w:lineRule="exact"/>
        <w:rPr>
          <w:rFonts w:ascii="Arial" w:cs="Arial" w:eastAsia="Arial" w:hAnsi="Arial"/>
          <w:sz w:val="13"/>
          <w:szCs w:val="13"/>
          <w:color w:val="auto"/>
        </w:rPr>
      </w:pPr>
    </w:p>
    <w:p>
      <w:pPr>
        <w:ind w:left="520" w:right="24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Shareholders</w:t>
      </w:r>
      <w:r>
        <w:rPr>
          <w:rFonts w:ascii="Arial" w:cs="Arial" w:eastAsia="Arial" w:hAnsi="Arial"/>
          <w:sz w:val="13"/>
          <w:szCs w:val="13"/>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46" w:lineRule="exact"/>
        <w:rPr>
          <w:rFonts w:ascii="Arial" w:cs="Arial" w:eastAsia="Arial" w:hAnsi="Arial"/>
          <w:sz w:val="13"/>
          <w:szCs w:val="13"/>
          <w:color w:val="auto"/>
        </w:rPr>
      </w:pPr>
    </w:p>
    <w:p>
      <w:pPr>
        <w:ind w:left="520" w:right="180" w:hanging="260"/>
        <w:spacing w:after="0" w:line="309" w:lineRule="auto"/>
        <w:tabs>
          <w:tab w:leader="none" w:pos="511"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Centerbridge</w:t>
      </w:r>
      <w:r>
        <w:rPr>
          <w:rFonts w:ascii="Arial" w:cs="Arial" w:eastAsia="Arial" w:hAnsi="Arial"/>
          <w:sz w:val="12"/>
          <w:szCs w:val="12"/>
          <w:color w:val="auto"/>
        </w:rPr>
        <w:t>” refers to Centerbridge Capital Partners III, L.P., our sponsor and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 w:name="page5"/>
    <w:bookmarkEnd w:id="4"/>
    <w:p>
      <w:pPr>
        <w:ind w:left="520" w:right="28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Centerbridge Acquisition</w:t>
      </w:r>
      <w:r>
        <w:rPr>
          <w:rFonts w:ascii="Arial" w:cs="Arial" w:eastAsia="Arial" w:hAnsi="Arial"/>
          <w:sz w:val="13"/>
          <w:szCs w:val="13"/>
          <w:color w:val="auto"/>
        </w:rPr>
        <w:t xml:space="preserve">” or </w:t>
      </w:r>
      <w:r>
        <w:rPr>
          <w:rFonts w:ascii="Arial" w:cs="Arial" w:eastAsia="Arial" w:hAnsi="Arial"/>
          <w:sz w:val="13"/>
          <w:szCs w:val="13"/>
          <w:i w:val="1"/>
          <w:iCs w:val="1"/>
          <w:color w:val="auto"/>
        </w:rPr>
        <w:t>“Acquisition”</w:t>
      </w:r>
      <w:r>
        <w:rPr>
          <w:rFonts w:ascii="Arial" w:cs="Arial" w:eastAsia="Arial" w:hAnsi="Arial"/>
          <w:sz w:val="13"/>
          <w:szCs w:val="13"/>
          <w:color w:val="auto"/>
        </w:rPr>
        <w:t xml:space="preserve"> refers to the acquisition, on September 13, 2019, by Centerbridge, indirectly through a subsidiary of GoHealth Holdings, LLC (formerly known as Blizzard Parent, LLC), an entity formed in contemplation of the acquisition, of a 100% interest in Norvax.</w:t>
      </w:r>
    </w:p>
    <w:p>
      <w:pPr>
        <w:spacing w:after="0" w:line="146" w:lineRule="exact"/>
        <w:rPr>
          <w:rFonts w:ascii="Arial" w:cs="Arial" w:eastAsia="Arial" w:hAnsi="Arial"/>
          <w:sz w:val="13"/>
          <w:szCs w:val="13"/>
          <w:color w:val="auto"/>
        </w:rPr>
      </w:pPr>
    </w:p>
    <w:p>
      <w:pPr>
        <w:ind w:left="520" w:right="20" w:hanging="260"/>
        <w:spacing w:after="0" w:line="250"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Continuing Equity Owners</w:t>
      </w:r>
      <w:r>
        <w:rPr>
          <w:rFonts w:ascii="Arial" w:cs="Arial" w:eastAsia="Arial" w:hAnsi="Arial"/>
          <w:sz w:val="13"/>
          <w:szCs w:val="13"/>
          <w:color w:val="auto"/>
        </w:rPr>
        <w:t>” refer collectively to direct or indirect holders of LLC Interests and our Class B common stock immediately following consummation of the Transactions, including Centerbridge, Norwest Equity Partners,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47" w:lineRule="exact"/>
        <w:rPr>
          <w:rFonts w:ascii="Arial" w:cs="Arial" w:eastAsia="Arial" w:hAnsi="Arial"/>
          <w:sz w:val="13"/>
          <w:szCs w:val="13"/>
          <w:color w:val="auto"/>
        </w:rPr>
      </w:pPr>
    </w:p>
    <w:p>
      <w:pPr>
        <w:ind w:left="520" w:right="440" w:hanging="260"/>
        <w:spacing w:after="0" w:line="28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Founders</w:t>
      </w:r>
      <w:r>
        <w:rPr>
          <w:rFonts w:ascii="Arial" w:cs="Arial" w:eastAsia="Arial" w:hAnsi="Arial"/>
          <w:sz w:val="13"/>
          <w:szCs w:val="13"/>
          <w:color w:val="auto"/>
        </w:rPr>
        <w:t>” refer to Brandon M. Cruz, our Co-Founder and Chief Strategy Officer and Special Advisor to the Executive Team, and Clinton P. Jones, our Co-Founder and Chief Executive Officer.</w:t>
      </w:r>
    </w:p>
    <w:p>
      <w:pPr>
        <w:spacing w:after="0" w:line="124" w:lineRule="exact"/>
        <w:rPr>
          <w:rFonts w:ascii="Arial" w:cs="Arial" w:eastAsia="Arial" w:hAnsi="Arial"/>
          <w:sz w:val="13"/>
          <w:szCs w:val="13"/>
          <w:color w:val="auto"/>
        </w:rPr>
      </w:pPr>
    </w:p>
    <w:p>
      <w:pPr>
        <w:ind w:left="520" w:right="20" w:hanging="260"/>
        <w:spacing w:after="0" w:line="249"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Former Profits Unit Holders</w:t>
      </w:r>
      <w:r>
        <w:rPr>
          <w:rFonts w:ascii="Arial" w:cs="Arial" w:eastAsia="Arial" w:hAnsi="Arial"/>
          <w:sz w:val="13"/>
          <w:szCs w:val="13"/>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158" w:lineRule="exact"/>
        <w:rPr>
          <w:rFonts w:ascii="Arial" w:cs="Arial" w:eastAsia="Arial" w:hAnsi="Arial"/>
          <w:sz w:val="13"/>
          <w:szCs w:val="13"/>
          <w:color w:val="auto"/>
        </w:rPr>
      </w:pPr>
    </w:p>
    <w:p>
      <w:pPr>
        <w:ind w:left="520" w:right="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GoHealth Holdings, LLC Agreement</w:t>
      </w:r>
      <w:r>
        <w:rPr>
          <w:rFonts w:ascii="Arial" w:cs="Arial" w:eastAsia="Arial" w:hAnsi="Arial"/>
          <w:sz w:val="13"/>
          <w:szCs w:val="13"/>
          <w:color w:val="auto"/>
        </w:rPr>
        <w:t>” refers to GoHealth Holdings, LLC’s amended and restated limited liability company agreement, as further amended, which became effective substantially concurrently with or prior to the consummation of our IPO.</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LLC Interests</w:t>
      </w:r>
      <w:r>
        <w:rPr>
          <w:rFonts w:ascii="Arial" w:cs="Arial" w:eastAsia="Arial" w:hAnsi="Arial"/>
          <w:sz w:val="13"/>
          <w:szCs w:val="13"/>
          <w:color w:val="auto"/>
        </w:rPr>
        <w:t>” refer to the common units of GoHealth Holdings, LLC, including those that we purchased with a portion of the net proceeds from our IPO.</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Norvax</w:t>
      </w:r>
      <w:r>
        <w:rPr>
          <w:rFonts w:ascii="Arial" w:cs="Arial" w:eastAsia="Arial" w:hAnsi="Arial"/>
          <w:sz w:val="13"/>
          <w:szCs w:val="13"/>
          <w:color w:val="auto"/>
        </w:rPr>
        <w:t>” refers to Norvax, LLC, a Delaware limited liability company and a subsidiary of GoHealth Holdings, LLC.</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NVX Holdings</w:t>
      </w:r>
      <w:r>
        <w:rPr>
          <w:rFonts w:ascii="Arial" w:cs="Arial" w:eastAsia="Arial" w:hAnsi="Arial"/>
          <w:sz w:val="13"/>
          <w:szCs w:val="13"/>
          <w:color w:val="auto"/>
        </w:rPr>
        <w:t>” refers to NVX Holdings, Inc., a Delaware corporation that is controlled by the Founders.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Transactions</w:t>
      </w:r>
      <w:r>
        <w:rPr>
          <w:rFonts w:ascii="Arial" w:cs="Arial" w:eastAsia="Arial" w:hAnsi="Arial"/>
          <w:sz w:val="13"/>
          <w:szCs w:val="13"/>
          <w:color w:val="auto"/>
        </w:rPr>
        <w:t>” refer to our IPO and certain organizational transactions that were effected in connection with our IPO, and the application of the net proceeds therefrom.</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GoHealth, Inc. is a holding company and the sole managing member of GoHealth Holdings, LLC, and its principal asset consists of LLC Interests.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TERMS AND PERFORMANCE INDICATORS; NON-GAAP FINANCIAL MEASURES</w:t>
      </w:r>
    </w:p>
    <w:p>
      <w:pPr>
        <w:spacing w:after="0" w:line="16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Throughout this Quarterly Report on Form 10-Q, we use a number of key terms and provide a number of key performance indicators used by management. We define these terms and key performance indicators as follows:</w:t>
      </w:r>
    </w:p>
    <w:p>
      <w:pPr>
        <w:spacing w:after="0" w:line="146" w:lineRule="exact"/>
        <w:rPr>
          <w:sz w:val="20"/>
          <w:szCs w:val="20"/>
          <w:color w:val="auto"/>
        </w:rPr>
      </w:pPr>
    </w:p>
    <w:p>
      <w:pPr>
        <w:ind w:left="520" w:right="200" w:hanging="260"/>
        <w:spacing w:after="0" w:line="26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EBITDA</w:t>
      </w:r>
      <w:r>
        <w:rPr>
          <w:rFonts w:ascii="Arial" w:cs="Arial" w:eastAsia="Arial" w:hAnsi="Arial"/>
          <w:sz w:val="13"/>
          <w:szCs w:val="13"/>
          <w:color w:val="auto"/>
        </w:rPr>
        <w:t>” represents, as applicable for the period, EBITDA as further adjusted for certain items discussed in Item 2. Management’s Discussion and Analysis of Financial Condition and Results of Operations.</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EBITDA Margin</w:t>
      </w:r>
      <w:r>
        <w:rPr>
          <w:rFonts w:ascii="Arial" w:cs="Arial" w:eastAsia="Arial" w:hAnsi="Arial"/>
          <w:sz w:val="13"/>
          <w:szCs w:val="13"/>
          <w:color w:val="auto"/>
        </w:rPr>
        <w:t>” refers to Adjusted EBITDA divided by net revenues.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Approved Submissions</w:t>
      </w:r>
      <w:r>
        <w:rPr>
          <w:rFonts w:ascii="Arial" w:cs="Arial" w:eastAsia="Arial" w:hAnsi="Arial"/>
          <w:sz w:val="13"/>
          <w:szCs w:val="13"/>
          <w:color w:val="auto"/>
        </w:rPr>
        <w:t>” refer to Submitted Policies approved by carriers for the identified product during the indicated period.</w:t>
      </w:r>
    </w:p>
    <w:p>
      <w:pPr>
        <w:spacing w:after="0" w:line="168" w:lineRule="exact"/>
        <w:rPr>
          <w:rFonts w:ascii="Arial" w:cs="Arial" w:eastAsia="Arial" w:hAnsi="Arial"/>
          <w:sz w:val="13"/>
          <w:szCs w:val="13"/>
          <w:color w:val="auto"/>
        </w:rPr>
      </w:pPr>
    </w:p>
    <w:p>
      <w:pPr>
        <w:ind w:left="520" w:right="320" w:hanging="260"/>
        <w:spacing w:after="0" w:line="283"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CAC</w:t>
      </w:r>
      <w:r>
        <w:rPr>
          <w:rFonts w:ascii="Arial" w:cs="Arial" w:eastAsia="Arial" w:hAnsi="Arial"/>
          <w:sz w:val="13"/>
          <w:szCs w:val="13"/>
          <w:color w:val="auto"/>
        </w:rPr>
        <w:t>” refers to the cost to convert a prospect into a customer less other non-commission carrier revenue for such period. CAC is comprised of cost of revenue, marketing and advertising expenses and customer care and enrollment expenses less other revenue and is presented on a per commissionable Approved Submission basis.</w:t>
      </w:r>
    </w:p>
    <w:p>
      <w:pPr>
        <w:spacing w:after="0" w:line="124"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EBITDA</w:t>
      </w:r>
      <w:r>
        <w:rPr>
          <w:rFonts w:ascii="Arial" w:cs="Arial" w:eastAsia="Arial" w:hAnsi="Arial"/>
          <w:sz w:val="13"/>
          <w:szCs w:val="13"/>
          <w:color w:val="auto"/>
        </w:rPr>
        <w:t>” represents net income (loss) before interest expense, income tax expense (benefit) and depreciation and amortization expense.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 w:name="page6"/>
    <w:bookmarkEnd w:id="5"/>
    <w:p>
      <w:pPr>
        <w:ind w:left="520" w:right="60" w:hanging="260"/>
        <w:spacing w:after="0" w:line="26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w:t>
      </w:r>
      <w:r>
        <w:rPr>
          <w:rFonts w:ascii="Arial" w:cs="Arial" w:eastAsia="Arial" w:hAnsi="Arial"/>
          <w:sz w:val="13"/>
          <w:szCs w:val="13"/>
          <w:color w:val="auto"/>
        </w:rPr>
        <w:t>” refers to the Lifetime Value of Commissions per Approved Submission, which we define as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w:t>
      </w:r>
    </w:p>
    <w:p>
      <w:pPr>
        <w:spacing w:after="0" w:line="138"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 Per Approved Submission</w:t>
      </w:r>
      <w:r>
        <w:rPr>
          <w:rFonts w:ascii="Arial" w:cs="Arial" w:eastAsia="Arial" w:hAnsi="Arial"/>
          <w:sz w:val="13"/>
          <w:szCs w:val="13"/>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154" w:lineRule="exact"/>
        <w:rPr>
          <w:rFonts w:ascii="Arial" w:cs="Arial" w:eastAsia="Arial" w:hAnsi="Arial"/>
          <w:sz w:val="13"/>
          <w:szCs w:val="13"/>
          <w:color w:val="auto"/>
        </w:rPr>
      </w:pPr>
    </w:p>
    <w:p>
      <w:pPr>
        <w:ind w:left="520" w:right="60" w:hanging="260"/>
        <w:spacing w:after="0" w:line="250" w:lineRule="auto"/>
        <w:tabs>
          <w:tab w:leader="none" w:pos="511" w:val="left"/>
        </w:tabs>
        <w:numPr>
          <w:ilvl w:val="0"/>
          <w:numId w:val="6"/>
        </w:numPr>
        <w:rPr>
          <w:rFonts w:ascii="Arial" w:cs="Arial" w:eastAsia="Arial" w:hAnsi="Arial"/>
          <w:sz w:val="13"/>
          <w:szCs w:val="13"/>
          <w:i w:val="1"/>
          <w:iCs w:val="1"/>
          <w:u w:val="single" w:color="auto"/>
          <w:color w:val="auto"/>
        </w:rPr>
      </w:pPr>
      <w:r>
        <w:rPr>
          <w:rFonts w:ascii="Arial" w:cs="Arial" w:eastAsia="Arial" w:hAnsi="Arial"/>
          <w:sz w:val="13"/>
          <w:szCs w:val="13"/>
          <w:color w:val="auto"/>
        </w:rPr>
        <w:t>“</w:t>
      </w:r>
      <w:r>
        <w:rPr>
          <w:rFonts w:ascii="Arial" w:cs="Arial" w:eastAsia="Arial" w:hAnsi="Arial"/>
          <w:sz w:val="13"/>
          <w:szCs w:val="13"/>
          <w:i w:val="1"/>
          <w:iCs w:val="1"/>
          <w:color w:val="auto"/>
        </w:rPr>
        <w:t>LTV/CAC</w:t>
      </w:r>
      <w:r>
        <w:rPr>
          <w:rFonts w:ascii="Arial" w:cs="Arial" w:eastAsia="Arial" w:hAnsi="Arial"/>
          <w:sz w:val="13"/>
          <w:szCs w:val="13"/>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cost to convert a prospect into a customer less other non-commission carrier revenue for such period, or CAC. CAC is comprised of cost of revenue, marketing and advertising expenses and customer care and enrollment expenses less enterprise revenue, excluding cost of revenue adjustments recorded in the period, but relating to performance obligations satisfied in prior periods, and is presented on a per commissionable Approved Submission basis.</w:t>
      </w:r>
    </w:p>
    <w:p>
      <w:pPr>
        <w:spacing w:after="0" w:line="147" w:lineRule="exact"/>
        <w:rPr>
          <w:rFonts w:ascii="Arial" w:cs="Arial" w:eastAsia="Arial" w:hAnsi="Arial"/>
          <w:sz w:val="13"/>
          <w:szCs w:val="13"/>
          <w:i w:val="1"/>
          <w:iCs w:val="1"/>
          <w:u w:val="single" w:color="auto"/>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Submitted Policies</w:t>
      </w:r>
      <w:r>
        <w:rPr>
          <w:rFonts w:ascii="Arial" w:cs="Arial" w:eastAsia="Arial" w:hAnsi="Arial"/>
          <w:sz w:val="13"/>
          <w:szCs w:val="13"/>
          <w:color w:val="auto"/>
        </w:rPr>
        <w:t>” refer to completed applications that, with respect to each such application, the consumer has authorized us to submit to the carrier.</w:t>
      </w:r>
    </w:p>
    <w:p>
      <w:pPr>
        <w:spacing w:after="0" w:line="169"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2"/>
          <w:szCs w:val="12"/>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OPERATIONS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1"/>
                <w:szCs w:val="11"/>
                <w:b w:val="1"/>
                <w:bCs w:val="1"/>
                <w:color w:val="auto"/>
              </w:rPr>
              <w:t>Three months ended Mar. 31,</w:t>
            </w: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22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Commission</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209,639</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173,981</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Enterprise</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tcBorders>
              <w:left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60,954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30,198</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270,593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204,179</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Operating expenses: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22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Cost of revenue</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67,923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48,375</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Marketing and advertising</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54,484</w:t>
            </w: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Customer care and enrollment</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78,455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47,094</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Technology</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12,759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9,617</w:t>
            </w: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General and administrative</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29,217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19,685</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intangible assets</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tcBorders>
              <w:left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23,514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23,514</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295,901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202,769</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from operations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220" w:type="dxa"/>
            <w:vAlign w:val="bottom"/>
            <w:tcBorders>
              <w:lef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(25,308)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1,410</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11,398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8,688</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tcBorders>
              <w:left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(loss) before income taxes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(36,769)</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(7,291)</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220" w:type="dxa"/>
            <w:vAlign w:val="bottom"/>
            <w:tcBorders>
              <w:left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(37,241)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(7,260)</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220" w:type="dxa"/>
            <w:vAlign w:val="bottom"/>
            <w:tcBorders>
              <w:left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(23,758)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(5,173)</w:t>
            </w: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(13,483)</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(2,087)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8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i w:val="1"/>
                <w:iCs w:val="1"/>
                <w:color w:val="auto"/>
              </w:rPr>
              <w:t>Net loss per share (Note 7):</w:t>
            </w: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tcBorders>
              <w:lef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Net loss per share of Class A common stock — basic and diluted</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(0.12)</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Weighted-average shares of Class A common stock outstanding — basic and diluted</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92,343</w:t>
            </w:r>
          </w:p>
        </w:tc>
        <w:tc>
          <w:tcPr>
            <w:tcW w:w="0" w:type="dxa"/>
            <w:vAlign w:val="bottom"/>
          </w:tcPr>
          <w:p>
            <w:pPr>
              <w:spacing w:after="0"/>
              <w:rPr>
                <w:sz w:val="1"/>
                <w:szCs w:val="1"/>
                <w:color w:val="auto"/>
              </w:rPr>
            </w:pPr>
          </w:p>
        </w:tc>
      </w:tr>
      <w:tr>
        <w:trPr>
          <w:trHeight w:val="401"/>
        </w:trPr>
        <w:tc>
          <w:tcPr>
            <w:tcW w:w="8960" w:type="dxa"/>
            <w:vAlign w:val="bottom"/>
            <w:gridSpan w:val="5"/>
          </w:tcPr>
          <w:p>
            <w:pPr>
              <w:jc w:val="center"/>
              <w:ind w:left="2263"/>
              <w:spacing w:after="0"/>
              <w:rPr>
                <w:sz w:val="20"/>
                <w:szCs w:val="20"/>
                <w:color w:val="auto"/>
              </w:rPr>
            </w:pPr>
            <w:r>
              <w:rPr>
                <w:rFonts w:ascii="Arial" w:cs="Arial" w:eastAsia="Arial" w:hAnsi="Arial"/>
                <w:sz w:val="13"/>
                <w:szCs w:val="13"/>
                <w:i w:val="1"/>
                <w:iCs w:val="1"/>
                <w:color w:val="auto"/>
                <w:w w:val="97"/>
              </w:rPr>
              <w:t>The accompanying Notes are an integral part of these Condensed Consolidated Financial Statements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color w:val="auto"/>
              </w:rPr>
              <w:t>2022 Form 10-Q</w:t>
            </w: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2220" w:type="dxa"/>
            <w:vAlign w:val="bottom"/>
            <w:tcBorders>
              <w:left w:val="single" w:sz="8" w:color="auto"/>
            </w:tcBorders>
          </w:tcPr>
          <w:p>
            <w:pPr>
              <w:jc w:val="right"/>
              <w:ind w:right="2023"/>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2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COMPREHENSIVE INCOME (LOSS)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b w:val="1"/>
                <w:bCs w:val="1"/>
                <w:color w:val="auto"/>
              </w:rPr>
              <w:t>Three months ended Mar. 31,</w:t>
            </w: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42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(37,241)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Other comprehensive income (loss):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adjustments</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20" w:type="dxa"/>
            <w:vAlign w:val="bottom"/>
            <w:tcBorders>
              <w:left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Comprehensive income (loss)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(37,358)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income (loss) attributable to non-controlling interests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120" w:type="dxa"/>
            <w:vAlign w:val="bottom"/>
            <w:tcBorders>
              <w:left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(23,833)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GoHealth, Inc.</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(13,525)</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(2,085)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860" w:type="dxa"/>
            <w:vAlign w:val="bottom"/>
            <w:gridSpan w:val="5"/>
          </w:tcPr>
          <w:p>
            <w:pPr>
              <w:jc w:val="center"/>
              <w:ind w:left="2363"/>
              <w:spacing w:after="0"/>
              <w:rPr>
                <w:sz w:val="20"/>
                <w:szCs w:val="20"/>
                <w:color w:val="auto"/>
              </w:rPr>
            </w:pPr>
            <w:r>
              <w:rPr>
                <w:rFonts w:ascii="Arial" w:cs="Arial" w:eastAsia="Arial" w:hAnsi="Arial"/>
                <w:sz w:val="13"/>
                <w:szCs w:val="13"/>
                <w:i w:val="1"/>
                <w:iCs w:val="1"/>
                <w:color w:val="auto"/>
                <w:w w:val="97"/>
              </w:rPr>
              <w:t>The accompanying Notes are an integral part of these Condensed Consolidated Financial Statements.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color w:val="auto"/>
              </w:rPr>
              <w:t>2022 Form 10-Q</w:t>
            </w: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2120" w:type="dxa"/>
            <w:vAlign w:val="bottom"/>
            <w:tcBorders>
              <w:left w:val="single" w:sz="8" w:color="auto"/>
            </w:tcBorders>
          </w:tcPr>
          <w:p>
            <w:pPr>
              <w:jc w:val="right"/>
              <w:ind w:right="1923"/>
              <w:spacing w:after="0"/>
              <w:rPr>
                <w:sz w:val="20"/>
                <w:szCs w:val="20"/>
                <w:color w:val="auto"/>
              </w:rPr>
            </w:pPr>
            <w:r>
              <w:rPr>
                <w:rFonts w:ascii="Arial" w:cs="Arial" w:eastAsia="Arial" w:hAnsi="Arial"/>
                <w:sz w:val="11"/>
                <w:szCs w:val="11"/>
                <w:color w:val="auto"/>
              </w:rPr>
              <w:t>5</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00497F"/>
        </w:rPr>
        <w:t>CONDENSED CONSOLIDATED BALANCE SHEETS</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 31, 2022</w:t>
            </w:r>
          </w:p>
        </w:tc>
        <w:tc>
          <w:tcPr>
            <w:tcW w:w="280" w:type="dxa"/>
            <w:vAlign w:val="bottom"/>
          </w:tcPr>
          <w:p>
            <w:pPr>
              <w:spacing w:after="0"/>
              <w:rPr>
                <w:sz w:val="13"/>
                <w:szCs w:val="13"/>
                <w:color w:val="auto"/>
              </w:rPr>
            </w:pPr>
          </w:p>
        </w:tc>
        <w:tc>
          <w:tcPr>
            <w:tcW w:w="1360" w:type="dxa"/>
            <w:vAlign w:val="bottom"/>
          </w:tcPr>
          <w:p>
            <w:pPr>
              <w:jc w:val="right"/>
              <w:ind w:right="403"/>
              <w:spacing w:after="0"/>
              <w:rPr>
                <w:sz w:val="20"/>
                <w:szCs w:val="20"/>
                <w:color w:val="auto"/>
              </w:rPr>
            </w:pPr>
            <w:r>
              <w:rPr>
                <w:rFonts w:ascii="Arial" w:cs="Arial" w:eastAsia="Arial" w:hAnsi="Arial"/>
                <w:sz w:val="11"/>
                <w:szCs w:val="11"/>
                <w:b w:val="1"/>
                <w:bCs w:val="1"/>
                <w:color w:val="auto"/>
              </w:rPr>
              <w:t>Dec. 31, 2021</w:t>
            </w:r>
          </w:p>
        </w:tc>
        <w:tc>
          <w:tcPr>
            <w:tcW w:w="0" w:type="dxa"/>
            <w:vAlign w:val="bottom"/>
          </w:tcPr>
          <w:p>
            <w:pPr>
              <w:spacing w:after="0"/>
              <w:rPr>
                <w:sz w:val="1"/>
                <w:szCs w:val="1"/>
                <w:color w:val="auto"/>
              </w:rPr>
            </w:pPr>
          </w:p>
        </w:tc>
      </w:tr>
      <w:tr>
        <w:trPr>
          <w:trHeight w:val="139"/>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3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Current assets:</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129,628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84,361</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Accounts receivable, net of allowance for doubtful accounts of $926 in 2022 and $558 in 2021</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40,117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17,276</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Commissions receivable - current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189,287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268,663</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Prepaid expense and other current assets</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32,730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current assets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391,762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428,995</w:t>
            </w:r>
          </w:p>
        </w:tc>
        <w:tc>
          <w:tcPr>
            <w:tcW w:w="0" w:type="dxa"/>
            <w:vAlign w:val="bottom"/>
          </w:tcPr>
          <w:p>
            <w:pPr>
              <w:spacing w:after="0"/>
              <w:rPr>
                <w:sz w:val="1"/>
                <w:szCs w:val="1"/>
                <w:color w:val="auto"/>
              </w:rPr>
            </w:pPr>
          </w:p>
        </w:tc>
      </w:tr>
      <w:tr>
        <w:trPr>
          <w:trHeight w:val="147"/>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Commissions receivable - non-current</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947,280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993,844</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Operating lease ROU asset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23,462</w:t>
            </w:r>
          </w:p>
        </w:tc>
        <w:tc>
          <w:tcPr>
            <w:tcW w:w="0" w:type="dxa"/>
            <w:vAlign w:val="bottom"/>
          </w:tcPr>
          <w:p>
            <w:pPr>
              <w:spacing w:after="0"/>
              <w:rPr>
                <w:sz w:val="1"/>
                <w:szCs w:val="1"/>
                <w:color w:val="auto"/>
              </w:rPr>
            </w:pPr>
          </w:p>
        </w:tc>
      </w:tr>
      <w:tr>
        <w:trPr>
          <w:trHeight w:val="156"/>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Other long-term assets</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2,857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3,608</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Property, equipment, and capitalized software, net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24,273</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Intangible assets, net</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571,154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594,669</w:t>
            </w:r>
          </w:p>
        </w:tc>
        <w:tc>
          <w:tcPr>
            <w:tcW w:w="0" w:type="dxa"/>
            <w:vAlign w:val="bottom"/>
          </w:tcPr>
          <w:p>
            <w:pPr>
              <w:spacing w:after="0"/>
              <w:rPr>
                <w:sz w:val="1"/>
                <w:szCs w:val="1"/>
                <w:color w:val="auto"/>
              </w:rPr>
            </w:pPr>
          </w:p>
        </w:tc>
      </w:tr>
      <w:tr>
        <w:trPr>
          <w:trHeight w:val="17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13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left w:val="single" w:sz="8" w:color="CCEEFF"/>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1,962,960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2,068,851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1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06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Current liabilities: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Accounts payable</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25,797</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39,843</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Accrued liabilities</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34,724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52,788</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Commissions payable - current</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56,645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104,160</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Short-term operating lease liability</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6,126</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Deferred revenue</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1,137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Current portion of long-term debt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5,270</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Other current liabilities</w:t>
            </w: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11,067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8,344</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current liabilities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140,889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217,067</w:t>
            </w:r>
          </w:p>
        </w:tc>
        <w:tc>
          <w:tcPr>
            <w:tcW w:w="0" w:type="dxa"/>
            <w:vAlign w:val="bottom"/>
          </w:tcPr>
          <w:p>
            <w:pPr>
              <w:spacing w:after="0"/>
              <w:rPr>
                <w:sz w:val="1"/>
                <w:szCs w:val="1"/>
                <w:color w:val="auto"/>
              </w:rPr>
            </w:pPr>
          </w:p>
        </w:tc>
      </w:tr>
      <w:tr>
        <w:trPr>
          <w:trHeight w:val="136"/>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Non-current liabilities:</w:t>
            </w: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Commissions payable - non-current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281,250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274,403</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Long-term operating lease liability</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18,185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19,776</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Long-term debt, net of current portion</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662,678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665,115</w:t>
            </w:r>
          </w:p>
        </w:tc>
        <w:tc>
          <w:tcPr>
            <w:tcW w:w="0" w:type="dxa"/>
            <w:vAlign w:val="bottom"/>
          </w:tcPr>
          <w:p>
            <w:pPr>
              <w:spacing w:after="0"/>
              <w:rPr>
                <w:sz w:val="1"/>
                <w:szCs w:val="1"/>
                <w:color w:val="auto"/>
              </w:rPr>
            </w:pPr>
          </w:p>
        </w:tc>
      </w:tr>
      <w:tr>
        <w:trPr>
          <w:trHeight w:val="147"/>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 non-current liabilities</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962,113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959,294</w:t>
            </w:r>
          </w:p>
        </w:tc>
        <w:tc>
          <w:tcPr>
            <w:tcW w:w="0" w:type="dxa"/>
            <w:vAlign w:val="bottom"/>
          </w:tcPr>
          <w:p>
            <w:pPr>
              <w:spacing w:after="0"/>
              <w:rPr>
                <w:sz w:val="1"/>
                <w:szCs w:val="1"/>
                <w:color w:val="auto"/>
              </w:rPr>
            </w:pPr>
          </w:p>
        </w:tc>
      </w:tr>
      <w:tr>
        <w:trPr>
          <w:trHeight w:val="14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11)</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Stockholders’ equity:</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900" w:type="dxa"/>
            <w:vAlign w:val="bottom"/>
            <w:gridSpan w:val="4"/>
            <w:shd w:val="clear" w:color="auto" w:fill="CCEEFF"/>
          </w:tcPr>
          <w:p>
            <w:pPr>
              <w:ind w:left="180"/>
              <w:spacing w:after="0" w:line="124" w:lineRule="exact"/>
              <w:rPr>
                <w:sz w:val="20"/>
                <w:szCs w:val="20"/>
                <w:color w:val="auto"/>
              </w:rPr>
            </w:pPr>
            <w:r>
              <w:rPr>
                <w:rFonts w:ascii="Arial" w:cs="Arial" w:eastAsia="Arial" w:hAnsi="Arial"/>
                <w:sz w:val="11"/>
                <w:szCs w:val="11"/>
                <w:color w:val="auto"/>
              </w:rPr>
              <w:t>Class A common stock – $0.0001 par value; 1,100,000 shares authorized; 121,944 and 115,487 shares issued; 121,775 and 115,487 shares</w:t>
            </w:r>
          </w:p>
        </w:tc>
        <w:tc>
          <w:tcPr>
            <w:tcW w:w="28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4"/>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outstanding at March 31, 2022 and December 31, 2021, respectively.</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7900" w:type="dxa"/>
            <w:vAlign w:val="bottom"/>
            <w:gridSpan w:val="4"/>
          </w:tcPr>
          <w:p>
            <w:pPr>
              <w:ind w:left="180"/>
              <w:spacing w:after="0" w:line="121" w:lineRule="exact"/>
              <w:rPr>
                <w:sz w:val="20"/>
                <w:szCs w:val="20"/>
                <w:color w:val="auto"/>
              </w:rPr>
            </w:pPr>
            <w:r>
              <w:rPr>
                <w:rFonts w:ascii="Arial" w:cs="Arial" w:eastAsia="Arial" w:hAnsi="Arial"/>
                <w:sz w:val="11"/>
                <w:szCs w:val="11"/>
                <w:color w:val="auto"/>
              </w:rPr>
              <w:t>Class B common stock – $0.0001 par value; 581,346 and 587,360 shares authorized; 199,338 and 205,352 shares issued and outstanding at March 31,</w:t>
            </w:r>
          </w:p>
        </w:tc>
        <w:tc>
          <w:tcPr>
            <w:tcW w:w="280" w:type="dxa"/>
            <w:vAlign w:val="bottom"/>
          </w:tcPr>
          <w:p>
            <w:pPr>
              <w:spacing w:after="0"/>
              <w:rPr>
                <w:sz w:val="10"/>
                <w:szCs w:val="10"/>
                <w:color w:val="auto"/>
              </w:rPr>
            </w:pPr>
          </w:p>
        </w:tc>
        <w:tc>
          <w:tcPr>
            <w:tcW w:w="1380" w:type="dxa"/>
            <w:vAlign w:val="bottom"/>
            <w:vMerge w:val="restart"/>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4"/>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2022 and December 31, 2021, respectively.</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1"/>
                <w:szCs w:val="11"/>
                <w:color w:val="auto"/>
              </w:rPr>
              <w:t>Preferred stock – $0.0001 par value; 20,000 shares authorized; no shares issued and outstanding at March 31, 2022 and December 31, 2021.</w:t>
            </w:r>
          </w:p>
        </w:tc>
        <w:tc>
          <w:tcPr>
            <w:tcW w:w="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Treasury stock – at cost; 169 shares of Class A common stock at March 31, 2022</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(329)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583,323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561,447</w:t>
            </w:r>
          </w:p>
        </w:tc>
        <w:tc>
          <w:tcPr>
            <w:tcW w:w="0" w:type="dxa"/>
            <w:vAlign w:val="bottom"/>
          </w:tcPr>
          <w:p>
            <w:pPr>
              <w:spacing w:after="0"/>
              <w:rPr>
                <w:sz w:val="1"/>
                <w:szCs w:val="1"/>
                <w:color w:val="auto"/>
              </w:rPr>
            </w:pPr>
          </w:p>
        </w:tc>
      </w:tr>
      <w:tr>
        <w:trPr>
          <w:trHeight w:val="156"/>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Accumulated other comprehensive income (loss)</w:t>
            </w: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62"/>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Accumulated deficit</w:t>
            </w:r>
          </w:p>
        </w:tc>
        <w:tc>
          <w:tcPr>
            <w:tcW w:w="1380" w:type="dxa"/>
            <w:vAlign w:val="bottom"/>
            <w:shd w:val="clear" w:color="auto" w:fill="CCEEFF"/>
          </w:tcPr>
          <w:p>
            <w:pPr>
              <w:spacing w:after="0"/>
              <w:rPr>
                <w:sz w:val="14"/>
                <w:szCs w:val="14"/>
                <w:color w:val="auto"/>
              </w:rPr>
            </w:pPr>
          </w:p>
        </w:tc>
        <w:tc>
          <w:tcPr>
            <w:tcW w:w="1460" w:type="dxa"/>
            <w:vAlign w:val="bottom"/>
            <w:tcBorders>
              <w:left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(221,800)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(208,317)</w:t>
            </w:r>
          </w:p>
        </w:tc>
        <w:tc>
          <w:tcPr>
            <w:tcW w:w="0" w:type="dxa"/>
            <w:vAlign w:val="bottom"/>
          </w:tcPr>
          <w:p>
            <w:pPr>
              <w:spacing w:after="0"/>
              <w:rPr>
                <w:sz w:val="1"/>
                <w:szCs w:val="1"/>
                <w:color w:val="auto"/>
              </w:rPr>
            </w:pPr>
          </w:p>
        </w:tc>
      </w:tr>
      <w:tr>
        <w:trPr>
          <w:trHeight w:val="147"/>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 stockholders’ equity attributable to GoHealth, Inc.</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361,125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353,103</w:t>
            </w:r>
          </w:p>
        </w:tc>
        <w:tc>
          <w:tcPr>
            <w:tcW w:w="0" w:type="dxa"/>
            <w:vAlign w:val="bottom"/>
          </w:tcPr>
          <w:p>
            <w:pPr>
              <w:spacing w:after="0"/>
              <w:rPr>
                <w:sz w:val="1"/>
                <w:szCs w:val="1"/>
                <w:color w:val="auto"/>
              </w:rPr>
            </w:pPr>
          </w:p>
        </w:tc>
      </w:tr>
      <w:tr>
        <w:trPr>
          <w:trHeight w:val="15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1380" w:type="dxa"/>
            <w:vAlign w:val="bottom"/>
            <w:shd w:val="clear" w:color="auto" w:fill="CCEEFF"/>
          </w:tcPr>
          <w:p>
            <w:pPr>
              <w:spacing w:after="0"/>
              <w:rPr>
                <w:sz w:val="13"/>
                <w:szCs w:val="13"/>
                <w:color w:val="auto"/>
              </w:rPr>
            </w:pPr>
          </w:p>
        </w:tc>
        <w:tc>
          <w:tcPr>
            <w:tcW w:w="1460" w:type="dxa"/>
            <w:vAlign w:val="bottom"/>
            <w:tcBorders>
              <w:lef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498,833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539,387</w:t>
            </w:r>
          </w:p>
        </w:tc>
        <w:tc>
          <w:tcPr>
            <w:tcW w:w="0" w:type="dxa"/>
            <w:vAlign w:val="bottom"/>
          </w:tcPr>
          <w:p>
            <w:pPr>
              <w:spacing w:after="0"/>
              <w:rPr>
                <w:sz w:val="1"/>
                <w:szCs w:val="1"/>
                <w:color w:val="auto"/>
              </w:rPr>
            </w:pPr>
          </w:p>
        </w:tc>
      </w:tr>
      <w:tr>
        <w:trPr>
          <w:trHeight w:val="147"/>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 stockholders’ equity</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859,958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892,490</w:t>
            </w:r>
          </w:p>
        </w:tc>
        <w:tc>
          <w:tcPr>
            <w:tcW w:w="0" w:type="dxa"/>
            <w:vAlign w:val="bottom"/>
          </w:tcPr>
          <w:p>
            <w:pPr>
              <w:spacing w:after="0"/>
              <w:rPr>
                <w:sz w:val="1"/>
                <w:szCs w:val="1"/>
                <w:color w:val="auto"/>
              </w:rPr>
            </w:pPr>
          </w:p>
        </w:tc>
      </w:tr>
      <w:tr>
        <w:trPr>
          <w:trHeight w:val="17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13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left w:val="single" w:sz="8" w:color="CCEEFF"/>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1,962,960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2,068,851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640" w:type="dxa"/>
            <w:vAlign w:val="bottom"/>
            <w:gridSpan w:val="7"/>
          </w:tcPr>
          <w:p>
            <w:pPr>
              <w:jc w:val="center"/>
              <w:ind w:left="1583"/>
              <w:spacing w:after="0"/>
              <w:rPr>
                <w:sz w:val="20"/>
                <w:szCs w:val="20"/>
                <w:color w:val="auto"/>
              </w:rPr>
            </w:pPr>
            <w:r>
              <w:rPr>
                <w:rFonts w:ascii="Arial" w:cs="Arial" w:eastAsia="Arial" w:hAnsi="Arial"/>
                <w:sz w:val="13"/>
                <w:szCs w:val="13"/>
                <w:i w:val="1"/>
                <w:iCs w:val="1"/>
                <w:color w:val="auto"/>
                <w:w w:val="97"/>
              </w:rPr>
              <w:t>The accompanying Notes are an integral part of these Condensed Consolidated Financial Statements.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0" w:type="dxa"/>
            <w:vAlign w:val="bottom"/>
          </w:tcPr>
          <w:p>
            <w:pPr>
              <w:spacing w:after="0"/>
              <w:rPr>
                <w:sz w:val="24"/>
                <w:szCs w:val="24"/>
                <w:color w:val="auto"/>
              </w:rPr>
            </w:pPr>
          </w:p>
        </w:tc>
        <w:tc>
          <w:tcPr>
            <w:tcW w:w="1380" w:type="dxa"/>
            <w:vAlign w:val="bottom"/>
            <w:vMerge w:val="restart"/>
          </w:tcPr>
          <w:p>
            <w:pPr>
              <w:jc w:val="center"/>
              <w:ind w:right="163"/>
              <w:spacing w:after="0"/>
              <w:rPr>
                <w:sz w:val="20"/>
                <w:szCs w:val="20"/>
                <w:color w:val="auto"/>
              </w:rPr>
            </w:pPr>
            <w:r>
              <w:rPr>
                <w:rFonts w:ascii="Arial" w:cs="Arial" w:eastAsia="Arial" w:hAnsi="Arial"/>
                <w:sz w:val="11"/>
                <w:szCs w:val="11"/>
                <w:color w:val="auto"/>
              </w:rPr>
              <w:t>2022 Form 10-Q</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0" w:type="dxa"/>
            <w:vAlign w:val="bottom"/>
            <w:tcBorders>
              <w:left w:val="single" w:sz="8" w:color="auto"/>
            </w:tcBorders>
          </w:tcPr>
          <w:p>
            <w:pPr>
              <w:spacing w:after="0"/>
              <w:rPr>
                <w:sz w:val="13"/>
                <w:szCs w:val="13"/>
                <w:color w:val="auto"/>
              </w:rPr>
            </w:pPr>
          </w:p>
        </w:tc>
        <w:tc>
          <w:tcPr>
            <w:tcW w:w="1380" w:type="dxa"/>
            <w:vAlign w:val="bottom"/>
            <w:vMerge w:val="continue"/>
          </w:tcPr>
          <w:p>
            <w:pPr>
              <w:spacing w:after="0"/>
              <w:rPr>
                <w:sz w:val="13"/>
                <w:szCs w:val="13"/>
                <w:color w:val="auto"/>
              </w:rPr>
            </w:pPr>
          </w:p>
        </w:tc>
        <w:tc>
          <w:tcPr>
            <w:tcW w:w="1460" w:type="dxa"/>
            <w:vAlign w:val="bottom"/>
            <w:tcBorders>
              <w:left w:val="single" w:sz="8" w:color="auto"/>
            </w:tcBorders>
          </w:tcPr>
          <w:p>
            <w:pPr>
              <w:jc w:val="right"/>
              <w:ind w:right="1263"/>
              <w:spacing w:after="0"/>
              <w:rPr>
                <w:sz w:val="20"/>
                <w:szCs w:val="20"/>
                <w:color w:val="auto"/>
              </w:rPr>
            </w:pPr>
            <w:r>
              <w:rPr>
                <w:rFonts w:ascii="Arial" w:cs="Arial" w:eastAsia="Arial" w:hAnsi="Arial"/>
                <w:sz w:val="11"/>
                <w:szCs w:val="11"/>
                <w:color w:val="auto"/>
              </w:rPr>
              <w:t>6</w:t>
            </w: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CHANGES IN STOCKHOLDERS’ EQUITY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6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11"/>
          </w:tcPr>
          <w:p>
            <w:pPr>
              <w:ind w:left="440"/>
              <w:spacing w:after="0"/>
              <w:rPr>
                <w:sz w:val="20"/>
                <w:szCs w:val="20"/>
                <w:color w:val="auto"/>
              </w:rPr>
            </w:pPr>
            <w:r>
              <w:rPr>
                <w:rFonts w:ascii="Arial" w:cs="Arial" w:eastAsia="Arial" w:hAnsi="Arial"/>
                <w:sz w:val="8"/>
                <w:szCs w:val="8"/>
                <w:b w:val="1"/>
                <w:bCs w:val="1"/>
                <w:color w:val="auto"/>
              </w:rPr>
              <w:t>Three months ended Mar. 31, 2022</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tcPr>
          <w:p>
            <w:pPr>
              <w:spacing w:after="0"/>
              <w:rPr>
                <w:sz w:val="9"/>
                <w:szCs w:val="9"/>
                <w:color w:val="auto"/>
              </w:rPr>
            </w:pPr>
          </w:p>
        </w:tc>
        <w:tc>
          <w:tcPr>
            <w:tcW w:w="12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rPr>
              <w:t>Class A Common Stock</w:t>
            </w: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Pr>
          <w:p>
            <w:pPr>
              <w:spacing w:after="0"/>
              <w:rPr>
                <w:sz w:val="9"/>
                <w:szCs w:val="9"/>
                <w:color w:val="auto"/>
              </w:rPr>
            </w:pPr>
          </w:p>
        </w:tc>
        <w:tc>
          <w:tcPr>
            <w:tcW w:w="136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Amount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80" w:type="dxa"/>
            <w:vAlign w:val="bottom"/>
            <w:vMerge w:val="restart"/>
          </w:tcPr>
          <w:p>
            <w:pPr>
              <w:spacing w:after="0"/>
              <w:rPr>
                <w:sz w:val="6"/>
                <w:szCs w:val="6"/>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80" w:type="dxa"/>
            <w:vAlign w:val="bottom"/>
            <w:vMerge w:val="restart"/>
          </w:tcPr>
          <w:p>
            <w:pPr>
              <w:spacing w:after="0"/>
              <w:rPr>
                <w:sz w:val="6"/>
                <w:szCs w:val="6"/>
                <w:color w:val="auto"/>
              </w:rPr>
            </w:pPr>
          </w:p>
        </w:tc>
        <w:tc>
          <w:tcPr>
            <w:tcW w:w="900" w:type="dxa"/>
            <w:vAlign w:val="bottom"/>
            <w:gridSpan w:val="4"/>
          </w:tcPr>
          <w:p>
            <w:pPr>
              <w:jc w:val="center"/>
              <w:ind w:right="80"/>
              <w:spacing w:after="0" w:line="74" w:lineRule="exact"/>
              <w:rPr>
                <w:sz w:val="20"/>
                <w:szCs w:val="20"/>
                <w:color w:val="auto"/>
              </w:rPr>
            </w:pPr>
            <w:r>
              <w:rPr>
                <w:rFonts w:ascii="Arial" w:cs="Arial" w:eastAsia="Arial" w:hAnsi="Arial"/>
                <w:sz w:val="8"/>
                <w:szCs w:val="8"/>
                <w:b w:val="1"/>
                <w:bCs w:val="1"/>
                <w:color w:val="auto"/>
              </w:rPr>
              <w:t>Additional Paid-In</w:t>
            </w:r>
          </w:p>
        </w:tc>
        <w:tc>
          <w:tcPr>
            <w:tcW w:w="20" w:type="dxa"/>
            <w:vAlign w:val="bottom"/>
          </w:tcPr>
          <w:p>
            <w:pPr>
              <w:spacing w:after="0"/>
              <w:rPr>
                <w:sz w:val="6"/>
                <w:szCs w:val="6"/>
                <w:color w:val="auto"/>
              </w:rPr>
            </w:pPr>
          </w:p>
        </w:tc>
        <w:tc>
          <w:tcPr>
            <w:tcW w:w="940" w:type="dxa"/>
            <w:vAlign w:val="bottom"/>
            <w:gridSpan w:val="2"/>
            <w:vMerge w:val="restart"/>
          </w:tcPr>
          <w:p>
            <w:pPr>
              <w:jc w:val="right"/>
              <w:ind w:right="18"/>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tcPr>
          <w:p>
            <w:pPr>
              <w:jc w:val="center"/>
              <w:ind w:right="160"/>
              <w:spacing w:after="0" w:line="74" w:lineRule="exact"/>
              <w:rPr>
                <w:sz w:val="20"/>
                <w:szCs w:val="20"/>
                <w:color w:val="auto"/>
              </w:rPr>
            </w:pPr>
            <w:r>
              <w:rPr>
                <w:rFonts w:ascii="Arial" w:cs="Arial" w:eastAsia="Arial" w:hAnsi="Arial"/>
                <w:sz w:val="8"/>
                <w:szCs w:val="8"/>
                <w:b w:val="1"/>
                <w:bCs w:val="1"/>
                <w:color w:val="auto"/>
              </w:rPr>
              <w:t>Accumulated Other</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40" w:type="dxa"/>
            <w:vAlign w:val="bottom"/>
          </w:tcPr>
          <w:p>
            <w:pPr>
              <w:spacing w:after="0"/>
              <w:rPr>
                <w:sz w:val="6"/>
                <w:szCs w:val="6"/>
                <w:color w:val="auto"/>
              </w:rPr>
            </w:pPr>
          </w:p>
        </w:tc>
        <w:tc>
          <w:tcPr>
            <w:tcW w:w="960" w:type="dxa"/>
            <w:vAlign w:val="bottom"/>
            <w:gridSpan w:val="2"/>
            <w:vMerge w:val="restart"/>
          </w:tcPr>
          <w:p>
            <w:pPr>
              <w:jc w:val="right"/>
              <w:ind w:right="38"/>
              <w:spacing w:after="0"/>
              <w:rPr>
                <w:sz w:val="20"/>
                <w:szCs w:val="20"/>
                <w:color w:val="auto"/>
              </w:rPr>
            </w:pPr>
            <w:r>
              <w:rPr>
                <w:rFonts w:ascii="Arial" w:cs="Arial" w:eastAsia="Arial" w:hAnsi="Arial"/>
                <w:sz w:val="8"/>
                <w:szCs w:val="8"/>
                <w:b w:val="1"/>
                <w:bCs w:val="1"/>
                <w:color w:val="auto"/>
              </w:rPr>
              <w:t>Stockholders’ Equity</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6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18"/>
              <w:spacing w:after="0"/>
              <w:rPr>
                <w:sz w:val="20"/>
                <w:szCs w:val="20"/>
                <w:color w:val="auto"/>
              </w:rPr>
            </w:pPr>
            <w:r>
              <w:rPr>
                <w:rFonts w:ascii="Arial" w:cs="Arial" w:eastAsia="Arial" w:hAnsi="Arial"/>
                <w:sz w:val="8"/>
                <w:szCs w:val="8"/>
                <w:b w:val="1"/>
                <w:bCs w:val="1"/>
                <w:color w:val="auto"/>
              </w:rPr>
              <w:t>Capital</w:t>
            </w:r>
          </w:p>
        </w:tc>
        <w:tc>
          <w:tcPr>
            <w:tcW w:w="80" w:type="dxa"/>
            <w:vAlign w:val="bottom"/>
            <w:tcBorders>
              <w:bottom w:val="single" w:sz="8" w:color="CCEEFF"/>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Borders>
              <w:bottom w:val="single" w:sz="8" w:color="CCEEFF"/>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Interest</w:t>
            </w:r>
          </w:p>
        </w:tc>
        <w:tc>
          <w:tcPr>
            <w:tcW w:w="80" w:type="dxa"/>
            <w:vAlign w:val="bottom"/>
            <w:tcBorders>
              <w:bottom w:val="single" w:sz="8" w:color="CCEEFF"/>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Balance at Jan. 1, 2022</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115,487</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9"/>
              </w:rPr>
              <w:t>11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jc w:val="center"/>
              <w:ind w:left="218"/>
              <w:spacing w:after="0"/>
              <w:rPr>
                <w:sz w:val="20"/>
                <w:szCs w:val="20"/>
                <w:color w:val="auto"/>
              </w:rPr>
            </w:pPr>
            <w:r>
              <w:rPr>
                <w:rFonts w:ascii="Arial" w:cs="Arial" w:eastAsia="Arial" w:hAnsi="Arial"/>
                <w:sz w:val="8"/>
                <w:szCs w:val="8"/>
                <w:b w:val="1"/>
                <w:bCs w:val="1"/>
                <w:color w:val="auto"/>
              </w:rPr>
              <w:t>205,352</w:t>
            </w:r>
          </w:p>
        </w:tc>
        <w:tc>
          <w:tcPr>
            <w:tcW w:w="2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b w:val="1"/>
                <w:bCs w:val="1"/>
                <w:color w:val="auto"/>
              </w:rPr>
              <w:t>—</w:t>
            </w: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561,447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(208,317)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w w:val="8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539,387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892,490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60" w:type="dxa"/>
            <w:vAlign w:val="bottom"/>
          </w:tcPr>
          <w:p>
            <w:pPr>
              <w:ind w:left="20"/>
              <w:spacing w:after="0"/>
              <w:rPr>
                <w:sz w:val="20"/>
                <w:szCs w:val="20"/>
                <w:color w:val="auto"/>
              </w:rPr>
            </w:pPr>
            <w:r>
              <w:rPr>
                <w:rFonts w:ascii="Arial" w:cs="Arial" w:eastAsia="Arial" w:hAnsi="Arial"/>
                <w:sz w:val="8"/>
                <w:szCs w:val="8"/>
                <w:color w:val="auto"/>
              </w:rPr>
              <w:t>Net loss</w:t>
            </w: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(13,483)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(23,758)</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(37,241)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Class A common shares</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60" w:type="dxa"/>
            <w:vAlign w:val="bottom"/>
            <w:shd w:val="clear" w:color="auto" w:fill="CCEEFF"/>
          </w:tcPr>
          <w:p>
            <w:pPr>
              <w:ind w:left="20"/>
              <w:spacing w:after="0" w:line="85" w:lineRule="exact"/>
              <w:rPr>
                <w:sz w:val="20"/>
                <w:szCs w:val="20"/>
                <w:color w:val="auto"/>
              </w:rPr>
            </w:pPr>
            <w:r>
              <w:rPr>
                <w:rFonts w:ascii="Arial" w:cs="Arial" w:eastAsia="Arial" w:hAnsi="Arial"/>
                <w:sz w:val="8"/>
                <w:szCs w:val="8"/>
                <w:color w:val="auto"/>
              </w:rPr>
              <w:t>related to share-based compensation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513</w:t>
            </w: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99"/>
              </w:rPr>
              <w:t>—</w:t>
            </w: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plans</w:t>
            </w: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gridSpan w:val="4"/>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5,155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5,155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(42)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(75)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660" w:type="dxa"/>
            <w:vAlign w:val="bottom"/>
          </w:tcPr>
          <w:p>
            <w:pPr>
              <w:ind w:left="20"/>
              <w:spacing w:after="0" w:line="85" w:lineRule="exact"/>
              <w:rPr>
                <w:sz w:val="20"/>
                <w:szCs w:val="20"/>
                <w:color w:val="auto"/>
              </w:rPr>
            </w:pPr>
            <w:r>
              <w:rPr>
                <w:rFonts w:ascii="Arial" w:cs="Arial" w:eastAsia="Arial" w:hAnsi="Arial"/>
                <w:sz w:val="8"/>
                <w:szCs w:val="8"/>
                <w:color w:val="auto"/>
              </w:rPr>
              <w:t>Class A common shares repurchased for</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(169)</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(329)</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8"/>
                <w:szCs w:val="8"/>
                <w:color w:val="auto"/>
              </w:rPr>
              <w:t>(329)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employee tax withholdings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Forfeitures of Time-Vesting Units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(70)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Redemption of LLC Interests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5,944</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(5,944)</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16,721</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(16,721)</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Mar. 31,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121,944</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9"/>
              </w:rPr>
              <w:t>12</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center"/>
              <w:ind w:left="218"/>
              <w:spacing w:after="0"/>
              <w:rPr>
                <w:sz w:val="20"/>
                <w:szCs w:val="20"/>
                <w:color w:val="auto"/>
              </w:rPr>
            </w:pPr>
            <w:r>
              <w:rPr>
                <w:rFonts w:ascii="Arial" w:cs="Arial" w:eastAsia="Arial" w:hAnsi="Arial"/>
                <w:sz w:val="8"/>
                <w:szCs w:val="8"/>
                <w:b w:val="1"/>
                <w:bCs w:val="1"/>
                <w:color w:val="auto"/>
              </w:rPr>
              <w:t>199,338</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20</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(169)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(329)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583,323</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(221,800)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(101)</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498,833</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859,958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340"/>
              <w:spacing w:after="0"/>
              <w:rPr>
                <w:sz w:val="20"/>
                <w:szCs w:val="20"/>
                <w:color w:val="auto"/>
              </w:rPr>
            </w:pPr>
            <w:r>
              <w:rPr>
                <w:rFonts w:ascii="Arial" w:cs="Arial" w:eastAsia="Arial" w:hAnsi="Arial"/>
                <w:sz w:val="8"/>
                <w:szCs w:val="8"/>
                <w:b w:val="1"/>
                <w:bCs w:val="1"/>
                <w:color w:val="auto"/>
              </w:rPr>
              <w:t>Three months ended Mar. 31, 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6"/>
          </w:tcPr>
          <w:p>
            <w:pPr>
              <w:ind w:left="180"/>
              <w:spacing w:after="0"/>
              <w:rPr>
                <w:sz w:val="20"/>
                <w:szCs w:val="20"/>
                <w:color w:val="auto"/>
              </w:rPr>
            </w:pPr>
            <w:r>
              <w:rPr>
                <w:rFonts w:ascii="Arial" w:cs="Arial" w:eastAsia="Arial" w:hAnsi="Arial"/>
                <w:sz w:val="8"/>
                <w:szCs w:val="8"/>
                <w:b w:val="1"/>
                <w:bCs w:val="1"/>
                <w:color w:val="auto"/>
              </w:rPr>
              <w:t>Class A Common Stock</w:t>
            </w:r>
          </w:p>
        </w:tc>
        <w:tc>
          <w:tcPr>
            <w:tcW w:w="100" w:type="dxa"/>
            <w:vAlign w:val="bottom"/>
            <w:gridSpan w:val="2"/>
          </w:tcPr>
          <w:p>
            <w:pPr>
              <w:spacing w:after="0"/>
              <w:rPr>
                <w:sz w:val="9"/>
                <w:szCs w:val="9"/>
                <w:color w:val="auto"/>
              </w:rPr>
            </w:pPr>
          </w:p>
        </w:tc>
        <w:tc>
          <w:tcPr>
            <w:tcW w:w="136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8"/>
                <w:szCs w:val="8"/>
                <w:b w:val="1"/>
                <w:bCs w:val="1"/>
                <w:color w:val="auto"/>
              </w:rPr>
              <w:t>Shares</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100" w:type="dxa"/>
            <w:vAlign w:val="bottom"/>
            <w:gridSpan w:val="2"/>
            <w:vMerge w:val="restart"/>
          </w:tcPr>
          <w:p>
            <w:pPr>
              <w:spacing w:after="0"/>
              <w:rPr>
                <w:sz w:val="6"/>
                <w:szCs w:val="6"/>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80" w:type="dxa"/>
            <w:vAlign w:val="bottom"/>
            <w:vMerge w:val="restart"/>
          </w:tcPr>
          <w:p>
            <w:pPr>
              <w:spacing w:after="0"/>
              <w:rPr>
                <w:sz w:val="6"/>
                <w:szCs w:val="6"/>
                <w:color w:val="auto"/>
              </w:rPr>
            </w:pPr>
          </w:p>
        </w:tc>
        <w:tc>
          <w:tcPr>
            <w:tcW w:w="900" w:type="dxa"/>
            <w:vAlign w:val="bottom"/>
            <w:gridSpan w:val="4"/>
          </w:tcPr>
          <w:p>
            <w:pPr>
              <w:jc w:val="center"/>
              <w:ind w:right="60"/>
              <w:spacing w:after="0" w:line="74" w:lineRule="exact"/>
              <w:rPr>
                <w:sz w:val="20"/>
                <w:szCs w:val="20"/>
                <w:color w:val="auto"/>
              </w:rPr>
            </w:pPr>
            <w:r>
              <w:rPr>
                <w:rFonts w:ascii="Arial" w:cs="Arial" w:eastAsia="Arial" w:hAnsi="Arial"/>
                <w:sz w:val="8"/>
                <w:szCs w:val="8"/>
                <w:b w:val="1"/>
                <w:bCs w:val="1"/>
                <w:color w:val="auto"/>
              </w:rPr>
              <w:t>Additional Paid-In</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8"/>
                <w:szCs w:val="8"/>
                <w:b w:val="1"/>
                <w:bCs w:val="1"/>
                <w:color w:val="auto"/>
              </w:rPr>
              <w:t>Accumulated Deficit</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tcPr>
          <w:p>
            <w:pPr>
              <w:jc w:val="center"/>
              <w:ind w:right="120"/>
              <w:spacing w:after="0" w:line="74" w:lineRule="exact"/>
              <w:rPr>
                <w:sz w:val="20"/>
                <w:szCs w:val="20"/>
                <w:color w:val="auto"/>
              </w:rPr>
            </w:pPr>
            <w:r>
              <w:rPr>
                <w:rFonts w:ascii="Arial" w:cs="Arial" w:eastAsia="Arial" w:hAnsi="Arial"/>
                <w:sz w:val="8"/>
                <w:szCs w:val="8"/>
                <w:b w:val="1"/>
                <w:bCs w:val="1"/>
                <w:color w:val="auto"/>
              </w:rPr>
              <w:t>Accumulated Other</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tcPr>
          <w:p>
            <w:pPr>
              <w:ind w:left="20"/>
              <w:spacing w:after="0" w:line="74" w:lineRule="exact"/>
              <w:rPr>
                <w:sz w:val="20"/>
                <w:szCs w:val="20"/>
                <w:color w:val="auto"/>
              </w:rPr>
            </w:pPr>
            <w:r>
              <w:rPr>
                <w:rFonts w:ascii="Arial" w:cs="Arial" w:eastAsia="Arial" w:hAnsi="Arial"/>
                <w:sz w:val="8"/>
                <w:szCs w:val="8"/>
                <w:b w:val="1"/>
                <w:bCs w:val="1"/>
                <w:color w:val="auto"/>
              </w:rPr>
              <w:t>Non-Controlling</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8"/>
                <w:szCs w:val="8"/>
                <w:b w:val="1"/>
                <w:bCs w:val="1"/>
                <w:color w:val="auto"/>
              </w:rPr>
              <w:t>Stockholders’ Equity</w:t>
            </w:r>
          </w:p>
        </w:tc>
        <w:tc>
          <w:tcPr>
            <w:tcW w:w="0" w:type="dxa"/>
            <w:vAlign w:val="bottom"/>
          </w:tcPr>
          <w:p>
            <w:pPr>
              <w:spacing w:after="0"/>
              <w:rPr>
                <w:sz w:val="1"/>
                <w:szCs w:val="1"/>
                <w:color w:val="auto"/>
              </w:rPr>
            </w:pPr>
          </w:p>
        </w:tc>
      </w:tr>
      <w:tr>
        <w:trPr>
          <w:trHeight w:val="121"/>
        </w:trPr>
        <w:tc>
          <w:tcPr>
            <w:tcW w:w="16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8"/>
                <w:szCs w:val="8"/>
                <w:b w:val="1"/>
                <w:bCs w:val="1"/>
                <w:color w:val="auto"/>
              </w:rPr>
              <w:t>Capital</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8"/>
                <w:szCs w:val="8"/>
                <w:b w:val="1"/>
                <w:bCs w:val="1"/>
                <w:color w:val="auto"/>
              </w:rPr>
              <w:t>Comprehensive Income (Loss)</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8"/>
                <w:szCs w:val="8"/>
                <w:b w:val="1"/>
                <w:bCs w:val="1"/>
                <w:color w:val="auto"/>
              </w:rPr>
              <w:t>Interest</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Balance at Jan. 1, 2021</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jc w:val="center"/>
              <w:ind w:left="218"/>
              <w:spacing w:after="0"/>
              <w:rPr>
                <w:sz w:val="20"/>
                <w:szCs w:val="20"/>
                <w:color w:val="auto"/>
              </w:rPr>
            </w:pPr>
            <w:r>
              <w:rPr>
                <w:rFonts w:ascii="Arial" w:cs="Arial" w:eastAsia="Arial" w:hAnsi="Arial"/>
                <w:sz w:val="8"/>
                <w:szCs w:val="8"/>
                <w:b w:val="1"/>
                <w:bCs w:val="1"/>
                <w:color w:val="auto"/>
              </w:rPr>
              <w:t>84,196</w:t>
            </w:r>
          </w:p>
        </w:tc>
        <w:tc>
          <w:tcPr>
            <w:tcW w:w="2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236,997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24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399,169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(18,802)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1,018,739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1,399,155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60" w:type="dxa"/>
            <w:vAlign w:val="bottom"/>
          </w:tcPr>
          <w:p>
            <w:pPr>
              <w:ind w:left="20"/>
              <w:spacing w:after="0"/>
              <w:rPr>
                <w:sz w:val="20"/>
                <w:szCs w:val="20"/>
                <w:color w:val="auto"/>
              </w:rPr>
            </w:pPr>
            <w:r>
              <w:rPr>
                <w:rFonts w:ascii="Arial" w:cs="Arial" w:eastAsia="Arial" w:hAnsi="Arial"/>
                <w:sz w:val="8"/>
                <w:szCs w:val="8"/>
                <w:color w:val="auto"/>
              </w:rPr>
              <w:t>Cumulative impact of Topic 842</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8"/>
                <w:szCs w:val="8"/>
                <w:color w:val="auto"/>
              </w:rPr>
              <w:t>(17)</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8"/>
                <w:szCs w:val="8"/>
                <w:color w:val="auto"/>
              </w:rPr>
              <w:t>(46)</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8"/>
                <w:szCs w:val="8"/>
                <w:color w:val="auto"/>
              </w:rPr>
              <w:t>(63)</w:t>
            </w: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Cumulative impact of Topic 326</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(398)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(539)</w:t>
            </w: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Net loss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8"/>
                <w:szCs w:val="8"/>
                <w:color w:val="auto"/>
              </w:rPr>
              <w:t>(2,087)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8"/>
                <w:szCs w:val="8"/>
                <w:color w:val="auto"/>
              </w:rPr>
              <w:t>(5,173)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8"/>
                <w:szCs w:val="8"/>
                <w:color w:val="auto"/>
              </w:rPr>
              <w:t>(7,260)</w:t>
            </w:r>
          </w:p>
        </w:tc>
        <w:tc>
          <w:tcPr>
            <w:tcW w:w="0" w:type="dxa"/>
            <w:vAlign w:val="bottom"/>
          </w:tcPr>
          <w:p>
            <w:pPr>
              <w:spacing w:after="0"/>
              <w:rPr>
                <w:sz w:val="1"/>
                <w:szCs w:val="1"/>
                <w:color w:val="auto"/>
              </w:rPr>
            </w:pPr>
          </w:p>
        </w:tc>
      </w:tr>
      <w:tr>
        <w:trPr>
          <w:trHeight w:val="93"/>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8"/>
                <w:szCs w:val="8"/>
                <w:color w:val="auto"/>
              </w:rPr>
              <w:t>Issuance of Class A common shares related to share-based compensation</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12</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7"/>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plans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5,112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5,112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60" w:type="dxa"/>
            <w:vAlign w:val="bottom"/>
          </w:tcPr>
          <w:p>
            <w:pPr>
              <w:ind w:left="20"/>
              <w:spacing w:after="0"/>
              <w:rPr>
                <w:sz w:val="20"/>
                <w:szCs w:val="20"/>
                <w:color w:val="auto"/>
              </w:rPr>
            </w:pPr>
            <w:r>
              <w:rPr>
                <w:rFonts w:ascii="Arial" w:cs="Arial" w:eastAsia="Arial" w:hAnsi="Arial"/>
                <w:sz w:val="8"/>
                <w:szCs w:val="8"/>
                <w:color w:val="auto"/>
              </w:rPr>
              <w:t>Forfeitures of Time-Vesting Units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(81)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7"/>
        </w:trPr>
        <w:tc>
          <w:tcPr>
            <w:tcW w:w="166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LLC Interests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center"/>
              <w:ind w:left="218"/>
              <w:spacing w:after="0"/>
              <w:rPr>
                <w:sz w:val="20"/>
                <w:szCs w:val="20"/>
                <w:color w:val="auto"/>
              </w:rPr>
            </w:pPr>
            <w:r>
              <w:rPr>
                <w:rFonts w:ascii="Arial" w:cs="Arial" w:eastAsia="Arial" w:hAnsi="Arial"/>
                <w:sz w:val="8"/>
                <w:szCs w:val="8"/>
                <w:color w:val="auto"/>
              </w:rPr>
              <w:t>14,310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(14,310)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61,655</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color w:val="auto"/>
              </w:rPr>
              <w:t>(61,655)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1660" w:type="dxa"/>
            <w:vAlign w:val="bottom"/>
          </w:tcPr>
          <w:p>
            <w:pPr>
              <w:ind w:left="20"/>
              <w:spacing w:after="0"/>
              <w:rPr>
                <w:sz w:val="20"/>
                <w:szCs w:val="20"/>
                <w:color w:val="auto"/>
              </w:rPr>
            </w:pPr>
            <w:r>
              <w:rPr>
                <w:rFonts w:ascii="Arial" w:cs="Arial" w:eastAsia="Arial" w:hAnsi="Arial"/>
                <w:sz w:val="8"/>
                <w:szCs w:val="8"/>
                <w:b w:val="1"/>
                <w:bCs w:val="1"/>
                <w:color w:val="auto"/>
              </w:rPr>
              <w:t>Balance at Mar. 31, 2021</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ind w:left="218"/>
              <w:spacing w:after="0"/>
              <w:rPr>
                <w:sz w:val="20"/>
                <w:szCs w:val="20"/>
                <w:color w:val="auto"/>
              </w:rPr>
            </w:pPr>
            <w:r>
              <w:rPr>
                <w:rFonts w:ascii="Arial" w:cs="Arial" w:eastAsia="Arial" w:hAnsi="Arial"/>
                <w:sz w:val="8"/>
                <w:szCs w:val="8"/>
                <w:b w:val="1"/>
                <w:bCs w:val="1"/>
                <w:color w:val="auto"/>
              </w:rPr>
              <w:t>98,518</w:t>
            </w:r>
          </w:p>
        </w:tc>
        <w:tc>
          <w:tcPr>
            <w:tcW w:w="20" w:type="dxa"/>
            <w:vAlign w:val="bottom"/>
          </w:tcPr>
          <w:p>
            <w:pPr>
              <w:spacing w:after="0"/>
              <w:rPr>
                <w:sz w:val="10"/>
                <w:szCs w:val="10"/>
                <w:color w:val="auto"/>
              </w:rPr>
            </w:pPr>
          </w:p>
        </w:tc>
        <w:tc>
          <w:tcPr>
            <w:tcW w:w="200" w:type="dxa"/>
            <w:vAlign w:val="bottom"/>
            <w:gridSpan w:val="3"/>
          </w:tcPr>
          <w:p>
            <w:pPr>
              <w:jc w:val="right"/>
              <w:ind w:right="18"/>
              <w:spacing w:after="0"/>
              <w:rPr>
                <w:sz w:val="20"/>
                <w:szCs w:val="20"/>
                <w:color w:val="auto"/>
              </w:rPr>
            </w:pPr>
            <w:r>
              <w:rPr>
                <w:rFonts w:ascii="Arial" w:cs="Arial" w:eastAsia="Arial" w:hAnsi="Arial"/>
                <w:sz w:val="8"/>
                <w:szCs w:val="8"/>
                <w:b w:val="1"/>
                <w:bCs w:val="1"/>
                <w:color w:val="auto"/>
              </w:rPr>
              <w:t>$</w:t>
            </w:r>
          </w:p>
        </w:tc>
        <w:tc>
          <w:tcPr>
            <w:tcW w:w="500" w:type="dxa"/>
            <w:vAlign w:val="bottom"/>
          </w:tcPr>
          <w:p>
            <w:pPr>
              <w:jc w:val="right"/>
              <w:spacing w:after="0"/>
              <w:rPr>
                <w:sz w:val="20"/>
                <w:szCs w:val="20"/>
                <w:color w:val="auto"/>
              </w:rPr>
            </w:pPr>
            <w:r>
              <w:rPr>
                <w:rFonts w:ascii="Arial" w:cs="Arial" w:eastAsia="Arial" w:hAnsi="Arial"/>
                <w:sz w:val="8"/>
                <w:szCs w:val="8"/>
                <w:b w:val="1"/>
                <w:bCs w:val="1"/>
                <w:color w:val="auto"/>
              </w:rPr>
              <w:t>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222,606</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Pr>
          <w:p>
            <w:pPr>
              <w:jc w:val="right"/>
              <w:ind w:right="18"/>
              <w:spacing w:after="0"/>
              <w:rPr>
                <w:sz w:val="20"/>
                <w:szCs w:val="20"/>
                <w:color w:val="auto"/>
              </w:rPr>
            </w:pPr>
            <w:r>
              <w:rPr>
                <w:rFonts w:ascii="Arial" w:cs="Arial" w:eastAsia="Arial" w:hAnsi="Arial"/>
                <w:sz w:val="8"/>
                <w:szCs w:val="8"/>
                <w:b w:val="1"/>
                <w:bCs w:val="1"/>
                <w:color w:val="auto"/>
              </w:rPr>
              <w:t>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465,936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(21,047)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8"/>
                <w:szCs w:val="8"/>
                <w:b w:val="1"/>
                <w:bCs w:val="1"/>
                <w:color w:val="auto"/>
              </w:rPr>
              <w:t>19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951,472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1,396,412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18" w:lineRule="exact"/>
        <w:rPr>
          <w:sz w:val="20"/>
          <w:szCs w:val="20"/>
          <w:color w:val="auto"/>
        </w:rPr>
      </w:pPr>
    </w:p>
    <w:p>
      <w:pPr>
        <w:jc w:val="center"/>
        <w:ind w:left="8760"/>
        <w:spacing w:after="0"/>
        <w:rPr>
          <w:sz w:val="20"/>
          <w:szCs w:val="20"/>
          <w:color w:val="auto"/>
        </w:rPr>
      </w:pPr>
      <w:r>
        <w:rPr>
          <w:rFonts w:ascii="Arial" w:cs="Arial" w:eastAsia="Arial" w:hAnsi="Arial"/>
          <w:sz w:val="11"/>
          <w:szCs w:val="11"/>
          <w:b w:val="1"/>
          <w:bCs w:val="1"/>
          <w:color w:val="auto"/>
        </w:rPr>
        <w:t>Three months ended</w:t>
      </w:r>
    </w:p>
    <w:p>
      <w:pPr>
        <w:jc w:val="center"/>
        <w:ind w:left="8780"/>
        <w:spacing w:after="0"/>
        <w:rPr>
          <w:sz w:val="20"/>
          <w:szCs w:val="20"/>
          <w:color w:val="auto"/>
        </w:rPr>
      </w:pPr>
      <w:r>
        <w:rPr>
          <w:rFonts w:ascii="Arial" w:cs="Arial" w:eastAsia="Arial" w:hAnsi="Arial"/>
          <w:sz w:val="11"/>
          <w:szCs w:val="11"/>
          <w:b w:val="1"/>
          <w:bCs w:val="1"/>
          <w:color w:val="auto"/>
        </w:rPr>
        <w:t>Mar.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80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18"/>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Activities</w:t>
            </w:r>
          </w:p>
        </w:tc>
        <w:tc>
          <w:tcPr>
            <w:tcW w:w="7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Net loss</w:t>
            </w: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(37,241)</w:t>
            </w:r>
          </w:p>
        </w:tc>
        <w:tc>
          <w:tcPr>
            <w:tcW w:w="80" w:type="dxa"/>
            <w:vAlign w:val="bottom"/>
          </w:tcPr>
          <w:p>
            <w:pPr>
              <w:spacing w:after="0"/>
              <w:rPr>
                <w:sz w:val="11"/>
                <w:szCs w:val="11"/>
                <w:color w:val="auto"/>
              </w:rPr>
            </w:pP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(7,260)</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Adjustments to reconcile net income (loss) to net cash provided by (used in) operating activities: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Share-based compensation</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5,155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5,112</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1,853</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Amortization of intangible assets</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23,514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23,514</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Amortization of debt discount and issuance costs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color w:val="auto"/>
              </w:rPr>
              <w:t>Non-cash lease expense</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1,418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1,216</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non-cash items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(480)</w:t>
            </w:r>
          </w:p>
        </w:tc>
        <w:tc>
          <w:tcPr>
            <w:tcW w:w="0" w:type="dxa"/>
            <w:vAlign w:val="bottom"/>
          </w:tcPr>
          <w:p>
            <w:pPr>
              <w:spacing w:after="0"/>
              <w:rPr>
                <w:sz w:val="1"/>
                <w:szCs w:val="1"/>
                <w:color w:val="auto"/>
              </w:rPr>
            </w:pPr>
          </w:p>
        </w:tc>
      </w:tr>
      <w:tr>
        <w:trPr>
          <w:trHeight w:val="134"/>
        </w:trPr>
        <w:tc>
          <w:tcPr>
            <w:tcW w:w="8800" w:type="dxa"/>
            <w:vAlign w:val="bottom"/>
          </w:tcPr>
          <w:p>
            <w:pPr>
              <w:ind w:left="180"/>
              <w:spacing w:after="0"/>
              <w:rPr>
                <w:sz w:val="20"/>
                <w:szCs w:val="20"/>
                <w:color w:val="auto"/>
              </w:rPr>
            </w:pPr>
            <w:r>
              <w:rPr>
                <w:rFonts w:ascii="Arial" w:cs="Arial" w:eastAsia="Arial" w:hAnsi="Arial"/>
                <w:sz w:val="10"/>
                <w:szCs w:val="10"/>
                <w:i w:val="1"/>
                <w:iCs w:val="1"/>
                <w:color w:val="auto"/>
              </w:rPr>
              <w:t>Changes in assets and liabilities:</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Accounts receivable</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(22,888)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(1,661)</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Commissions receivable</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126,024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9,508</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Prepaid expenses and other assets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26,659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9,227</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Accounts payable</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(14,073)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1,570</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Accrued liabilities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(18,393)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(783)</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Deferred revenue</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601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Commissions payable</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(40,668)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(10,818)</w:t>
            </w:r>
          </w:p>
        </w:tc>
        <w:tc>
          <w:tcPr>
            <w:tcW w:w="0" w:type="dxa"/>
            <w:vAlign w:val="bottom"/>
          </w:tcPr>
          <w:p>
            <w:pPr>
              <w:spacing w:after="0"/>
              <w:rPr>
                <w:sz w:val="1"/>
                <w:szCs w:val="1"/>
                <w:color w:val="auto"/>
              </w:rPr>
            </w:pPr>
          </w:p>
        </w:tc>
      </w:tr>
      <w:tr>
        <w:trPr>
          <w:trHeight w:val="134"/>
        </w:trPr>
        <w:tc>
          <w:tcPr>
            <w:tcW w:w="8800" w:type="dxa"/>
            <w:vAlign w:val="bottom"/>
          </w:tcPr>
          <w:p>
            <w:pPr>
              <w:ind w:left="360"/>
              <w:spacing w:after="0"/>
              <w:rPr>
                <w:sz w:val="20"/>
                <w:szCs w:val="20"/>
                <w:color w:val="auto"/>
              </w:rPr>
            </w:pPr>
            <w:r>
              <w:rPr>
                <w:rFonts w:ascii="Arial" w:cs="Arial" w:eastAsia="Arial" w:hAnsi="Arial"/>
                <w:sz w:val="10"/>
                <w:szCs w:val="10"/>
                <w:color w:val="auto"/>
              </w:rPr>
              <w:t>Operating lease liabilities</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(1,468)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(1,188)</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Other liabilities</w:t>
            </w:r>
          </w:p>
        </w:tc>
        <w:tc>
          <w:tcPr>
            <w:tcW w:w="7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2,785</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695</w:t>
            </w:r>
          </w:p>
        </w:tc>
        <w:tc>
          <w:tcPr>
            <w:tcW w:w="0" w:type="dxa"/>
            <w:vAlign w:val="bottom"/>
          </w:tcPr>
          <w:p>
            <w:pPr>
              <w:spacing w:after="0"/>
              <w:rPr>
                <w:sz w:val="1"/>
                <w:szCs w:val="1"/>
                <w:color w:val="auto"/>
              </w:rPr>
            </w:pPr>
          </w:p>
        </w:tc>
      </w:tr>
      <w:tr>
        <w:trPr>
          <w:trHeight w:val="1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cash provided by operating activities</w:t>
            </w: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54,486</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31,202</w:t>
            </w:r>
          </w:p>
        </w:tc>
        <w:tc>
          <w:tcPr>
            <w:tcW w:w="0" w:type="dxa"/>
            <w:vAlign w:val="bottom"/>
          </w:tcPr>
          <w:p>
            <w:pPr>
              <w:spacing w:after="0"/>
              <w:rPr>
                <w:sz w:val="1"/>
                <w:szCs w:val="1"/>
                <w:color w:val="auto"/>
              </w:rPr>
            </w:pPr>
          </w:p>
        </w:tc>
      </w:tr>
      <w:tr>
        <w:trPr>
          <w:trHeight w:val="12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7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Purchases of property, equipment and software</w:t>
            </w:r>
          </w:p>
        </w:tc>
        <w:tc>
          <w:tcPr>
            <w:tcW w:w="7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(5,997)</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(3,740)</w:t>
            </w:r>
          </w:p>
        </w:tc>
        <w:tc>
          <w:tcPr>
            <w:tcW w:w="0" w:type="dxa"/>
            <w:vAlign w:val="bottom"/>
          </w:tcPr>
          <w:p>
            <w:pPr>
              <w:spacing w:after="0"/>
              <w:rPr>
                <w:sz w:val="1"/>
                <w:szCs w:val="1"/>
                <w:color w:val="auto"/>
              </w:rPr>
            </w:pPr>
          </w:p>
        </w:tc>
      </w:tr>
      <w:tr>
        <w:trPr>
          <w:trHeight w:val="133"/>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cash used in investing activities</w:t>
            </w:r>
          </w:p>
        </w:tc>
        <w:tc>
          <w:tcPr>
            <w:tcW w:w="7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(5,997)</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(3,740)</w:t>
            </w:r>
          </w:p>
        </w:tc>
        <w:tc>
          <w:tcPr>
            <w:tcW w:w="0" w:type="dxa"/>
            <w:vAlign w:val="bottom"/>
          </w:tcPr>
          <w:p>
            <w:pPr>
              <w:spacing w:after="0"/>
              <w:rPr>
                <w:sz w:val="1"/>
                <w:szCs w:val="1"/>
                <w:color w:val="auto"/>
              </w:rPr>
            </w:pPr>
          </w:p>
        </w:tc>
      </w:tr>
      <w:tr>
        <w:trPr>
          <w:trHeight w:val="117"/>
        </w:trPr>
        <w:tc>
          <w:tcPr>
            <w:tcW w:w="8800" w:type="dxa"/>
            <w:vAlign w:val="bottom"/>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Repayment of borrowings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(1,043)</w:t>
            </w: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Debt issuance cost payments</w:t>
            </w: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(1,725)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Principal payments under finance lease obligations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34"/>
        </w:trPr>
        <w:tc>
          <w:tcPr>
            <w:tcW w:w="8800" w:type="dxa"/>
            <w:vAlign w:val="bottom"/>
          </w:tcPr>
          <w:p>
            <w:pPr>
              <w:ind w:left="20"/>
              <w:spacing w:after="0"/>
              <w:rPr>
                <w:sz w:val="20"/>
                <w:szCs w:val="20"/>
                <w:color w:val="auto"/>
              </w:rPr>
            </w:pPr>
            <w:r>
              <w:rPr>
                <w:rFonts w:ascii="Arial" w:cs="Arial" w:eastAsia="Arial" w:hAnsi="Arial"/>
                <w:sz w:val="10"/>
                <w:szCs w:val="10"/>
                <w:color w:val="auto"/>
              </w:rPr>
              <w:t>Cash received on advancement to NVX Holdings, Inc.</w:t>
            </w:r>
          </w:p>
        </w:tc>
        <w:tc>
          <w:tcPr>
            <w:tcW w:w="7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3,395</w:t>
            </w:r>
          </w:p>
        </w:tc>
        <w:tc>
          <w:tcPr>
            <w:tcW w:w="0" w:type="dxa"/>
            <w:vAlign w:val="bottom"/>
          </w:tcPr>
          <w:p>
            <w:pPr>
              <w:spacing w:after="0"/>
              <w:rPr>
                <w:sz w:val="1"/>
                <w:szCs w:val="1"/>
                <w:color w:val="auto"/>
              </w:rPr>
            </w:pPr>
          </w:p>
        </w:tc>
      </w:tr>
      <w:tr>
        <w:trPr>
          <w:trHeight w:val="133"/>
        </w:trPr>
        <w:tc>
          <w:tcPr>
            <w:tcW w:w="8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(used in) provided by financing activities</w:t>
            </w: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(3,105)</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2,276</w:t>
            </w:r>
          </w:p>
        </w:tc>
        <w:tc>
          <w:tcPr>
            <w:tcW w:w="0" w:type="dxa"/>
            <w:vAlign w:val="bottom"/>
          </w:tcPr>
          <w:p>
            <w:pPr>
              <w:spacing w:after="0"/>
              <w:rPr>
                <w:sz w:val="1"/>
                <w:szCs w:val="1"/>
                <w:color w:val="auto"/>
              </w:rPr>
            </w:pPr>
          </w:p>
        </w:tc>
      </w:tr>
      <w:tr>
        <w:trPr>
          <w:trHeight w:val="1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Effect of exchange rate changes on cash and cash equivalents</w:t>
            </w: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3"/>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Increase in cash and cash equivalents</w:t>
            </w:r>
          </w:p>
        </w:tc>
        <w:tc>
          <w:tcPr>
            <w:tcW w:w="7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45,267</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29,745</w:t>
            </w:r>
          </w:p>
        </w:tc>
        <w:tc>
          <w:tcPr>
            <w:tcW w:w="0" w:type="dxa"/>
            <w:vAlign w:val="bottom"/>
          </w:tcPr>
          <w:p>
            <w:pPr>
              <w:spacing w:after="0"/>
              <w:rPr>
                <w:sz w:val="1"/>
                <w:szCs w:val="1"/>
                <w:color w:val="auto"/>
              </w:rPr>
            </w:pPr>
          </w:p>
        </w:tc>
      </w:tr>
      <w:tr>
        <w:trPr>
          <w:trHeight w:val="1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and cash equivalents at beginning of period</w:t>
            </w: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84,361</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144,234</w:t>
            </w:r>
          </w:p>
        </w:tc>
        <w:tc>
          <w:tcPr>
            <w:tcW w:w="0" w:type="dxa"/>
            <w:vAlign w:val="bottom"/>
          </w:tcPr>
          <w:p>
            <w:pPr>
              <w:spacing w:after="0"/>
              <w:rPr>
                <w:sz w:val="1"/>
                <w:szCs w:val="1"/>
                <w:color w:val="auto"/>
              </w:rPr>
            </w:pPr>
          </w:p>
        </w:tc>
      </w:tr>
      <w:tr>
        <w:trPr>
          <w:trHeight w:val="15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Cash and cash equivalents at end of period</w:t>
            </w:r>
          </w:p>
        </w:tc>
        <w:tc>
          <w:tcPr>
            <w:tcW w:w="76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129,628</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173,979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8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8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Non-cash investing and financing activities: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0" w:type="dxa"/>
            <w:vAlign w:val="bottom"/>
          </w:tcPr>
          <w:p>
            <w:pPr>
              <w:ind w:left="180"/>
              <w:spacing w:after="0"/>
              <w:rPr>
                <w:sz w:val="20"/>
                <w:szCs w:val="20"/>
                <w:color w:val="auto"/>
              </w:rPr>
            </w:pPr>
            <w:r>
              <w:rPr>
                <w:rFonts w:ascii="Arial" w:cs="Arial" w:eastAsia="Arial" w:hAnsi="Arial"/>
                <w:sz w:val="10"/>
                <w:szCs w:val="10"/>
                <w:color w:val="auto"/>
              </w:rPr>
              <w:t>Purchases of property, equipment and software included in accounts payable</w:t>
            </w: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2,734</w:t>
            </w:r>
          </w:p>
        </w:tc>
        <w:tc>
          <w:tcPr>
            <w:tcW w:w="80" w:type="dxa"/>
            <w:vAlign w:val="bottom"/>
          </w:tcPr>
          <w:p>
            <w:pPr>
              <w:spacing w:after="0"/>
              <w:rPr>
                <w:sz w:val="11"/>
                <w:szCs w:val="11"/>
                <w:color w:val="auto"/>
              </w:rPr>
            </w:pP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1,690</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8</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167" w:lineRule="exact"/>
        <w:rPr>
          <w:sz w:val="20"/>
          <w:szCs w:val="20"/>
          <w:color w:val="auto"/>
        </w:rPr>
      </w:pPr>
    </w:p>
    <w:p>
      <w:pPr>
        <w:ind w:right="6680" w:firstLine="5"/>
        <w:spacing w:after="0" w:line="519" w:lineRule="auto"/>
        <w:tabs>
          <w:tab w:leader="none" w:pos="142" w:val="left"/>
        </w:tabs>
        <w:numPr>
          <w:ilvl w:val="0"/>
          <w:numId w:val="7"/>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DESCRIPTION OF BUSINESS AND SIGNIFICANT ACCOUNTING POLICIES </w:t>
      </w:r>
      <w:r>
        <w:rPr>
          <w:rFonts w:ascii="Arial" w:cs="Arial" w:eastAsia="Arial" w:hAnsi="Arial"/>
          <w:sz w:val="13"/>
          <w:szCs w:val="13"/>
          <w:b w:val="1"/>
          <w:bCs w:val="1"/>
          <w:color w:val="000000"/>
        </w:rPr>
        <w:t>Description of Business</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3"/>
          <w:szCs w:val="13"/>
          <w:color w:val="auto"/>
        </w:rPr>
        <w:t>GoHealth, Inc. (the “Company”) is a leading health insurance marketplace and Medicare-focused digital health company whose mission is to improve access to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Company was incorporated in Delaware on March 27, 2020 for the purpose of facilitating the Company’s initial public offering (“the IPO”) and other related transactions in order to carry on the business of GoHealth Holdings, LLC (formerly known as Blizzard Parent, LLC), a Delaware limited liability company, and its wholly owned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Significant Accounting Policies</w:t>
      </w:r>
    </w:p>
    <w:p>
      <w:pPr>
        <w:spacing w:after="0" w:line="179" w:lineRule="exact"/>
        <w:rPr>
          <w:sz w:val="20"/>
          <w:szCs w:val="20"/>
          <w:color w:val="auto"/>
        </w:rPr>
      </w:pPr>
    </w:p>
    <w:p>
      <w:pPr>
        <w:ind w:right="140"/>
        <w:spacing w:after="0" w:line="250" w:lineRule="auto"/>
        <w:rPr>
          <w:sz w:val="20"/>
          <w:szCs w:val="20"/>
          <w:color w:val="auto"/>
        </w:rPr>
      </w:pPr>
      <w:r>
        <w:rPr>
          <w:rFonts w:ascii="Arial" w:cs="Arial" w:eastAsia="Arial" w:hAnsi="Arial"/>
          <w:sz w:val="13"/>
          <w:szCs w:val="13"/>
          <w:color w:val="auto"/>
        </w:rPr>
        <w:t>In connection with the IPO,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Net income and loss is allocated to the Continuing Equity Owners on a pro rata basis, assuming that any Class B common units that are subject to time-based vesting requirements are fully vested.</w:t>
      </w:r>
    </w:p>
    <w:p>
      <w:pPr>
        <w:spacing w:after="0" w:line="179" w:lineRule="exact"/>
        <w:rPr>
          <w:sz w:val="20"/>
          <w:szCs w:val="20"/>
          <w:color w:val="auto"/>
        </w:rPr>
      </w:pPr>
    </w:p>
    <w:p>
      <w:pPr>
        <w:ind w:right="60"/>
        <w:spacing w:after="0" w:line="252" w:lineRule="auto"/>
        <w:rPr>
          <w:sz w:val="20"/>
          <w:szCs w:val="20"/>
          <w:color w:val="auto"/>
        </w:rPr>
      </w:pPr>
      <w:r>
        <w:rPr>
          <w:rFonts w:ascii="Arial" w:cs="Arial" w:eastAsia="Arial" w:hAnsi="Arial"/>
          <w:sz w:val="13"/>
          <w:szCs w:val="13"/>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w:t>
      </w:r>
    </w:p>
    <w:p>
      <w:pPr>
        <w:spacing w:after="0" w:line="155"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 xml:space="preserve">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Certain prior period amounts have been reclassified to conform with the current period presentation. Effective on December 31, 2021, we lost our emerging growth company ("EGC") status, which accelerated the adoption of Accounting Standards Update (“ASU”)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and ASU 2019-11, Financial Instruments – </w:t>
      </w:r>
      <w:r>
        <w:rPr>
          <w:rFonts w:ascii="Arial" w:cs="Arial" w:eastAsia="Arial" w:hAnsi="Arial"/>
          <w:sz w:val="13"/>
          <w:szCs w:val="13"/>
          <w:i w:val="1"/>
          <w:iCs w:val="1"/>
          <w:color w:val="auto"/>
        </w:rPr>
        <w:t>Credit Losses</w:t>
      </w:r>
      <w:r>
        <w:rPr>
          <w:rFonts w:ascii="Arial" w:cs="Arial" w:eastAsia="Arial" w:hAnsi="Arial"/>
          <w:sz w:val="13"/>
          <w:szCs w:val="13"/>
          <w:color w:val="auto"/>
        </w:rPr>
        <w:t>. As a result, we recast our previously reported consolidated financial statements effective January 1, 2021 to reflect the adoption of these standards.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9</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2" w:name="page13"/>
    <w:bookmarkEnd w:id="12"/>
    <w:p>
      <w:pPr>
        <w:ind w:right="160"/>
        <w:spacing w:after="0" w:line="266" w:lineRule="auto"/>
        <w:rPr>
          <w:sz w:val="20"/>
          <w:szCs w:val="20"/>
          <w:color w:val="auto"/>
        </w:rPr>
      </w:pPr>
      <w:r>
        <w:rPr>
          <w:rFonts w:ascii="Arial" w:cs="Arial" w:eastAsia="Arial" w:hAnsi="Arial"/>
          <w:sz w:val="13"/>
          <w:szCs w:val="13"/>
          <w:color w:val="auto"/>
        </w:rPr>
        <w:t>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69"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The majority of the Company’s individual and family health insurance plans are sold in its fourth quarter during the annual open enrollment period as defined under the federal Patient Protection and ACA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 xml:space="preserve">In February 2016, the Financial Accounting Standards Board (“FASB”) issued Accounting Standards Update (“ASU”)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The Company adopted the new guidance effective January 1, 2021. The Company elected the optional transition method which allows entities to continue to apply historical accounting guidance in the comparative periods presented in the year of adoption. At transition, lessees and lessors may elect to apply a package of practical expedients permitting entities not to reassess: (i) whether any expired or existing contracts are or contain leases; (ii) lease classification for any expired or existing leases and (iii) whether initial direct costs for any expired or existing leases qualify for capitalization under the amended guidance. These practical expedients must be elected as a package and consistently applied. The Company applied the package of practical expedients upon adoption. As a result of adopting this standard, on January 1, 2021, the Company recorded lease liabilities of $29.3 million, right-of-use assets of $28.0 million, and an immaterial cumulative catch-up adjustment to opening equity. The adoption of this new standard did not have a material impact on the Company’s consolidated statements of operations, comprehensive income (loss), or cash flows. The Company has included expanded disclosures on the condensed consolidated balance sheets and in Note 10 to the Condensed Consolidated Financial Statements.</w:t>
      </w:r>
    </w:p>
    <w:p>
      <w:pPr>
        <w:spacing w:after="0" w:line="156" w:lineRule="exact"/>
        <w:rPr>
          <w:sz w:val="20"/>
          <w:szCs w:val="20"/>
          <w:color w:val="auto"/>
        </w:rPr>
      </w:pPr>
    </w:p>
    <w:p>
      <w:pPr>
        <w:ind w:right="40"/>
        <w:spacing w:after="0" w:line="234" w:lineRule="auto"/>
        <w:rPr>
          <w:sz w:val="20"/>
          <w:szCs w:val="20"/>
          <w:color w:val="auto"/>
        </w:rPr>
      </w:pPr>
      <w:r>
        <w:rPr>
          <w:rFonts w:ascii="Arial" w:cs="Arial" w:eastAsia="Arial" w:hAnsi="Arial"/>
          <w:sz w:val="13"/>
          <w:szCs w:val="13"/>
          <w:color w:val="auto"/>
        </w:rPr>
        <w:t xml:space="preserve">In November 2019, the FASB issued ASU 2019-11, Financial Instruments – </w:t>
      </w:r>
      <w:r>
        <w:rPr>
          <w:rFonts w:ascii="Arial" w:cs="Arial" w:eastAsia="Arial" w:hAnsi="Arial"/>
          <w:sz w:val="13"/>
          <w:szCs w:val="13"/>
          <w:i w:val="1"/>
          <w:iCs w:val="1"/>
          <w:color w:val="auto"/>
        </w:rPr>
        <w:t>Credit Losses</w:t>
      </w:r>
      <w:r>
        <w:rPr>
          <w:rFonts w:ascii="Arial" w:cs="Arial" w:eastAsia="Arial" w:hAnsi="Arial"/>
          <w:sz w:val="13"/>
          <w:szCs w:val="13"/>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The Company adopted the new guidance effective January 1, 2021. As a result of adopting this standard, on January 1, 2021, the Company recorded a cumulative adjustment to opening equity of $0.5 million. The adoption of this new standard did not have a material impact on the Company’s consolidated statements of operations, comprehensive income (loss),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2. FAIR VALUE MEASUREMENTS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80"/>
          </w:cols>
          <w:pgMar w:left="300" w:top="1073" w:right="31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3741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137414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Level 3 Inputs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573341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line="11"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73341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Unobservable inputs for the asset or liability.</w:t>
      </w:r>
    </w:p>
    <w:p>
      <w:pPr>
        <w:spacing w:after="0" w:line="200" w:lineRule="exact"/>
        <w:rPr>
          <w:sz w:val="20"/>
          <w:szCs w:val="20"/>
          <w:color w:val="auto"/>
        </w:rPr>
      </w:pPr>
    </w:p>
    <w:p>
      <w:pPr>
        <w:sectPr>
          <w:pgSz w:w="11900" w:h="16838" w:orient="portrait"/>
          <w:cols w:equalWidth="0" w:num="2">
            <w:col w:w="1540" w:space="720"/>
            <w:col w:w="9020"/>
          </w:cols>
          <w:pgMar w:left="300" w:top="1073" w:right="31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13" w:name="page14"/>
    <w:bookmarkEnd w:id="13"/>
    <w:p>
      <w:pPr>
        <w:ind w:right="240"/>
        <w:spacing w:after="0" w:line="261" w:lineRule="auto"/>
        <w:rPr>
          <w:sz w:val="20"/>
          <w:szCs w:val="20"/>
          <w:color w:val="auto"/>
        </w:rPr>
      </w:pPr>
      <w:r>
        <w:rPr>
          <w:rFonts w:ascii="Arial" w:cs="Arial" w:eastAsia="Arial" w:hAnsi="Arial"/>
          <w:sz w:val="13"/>
          <w:szCs w:val="13"/>
          <w:color w:val="auto"/>
        </w:rPr>
        <w:t>The carrying amount of certain financial instruments, including cash and cash equivalents, accounts receivable, unbilled receivables,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138" w:lineRule="exact"/>
        <w:rPr>
          <w:sz w:val="20"/>
          <w:szCs w:val="20"/>
          <w:color w:val="auto"/>
        </w:rPr>
      </w:pPr>
    </w:p>
    <w:p>
      <w:pPr>
        <w:ind w:right="8440" w:firstLine="5"/>
        <w:spacing w:after="0" w:line="519" w:lineRule="auto"/>
        <w:tabs>
          <w:tab w:leader="none" w:pos="142" w:val="left"/>
        </w:tabs>
        <w:numPr>
          <w:ilvl w:val="0"/>
          <w:numId w:val="8"/>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GOODWILL AND INTANGIBLE ASSETS, NET </w:t>
      </w:r>
      <w:r>
        <w:rPr>
          <w:rFonts w:ascii="Arial" w:cs="Arial" w:eastAsia="Arial" w:hAnsi="Arial"/>
          <w:sz w:val="13"/>
          <w:szCs w:val="13"/>
          <w:b w:val="1"/>
          <w:bCs w:val="1"/>
          <w:color w:val="000000"/>
        </w:rPr>
        <w:t>Goodwill</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During 2019, the Company allocated $380.3 million and $6.2 million of the goodwill recognized in connection with the Acquisition to its Medicare—Internal segment and Medicare—External segment, respectively, based on an estimate of the relative fair value of each reportable segment.</w:t>
      </w:r>
    </w:p>
    <w:p>
      <w:pPr>
        <w:spacing w:after="0" w:line="146"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The Company tests goodwill for impairment at the reporting unit level annually on November 30th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Fourth Quarter 2021 Goodwill Impairment Charges</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During the annual enrollment period in the fourth quarter of 2021, the Company and the broader industry experienced an increase in consumer shopping which led to lower policy persistency than anticipated and resulted in lower LTV performance. Additionally, operating margins in the fourth quarter of 2021 declined significantly, which was primarily driven by tight labor markets and resulted in higher than expected customer care and enrollment costs. As such and in connection with the Company’s annual and long-range planning process, which coincided with the Company’s annual goodwill impairment test as of November 30, 2021, the Company determined the Medicare— Internal and Medicare— External reporting units’ financial performance were lower than previously anticipated. As a result, the Company’s quantitative goodwill impairment test indicated that the fair values of the Medicare— Internal and Medicare— External reporting units no longer exceeded their carrying values, and the Company recognized goodwill impairment charges of $380.3 million and $6.2 million for the Medicare-Internal and Medicare— External reporting units, respectively, representing the full amount of goodwill associated with these reporting units.</w:t>
      </w:r>
    </w:p>
    <w:p>
      <w:pPr>
        <w:spacing w:after="0" w:line="147"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color w:val="auto"/>
        </w:rPr>
        <w:t>The quantitative goodwill impairment test performed by the Company as of November 30, 2021, included significant level 3 fair value estimates and assumptions including, among others, cash flow projections and selecting an appropriate discount rate.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of goodwill for the three months ended March 31, 2021.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The gross carrying amounts, accumulated amortization and net carrying amounts of the Company’s definite-lived amortizable intangible assets, as well as its indefinite-lived intangible trade names,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Mar. 31, 2022</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6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3"/>
                <w:szCs w:val="13"/>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 Amortization</w:t>
            </w:r>
          </w:p>
        </w:tc>
        <w:tc>
          <w:tcPr>
            <w:tcW w:w="160" w:type="dxa"/>
            <w:vAlign w:val="bottom"/>
          </w:tcPr>
          <w:p>
            <w:pPr>
              <w:spacing w:after="0"/>
              <w:rPr>
                <w:sz w:val="13"/>
                <w:szCs w:val="13"/>
                <w:color w:val="auto"/>
              </w:rPr>
            </w:pPr>
          </w:p>
        </w:tc>
        <w:tc>
          <w:tcPr>
            <w:tcW w:w="1480" w:type="dxa"/>
            <w:vAlign w:val="bottom"/>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180,686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315,314</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59,160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172,840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239,846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488,154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83,000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571,154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Dec. 31,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6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3"/>
                <w:szCs w:val="13"/>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 Amortization</w:t>
            </w:r>
          </w:p>
        </w:tc>
        <w:tc>
          <w:tcPr>
            <w:tcW w:w="160" w:type="dxa"/>
            <w:vAlign w:val="bottom"/>
          </w:tcPr>
          <w:p>
            <w:pPr>
              <w:spacing w:after="0"/>
              <w:rPr>
                <w:sz w:val="13"/>
                <w:szCs w:val="13"/>
                <w:color w:val="auto"/>
              </w:rPr>
            </w:pPr>
          </w:p>
        </w:tc>
        <w:tc>
          <w:tcPr>
            <w:tcW w:w="1480" w:type="dxa"/>
            <w:vAlign w:val="bottom"/>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162,971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333,029</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53,360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178,640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216,331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511,669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83,000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594,669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color w:val="auto"/>
              </w:rPr>
              <w:t>There was no impairment of intangible assets for the three months ended March 31, 2022 and 2021.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300" w:type="dxa"/>
            <w:vAlign w:val="bottom"/>
            <w:vMerge w:val="restart"/>
          </w:tcPr>
          <w:p>
            <w:pPr>
              <w:ind w:left="340"/>
              <w:spacing w:after="0"/>
              <w:rPr>
                <w:sz w:val="20"/>
                <w:szCs w:val="20"/>
                <w:color w:val="auto"/>
              </w:rPr>
            </w:pPr>
            <w:r>
              <w:rPr>
                <w:rFonts w:ascii="Arial" w:cs="Arial" w:eastAsia="Arial" w:hAnsi="Arial"/>
                <w:sz w:val="11"/>
                <w:szCs w:val="11"/>
                <w:color w:val="auto"/>
              </w:rPr>
              <w:t>2022 Form 10-Q</w:t>
            </w:r>
          </w:p>
        </w:tc>
        <w:tc>
          <w:tcPr>
            <w:tcW w:w="12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360" w:type="dxa"/>
            <w:vAlign w:val="bottom"/>
          </w:tcPr>
          <w:p>
            <w:pPr>
              <w:jc w:val="right"/>
              <w:ind w:right="112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As of March 31, 2022, expected amortization expense related to intangible assets for each of the five succeeding years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3"/>
                <w:szCs w:val="13"/>
                <w:color w:val="auto"/>
              </w:rPr>
            </w:pP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Developed Technology</w:t>
            </w:r>
          </w:p>
        </w:tc>
        <w:tc>
          <w:tcPr>
            <w:tcW w:w="14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Arial" w:cs="Arial" w:eastAsia="Arial" w:hAnsi="Arial"/>
                <w:sz w:val="11"/>
                <w:szCs w:val="11"/>
                <w:b w:val="1"/>
                <w:bCs w:val="1"/>
                <w:color w:val="auto"/>
              </w:rPr>
              <w:t>Customer Relationships</w:t>
            </w:r>
          </w:p>
        </w:tc>
        <w:tc>
          <w:tcPr>
            <w:tcW w:w="380" w:type="dxa"/>
            <w:vAlign w:val="bottom"/>
          </w:tcPr>
          <w:p>
            <w:pPr>
              <w:spacing w:after="0"/>
              <w:rPr>
                <w:sz w:val="13"/>
                <w:szCs w:val="13"/>
                <w:color w:val="auto"/>
              </w:rPr>
            </w:pPr>
          </w:p>
        </w:tc>
        <w:tc>
          <w:tcPr>
            <w:tcW w:w="1260" w:type="dxa"/>
            <w:vAlign w:val="bottom"/>
          </w:tcPr>
          <w:p>
            <w:pPr>
              <w:jc w:val="right"/>
              <w:ind w:right="623"/>
              <w:spacing w:after="0"/>
              <w:rPr>
                <w:sz w:val="20"/>
                <w:szCs w:val="20"/>
                <w:color w:val="auto"/>
              </w:rPr>
            </w:pPr>
            <w:r>
              <w:rPr>
                <w:rFonts w:ascii="Arial" w:cs="Arial" w:eastAsia="Arial" w:hAnsi="Arial"/>
                <w:sz w:val="11"/>
                <w:szCs w:val="11"/>
                <w:b w:val="1"/>
                <w:bCs w:val="1"/>
                <w:color w:val="auto"/>
              </w:rPr>
              <w:t>Total</w:t>
            </w:r>
          </w:p>
        </w:tc>
      </w:tr>
      <w:tr>
        <w:trPr>
          <w:trHeight w:val="15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Remainder of 2022</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53,143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17,400</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70,543</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2023</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94,057</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2025</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72,800</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Thereafter</w:t>
            </w:r>
          </w:p>
        </w:tc>
        <w:tc>
          <w:tcPr>
            <w:tcW w:w="14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62,640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62,640</w:t>
            </w:r>
          </w:p>
        </w:tc>
      </w:tr>
      <w:tr>
        <w:trPr>
          <w:trHeight w:val="17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315,314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172,840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488,154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4.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Company’s long-term debt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 31, 2022</w:t>
            </w:r>
          </w:p>
        </w:tc>
        <w:tc>
          <w:tcPr>
            <w:tcW w:w="260" w:type="dxa"/>
            <w:vAlign w:val="bottom"/>
          </w:tcPr>
          <w:p>
            <w:pPr>
              <w:spacing w:after="0"/>
              <w:rPr>
                <w:sz w:val="13"/>
                <w:szCs w:val="13"/>
                <w:color w:val="auto"/>
              </w:rPr>
            </w:pPr>
          </w:p>
        </w:tc>
        <w:tc>
          <w:tcPr>
            <w:tcW w:w="1380" w:type="dxa"/>
            <w:vAlign w:val="bottom"/>
          </w:tcPr>
          <w:p>
            <w:pPr>
              <w:jc w:val="right"/>
              <w:ind w:right="403"/>
              <w:spacing w:after="0"/>
              <w:rPr>
                <w:sz w:val="20"/>
                <w:szCs w:val="20"/>
                <w:color w:val="auto"/>
              </w:rPr>
            </w:pPr>
            <w:r>
              <w:rPr>
                <w:rFonts w:ascii="Arial" w:cs="Arial" w:eastAsia="Arial" w:hAnsi="Arial"/>
                <w:sz w:val="11"/>
                <w:szCs w:val="11"/>
                <w:b w:val="1"/>
                <w:bCs w:val="1"/>
                <w:color w:val="auto"/>
              </w:rPr>
              <w:t>Dec. 31, 2021</w:t>
            </w:r>
          </w:p>
        </w:tc>
      </w:tr>
      <w:tr>
        <w:trPr>
          <w:trHeight w:val="150"/>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Term Loan Facilities</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522,085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523,403</w:t>
            </w:r>
          </w:p>
        </w:tc>
      </w:tr>
      <w:tr>
        <w:trPr>
          <w:trHeight w:val="156"/>
        </w:trPr>
        <w:tc>
          <w:tcPr>
            <w:tcW w:w="7880" w:type="dxa"/>
            <w:vAlign w:val="bottom"/>
          </w:tcPr>
          <w:p>
            <w:pPr>
              <w:ind w:left="20"/>
              <w:spacing w:after="0"/>
              <w:rPr>
                <w:sz w:val="20"/>
                <w:szCs w:val="20"/>
                <w:color w:val="auto"/>
              </w:rPr>
            </w:pPr>
            <w:r>
              <w:rPr>
                <w:rFonts w:ascii="Arial" w:cs="Arial" w:eastAsia="Arial" w:hAnsi="Arial"/>
                <w:sz w:val="11"/>
                <w:szCs w:val="11"/>
                <w:color w:val="auto"/>
              </w:rPr>
              <w:t>Revolving Credit Facilities</w:t>
            </w:r>
          </w:p>
        </w:tc>
        <w:tc>
          <w:tcPr>
            <w:tcW w:w="2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155,000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155,000</w:t>
            </w:r>
          </w:p>
        </w:tc>
      </w:tr>
      <w:tr>
        <w:trPr>
          <w:trHeight w:val="159"/>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Unamortized debt discount and issuance costs</w:t>
            </w: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(9,137)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(8,018)</w:t>
            </w:r>
          </w:p>
        </w:tc>
      </w:tr>
      <w:tr>
        <w:trPr>
          <w:trHeight w:val="153"/>
        </w:trPr>
        <w:tc>
          <w:tcPr>
            <w:tcW w:w="7880" w:type="dxa"/>
            <w:vAlign w:val="bottom"/>
          </w:tcPr>
          <w:p>
            <w:pPr>
              <w:ind w:left="20"/>
              <w:spacing w:after="0"/>
              <w:rPr>
                <w:sz w:val="20"/>
                <w:szCs w:val="20"/>
                <w:color w:val="auto"/>
              </w:rPr>
            </w:pPr>
            <w:r>
              <w:rPr>
                <w:rFonts w:ascii="Arial" w:cs="Arial" w:eastAsia="Arial" w:hAnsi="Arial"/>
                <w:sz w:val="11"/>
                <w:szCs w:val="11"/>
                <w:b w:val="1"/>
                <w:bCs w:val="1"/>
                <w:color w:val="auto"/>
              </w:rPr>
              <w:t>Total debt</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667,948</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670,385</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38"/>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Current portion of long-term debt</w:t>
            </w:r>
          </w:p>
        </w:tc>
        <w:tc>
          <w:tcPr>
            <w:tcW w:w="2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(5,270)</w:t>
            </w:r>
          </w:p>
        </w:tc>
      </w:tr>
      <w:tr>
        <w:trPr>
          <w:trHeight w:val="153"/>
        </w:trPr>
        <w:tc>
          <w:tcPr>
            <w:tcW w:w="7880" w:type="dxa"/>
            <w:vAlign w:val="bottom"/>
          </w:tcPr>
          <w:p>
            <w:pPr>
              <w:ind w:left="20"/>
              <w:spacing w:after="0"/>
              <w:rPr>
                <w:sz w:val="20"/>
                <w:szCs w:val="20"/>
                <w:color w:val="auto"/>
              </w:rPr>
            </w:pPr>
            <w:r>
              <w:rPr>
                <w:rFonts w:ascii="Arial" w:cs="Arial" w:eastAsia="Arial" w:hAnsi="Arial"/>
                <w:sz w:val="11"/>
                <w:szCs w:val="11"/>
                <w:b w:val="1"/>
                <w:bCs w:val="1"/>
                <w:color w:val="auto"/>
              </w:rPr>
              <w:t>Total long-term debt</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662,678</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665,115</w:t>
            </w: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 Loan Facilities</w:t>
      </w:r>
    </w:p>
    <w:p>
      <w:pPr>
        <w:spacing w:after="0" w:line="179"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On September 13, 2019,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138"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On June 11, 2021, the Company entered into Amendment No. 5 to the Credit Agreement and Incremental Facility Agreement (“Amendment No. 5”). Amendment No. 5 created a new class of incremental term loans (the “2021 Incremental Term Loans”) in an aggregate principal amount equal to $310.0 million, which was used to refinance $295.5 million of outstanding principal under the Initial Term Loan Facility, pay the related accrued interest and fund the prepayment premium. In connection with Amendment No. 5 and the refinancing of the Initial Term Loan, the Company recognized an $11.9 million loss on debt extinguishment, representing the 2% prepayment premium of $5.9 million and the write-down of deferred financing costs and debt discounts of $6.0 million. The Company incurred $1.7 million of debt issuance costs associated with Amendment No. 5, which are being amortized over the life of the debt to interest expense using the effective interest method.</w:t>
      </w:r>
    </w:p>
    <w:p>
      <w:pPr>
        <w:spacing w:after="0" w:line="33" w:lineRule="exact"/>
        <w:rPr>
          <w:sz w:val="20"/>
          <w:szCs w:val="20"/>
          <w:color w:val="auto"/>
        </w:rPr>
      </w:pPr>
    </w:p>
    <w:p>
      <w:pPr>
        <w:jc w:val="both"/>
        <w:ind w:right="80"/>
        <w:spacing w:after="0" w:line="252" w:lineRule="auto"/>
        <w:rPr>
          <w:sz w:val="20"/>
          <w:szCs w:val="20"/>
          <w:color w:val="auto"/>
        </w:rPr>
      </w:pPr>
      <w:r>
        <w:rPr>
          <w:rFonts w:ascii="Arial" w:cs="Arial" w:eastAsia="Arial" w:hAnsi="Arial"/>
          <w:sz w:val="13"/>
          <w:szCs w:val="13"/>
          <w:color w:val="auto"/>
        </w:rPr>
        <w:t>On November 10, 2021, the Company entered into Amendment No. 6 to the Credit Agreement and Incremental Facility Agreement (“Amendment No. 6”). Amendment No. 6 provided $100.0 million of incremental term loans (the “2021-2 Incremental Term Loans”). The Company incurred $2.5 million of debt issuance costs associated with Amendment No. 6, which are being amortized over the life of the debt to interest expense using the effective interest method.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Initial Term Loan, Incremental Term Loan Facility, the 2021 Incremental Term Loans, and the 2021-2 Incremental Term Loans as the “Term Loan Facilities”.</w:t>
      </w:r>
    </w:p>
    <w:p>
      <w:pPr>
        <w:spacing w:after="0" w:line="179"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As of March 31, 2022, the Company had a principal amount of $114.7 million, $307.7 million, and $99.7 million outstanding under the Incremental Term Loan Facility, the 2021 Incremental Term Loans, and the 2021-2 Incremental Term Loans, respectively. As of December 31, 2021, the Company had a principal amount of $115.0 million $308.4 million, and $100.0 million outstanding under the Incremental Term Loan Facility, the 2021 Incremental Term Loans, and the 2021-2 Incremental Term Loans, respectively. The Incremental Term Loan Facility effective interest rate was 7.5% at both March 31, 2022 and December 31, 2021. Both the 2021 Incremental Term Loans and the 2021-2 Incremental Term Loans effective interest rate was 7.5% and 6.0% at March 31, 2022 and December 31, 2021, respectively.</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Borrowings under the Incremental Term Loan Facility are, at the option of the Borrower, either (i) alternate base rate (“ABR”) plus 5.50% per annum or (ii) LIBOR plus 6.50% per annum. The 2021 Incremental Term Loans from and after the 2021-2 Incremental Term Loans Closing Date, or November 10, 2021, and the 2021-2 Incremental Term Loans, bear interest at either (i) ABR plus 4.00% per annum or (ii) LIBOR plus 5.00% per annum.</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5" w:name="page16"/>
    <w:bookmarkEnd w:id="15"/>
    <w:p>
      <w:pPr>
        <w:ind w:right="60"/>
        <w:spacing w:after="0" w:line="250" w:lineRule="auto"/>
        <w:rPr>
          <w:sz w:val="20"/>
          <w:szCs w:val="20"/>
          <w:color w:val="auto"/>
        </w:rPr>
      </w:pPr>
      <w:r>
        <w:rPr>
          <w:rFonts w:ascii="Arial" w:cs="Arial" w:eastAsia="Arial" w:hAnsi="Arial"/>
          <w:sz w:val="13"/>
          <w:szCs w:val="13"/>
          <w:color w:val="auto"/>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spacing w:after="0" w:line="14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Revolving Credit Facilities</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35" w:lineRule="exact"/>
        <w:rPr>
          <w:sz w:val="20"/>
          <w:szCs w:val="20"/>
          <w:color w:val="auto"/>
        </w:rPr>
      </w:pPr>
    </w:p>
    <w:p>
      <w:pPr>
        <w:ind w:right="500"/>
        <w:spacing w:after="0" w:line="283" w:lineRule="auto"/>
        <w:rPr>
          <w:sz w:val="20"/>
          <w:szCs w:val="20"/>
          <w:color w:val="auto"/>
        </w:rPr>
      </w:pPr>
      <w:r>
        <w:rPr>
          <w:rFonts w:ascii="Arial" w:cs="Arial" w:eastAsia="Arial" w:hAnsi="Arial"/>
          <w:sz w:val="13"/>
          <w:szCs w:val="13"/>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Revolving Credit Facility, the Incremental Revolving Credit Facilities, and the Incremental No. 4 Revolving Credit Facility as the “Revolving Credit Facilities”.</w:t>
      </w:r>
    </w:p>
    <w:p>
      <w:pPr>
        <w:spacing w:after="0" w:line="169" w:lineRule="exact"/>
        <w:rPr>
          <w:sz w:val="20"/>
          <w:szCs w:val="20"/>
          <w:color w:val="auto"/>
        </w:rPr>
      </w:pPr>
    </w:p>
    <w:p>
      <w:pPr>
        <w:ind w:right="460"/>
        <w:spacing w:after="0" w:line="283" w:lineRule="auto"/>
        <w:rPr>
          <w:sz w:val="20"/>
          <w:szCs w:val="20"/>
          <w:color w:val="auto"/>
        </w:rPr>
      </w:pPr>
      <w:r>
        <w:rPr>
          <w:rFonts w:ascii="Arial" w:cs="Arial" w:eastAsia="Arial" w:hAnsi="Arial"/>
          <w:sz w:val="13"/>
          <w:szCs w:val="13"/>
          <w:color w:val="auto"/>
        </w:rPr>
        <w:t>Amendment No. 5, as described above, also separated the Revolving Credit Facilities into two classes of revolving commitments consisting of Class A Revolving Commitments in the amount of $30.0 million and Class B Revolving Commitments in the amount of $170.0 million.</w:t>
      </w:r>
    </w:p>
    <w:p>
      <w:pPr>
        <w:spacing w:after="0" w:line="125" w:lineRule="exact"/>
        <w:rPr>
          <w:sz w:val="20"/>
          <w:szCs w:val="20"/>
          <w:color w:val="auto"/>
        </w:rPr>
      </w:pPr>
    </w:p>
    <w:p>
      <w:pPr>
        <w:ind w:right="280"/>
        <w:spacing w:after="0" w:line="327" w:lineRule="auto"/>
        <w:rPr>
          <w:sz w:val="20"/>
          <w:szCs w:val="20"/>
          <w:color w:val="auto"/>
        </w:rPr>
      </w:pPr>
      <w:r>
        <w:rPr>
          <w:rFonts w:ascii="Arial" w:cs="Arial" w:eastAsia="Arial" w:hAnsi="Arial"/>
          <w:sz w:val="12"/>
          <w:szCs w:val="12"/>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101" w:lineRule="exact"/>
        <w:rPr>
          <w:sz w:val="20"/>
          <w:szCs w:val="20"/>
          <w:color w:val="auto"/>
        </w:rPr>
      </w:pPr>
    </w:p>
    <w:p>
      <w:pPr>
        <w:jc w:val="both"/>
        <w:ind w:right="160"/>
        <w:spacing w:after="0" w:line="261" w:lineRule="auto"/>
        <w:rPr>
          <w:sz w:val="20"/>
          <w:szCs w:val="20"/>
          <w:color w:val="auto"/>
        </w:rPr>
      </w:pPr>
      <w:r>
        <w:rPr>
          <w:rFonts w:ascii="Arial" w:cs="Arial" w:eastAsia="Arial" w:hAnsi="Arial"/>
          <w:sz w:val="13"/>
          <w:szCs w:val="13"/>
          <w:color w:val="auto"/>
        </w:rPr>
        <w:t>The Company had $23.2 million outstanding under the Class A Revolving Credit Facilities and $131.8 million outstanding under the Class B Revolving Credit Facilities as of both March 31, 2022 and December 31, 2021. The Revolving Credit Facilities have a remaining capacity of $45.0 million in the aggregate as of March 31, 2022. The Class A Revolving Credit Facilities and Class B Revolving Credit Facilities effective interest rates at both March 31, 2022 and December 31, 2021 was 7.5% and 5.0%,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Outstanding borrowings under the Revolving Credit Facilities do not amortize and are due and payable on September 13, 2024.</w:t>
      </w:r>
    </w:p>
    <w:p>
      <w:pPr>
        <w:spacing w:after="0" w:line="179" w:lineRule="exact"/>
        <w:rPr>
          <w:sz w:val="20"/>
          <w:szCs w:val="20"/>
          <w:color w:val="auto"/>
        </w:rPr>
      </w:pPr>
    </w:p>
    <w:p>
      <w:pPr>
        <w:jc w:val="both"/>
        <w:ind w:right="180"/>
        <w:spacing w:after="0" w:line="252" w:lineRule="auto"/>
        <w:rPr>
          <w:sz w:val="20"/>
          <w:szCs w:val="20"/>
          <w:color w:val="auto"/>
        </w:rPr>
      </w:pPr>
      <w:r>
        <w:rPr>
          <w:rFonts w:ascii="Arial" w:cs="Arial" w:eastAsia="Arial" w:hAnsi="Arial"/>
          <w:sz w:val="13"/>
          <w:szCs w:val="13"/>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March 31, 2022.</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5. STOCKHOLDERS' EQUITY AND MEMBERS' EQUITY</w:t>
      </w:r>
    </w:p>
    <w:p>
      <w:pPr>
        <w:spacing w:after="0" w:line="16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 shares of Class A common stock, 690,000 shares of Class B common stock and 20,000 shares of preferred stock, each having a par value of $0.0001 per share. The number of shares of Class B common stock authorized is reduced for redemptions and forfeitures as they occur.</w:t>
      </w:r>
    </w:p>
    <w:p>
      <w:pPr>
        <w:spacing w:after="0" w:line="138"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6" w:name="page17"/>
    <w:bookmarkEnd w:id="16"/>
    <w:p>
      <w:pPr>
        <w:ind w:right="260"/>
        <w:spacing w:after="0" w:line="266" w:lineRule="auto"/>
        <w:rPr>
          <w:sz w:val="20"/>
          <w:szCs w:val="20"/>
          <w:color w:val="auto"/>
        </w:rPr>
      </w:pPr>
      <w:r>
        <w:rPr>
          <w:rFonts w:ascii="Arial" w:cs="Arial" w:eastAsia="Arial" w:hAnsi="Arial"/>
          <w:sz w:val="13"/>
          <w:szCs w:val="13"/>
          <w:color w:val="auto"/>
        </w:rPr>
        <w:t>common stock are permitted to hold shares of Class B common stock. Shares of Class B common stock are transferable for shares of Class A common stock only together with an equal number of LLC Interests.</w:t>
      </w:r>
    </w:p>
    <w:p>
      <w:pPr>
        <w:spacing w:after="0" w:line="146"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144" w:lineRule="exact"/>
        <w:rPr>
          <w:sz w:val="20"/>
          <w:szCs w:val="20"/>
          <w:color w:val="auto"/>
        </w:rPr>
      </w:pPr>
    </w:p>
    <w:p>
      <w:pPr>
        <w:ind w:right="100"/>
        <w:spacing w:after="0" w:line="309" w:lineRule="auto"/>
        <w:rPr>
          <w:sz w:val="20"/>
          <w:szCs w:val="20"/>
          <w:color w:val="auto"/>
        </w:rPr>
      </w:pPr>
      <w:r>
        <w:rPr>
          <w:rFonts w:ascii="Arial" w:cs="Arial" w:eastAsia="Arial" w:hAnsi="Arial"/>
          <w:sz w:val="12"/>
          <w:szCs w:val="12"/>
          <w:color w:val="auto"/>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months ended March 31, 2022 and 2021 were 63.8%, and 71.2%, respectively.</w:t>
      </w:r>
    </w:p>
    <w:p>
      <w:pPr>
        <w:spacing w:after="0" w:line="122"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6. SHARE-BASED COMPENSATION PLANS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share-based compensation expense by operating function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50"/>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 and advertising</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w:t>
            </w:r>
          </w:p>
        </w:tc>
      </w:tr>
      <w:tr>
        <w:trPr>
          <w:trHeight w:val="156"/>
        </w:trPr>
        <w:tc>
          <w:tcPr>
            <w:tcW w:w="8700" w:type="dxa"/>
            <w:vAlign w:val="bottom"/>
          </w:tcPr>
          <w:p>
            <w:pPr>
              <w:ind w:left="20"/>
              <w:spacing w:after="0"/>
              <w:rPr>
                <w:sz w:val="20"/>
                <w:szCs w:val="20"/>
                <w:color w:val="auto"/>
              </w:rPr>
            </w:pPr>
            <w:r>
              <w:rPr>
                <w:rFonts w:ascii="Arial" w:cs="Arial" w:eastAsia="Arial" w:hAnsi="Arial"/>
                <w:sz w:val="11"/>
                <w:szCs w:val="11"/>
                <w:color w:val="auto"/>
              </w:rPr>
              <w:t>Customer care and enrollment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796</w:t>
            </w:r>
          </w:p>
        </w:tc>
      </w:tr>
      <w:tr>
        <w:trPr>
          <w:trHeight w:val="162"/>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w:t>
            </w:r>
          </w:p>
        </w:tc>
      </w:tr>
      <w:tr>
        <w:trPr>
          <w:trHeight w:val="156"/>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3,232</w:t>
            </w:r>
          </w:p>
        </w:tc>
      </w:tr>
      <w:tr>
        <w:trPr>
          <w:trHeight w:val="17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share-based compensation expense</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5,155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5,112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2021 Employment Inducement Award Plan</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On December 19, 2021, the Company’s Board of Directors approved the adoption of the GoHealth, Inc. 2021 Employment Inducement Award Plan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inducement to the employee’s entering into employment with the Company or its subsidiary. An aggregate of 4,000 shares of the Company’s Class A common stock have been reserved for issuance under the Inducement Award Plan.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Stock Units (“PSUs”)</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During 2021, the Company granted to certain of its employees 489 shares of Class A common stock issuable pursuant to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7" w:name="page18"/>
    <w:bookmarkEnd w:id="17"/>
    <w:p>
      <w:pPr>
        <w:ind w:right="160"/>
        <w:spacing w:after="0" w:line="253" w:lineRule="auto"/>
        <w:rPr>
          <w:sz w:val="20"/>
          <w:szCs w:val="20"/>
          <w:color w:val="auto"/>
        </w:rPr>
      </w:pPr>
      <w:r>
        <w:rPr>
          <w:rFonts w:ascii="Arial" w:cs="Arial" w:eastAsia="Arial" w:hAnsi="Arial"/>
          <w:sz w:val="13"/>
          <w:szCs w:val="13"/>
          <w:color w:val="auto"/>
        </w:rPr>
        <w:t>The Company estimated the grant-date fair value of the awards subject to a market condition using a Monte Carlo simulation model, using the following weighted-average assumptions: risk-free interest rate of 0.2% and annualized volatility of 72.0%. The grant-date fair value of the PSUs was $22.17. The Company recognizes the grant-date fair value of PSUs as compensation expense on a straight-line basis over the three-year performance period. For the three months ended March 31, 2022 and 2021, the Company recorded share-based compensation expense related to PSUs of $0.9 million and $0.5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Employee Stock Purchase Plan (“2020 ESPP”)</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On July 7, 2020, the Company adopted the 2020 Employee Stock Purchase Plan (“ESPP”), which became effective on the same date. The purpose of the 2020 ESPP is to provide the Company's eligible employees with an opportunity to purchase designated shares of the Company’s Class A common stock at a price equal to 85% of the lower of the closing price at the beginning or end of each offering period. During the three months ended March 31, 2022 and 2021, the Company issued no shares of Class A common stock through the ESPP. For the three months ended March 31, 2022 and 2021, the Company recorded share-based compensation expense related to the 2020 ESPP of $0.2 million and $0.1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 Repricing</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On April 25, 2022 and in accordance with the terms of the GoHealth, Inc. 2020 Incentive Award Plan, the Company’s Board of Directors approved a stock option repricing (the “Repricing”) where the exercise price of each Relevant Option (as defined below) was reduced to $1.05 per share, the average trailing 20 trading day closing price of the Company’s Class A common stock as of market close on the day of board approval. “Relevant Options” are all outstanding stock options as of April 25, 2022 (vested or unvested) to acquire shares of the Company’s Class A common stock that were issued to currently employed employees prior to April 1, 2022, but excluding stock options granted to certain executive officers. Except for the reduction in the exercise price of the Relevant Options, all outstanding stock options will continue to remain outstanding in accordance with their current terms and conditions. The Company is in the process of determining the incremental compensation cost associated with the Repricing.</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7. NET LOSS PER SHARE</w:t>
      </w:r>
    </w:p>
    <w:p>
      <w:pPr>
        <w:spacing w:after="0" w:line="179" w:lineRule="exact"/>
        <w:rPr>
          <w:sz w:val="20"/>
          <w:szCs w:val="20"/>
          <w:color w:val="auto"/>
        </w:rPr>
      </w:pPr>
    </w:p>
    <w:p>
      <w:pPr>
        <w:jc w:val="both"/>
        <w:ind w:right="80"/>
        <w:spacing w:after="0" w:line="252" w:lineRule="auto"/>
        <w:rPr>
          <w:sz w:val="20"/>
          <w:szCs w:val="20"/>
          <w:color w:val="auto"/>
        </w:rPr>
      </w:pPr>
      <w:r>
        <w:rPr>
          <w:rFonts w:ascii="Arial" w:cs="Arial" w:eastAsia="Arial" w:hAnsi="Arial"/>
          <w:sz w:val="13"/>
          <w:szCs w:val="13"/>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numerator and denominator used in the calculation of basic and diluted net loss per share of Class A common stock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5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r>
      <w:tr>
        <w:trPr>
          <w:trHeight w:val="139"/>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Numerator:</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6"/>
        </w:trPr>
        <w:tc>
          <w:tcPr>
            <w:tcW w:w="8580" w:type="dxa"/>
            <w:vAlign w:val="bottom"/>
          </w:tcPr>
          <w:p>
            <w:pPr>
              <w:ind w:left="180"/>
              <w:spacing w:after="0"/>
              <w:rPr>
                <w:sz w:val="20"/>
                <w:szCs w:val="20"/>
                <w:color w:val="auto"/>
              </w:rPr>
            </w:pPr>
            <w:r>
              <w:rPr>
                <w:rFonts w:ascii="Arial" w:cs="Arial" w:eastAsia="Arial" w:hAnsi="Arial"/>
                <w:sz w:val="11"/>
                <w:szCs w:val="11"/>
                <w:color w:val="auto"/>
              </w:rPr>
              <w:t>Net loss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(37,241)</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(7,260)</w:t>
            </w:r>
          </w:p>
        </w:tc>
      </w:tr>
      <w:tr>
        <w:trPr>
          <w:trHeight w:val="162"/>
        </w:trPr>
        <w:tc>
          <w:tcPr>
            <w:tcW w:w="8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Net loss attributable to non-controlling interests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(23,758)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(5,173)</w:t>
            </w:r>
          </w:p>
        </w:tc>
      </w:tr>
      <w:tr>
        <w:trPr>
          <w:trHeight w:val="147"/>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loss attributable to GoHealth, Inc.</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(13,483)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(2,087)</w:t>
            </w:r>
          </w:p>
        </w:tc>
      </w:tr>
      <w:tr>
        <w:trPr>
          <w:trHeight w:val="142"/>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Denominator:</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6"/>
        </w:trPr>
        <w:tc>
          <w:tcPr>
            <w:tcW w:w="8580" w:type="dxa"/>
            <w:vAlign w:val="bottom"/>
          </w:tcPr>
          <w:p>
            <w:pPr>
              <w:ind w:left="180"/>
              <w:spacing w:after="0"/>
              <w:rPr>
                <w:sz w:val="20"/>
                <w:szCs w:val="20"/>
                <w:color w:val="auto"/>
              </w:rPr>
            </w:pPr>
            <w:r>
              <w:rPr>
                <w:rFonts w:ascii="Arial" w:cs="Arial" w:eastAsia="Arial" w:hAnsi="Arial"/>
                <w:sz w:val="11"/>
                <w:szCs w:val="11"/>
                <w:color w:val="auto"/>
              </w:rPr>
              <w:t>Weighted-average shares of Class A common stock outstanding—basic</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116,207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92,343</w:t>
            </w:r>
          </w:p>
        </w:tc>
      </w:tr>
      <w:tr>
        <w:trPr>
          <w:trHeight w:val="162"/>
        </w:trPr>
        <w:tc>
          <w:tcPr>
            <w:tcW w:w="8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Effect of dilutive securities</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Weighted-average shares of Class A common stock outstanding—diluted</w:t>
            </w: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116,207</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92,343</w:t>
            </w:r>
          </w:p>
        </w:tc>
      </w:tr>
      <w:tr>
        <w:trPr>
          <w:trHeight w:val="17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per share of Class A common stock—basic and diluted</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(0.12)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(0.02)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number of shares were excluded from the calculation of diluted loss per share because the effect of including such potentially dilutive shares would have been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20" w:type="dxa"/>
            <w:vAlign w:val="bottom"/>
          </w:tcPr>
          <w:p>
            <w:pPr>
              <w:spacing w:after="0"/>
              <w:rPr>
                <w:sz w:val="13"/>
                <w:szCs w:val="13"/>
                <w:color w:val="auto"/>
              </w:rPr>
            </w:pPr>
          </w:p>
        </w:tc>
        <w:tc>
          <w:tcPr>
            <w:tcW w:w="18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Mar. 31,</w:t>
            </w:r>
          </w:p>
        </w:tc>
        <w:tc>
          <w:tcPr>
            <w:tcW w:w="1020" w:type="dxa"/>
            <w:vAlign w:val="bottom"/>
            <w:tcBorders>
              <w:bottom w:val="single" w:sz="8" w:color="auto"/>
            </w:tcBorders>
          </w:tcPr>
          <w:p>
            <w:pPr>
              <w:spacing w:after="0"/>
              <w:rPr>
                <w:sz w:val="13"/>
                <w:szCs w:val="13"/>
                <w:color w:val="auto"/>
              </w:rPr>
            </w:pPr>
          </w:p>
        </w:tc>
      </w:tr>
      <w:tr>
        <w:trPr>
          <w:trHeight w:val="15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820" w:type="dxa"/>
            <w:vAlign w:val="bottom"/>
            <w:tcBorders>
              <w:bottom w:val="single" w:sz="8" w:color="auto"/>
            </w:tcBorders>
          </w:tcPr>
          <w:p>
            <w:pPr>
              <w:jc w:val="right"/>
              <w:ind w:right="943"/>
              <w:spacing w:after="0"/>
              <w:rPr>
                <w:sz w:val="20"/>
                <w:szCs w:val="20"/>
                <w:color w:val="auto"/>
              </w:rPr>
            </w:pPr>
            <w:r>
              <w:rPr>
                <w:rFonts w:ascii="Arial" w:cs="Arial" w:eastAsia="Arial" w:hAnsi="Arial"/>
                <w:sz w:val="11"/>
                <w:szCs w:val="11"/>
                <w:b w:val="1"/>
                <w:bCs w:val="1"/>
                <w:color w:val="auto"/>
              </w:rPr>
              <w:t>2022</w:t>
            </w: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2021</w:t>
            </w:r>
          </w:p>
        </w:tc>
      </w:tr>
      <w:tr>
        <w:trPr>
          <w:trHeight w:val="150"/>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A common stock issuable pursuant to equity awards</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6,375</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6,539</w:t>
            </w:r>
          </w:p>
        </w:tc>
      </w:tr>
      <w:tr>
        <w:trPr>
          <w:trHeight w:val="153"/>
        </w:trPr>
        <w:tc>
          <w:tcPr>
            <w:tcW w:w="8420" w:type="dxa"/>
            <w:vAlign w:val="bottom"/>
          </w:tcPr>
          <w:p>
            <w:pPr>
              <w:ind w:left="20"/>
              <w:spacing w:after="0"/>
              <w:rPr>
                <w:sz w:val="20"/>
                <w:szCs w:val="20"/>
                <w:color w:val="auto"/>
              </w:rPr>
            </w:pPr>
            <w:r>
              <w:rPr>
                <w:rFonts w:ascii="Arial" w:cs="Arial" w:eastAsia="Arial" w:hAnsi="Arial"/>
                <w:sz w:val="11"/>
                <w:szCs w:val="11"/>
                <w:color w:val="auto"/>
              </w:rPr>
              <w:t>Class B common stock</w:t>
            </w:r>
          </w:p>
        </w:tc>
        <w:tc>
          <w:tcPr>
            <w:tcW w:w="1820" w:type="dxa"/>
            <w:vAlign w:val="bottom"/>
          </w:tcPr>
          <w:p>
            <w:pPr>
              <w:jc w:val="right"/>
              <w:ind w:right="443"/>
              <w:spacing w:after="0"/>
              <w:rPr>
                <w:sz w:val="20"/>
                <w:szCs w:val="20"/>
                <w:color w:val="auto"/>
              </w:rPr>
            </w:pPr>
            <w:r>
              <w:rPr>
                <w:rFonts w:ascii="Arial" w:cs="Arial" w:eastAsia="Arial" w:hAnsi="Arial"/>
                <w:sz w:val="11"/>
                <w:szCs w:val="11"/>
                <w:color w:val="auto"/>
              </w:rPr>
              <w:t>199,338</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222,606</w:t>
            </w:r>
          </w:p>
        </w:tc>
      </w:tr>
    </w:tbl>
    <w:p>
      <w:pPr>
        <w:spacing w:after="0" w:line="240" w:lineRule="exact"/>
        <w:rPr>
          <w:sz w:val="20"/>
          <w:szCs w:val="20"/>
          <w:color w:val="auto"/>
        </w:rPr>
      </w:pPr>
    </w:p>
    <w:p>
      <w:pPr>
        <w:ind w:right="420"/>
        <w:spacing w:after="0" w:line="266" w:lineRule="auto"/>
        <w:rPr>
          <w:sz w:val="20"/>
          <w:szCs w:val="20"/>
          <w:color w:val="auto"/>
        </w:rPr>
      </w:pPr>
      <w:r>
        <w:rPr>
          <w:rFonts w:ascii="Arial" w:cs="Arial" w:eastAsia="Arial" w:hAnsi="Arial"/>
          <w:sz w:val="13"/>
          <w:szCs w:val="13"/>
          <w:color w:val="auto"/>
        </w:rPr>
        <w:t>Shares of Class B common stock do not share in earnings and are not participating securities. Accordingly, separate presentation of loss per share of Class B common stock under the two-class method has not been presented.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8. INCOME TAXES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8" w:name="page19"/>
    <w:bookmarkEnd w:id="18"/>
    <w:p>
      <w:pPr>
        <w:ind w:right="200"/>
        <w:spacing w:after="0" w:line="250" w:lineRule="auto"/>
        <w:rPr>
          <w:sz w:val="20"/>
          <w:szCs w:val="20"/>
          <w:color w:val="auto"/>
        </w:rPr>
      </w:pPr>
      <w:r>
        <w:rPr>
          <w:rFonts w:ascii="Arial" w:cs="Arial" w:eastAsia="Arial" w:hAnsi="Arial"/>
          <w:sz w:val="13"/>
          <w:szCs w:val="13"/>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w:t>
      </w:r>
    </w:p>
    <w:p>
      <w:pPr>
        <w:spacing w:after="0" w:line="148" w:lineRule="exact"/>
        <w:rPr>
          <w:sz w:val="20"/>
          <w:szCs w:val="20"/>
          <w:color w:val="auto"/>
        </w:rPr>
      </w:pPr>
    </w:p>
    <w:p>
      <w:pPr>
        <w:ind w:right="160"/>
        <w:spacing w:after="0" w:line="283" w:lineRule="auto"/>
        <w:rPr>
          <w:sz w:val="20"/>
          <w:szCs w:val="20"/>
          <w:color w:val="auto"/>
        </w:rPr>
      </w:pPr>
      <w:r>
        <w:rPr>
          <w:rFonts w:ascii="Arial" w:cs="Arial" w:eastAsia="Arial" w:hAnsi="Arial"/>
          <w:sz w:val="13"/>
          <w:szCs w:val="13"/>
          <w:color w:val="auto"/>
        </w:rPr>
        <w:t>The Company’s effective tax rate for the three months ended March 31, 2022 and 2021 was (1.28)% and 0.43%,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Receivable Agreement (“TRA”)</w:t>
      </w:r>
    </w:p>
    <w:p>
      <w:pPr>
        <w:spacing w:after="0" w:line="179"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In connection with the IPO, the Company entered into a TRA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TRA will vary depending upon a number of factors, including the amount, character, and timing of the taxable income of the Company in the future. As of March 31, 2022, the Company has determined there is no resulting liability related to the TRA. Should the Company determine that the TRA liability will be considered probable at a future date based on new information, any changes will be recorded within income from continuing operations at that time.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9. REVENUE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 for Variable Consideration</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Company’s variable consideration includes the total estimated lifetime value (“LTV”) it expects to receive for selling an insurance product after the carrier approves an application. The consideration is variable based on the amount of time it estimates a policy will remain in force, which is based on historical experience or carrier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Due to lower persistency observed during the three months ended March 31, 2022 and declining LTV estimates, the Company applied an incremental LTV constraint to all Medicare policies sold in the first quarter of 2022.</w:t>
      </w:r>
    </w:p>
    <w:p>
      <w:pPr>
        <w:spacing w:after="0" w:line="143"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months ended March 31, 2022 and 2021, the Company recorded negative revenue adjustments of $2.6 million and $2.2 million, respectively, for changes in estimates relating to performance obligations satisfied in prior periods.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color w:val="auto"/>
        </w:rPr>
        <w:t>Disaggregation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depicts the disaggregation of revenue by product, and is consistent with how the Company evaluates its financial performance: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39"/>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Commission revenue:</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864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86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Medicare Advantage</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206,634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168,148</w:t>
            </w:r>
          </w:p>
        </w:tc>
      </w:tr>
      <w:tr>
        <w:trPr>
          <w:trHeight w:val="156"/>
        </w:trPr>
        <w:tc>
          <w:tcPr>
            <w:tcW w:w="8640" w:type="dxa"/>
            <w:vAlign w:val="bottom"/>
          </w:tcPr>
          <w:p>
            <w:pPr>
              <w:ind w:left="360"/>
              <w:spacing w:after="0"/>
              <w:rPr>
                <w:sz w:val="20"/>
                <w:szCs w:val="20"/>
                <w:color w:val="auto"/>
              </w:rPr>
            </w:pPr>
            <w:r>
              <w:rPr>
                <w:rFonts w:ascii="Arial" w:cs="Arial" w:eastAsia="Arial" w:hAnsi="Arial"/>
                <w:sz w:val="11"/>
                <w:szCs w:val="11"/>
                <w:color w:val="auto"/>
              </w:rPr>
              <w:t>Medicare Supplement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784</w:t>
            </w:r>
          </w:p>
        </w:tc>
      </w:tr>
      <w:tr>
        <w:trPr>
          <w:trHeight w:val="162"/>
        </w:trPr>
        <w:tc>
          <w:tcPr>
            <w:tcW w:w="86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Prescription Drug Plans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553</w:t>
            </w:r>
          </w:p>
        </w:tc>
      </w:tr>
      <w:tr>
        <w:trPr>
          <w:trHeight w:val="14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Medicare</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208,200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169,485</w:t>
            </w:r>
          </w:p>
        </w:tc>
      </w:tr>
      <w:tr>
        <w:trPr>
          <w:trHeight w:val="142"/>
        </w:trPr>
        <w:tc>
          <w:tcPr>
            <w:tcW w:w="864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Individual and Family Plan:</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8640" w:type="dxa"/>
            <w:vAlign w:val="bottom"/>
          </w:tcPr>
          <w:p>
            <w:pPr>
              <w:ind w:left="360"/>
              <w:spacing w:after="0"/>
              <w:rPr>
                <w:sz w:val="20"/>
                <w:szCs w:val="20"/>
                <w:color w:val="auto"/>
              </w:rPr>
            </w:pPr>
            <w:r>
              <w:rPr>
                <w:rFonts w:ascii="Arial" w:cs="Arial" w:eastAsia="Arial" w:hAnsi="Arial"/>
                <w:sz w:val="11"/>
                <w:szCs w:val="11"/>
                <w:color w:val="auto"/>
              </w:rPr>
              <w:t>Fixed Indemnity</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381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2,781</w:t>
            </w:r>
          </w:p>
        </w:tc>
      </w:tr>
      <w:tr>
        <w:trPr>
          <w:trHeight w:val="162"/>
        </w:trPr>
        <w:tc>
          <w:tcPr>
            <w:tcW w:w="86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Short-term</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r>
      <w:tr>
        <w:trPr>
          <w:trHeight w:val="156"/>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Major Medical</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r>
      <w:tr>
        <w:trPr>
          <w:trHeight w:val="153"/>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Individual and Family Plan</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3,382</w:t>
            </w:r>
          </w:p>
        </w:tc>
      </w:tr>
      <w:tr>
        <w:trPr>
          <w:trHeight w:val="147"/>
        </w:trPr>
        <w:tc>
          <w:tcPr>
            <w:tcW w:w="8640" w:type="dxa"/>
            <w:vAlign w:val="bottom"/>
          </w:tcPr>
          <w:p>
            <w:pPr>
              <w:ind w:left="20"/>
              <w:spacing w:after="0"/>
              <w:rPr>
                <w:sz w:val="20"/>
                <w:szCs w:val="20"/>
                <w:color w:val="auto"/>
              </w:rPr>
            </w:pPr>
            <w:r>
              <w:rPr>
                <w:rFonts w:ascii="Arial" w:cs="Arial" w:eastAsia="Arial" w:hAnsi="Arial"/>
                <w:sz w:val="11"/>
                <w:szCs w:val="11"/>
                <w:color w:val="auto"/>
              </w:rPr>
              <w:t>Ancillary</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811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1,108</w:t>
            </w:r>
          </w:p>
        </w:tc>
      </w:tr>
      <w:tr>
        <w:trPr>
          <w:trHeight w:val="162"/>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Small Group</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4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commission revenue</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209,639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173,981</w:t>
            </w:r>
          </w:p>
        </w:tc>
      </w:tr>
      <w:tr>
        <w:trPr>
          <w:trHeight w:val="142"/>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Enterprise revenue:</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8640" w:type="dxa"/>
            <w:vAlign w:val="bottom"/>
          </w:tcPr>
          <w:p>
            <w:pPr>
              <w:ind w:left="180"/>
              <w:spacing w:after="0"/>
              <w:rPr>
                <w:sz w:val="20"/>
                <w:szCs w:val="20"/>
                <w:color w:val="auto"/>
              </w:rPr>
            </w:pPr>
            <w:r>
              <w:rPr>
                <w:rFonts w:ascii="Arial" w:cs="Arial" w:eastAsia="Arial" w:hAnsi="Arial"/>
                <w:sz w:val="11"/>
                <w:szCs w:val="11"/>
                <w:color w:val="auto"/>
              </w:rPr>
              <w:t>Partner Marketing and Enrollment Services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40,664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21,857</w:t>
            </w:r>
          </w:p>
        </w:tc>
      </w:tr>
      <w:tr>
        <w:trPr>
          <w:trHeight w:val="162"/>
        </w:trPr>
        <w:tc>
          <w:tcPr>
            <w:tcW w:w="86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Direct Partner Campaigns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8,102</w:t>
            </w:r>
          </w:p>
        </w:tc>
      </w:tr>
      <w:tr>
        <w:trPr>
          <w:trHeight w:val="156"/>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w:t>
            </w:r>
          </w:p>
        </w:tc>
      </w:tr>
      <w:tr>
        <w:trPr>
          <w:trHeight w:val="150"/>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enterprise revenue</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60,954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30,198</w:t>
            </w:r>
          </w:p>
        </w:tc>
      </w:tr>
      <w:tr>
        <w:trPr>
          <w:trHeight w:val="153"/>
        </w:trPr>
        <w:tc>
          <w:tcPr>
            <w:tcW w:w="864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270,593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204,179</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Assets and Liabilities</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insurance carriers for performance obligations that have been satisfied. Commissions payable represents estimated commissions to be paid to the Company’s external agents and other partners. Deferred revenue includes amounts collected for partner marketing and enrollment services and technology licensing and implementation fees in advance of the Company satisfying its performance obligations for such customers. The Company had unbilled receivables for performance-based enrollment fees as of March 31, 2022 and December 31, 2021 of $5.5 million and $20.1 million, respectively, which are recorded in prepaid expenses and other current assets on the Condensed Consolidated Balance Sheets. There are no other contract liabilities or contract assets recorded by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For both the three months ended March 31, 2022 and 2021, the Company recognized $0.1 million of revenue that was deferred as of December 31, 2021 and December 31,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Commissions Receivable</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Our contracts with carriers expose us to credit risk as a financial loss could be incurred if the counterparty does not fulfill its financial obligation. While we are exposed to credit losses due to the potential non-performance of our counterparties, we consider the risk of this remote. We estimate our maximum credit risk in determining the commissions receivable amount recorded on the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Commissions receivable activity is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54"/>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1,262,507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809,859</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Commission revenue</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209,639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173,981</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receipts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(335,663)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(183,489)</w:t>
            </w:r>
          </w:p>
        </w:tc>
      </w:tr>
      <w:tr>
        <w:trPr>
          <w:trHeight w:val="15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Allowance for credit loss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r>
      <w:tr>
        <w:trPr>
          <w:trHeight w:val="153"/>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Ending balance</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1,136,567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800,357</w:t>
            </w:r>
          </w:p>
        </w:tc>
      </w:tr>
      <w:tr>
        <w:trPr>
          <w:trHeight w:val="14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Commissions receivable - current</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189,287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98,157</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Commissions receivable - non-current</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947,280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702,200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10. LEASES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Effect of Standard Adoption</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2"/>
          <w:szCs w:val="12"/>
          <w:color w:val="auto"/>
        </w:rPr>
        <w:t xml:space="preserve">We adopted ASU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(Topic 842), effective January 1, 2021, using the optional transition method which allows entities to continue to apply historical accounting guidance in the comparative periods presented in the year of adoption. We elected the package of practical expedients permitted under the transition guidance within Accounting Standards Codification Topic 842 ("ASC 842") which, among other items, allowed us to carry forward the historical lease classifications. As such, we applied the modified retrospective approach as of the adoption date to those lease contracts for which we have taken possession of the property as of January 1, 2021. Results for reporting periods beginning on or after January 1, 2021 are presented under ASC 842.</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Upon transition, on January 1, 2021, we recorded the following increases (decreases) to the respective line items on the Consolidated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6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6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Adjustment as of January 1,</w:t>
            </w:r>
          </w:p>
        </w:tc>
        <w:tc>
          <w:tcPr>
            <w:tcW w:w="0" w:type="dxa"/>
            <w:vAlign w:val="bottom"/>
          </w:tcPr>
          <w:p>
            <w:pPr>
              <w:spacing w:after="0"/>
              <w:rPr>
                <w:sz w:val="1"/>
                <w:szCs w:val="1"/>
                <w:color w:val="auto"/>
              </w:rPr>
            </w:pPr>
          </w:p>
        </w:tc>
      </w:tr>
      <w:tr>
        <w:trPr>
          <w:trHeight w:val="144"/>
        </w:trPr>
        <w:tc>
          <w:tcPr>
            <w:tcW w:w="964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0"/>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ROU asset</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28,044</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Property, equipment and capitalized software, net</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Short-term operating lease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5,118</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Other current liabilities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operating lease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24,156</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Nature of Leases</w:t>
      </w:r>
    </w:p>
    <w:p>
      <w:pPr>
        <w:spacing w:after="0" w:line="169"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Under ASC 842, we determine if an arrangement is a lease at inception of the arrangement. We have entered into operating and finance lease agreements with lease periods expiring between 2022 and 2032. Operating leases primarily consist of real estate and data centers, and finance leases primarily consist of office equipment.</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As of January 1, 2021, with the adoption of ASC 842, leases are included in operating lease right-of-use (“ROU”) assets and lease liabilities on our Condensed Consolidated Balance Sheets. Operating lease ROU assets and lease liabilities are recognized at the lease commencement date. Operating lease ROU assets represent our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we use our incremental borrowing rate at the lease commencement date to determine the present value of the lease payments. The determination of the incremental borrowing rate requires judgement. We determined our incremental borrowing rate for each lease using indicative bank borrowing rates, adjusted for various factors including level of collateralization, term and treasury yield curves to align with the terms of the respective lease.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elected the following practical expedients for all classes of leased assets:</w:t>
      </w:r>
    </w:p>
    <w:p>
      <w:pPr>
        <w:spacing w:after="0" w:line="169"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Adopt the short-term lease exception for leases with terms of twelve months or less and account for them as if they were operating leases under ASC 840; and</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Apply the practical expedient of combining lease and non-lease components.</w:t>
      </w:r>
    </w:p>
    <w:p>
      <w:pPr>
        <w:spacing w:after="0" w:line="179" w:lineRule="exact"/>
        <w:rPr>
          <w:sz w:val="20"/>
          <w:szCs w:val="20"/>
          <w:color w:val="auto"/>
        </w:rPr>
      </w:pPr>
    </w:p>
    <w:p>
      <w:pPr>
        <w:ind w:right="460"/>
        <w:spacing w:after="0" w:line="266" w:lineRule="auto"/>
        <w:rPr>
          <w:sz w:val="20"/>
          <w:szCs w:val="20"/>
          <w:color w:val="auto"/>
        </w:rPr>
      </w:pPr>
      <w:r>
        <w:rPr>
          <w:rFonts w:ascii="Arial" w:cs="Arial" w:eastAsia="Arial" w:hAnsi="Arial"/>
          <w:sz w:val="13"/>
          <w:szCs w:val="13"/>
          <w:color w:val="auto"/>
        </w:rPr>
        <w:t>Our lease terms may include options to extend or terminate the lease when it is reasonably certain that we will exercise that option. We do not include any renewal options in the lease terms for calculating lease liability, as the renewal options allow us to</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auto"/>
        </w:rPr>
        <w:t>maintain operational flexibility and we are not reasonably certain that we will exercise these renewal options at the time of lease commencement.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Lease expense for operating lease payments is recognized on a straight-line basis over the lease term.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Components of lease expense are as follows, all recorded within operating expenses in the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Finance lease cost (1)</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Operating lease cost</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1,947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1,796</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Short-term lease cost (2)</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Variable lease cost (3)</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43</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Sublease income</w:t>
            </w: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Total net lease expense</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1,860</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2,043</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20" w:right="560" w:hanging="260"/>
        <w:spacing w:after="0" w:line="261" w:lineRule="auto"/>
        <w:tabs>
          <w:tab w:leader="none" w:pos="51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Primarily consists of amortization of finance lease right-of-use assets and an immaterial amount of interest on finance lease liabilities recorded in operating expenses and interest expense in the condensed consolidated statements of operations.</w:t>
      </w:r>
    </w:p>
    <w:p>
      <w:pPr>
        <w:ind w:left="500" w:hanging="240"/>
        <w:spacing w:after="0"/>
        <w:tabs>
          <w:tab w:leader="none" w:pos="50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related to leases, which at the commencement date, have a lease term of 12 months or less.</w:t>
      </w:r>
    </w:p>
    <w:p>
      <w:pPr>
        <w:spacing w:after="0" w:line="11" w:lineRule="exact"/>
        <w:rPr>
          <w:rFonts w:ascii="Arial" w:cs="Arial" w:eastAsia="Arial" w:hAnsi="Arial"/>
          <w:sz w:val="11"/>
          <w:szCs w:val="11"/>
          <w:i w:val="1"/>
          <w:iCs w:val="1"/>
          <w:color w:val="auto"/>
        </w:rPr>
      </w:pPr>
    </w:p>
    <w:p>
      <w:pPr>
        <w:ind w:left="500" w:hanging="240"/>
        <w:spacing w:after="0"/>
        <w:tabs>
          <w:tab w:leader="none" w:pos="50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made by the Company for the right to use an underlying asset that vary because of changes in facts or circumstances occurring after the commencement date, other than the passage of time.</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On May 12, 2020, the Company entered into a lease agreement with Wilson Tech 5, LLC, for a proposed site in Lindon, Utah, beginning in 2022. The Company will not have access to the leased premises until construction is complete, the “commencement date,” and is not deemed to be the owner during the construction period. This lease agreement expires ten years after the commencement date. The Company did not make any lease payments during the three months ended March 31, 2022 and 2021 under this lease. The initial base annual rent will be approximately $4.6 million beginning in mid-2022. On February 15, 2022, the Company entered into a lease agreement for a site in Slovakia related to our Slovakian operations. The lease is expected to commence on October 1, 2022 with a lease term through March 31, 2030.</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2022, future minimum lease payments for finance and operating leases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Finance Leases</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2022</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5,666</w:t>
            </w: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2023</w:t>
            </w:r>
          </w:p>
        </w:tc>
        <w:tc>
          <w:tcPr>
            <w:tcW w:w="24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7,584</w:t>
            </w: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2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6,406</w:t>
            </w: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2025</w:t>
            </w:r>
          </w:p>
        </w:tc>
        <w:tc>
          <w:tcPr>
            <w:tcW w:w="24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5,039</w:t>
            </w: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2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1,929</w:t>
            </w: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Thereafter</w:t>
            </w:r>
          </w:p>
        </w:tc>
        <w:tc>
          <w:tcPr>
            <w:tcW w:w="24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178"/>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lease payments</w:t>
            </w: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27,483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Less: Imputed interest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right"/>
              <w:ind w:right="140"/>
              <w:spacing w:after="0" w:line="119"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20" w:type="dxa"/>
            <w:vAlign w:val="bottom"/>
          </w:tcPr>
          <w:p>
            <w:pPr>
              <w:jc w:val="right"/>
              <w:spacing w:after="0" w:line="119" w:lineRule="exact"/>
              <w:rPr>
                <w:sz w:val="20"/>
                <w:szCs w:val="20"/>
                <w:color w:val="auto"/>
              </w:rPr>
            </w:pPr>
            <w:r>
              <w:rPr>
                <w:rFonts w:ascii="Arial" w:cs="Arial" w:eastAsia="Arial" w:hAnsi="Arial"/>
                <w:sz w:val="11"/>
                <w:szCs w:val="11"/>
                <w:color w:val="auto"/>
              </w:rPr>
              <w:t>(3,049)</w:t>
            </w:r>
          </w:p>
        </w:tc>
        <w:tc>
          <w:tcPr>
            <w:tcW w:w="0" w:type="dxa"/>
            <w:vAlign w:val="bottom"/>
          </w:tcPr>
          <w:p>
            <w:pPr>
              <w:spacing w:after="0"/>
              <w:rPr>
                <w:sz w:val="1"/>
                <w:szCs w:val="1"/>
                <w:color w:val="auto"/>
              </w:rPr>
            </w:pPr>
          </w:p>
        </w:tc>
      </w:tr>
      <w:tr>
        <w:trPr>
          <w:trHeight w:val="178"/>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Present value of lease liabilities</w:t>
            </w: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24,434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Supplemental cash flow information related to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1"/>
                <w:szCs w:val="11"/>
                <w:b w:val="1"/>
                <w:bCs w:val="1"/>
                <w:color w:val="auto"/>
              </w:rPr>
              <w:t>Three months ended Mar. 31,</w:t>
            </w: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Cash paid for amounts included in the measurement of lease liabilities: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80"/>
              <w:spacing w:after="0"/>
              <w:rPr>
                <w:sz w:val="20"/>
                <w:szCs w:val="20"/>
                <w:color w:val="auto"/>
              </w:rPr>
            </w:pPr>
            <w:r>
              <w:rPr>
                <w:rFonts w:ascii="Arial" w:cs="Arial" w:eastAsia="Arial" w:hAnsi="Arial"/>
                <w:sz w:val="11"/>
                <w:szCs w:val="11"/>
                <w:color w:val="auto"/>
              </w:rPr>
              <w:t>Operating cash flows from operating leases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23"/>
              <w:spacing w:after="0"/>
              <w:rPr>
                <w:sz w:val="20"/>
                <w:szCs w:val="20"/>
                <w:color w:val="auto"/>
              </w:rPr>
            </w:pPr>
            <w:r>
              <w:rPr>
                <w:rFonts w:ascii="Arial" w:cs="Arial" w:eastAsia="Arial" w:hAnsi="Arial"/>
                <w:sz w:val="11"/>
                <w:szCs w:val="11"/>
                <w:color w:val="auto"/>
              </w:rPr>
              <w:t>1,832</w:t>
            </w:r>
          </w:p>
        </w:tc>
        <w:tc>
          <w:tcPr>
            <w:tcW w:w="4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1,618</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cash flows from finance leases</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86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3"/>
        </w:trPr>
        <w:tc>
          <w:tcPr>
            <w:tcW w:w="4860" w:type="dxa"/>
            <w:vAlign w:val="bottom"/>
          </w:tcPr>
          <w:p>
            <w:pPr>
              <w:ind w:left="180"/>
              <w:spacing w:after="0"/>
              <w:rPr>
                <w:sz w:val="20"/>
                <w:szCs w:val="20"/>
                <w:color w:val="auto"/>
              </w:rPr>
            </w:pPr>
            <w:r>
              <w:rPr>
                <w:rFonts w:ascii="Arial" w:cs="Arial" w:eastAsia="Arial" w:hAnsi="Arial"/>
                <w:sz w:val="11"/>
                <w:szCs w:val="11"/>
                <w:color w:val="auto"/>
              </w:rPr>
              <w:t>Financing cash flows from finance leases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23"/>
              <w:spacing w:after="0"/>
              <w:rPr>
                <w:sz w:val="20"/>
                <w:szCs w:val="20"/>
                <w:color w:val="auto"/>
              </w:rPr>
            </w:pPr>
            <w:r>
              <w:rPr>
                <w:rFonts w:ascii="Arial" w:cs="Arial" w:eastAsia="Arial" w:hAnsi="Arial"/>
                <w:sz w:val="11"/>
                <w:szCs w:val="11"/>
                <w:color w:val="auto"/>
              </w:rPr>
              <w:t>62</w:t>
            </w:r>
          </w:p>
        </w:tc>
        <w:tc>
          <w:tcPr>
            <w:tcW w:w="4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407"/>
        </w:trPr>
        <w:tc>
          <w:tcPr>
            <w:tcW w:w="4860" w:type="dxa"/>
            <w:vAlign w:val="bottom"/>
          </w:tcPr>
          <w:p>
            <w:pPr>
              <w:spacing w:after="0"/>
              <w:rPr>
                <w:sz w:val="20"/>
                <w:szCs w:val="20"/>
                <w:color w:val="auto"/>
              </w:rPr>
            </w:pPr>
            <w:r>
              <w:rPr>
                <w:rFonts w:ascii="Arial" w:cs="Arial" w:eastAsia="Arial" w:hAnsi="Arial"/>
                <w:sz w:val="13"/>
                <w:szCs w:val="13"/>
                <w:color w:val="auto"/>
              </w:rPr>
              <w:t>The weighted average remaining lease term and discount rate are as follows: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ind w:left="340"/>
              <w:spacing w:after="0"/>
              <w:rPr>
                <w:sz w:val="20"/>
                <w:szCs w:val="20"/>
                <w:color w:val="auto"/>
              </w:rPr>
            </w:pPr>
            <w:r>
              <w:rPr>
                <w:rFonts w:ascii="Arial" w:cs="Arial" w:eastAsia="Arial" w:hAnsi="Arial"/>
                <w:sz w:val="11"/>
                <w:szCs w:val="11"/>
                <w:color w:val="auto"/>
              </w:rPr>
              <w:t>2022 Form 10-Q</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1460" w:type="dxa"/>
            <w:vAlign w:val="bottom"/>
            <w:tcBorders>
              <w:left w:val="single" w:sz="8" w:color="auto"/>
            </w:tcBorders>
          </w:tcPr>
          <w:p>
            <w:pPr>
              <w:jc w:val="right"/>
              <w:ind w:right="1203"/>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4"/>
        </w:trPr>
        <w:tc>
          <w:tcPr>
            <w:tcW w:w="7760" w:type="dxa"/>
            <w:vAlign w:val="bottom"/>
          </w:tcPr>
          <w:p>
            <w:pPr>
              <w:spacing w:after="0"/>
              <w:rPr>
                <w:sz w:val="13"/>
                <w:szCs w:val="13"/>
                <w:color w:val="auto"/>
              </w:rPr>
            </w:pPr>
          </w:p>
        </w:tc>
        <w:tc>
          <w:tcPr>
            <w:tcW w:w="3520" w:type="dxa"/>
            <w:vAlign w:val="bottom"/>
            <w:tcBorders>
              <w:bottom w:val="single" w:sz="8" w:color="auto"/>
            </w:tcBorders>
            <w:gridSpan w:val="2"/>
          </w:tcPr>
          <w:p>
            <w:pPr>
              <w:jc w:val="right"/>
              <w:ind w:right="92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120" w:type="dxa"/>
            <w:vAlign w:val="bottom"/>
            <w:tcBorders>
              <w:bottom w:val="single" w:sz="8" w:color="auto"/>
            </w:tcBorders>
          </w:tcPr>
          <w:p>
            <w:pPr>
              <w:jc w:val="right"/>
              <w:ind w:right="1083"/>
              <w:spacing w:after="0"/>
              <w:rPr>
                <w:sz w:val="20"/>
                <w:szCs w:val="20"/>
                <w:color w:val="auto"/>
              </w:rPr>
            </w:pPr>
            <w:r>
              <w:rPr>
                <w:rFonts w:ascii="Arial" w:cs="Arial" w:eastAsia="Arial" w:hAnsi="Arial"/>
                <w:sz w:val="11"/>
                <w:szCs w:val="11"/>
                <w:b w:val="1"/>
                <w:bCs w:val="1"/>
                <w:color w:val="auto"/>
              </w:rPr>
              <w:t>2022</w:t>
            </w: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2021</w:t>
            </w:r>
          </w:p>
        </w:tc>
      </w:tr>
      <w:tr>
        <w:trPr>
          <w:trHeight w:val="139"/>
        </w:trPr>
        <w:tc>
          <w:tcPr>
            <w:tcW w:w="7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Weighted average remaining lease term (in years):</w:t>
            </w:r>
          </w:p>
        </w:tc>
        <w:tc>
          <w:tcPr>
            <w:tcW w:w="2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56"/>
        </w:trPr>
        <w:tc>
          <w:tcPr>
            <w:tcW w:w="7760" w:type="dxa"/>
            <w:vAlign w:val="bottom"/>
          </w:tcPr>
          <w:p>
            <w:pPr>
              <w:ind w:left="180"/>
              <w:spacing w:after="0"/>
              <w:rPr>
                <w:sz w:val="20"/>
                <w:szCs w:val="20"/>
                <w:color w:val="auto"/>
              </w:rPr>
            </w:pPr>
            <w:r>
              <w:rPr>
                <w:rFonts w:ascii="Arial" w:cs="Arial" w:eastAsia="Arial" w:hAnsi="Arial"/>
                <w:sz w:val="11"/>
                <w:szCs w:val="11"/>
                <w:color w:val="auto"/>
              </w:rPr>
              <w:t>Operating leases</w:t>
            </w:r>
          </w:p>
        </w:tc>
        <w:tc>
          <w:tcPr>
            <w:tcW w:w="2120" w:type="dxa"/>
            <w:vAlign w:val="bottom"/>
          </w:tcPr>
          <w:p>
            <w:pPr>
              <w:jc w:val="right"/>
              <w:ind w:right="363"/>
              <w:spacing w:after="0"/>
              <w:rPr>
                <w:sz w:val="20"/>
                <w:szCs w:val="20"/>
                <w:color w:val="auto"/>
              </w:rPr>
            </w:pPr>
            <w:r>
              <w:rPr>
                <w:rFonts w:ascii="Arial" w:cs="Arial" w:eastAsia="Arial" w:hAnsi="Arial"/>
                <w:sz w:val="11"/>
                <w:szCs w:val="11"/>
                <w:color w:val="auto"/>
              </w:rPr>
              <w:t>3.9 years</w:t>
            </w:r>
          </w:p>
        </w:tc>
        <w:tc>
          <w:tcPr>
            <w:tcW w:w="1400" w:type="dxa"/>
            <w:vAlign w:val="bottom"/>
          </w:tcPr>
          <w:p>
            <w:pPr>
              <w:jc w:val="right"/>
              <w:spacing w:after="0"/>
              <w:rPr>
                <w:sz w:val="20"/>
                <w:szCs w:val="20"/>
                <w:color w:val="auto"/>
              </w:rPr>
            </w:pPr>
            <w:r>
              <w:rPr>
                <w:rFonts w:ascii="Arial" w:cs="Arial" w:eastAsia="Arial" w:hAnsi="Arial"/>
                <w:sz w:val="11"/>
                <w:szCs w:val="11"/>
                <w:color w:val="auto"/>
              </w:rPr>
              <w:t>4.9 years</w:t>
            </w:r>
          </w:p>
        </w:tc>
      </w:tr>
      <w:tr>
        <w:trPr>
          <w:trHeight w:val="162"/>
        </w:trPr>
        <w:tc>
          <w:tcPr>
            <w:tcW w:w="7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Finance leases</w:t>
            </w:r>
          </w:p>
        </w:tc>
        <w:tc>
          <w:tcPr>
            <w:tcW w:w="212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rPr>
              <w:t>0.2 years</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 years</w:t>
            </w:r>
          </w:p>
        </w:tc>
      </w:tr>
      <w:tr>
        <w:trPr>
          <w:trHeight w:val="156"/>
        </w:trPr>
        <w:tc>
          <w:tcPr>
            <w:tcW w:w="7760" w:type="dxa"/>
            <w:vAlign w:val="bottom"/>
          </w:tcPr>
          <w:p>
            <w:pPr>
              <w:ind w:left="20"/>
              <w:spacing w:after="0"/>
              <w:rPr>
                <w:sz w:val="20"/>
                <w:szCs w:val="20"/>
                <w:color w:val="auto"/>
              </w:rPr>
            </w:pPr>
            <w:r>
              <w:rPr>
                <w:rFonts w:ascii="Arial" w:cs="Arial" w:eastAsia="Arial" w:hAnsi="Arial"/>
                <w:sz w:val="11"/>
                <w:szCs w:val="11"/>
                <w:i w:val="1"/>
                <w:iCs w:val="1"/>
                <w:color w:val="auto"/>
              </w:rPr>
              <w:t>Weighted average discount rate:</w:t>
            </w:r>
          </w:p>
        </w:tc>
        <w:tc>
          <w:tcPr>
            <w:tcW w:w="21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2"/>
        </w:trPr>
        <w:tc>
          <w:tcPr>
            <w:tcW w:w="7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leases</w:t>
            </w:r>
          </w:p>
        </w:tc>
        <w:tc>
          <w:tcPr>
            <w:tcW w:w="212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rPr>
              <w:t>6.2 %</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6.1 %</w:t>
            </w:r>
          </w:p>
        </w:tc>
      </w:tr>
      <w:tr>
        <w:trPr>
          <w:trHeight w:val="153"/>
        </w:trPr>
        <w:tc>
          <w:tcPr>
            <w:tcW w:w="7760" w:type="dxa"/>
            <w:vAlign w:val="bottom"/>
          </w:tcPr>
          <w:p>
            <w:pPr>
              <w:ind w:left="180"/>
              <w:spacing w:after="0"/>
              <w:rPr>
                <w:sz w:val="20"/>
                <w:szCs w:val="20"/>
                <w:color w:val="auto"/>
              </w:rPr>
            </w:pPr>
            <w:r>
              <w:rPr>
                <w:rFonts w:ascii="Arial" w:cs="Arial" w:eastAsia="Arial" w:hAnsi="Arial"/>
                <w:sz w:val="11"/>
                <w:szCs w:val="11"/>
                <w:color w:val="auto"/>
              </w:rPr>
              <w:t>Finance leases</w:t>
            </w:r>
          </w:p>
        </w:tc>
        <w:tc>
          <w:tcPr>
            <w:tcW w:w="2120" w:type="dxa"/>
            <w:vAlign w:val="bottom"/>
          </w:tcPr>
          <w:p>
            <w:pPr>
              <w:jc w:val="right"/>
              <w:ind w:right="363"/>
              <w:spacing w:after="0"/>
              <w:rPr>
                <w:sz w:val="20"/>
                <w:szCs w:val="20"/>
                <w:color w:val="auto"/>
              </w:rPr>
            </w:pPr>
            <w:r>
              <w:rPr>
                <w:rFonts w:ascii="Arial" w:cs="Arial" w:eastAsia="Arial" w:hAnsi="Arial"/>
                <w:sz w:val="11"/>
                <w:szCs w:val="11"/>
                <w:color w:val="auto"/>
              </w:rPr>
              <w:t>6.5 %</w:t>
            </w:r>
          </w:p>
        </w:tc>
        <w:tc>
          <w:tcPr>
            <w:tcW w:w="1400" w:type="dxa"/>
            <w:vAlign w:val="bottom"/>
          </w:tcPr>
          <w:p>
            <w:pPr>
              <w:jc w:val="right"/>
              <w:spacing w:after="0"/>
              <w:rPr>
                <w:sz w:val="20"/>
                <w:szCs w:val="20"/>
                <w:color w:val="auto"/>
              </w:rPr>
            </w:pPr>
            <w:r>
              <w:rPr>
                <w:rFonts w:ascii="Arial" w:cs="Arial" w:eastAsia="Arial" w:hAnsi="Arial"/>
                <w:sz w:val="11"/>
                <w:szCs w:val="11"/>
                <w:color w:val="auto"/>
              </w:rPr>
              <w:t>6.5 %</w:t>
            </w:r>
          </w:p>
        </w:tc>
      </w:tr>
    </w:tbl>
    <w:p>
      <w:pPr>
        <w:spacing w:after="0" w:line="240" w:lineRule="exact"/>
        <w:rPr>
          <w:sz w:val="20"/>
          <w:szCs w:val="20"/>
          <w:color w:val="auto"/>
        </w:rPr>
      </w:pPr>
    </w:p>
    <w:p>
      <w:pPr>
        <w:ind w:right="8700" w:firstLine="5"/>
        <w:spacing w:after="0" w:line="510" w:lineRule="auto"/>
        <w:tabs>
          <w:tab w:leader="none" w:pos="205" w:val="left"/>
        </w:tabs>
        <w:numPr>
          <w:ilvl w:val="0"/>
          <w:numId w:val="11"/>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COMMITMENTS AND CONTINGENCIES </w:t>
      </w:r>
      <w:r>
        <w:rPr>
          <w:rFonts w:ascii="Arial" w:cs="Arial" w:eastAsia="Arial" w:hAnsi="Arial"/>
          <w:sz w:val="13"/>
          <w:szCs w:val="13"/>
          <w:b w:val="1"/>
          <w:bCs w:val="1"/>
          <w:color w:val="000000"/>
        </w:rPr>
        <w:t>Legal Proceedings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violations of the Securities Act of 1933. On December 10, 2020, the court in the earliest filed action consolidated the three complaints, appointed lead plaintiffs and lead counsel for the consolidated action, and captioned the consolidated action “In re GoHealth, Inc. Securities Litigation”. Lead plaintiffs filed a consolidated complaint on February 25, 2021. The Company and officer and director defendants filed a responsive pleading on April 26, 2021 to dismiss the complaint. On April 5, 2022, that motion was denied. GoHealth’s current deadline to file an answer to the complaint is May 17, 2022. The parties have agreed to extend the answer deadline to May 31, 2022, which will be presented to the Court for approval.</w:t>
      </w:r>
    </w:p>
    <w:p>
      <w:pPr>
        <w:spacing w:after="0" w:line="169"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On May 19, 2021, a derivative action against certain of the Company’s officers and directors was filed, alleging substantially the same allegations as the In re GoHealth, Inc. Securities Litigation. The case was previously stayed while the motion to dismiss in the In re GoHealth, Inc. Securities Litigation was pending. The stay has now been lifted. The parties have until June 1, 2022 to file a joint status report.</w:t>
      </w:r>
    </w:p>
    <w:p>
      <w:pPr>
        <w:spacing w:after="0" w:line="159"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Company disputes each claim in the above referenced matters and intends to defend the pending actions noted above. It is too early for GoHealth to provide any reliable assessment of the likely quantum of any damages that may become payable if its defense is unsuccessful in whole or in part. While GoHealth feels confident in its defense of these pending matters, there can be no assurance that it will prevail and that any damages that may be awarded will not be material to the results of operations or financial condition of GoHealth.</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12. RELATED PARTY TRANSACTIONS</w:t>
      </w:r>
    </w:p>
    <w:p>
      <w:pPr>
        <w:spacing w:after="0" w:line="179"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The Company is party to various lease agreements with 214 W Huron LLC, 220 W Huron Street Holdings LLC, and 215 W Superior LLC, each of which are controlled by significant shareholders of the Company, to lease its corporate offices in Chicago, Illinois. The Company pays rent, operating expenses, maintenance, and utilities under the terms of the leases. For both the three months ended March 31, 2022 and 2021, the Company made aggregate lease payments of $0.3 million under these leases.</w:t>
      </w:r>
    </w:p>
    <w:p>
      <w:pPr>
        <w:spacing w:after="0" w:line="138"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months ended March 31, 2022 and 2021, the Company recorded expense of $0.4 million and $0.1 million, respectively, under this lease.</w:t>
      </w:r>
    </w:p>
    <w:p>
      <w:pPr>
        <w:spacing w:after="0" w:line="155"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As discussed in Footnote 10 “Leases”, on May 12, 2020, the Company entered into a lease agreement with Wilson Tech 5, LLC, which is controlled by significant shareholders of the Company, for a proposed site in Lindon, Utah, beginning in 2022. This lease has not commenced as of March 31, 2022.</w:t>
      </w:r>
    </w:p>
    <w:p>
      <w:pPr>
        <w:spacing w:after="0" w:line="13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During the twelve months ended December 31, 2020, the Company provided a short-term advancement to NVX Holdings, Inc., which is controlled by significant shareholders of the Company, for which the Company recorded a receivable of $3.4 million. The advancement was collected by the Company during the three months ended March 31, 2021.</w:t>
      </w:r>
    </w:p>
    <w:p>
      <w:pPr>
        <w:spacing w:after="0" w:line="125" w:lineRule="exact"/>
        <w:rPr>
          <w:sz w:val="20"/>
          <w:szCs w:val="20"/>
          <w:color w:val="auto"/>
        </w:rPr>
      </w:pPr>
    </w:p>
    <w:p>
      <w:pPr>
        <w:ind w:right="7560" w:firstLine="5"/>
        <w:spacing w:after="0" w:line="519" w:lineRule="auto"/>
        <w:tabs>
          <w:tab w:leader="none" w:pos="212" w:val="left"/>
        </w:tabs>
        <w:numPr>
          <w:ilvl w:val="0"/>
          <w:numId w:val="12"/>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OPERATING SEGMENTS AND SIGNIFICANT CUSTOMERS </w:t>
      </w:r>
      <w:r>
        <w:rPr>
          <w:rFonts w:ascii="Arial" w:cs="Arial" w:eastAsia="Arial" w:hAnsi="Arial"/>
          <w:sz w:val="13"/>
          <w:szCs w:val="13"/>
          <w:b w:val="1"/>
          <w:bCs w:val="1"/>
          <w:color w:val="000000"/>
        </w:rPr>
        <w:t>Operating Segments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3"/>
          <w:szCs w:val="13"/>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3"/>
          <w:szCs w:val="13"/>
          <w:i w:val="1"/>
          <w:iCs w:val="1"/>
          <w:color w:val="auto"/>
        </w:rPr>
        <w:t>Segment</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w:t>
      </w:r>
      <w:r>
        <w:rPr>
          <w:rFonts w:ascii="Arial" w:cs="Arial" w:eastAsia="Arial" w:hAnsi="Arial"/>
          <w:sz w:val="13"/>
          <w:szCs w:val="13"/>
          <w:color w:val="auto"/>
        </w:rPr>
        <w:t>, the Company’s business structure is comprised of four operating and reportable segments: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3" w:name="page24"/>
    <w:bookmarkEnd w:id="23"/>
    <w:p>
      <w:pPr>
        <w:ind w:right="380"/>
        <w:spacing w:after="0" w:line="266" w:lineRule="auto"/>
        <w:rPr>
          <w:sz w:val="20"/>
          <w:szCs w:val="20"/>
          <w:color w:val="auto"/>
        </w:rPr>
      </w:pPr>
      <w:r>
        <w:rPr>
          <w:rFonts w:ascii="Arial" w:cs="Arial" w:eastAsia="Arial" w:hAnsi="Arial"/>
          <w:sz w:val="13"/>
          <w:szCs w:val="13"/>
          <w:b w:val="1"/>
          <w:bCs w:val="1"/>
          <w:color w:val="auto"/>
        </w:rPr>
        <w:t xml:space="preserve">Medicare Internal and External: </w:t>
      </w:r>
      <w:r>
        <w:rPr>
          <w:rFonts w:ascii="Arial" w:cs="Arial" w:eastAsia="Arial" w:hAnsi="Arial"/>
          <w:sz w:val="13"/>
          <w:szCs w:val="13"/>
          <w:color w:val="auto"/>
        </w:rPr>
        <w:t>The Medicare internal and external segments consist primarily of revenues earned from sales of Medicare Advantage, Medicare Supplement, Prescription Drug</w:t>
      </w:r>
      <w:r>
        <w:rPr>
          <w:rFonts w:ascii="Arial" w:cs="Arial" w:eastAsia="Arial" w:hAnsi="Arial"/>
          <w:sz w:val="13"/>
          <w:szCs w:val="13"/>
          <w:b w:val="1"/>
          <w:bCs w:val="1"/>
          <w:color w:val="auto"/>
        </w:rPr>
        <w:t xml:space="preserve"> </w:t>
      </w:r>
      <w:r>
        <w:rPr>
          <w:rFonts w:ascii="Arial" w:cs="Arial" w:eastAsia="Arial" w:hAnsi="Arial"/>
          <w:sz w:val="13"/>
          <w:szCs w:val="13"/>
          <w:color w:val="auto"/>
        </w:rPr>
        <w:t>Plans, and Medicare Special Needs Plans (or “SNPs”), for multiple carriers.</w:t>
      </w:r>
    </w:p>
    <w:p>
      <w:pPr>
        <w:spacing w:after="0" w:line="146"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b w:val="1"/>
          <w:bCs w:val="1"/>
          <w:color w:val="auto"/>
        </w:rPr>
        <w:t xml:space="preserve">Individual and Family Plan and Other (“IFP and Other”) Internal and External: </w:t>
      </w:r>
      <w:r>
        <w:rPr>
          <w:rFonts w:ascii="Arial" w:cs="Arial" w:eastAsia="Arial" w:hAnsi="Arial"/>
          <w:sz w:val="13"/>
          <w:szCs w:val="13"/>
          <w:color w:val="auto"/>
        </w:rPr>
        <w:t>The IFP and Other internal and external segments consist primarily of revenues earned from sales of individual and</w:t>
      </w:r>
      <w:r>
        <w:rPr>
          <w:rFonts w:ascii="Arial" w:cs="Arial" w:eastAsia="Arial" w:hAnsi="Arial"/>
          <w:sz w:val="13"/>
          <w:szCs w:val="13"/>
          <w:b w:val="1"/>
          <w:bCs w:val="1"/>
          <w:color w:val="auto"/>
        </w:rPr>
        <w:t xml:space="preserve"> </w:t>
      </w:r>
      <w:r>
        <w:rPr>
          <w:rFonts w:ascii="Arial" w:cs="Arial" w:eastAsia="Arial" w:hAnsi="Arial"/>
          <w:sz w:val="13"/>
          <w:szCs w:val="13"/>
          <w:color w:val="auto"/>
        </w:rPr>
        <w:t>family plans, dental plans, vision plans and other ancillary plans to individuals that are not Medicare-eligible.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Internal and External segments relative to both Medicare and IFP are defined as follows: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b w:val="1"/>
          <w:bCs w:val="1"/>
          <w:color w:val="auto"/>
        </w:rPr>
        <w:t xml:space="preserve">Internal: </w:t>
      </w:r>
      <w:r>
        <w:rPr>
          <w:rFonts w:ascii="Arial" w:cs="Arial" w:eastAsia="Arial" w:hAnsi="Arial"/>
          <w:sz w:val="13"/>
          <w:szCs w:val="13"/>
          <w:color w:val="auto"/>
        </w:rPr>
        <w:t>The two internal segments primarily consist of sales of products and plans by Company-employed agents offering qualified prospects plans from multiple carriers, Company-employed agents</w:t>
      </w:r>
      <w:r>
        <w:rPr>
          <w:rFonts w:ascii="Arial" w:cs="Arial" w:eastAsia="Arial" w:hAnsi="Arial"/>
          <w:sz w:val="13"/>
          <w:szCs w:val="13"/>
          <w:b w:val="1"/>
          <w:bCs w:val="1"/>
          <w:color w:val="auto"/>
        </w:rPr>
        <w:t xml:space="preserve"> </w:t>
      </w:r>
      <w:r>
        <w:rPr>
          <w:rFonts w:ascii="Arial" w:cs="Arial" w:eastAsia="Arial" w:hAnsi="Arial"/>
          <w:sz w:val="13"/>
          <w:szCs w:val="13"/>
          <w:color w:val="auto"/>
        </w:rPr>
        <w:t>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155"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b w:val="1"/>
          <w:bCs w:val="1"/>
          <w:color w:val="auto"/>
        </w:rPr>
        <w:t xml:space="preserve">External: </w:t>
      </w:r>
      <w:r>
        <w:rPr>
          <w:rFonts w:ascii="Arial" w:cs="Arial" w:eastAsia="Arial" w:hAnsi="Arial"/>
          <w:sz w:val="13"/>
          <w:szCs w:val="13"/>
          <w:color w:val="auto"/>
        </w:rPr>
        <w:t>The two external segments represent sales of products and plans under the Company’s carrier contracts using an independent, national network of agents who are not employed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summary results of the Company’s operating segments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39"/>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870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8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157,353</w:t>
            </w:r>
          </w:p>
        </w:tc>
      </w:tr>
      <w:tr>
        <w:trPr>
          <w:trHeight w:val="156"/>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61,486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39,500</w:t>
            </w:r>
          </w:p>
        </w:tc>
      </w:tr>
      <w:tr>
        <w:trPr>
          <w:trHeight w:val="153"/>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265,331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196,853</w:t>
            </w:r>
          </w:p>
        </w:tc>
      </w:tr>
      <w:tr>
        <w:trPr>
          <w:trHeight w:val="136"/>
        </w:trPr>
        <w:tc>
          <w:tcPr>
            <w:tcW w:w="8700" w:type="dxa"/>
            <w:vAlign w:val="bottom"/>
          </w:tcPr>
          <w:p>
            <w:pPr>
              <w:ind w:left="180"/>
              <w:spacing w:after="0"/>
              <w:rPr>
                <w:sz w:val="20"/>
                <w:szCs w:val="20"/>
                <w:color w:val="auto"/>
              </w:rPr>
            </w:pPr>
            <w:r>
              <w:rPr>
                <w:rFonts w:ascii="Arial" w:cs="Arial" w:eastAsia="Arial" w:hAnsi="Arial"/>
                <w:sz w:val="11"/>
                <w:szCs w:val="11"/>
                <w:i w:val="1"/>
                <w:iCs w:val="1"/>
                <w:color w:val="auto"/>
              </w:rPr>
              <w:t>IFP and 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2"/>
        </w:trPr>
        <w:tc>
          <w:tcPr>
            <w:tcW w:w="8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3,975</w:t>
            </w:r>
          </w:p>
        </w:tc>
      </w:tr>
      <w:tr>
        <w:trPr>
          <w:trHeight w:val="156"/>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3,351</w:t>
            </w:r>
          </w:p>
        </w:tc>
      </w:tr>
      <w:tr>
        <w:trPr>
          <w:trHeight w:val="153"/>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IFP and Other</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5,262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7,326</w:t>
            </w:r>
          </w:p>
        </w:tc>
      </w:tr>
      <w:tr>
        <w:trPr>
          <w:trHeight w:val="14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270,593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204,179</w:t>
            </w:r>
          </w:p>
        </w:tc>
      </w:tr>
      <w:tr>
        <w:trPr>
          <w:trHeight w:val="142"/>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Segment profit (loss):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870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8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46,443</w:t>
            </w:r>
          </w:p>
        </w:tc>
      </w:tr>
      <w:tr>
        <w:trPr>
          <w:trHeight w:val="156"/>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(7,793)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(631)</w:t>
            </w:r>
          </w:p>
        </w:tc>
      </w:tr>
      <w:tr>
        <w:trPr>
          <w:trHeight w:val="153"/>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27,046</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45,812</w:t>
            </w:r>
          </w:p>
        </w:tc>
      </w:tr>
      <w:tr>
        <w:trPr>
          <w:trHeight w:val="136"/>
        </w:trPr>
        <w:tc>
          <w:tcPr>
            <w:tcW w:w="8700" w:type="dxa"/>
            <w:vAlign w:val="bottom"/>
          </w:tcPr>
          <w:p>
            <w:pPr>
              <w:ind w:left="180"/>
              <w:spacing w:after="0"/>
              <w:rPr>
                <w:sz w:val="20"/>
                <w:szCs w:val="20"/>
                <w:color w:val="auto"/>
              </w:rPr>
            </w:pPr>
            <w:r>
              <w:rPr>
                <w:rFonts w:ascii="Arial" w:cs="Arial" w:eastAsia="Arial" w:hAnsi="Arial"/>
                <w:sz w:val="11"/>
                <w:szCs w:val="11"/>
                <w:i w:val="1"/>
                <w:iCs w:val="1"/>
                <w:color w:val="auto"/>
              </w:rPr>
              <w:t>IFP and 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2"/>
        </w:trPr>
        <w:tc>
          <w:tcPr>
            <w:tcW w:w="8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(729)</w:t>
            </w:r>
          </w:p>
        </w:tc>
      </w:tr>
      <w:tr>
        <w:trPr>
          <w:trHeight w:val="156"/>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w:t>
            </w:r>
          </w:p>
        </w:tc>
      </w:tr>
      <w:tr>
        <w:trPr>
          <w:trHeight w:val="153"/>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IFP and Other</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(569)</w:t>
            </w:r>
          </w:p>
        </w:tc>
      </w:tr>
      <w:tr>
        <w:trPr>
          <w:trHeight w:val="14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Segment profit (loss)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27,378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45,243</w:t>
            </w:r>
          </w:p>
        </w:tc>
      </w:tr>
      <w:tr>
        <w:trPr>
          <w:trHeight w:val="153"/>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expense</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29,172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20,319</w:t>
            </w:r>
          </w:p>
        </w:tc>
      </w:tr>
      <w:tr>
        <w:trPr>
          <w:trHeight w:val="156"/>
        </w:trPr>
        <w:tc>
          <w:tcPr>
            <w:tcW w:w="8700" w:type="dxa"/>
            <w:vAlign w:val="bottom"/>
          </w:tcPr>
          <w:p>
            <w:pPr>
              <w:ind w:left="20"/>
              <w:spacing w:after="0"/>
              <w:rPr>
                <w:sz w:val="20"/>
                <w:szCs w:val="20"/>
                <w:color w:val="auto"/>
              </w:rPr>
            </w:pPr>
            <w:r>
              <w:rPr>
                <w:rFonts w:ascii="Arial" w:cs="Arial" w:eastAsia="Arial" w:hAnsi="Arial"/>
                <w:sz w:val="11"/>
                <w:szCs w:val="11"/>
                <w:color w:val="auto"/>
              </w:rPr>
              <w:t>Amortization of intangible assets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23,514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23,514</w:t>
            </w:r>
          </w:p>
        </w:tc>
      </w:tr>
      <w:tr>
        <w:trPr>
          <w:trHeight w:val="162"/>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8,688</w:t>
            </w:r>
          </w:p>
        </w:tc>
      </w:tr>
      <w:tr>
        <w:trPr>
          <w:trHeight w:val="156"/>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 expense, net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r>
      <w:tr>
        <w:trPr>
          <w:trHeight w:val="17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(36,769)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(7,291)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There are no internal revenue transactions between the Company’s operating segments. Substantially all revenue for the periods presented was generated from customers located in the United States.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The Company’s CODM does not separately evaluate assets by segment, and therefore assets by segment are not presented. The Company’s assets are primarily located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Customers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carriers representing 10% or more of the Company’s total revenue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4" w:name="page25"/>
    <w:bookmarkEnd w:id="24"/>
    <w:p>
      <w:pPr>
        <w:ind w:left="9140"/>
        <w:spacing w:after="0"/>
        <w:rPr>
          <w:sz w:val="20"/>
          <w:szCs w:val="20"/>
          <w:color w:val="auto"/>
        </w:rPr>
      </w:pPr>
      <w:r>
        <w:rPr>
          <w:rFonts w:ascii="Arial" w:cs="Arial" w:eastAsia="Arial" w:hAnsi="Arial"/>
          <w:sz w:val="11"/>
          <w:szCs w:val="11"/>
          <w:b w:val="1"/>
          <w:bCs w:val="1"/>
          <w:color w:val="auto"/>
        </w:rPr>
        <w:t>Three months ended Mar.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540" w:type="dxa"/>
            <w:vAlign w:val="bottom"/>
          </w:tcPr>
          <w:p>
            <w:pPr>
              <w:spacing w:after="0"/>
              <w:rPr>
                <w:sz w:val="13"/>
                <w:szCs w:val="13"/>
                <w:color w:val="auto"/>
              </w:rPr>
            </w:pPr>
          </w:p>
        </w:tc>
        <w:tc>
          <w:tcPr>
            <w:tcW w:w="9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2021</w:t>
            </w:r>
          </w:p>
        </w:tc>
      </w:tr>
      <w:tr>
        <w:trPr>
          <w:trHeight w:val="159"/>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Anthem</w:t>
            </w:r>
          </w:p>
        </w:tc>
        <w:tc>
          <w:tcPr>
            <w:tcW w:w="7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25 %</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30 %</w:t>
            </w:r>
          </w:p>
        </w:tc>
      </w:tr>
      <w:tr>
        <w:trPr>
          <w:trHeight w:val="156"/>
        </w:trPr>
        <w:tc>
          <w:tcPr>
            <w:tcW w:w="9460" w:type="dxa"/>
            <w:vAlign w:val="bottom"/>
            <w:gridSpan w:val="2"/>
          </w:tcPr>
          <w:p>
            <w:pPr>
              <w:ind w:left="20"/>
              <w:spacing w:after="0"/>
              <w:rPr>
                <w:sz w:val="20"/>
                <w:szCs w:val="20"/>
                <w:color w:val="auto"/>
              </w:rPr>
            </w:pPr>
            <w:r>
              <w:rPr>
                <w:rFonts w:ascii="Arial" w:cs="Arial" w:eastAsia="Arial" w:hAnsi="Arial"/>
                <w:sz w:val="11"/>
                <w:szCs w:val="11"/>
                <w:color w:val="auto"/>
              </w:rPr>
              <w:t>Humana</w:t>
            </w:r>
          </w:p>
        </w:tc>
        <w:tc>
          <w:tcPr>
            <w:tcW w:w="700" w:type="dxa"/>
            <w:vAlign w:val="bottom"/>
          </w:tcPr>
          <w:p>
            <w:pPr>
              <w:jc w:val="right"/>
              <w:ind w:right="263"/>
              <w:spacing w:after="0"/>
              <w:rPr>
                <w:sz w:val="20"/>
                <w:szCs w:val="20"/>
                <w:color w:val="auto"/>
              </w:rPr>
            </w:pPr>
            <w:r>
              <w:rPr>
                <w:rFonts w:ascii="Arial" w:cs="Arial" w:eastAsia="Arial" w:hAnsi="Arial"/>
                <w:sz w:val="11"/>
                <w:szCs w:val="11"/>
                <w:color w:val="auto"/>
              </w:rPr>
              <w:t>24 %</w:t>
            </w:r>
          </w:p>
        </w:tc>
        <w:tc>
          <w:tcPr>
            <w:tcW w:w="1120" w:type="dxa"/>
            <w:vAlign w:val="bottom"/>
          </w:tcPr>
          <w:p>
            <w:pPr>
              <w:jc w:val="right"/>
              <w:spacing w:after="0"/>
              <w:rPr>
                <w:sz w:val="20"/>
                <w:szCs w:val="20"/>
                <w:color w:val="auto"/>
              </w:rPr>
            </w:pPr>
            <w:r>
              <w:rPr>
                <w:rFonts w:ascii="Arial" w:cs="Arial" w:eastAsia="Arial" w:hAnsi="Arial"/>
                <w:sz w:val="11"/>
                <w:szCs w:val="11"/>
                <w:color w:val="auto"/>
              </w:rPr>
              <w:t>28 %</w:t>
            </w:r>
          </w:p>
        </w:tc>
      </w:tr>
      <w:tr>
        <w:trPr>
          <w:trHeight w:val="162"/>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United</w:t>
            </w:r>
          </w:p>
        </w:tc>
        <w:tc>
          <w:tcPr>
            <w:tcW w:w="7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18 %</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18 %</w:t>
            </w:r>
          </w:p>
        </w:tc>
      </w:tr>
      <w:tr>
        <w:trPr>
          <w:trHeight w:val="156"/>
        </w:trPr>
        <w:tc>
          <w:tcPr>
            <w:tcW w:w="9460" w:type="dxa"/>
            <w:vAlign w:val="bottom"/>
            <w:gridSpan w:val="2"/>
          </w:tcPr>
          <w:p>
            <w:pPr>
              <w:ind w:left="20"/>
              <w:spacing w:after="0"/>
              <w:rPr>
                <w:sz w:val="20"/>
                <w:szCs w:val="20"/>
                <w:color w:val="auto"/>
              </w:rPr>
            </w:pPr>
            <w:r>
              <w:rPr>
                <w:rFonts w:ascii="Arial" w:cs="Arial" w:eastAsia="Arial" w:hAnsi="Arial"/>
                <w:sz w:val="11"/>
                <w:szCs w:val="11"/>
                <w:color w:val="auto"/>
              </w:rPr>
              <w:t>Centene</w:t>
            </w:r>
          </w:p>
        </w:tc>
        <w:tc>
          <w:tcPr>
            <w:tcW w:w="700" w:type="dxa"/>
            <w:vAlign w:val="bottom"/>
          </w:tcPr>
          <w:p>
            <w:pPr>
              <w:jc w:val="right"/>
              <w:ind w:right="263"/>
              <w:spacing w:after="0"/>
              <w:rPr>
                <w:sz w:val="20"/>
                <w:szCs w:val="20"/>
                <w:color w:val="auto"/>
              </w:rPr>
            </w:pPr>
            <w:r>
              <w:rPr>
                <w:rFonts w:ascii="Arial" w:cs="Arial" w:eastAsia="Arial" w:hAnsi="Arial"/>
                <w:sz w:val="11"/>
                <w:szCs w:val="11"/>
                <w:color w:val="auto"/>
              </w:rPr>
              <w:t>15 %</w:t>
            </w:r>
          </w:p>
        </w:tc>
        <w:tc>
          <w:tcPr>
            <w:tcW w:w="1120" w:type="dxa"/>
            <w:vAlign w:val="bottom"/>
          </w:tcPr>
          <w:p>
            <w:pPr>
              <w:jc w:val="right"/>
              <w:spacing w:after="0"/>
              <w:rPr>
                <w:sz w:val="20"/>
                <w:szCs w:val="20"/>
                <w:color w:val="auto"/>
              </w:rPr>
            </w:pPr>
            <w:r>
              <w:rPr>
                <w:rFonts w:ascii="Arial" w:cs="Arial" w:eastAsia="Arial" w:hAnsi="Arial"/>
                <w:sz w:val="11"/>
                <w:szCs w:val="11"/>
                <w:color w:val="auto"/>
              </w:rPr>
              <w:t>16 %</w:t>
            </w:r>
          </w:p>
        </w:tc>
      </w:tr>
      <w:tr>
        <w:trPr>
          <w:trHeight w:val="162"/>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Aetna</w:t>
            </w:r>
          </w:p>
        </w:tc>
        <w:tc>
          <w:tcPr>
            <w:tcW w:w="7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10 %</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Substantially all of the revenue from these customers was from the sales of products and plans within the Medicare—Internal and Medicare—External segments.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69" w:lineRule="exact"/>
        <w:rPr>
          <w:sz w:val="20"/>
          <w:szCs w:val="20"/>
          <w:color w:val="auto"/>
        </w:rPr>
      </w:pPr>
    </w:p>
    <w:p>
      <w:pPr>
        <w:jc w:val="both"/>
        <w:ind w:right="280"/>
        <w:spacing w:after="0" w:line="261" w:lineRule="auto"/>
        <w:rPr>
          <w:sz w:val="20"/>
          <w:szCs w:val="20"/>
          <w:color w:val="auto"/>
        </w:rPr>
      </w:pPr>
      <w:r>
        <w:rPr>
          <w:rFonts w:ascii="Arial" w:cs="Arial" w:eastAsia="Arial" w:hAnsi="Arial"/>
          <w:sz w:val="13"/>
          <w:szCs w:val="13"/>
          <w:color w:val="auto"/>
        </w:rPr>
        <w:t>The Company does not require collateral or other security in granting credit. As of March 31, 2022, three customers each represented 10% or more of the Company’s total accounts receivable and unbilled receivables and, in aggregate, represented 80%, or $36.8 million, of the combined total. As of December 31, 2021, three customers each represented 10% or more of the Company’s total accounts receivable and unbilled receivables and, in aggregate, represented 87%, or $28.7 million, of the combined total.</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2. MANAGEMENT’S DISCUSSION AND ANALYSIS OF FINANCIAL CONDITIONS AND RESULTS OF OPERATIONS.</w:t>
      </w:r>
    </w:p>
    <w:p>
      <w:pPr>
        <w:spacing w:after="0" w:line="256"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2021 Form 10-K. We assume no obligation to update any of these forward-looking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Unless otherwise noted, all dollars are in thousands. In certain cases, numbers and percentages in the tables below may not foot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9"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insurance advice to help navigate one of the most important purchasing decisions individuals make.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GoHealth, Inc. is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Condensed Consolidated Financial Statements for the economic interest in GoHealth Holdings,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months ended March 31, 2022 and 2021 was 63.8% and 71.2%,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percentage ownership of total shares of Class A and Class B common stock issued and outstanding as of March 31,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120650</wp:posOffset>
            </wp:positionV>
            <wp:extent cx="4042410" cy="1684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4241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327" w:lineRule="auto"/>
        <w:rPr>
          <w:sz w:val="20"/>
          <w:szCs w:val="20"/>
          <w:color w:val="auto"/>
        </w:rPr>
      </w:pPr>
      <w:r>
        <w:rPr>
          <w:rFonts w:ascii="Arial" w:cs="Arial" w:eastAsia="Arial" w:hAnsi="Arial"/>
          <w:sz w:val="12"/>
          <w:szCs w:val="12"/>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26" w:name="page27"/>
    <w:bookmarkEnd w:id="26"/>
    <w:p>
      <w:pPr>
        <w:ind w:right="300"/>
        <w:spacing w:after="0" w:line="266" w:lineRule="auto"/>
        <w:rPr>
          <w:sz w:val="20"/>
          <w:szCs w:val="20"/>
          <w:color w:val="auto"/>
        </w:rPr>
      </w:pPr>
      <w:r>
        <w:rPr>
          <w:rFonts w:ascii="Arial" w:cs="Arial" w:eastAsia="Arial" w:hAnsi="Arial"/>
          <w:sz w:val="13"/>
          <w:szCs w:val="13"/>
          <w:color w:val="auto"/>
        </w:rPr>
        <w:t>significant. We intend to cause GoHealth Holdings, LLC to make distributions to us in an amount sufficient to allow us to pay these expenses and fund any payments due under the Tax Receivable Agreement.</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our consolidated results of operations for the three months ended March 31,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8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743"/>
              <w:spacing w:after="0"/>
              <w:rPr>
                <w:sz w:val="20"/>
                <w:szCs w:val="20"/>
                <w:color w:val="auto"/>
              </w:rPr>
            </w:pPr>
            <w:r>
              <w:rPr>
                <w:rFonts w:ascii="Arial" w:cs="Arial" w:eastAsia="Arial" w:hAnsi="Arial"/>
                <w:sz w:val="11"/>
                <w:szCs w:val="11"/>
                <w:color w:val="auto"/>
              </w:rPr>
              <w:t>Three months ended Mar. 31,</w:t>
            </w:r>
          </w:p>
        </w:tc>
        <w:tc>
          <w:tcPr>
            <w:tcW w:w="0" w:type="dxa"/>
            <w:vAlign w:val="bottom"/>
          </w:tcPr>
          <w:p>
            <w:pPr>
              <w:spacing w:after="0"/>
              <w:rPr>
                <w:sz w:val="1"/>
                <w:szCs w:val="1"/>
                <w:color w:val="auto"/>
              </w:rPr>
            </w:pPr>
          </w:p>
        </w:tc>
      </w:tr>
      <w:tr>
        <w:trPr>
          <w:trHeight w:val="152"/>
        </w:trPr>
        <w:tc>
          <w:tcPr>
            <w:tcW w:w="808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60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47"/>
        </w:trPr>
        <w:tc>
          <w:tcPr>
            <w:tcW w:w="8080" w:type="dxa"/>
            <w:vAlign w:val="bottom"/>
          </w:tcPr>
          <w:p>
            <w:pPr>
              <w:ind w:left="20"/>
              <w:spacing w:after="0"/>
              <w:rPr>
                <w:sz w:val="20"/>
                <w:szCs w:val="20"/>
                <w:color w:val="auto"/>
              </w:rPr>
            </w:pPr>
            <w:r>
              <w:rPr>
                <w:rFonts w:ascii="Arial" w:cs="Arial" w:eastAsia="Arial" w:hAnsi="Arial"/>
                <w:sz w:val="11"/>
                <w:szCs w:val="11"/>
                <w:i w:val="1"/>
                <w:iCs w:val="1"/>
                <w:color w:val="auto"/>
              </w:rPr>
              <w:t>Net revenues:</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Commission</w:t>
            </w:r>
          </w:p>
        </w:tc>
        <w:tc>
          <w:tcPr>
            <w:tcW w:w="10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209,639</w:t>
            </w:r>
          </w:p>
        </w:tc>
        <w:tc>
          <w:tcPr>
            <w:tcW w:w="4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173,981</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Enterprise</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60,954</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30,198</w:t>
            </w:r>
          </w:p>
        </w:tc>
        <w:tc>
          <w:tcPr>
            <w:tcW w:w="0" w:type="dxa"/>
            <w:vAlign w:val="bottom"/>
          </w:tcPr>
          <w:p>
            <w:pPr>
              <w:spacing w:after="0"/>
              <w:rPr>
                <w:sz w:val="1"/>
                <w:szCs w:val="1"/>
                <w:color w:val="auto"/>
              </w:rPr>
            </w:pPr>
          </w:p>
        </w:tc>
      </w:tr>
      <w:tr>
        <w:trPr>
          <w:trHeight w:val="156"/>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270,593</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204,179</w:t>
            </w:r>
          </w:p>
        </w:tc>
        <w:tc>
          <w:tcPr>
            <w:tcW w:w="0" w:type="dxa"/>
            <w:vAlign w:val="bottom"/>
          </w:tcPr>
          <w:p>
            <w:pPr>
              <w:spacing w:after="0"/>
              <w:rPr>
                <w:sz w:val="1"/>
                <w:szCs w:val="1"/>
                <w:color w:val="auto"/>
              </w:rPr>
            </w:pPr>
          </w:p>
        </w:tc>
      </w:tr>
      <w:tr>
        <w:trPr>
          <w:trHeight w:val="133"/>
        </w:trPr>
        <w:tc>
          <w:tcPr>
            <w:tcW w:w="8080" w:type="dxa"/>
            <w:vAlign w:val="bottom"/>
          </w:tcPr>
          <w:p>
            <w:pPr>
              <w:ind w:left="20"/>
              <w:spacing w:after="0"/>
              <w:rPr>
                <w:sz w:val="20"/>
                <w:szCs w:val="20"/>
                <w:color w:val="auto"/>
              </w:rPr>
            </w:pPr>
            <w:r>
              <w:rPr>
                <w:rFonts w:ascii="Arial" w:cs="Arial" w:eastAsia="Arial" w:hAnsi="Arial"/>
                <w:sz w:val="11"/>
                <w:szCs w:val="11"/>
                <w:i w:val="1"/>
                <w:iCs w:val="1"/>
                <w:color w:val="auto"/>
              </w:rPr>
              <w:t>Operating expenses:</w:t>
            </w:r>
          </w:p>
        </w:tc>
        <w:tc>
          <w:tcPr>
            <w:tcW w:w="100" w:type="dxa"/>
            <w:vAlign w:val="bottom"/>
            <w:shd w:val="clear" w:color="auto" w:fill="929292"/>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Cost of revenue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67,923</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48,375</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Marketing and advertising</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84,033</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54,484</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Customer care and enrollment</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78,455</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47,094</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Technology</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12,759</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9,617</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29,217</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19,685</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23,514</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23,514</w:t>
            </w:r>
          </w:p>
        </w:tc>
        <w:tc>
          <w:tcPr>
            <w:tcW w:w="0" w:type="dxa"/>
            <w:vAlign w:val="bottom"/>
          </w:tcPr>
          <w:p>
            <w:pPr>
              <w:spacing w:after="0"/>
              <w:rPr>
                <w:sz w:val="1"/>
                <w:szCs w:val="1"/>
                <w:color w:val="auto"/>
              </w:rPr>
            </w:pPr>
          </w:p>
        </w:tc>
      </w:tr>
      <w:tr>
        <w:trPr>
          <w:trHeight w:val="156"/>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Total operating expenses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295,901</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202,769</w:t>
            </w:r>
          </w:p>
        </w:tc>
        <w:tc>
          <w:tcPr>
            <w:tcW w:w="0" w:type="dxa"/>
            <w:vAlign w:val="bottom"/>
          </w:tcPr>
          <w:p>
            <w:pPr>
              <w:spacing w:after="0"/>
              <w:rPr>
                <w:sz w:val="1"/>
                <w:szCs w:val="1"/>
                <w:color w:val="auto"/>
              </w:rPr>
            </w:pPr>
          </w:p>
        </w:tc>
      </w:tr>
      <w:tr>
        <w:trPr>
          <w:trHeight w:val="144"/>
        </w:trPr>
        <w:tc>
          <w:tcPr>
            <w:tcW w:w="808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103"/>
              <w:spacing w:after="0"/>
              <w:rPr>
                <w:sz w:val="20"/>
                <w:szCs w:val="20"/>
                <w:color w:val="auto"/>
              </w:rPr>
            </w:pPr>
            <w:r>
              <w:rPr>
                <w:rFonts w:ascii="Arial" w:cs="Arial" w:eastAsia="Arial" w:hAnsi="Arial"/>
                <w:sz w:val="11"/>
                <w:szCs w:val="11"/>
                <w:color w:val="auto"/>
              </w:rPr>
              <w:t>(25,308)</w:t>
            </w:r>
          </w:p>
        </w:tc>
        <w:tc>
          <w:tcPr>
            <w:tcW w:w="4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1,410</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11,398</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8,688</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63</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6"/>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(36,769)</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(7,291)</w:t>
            </w:r>
          </w:p>
        </w:tc>
        <w:tc>
          <w:tcPr>
            <w:tcW w:w="0" w:type="dxa"/>
            <w:vAlign w:val="bottom"/>
          </w:tcPr>
          <w:p>
            <w:pPr>
              <w:spacing w:after="0"/>
              <w:rPr>
                <w:sz w:val="1"/>
                <w:szCs w:val="1"/>
                <w:color w:val="auto"/>
              </w:rPr>
            </w:pPr>
          </w:p>
        </w:tc>
      </w:tr>
      <w:tr>
        <w:trPr>
          <w:trHeight w:val="144"/>
        </w:trPr>
        <w:tc>
          <w:tcPr>
            <w:tcW w:w="8080" w:type="dxa"/>
            <w:vAlign w:val="bottom"/>
          </w:tcPr>
          <w:p>
            <w:pPr>
              <w:ind w:left="20"/>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929292"/>
            </w:tcBorders>
            <w:shd w:val="clear" w:color="auto" w:fill="929292"/>
          </w:tcPr>
          <w:p>
            <w:pPr>
              <w:spacing w:after="0"/>
              <w:rPr>
                <w:sz w:val="12"/>
                <w:szCs w:val="12"/>
                <w:color w:val="auto"/>
              </w:rPr>
            </w:pPr>
          </w:p>
        </w:tc>
        <w:tc>
          <w:tcPr>
            <w:tcW w:w="340" w:type="dxa"/>
            <w:vAlign w:val="bottom"/>
            <w:tcBorders>
              <w:bottom w:val="single" w:sz="8" w:color="929292"/>
            </w:tcBorders>
          </w:tcPr>
          <w:p>
            <w:pPr>
              <w:spacing w:after="0"/>
              <w:rPr>
                <w:sz w:val="12"/>
                <w:szCs w:val="12"/>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472</w:t>
            </w:r>
          </w:p>
        </w:tc>
        <w:tc>
          <w:tcPr>
            <w:tcW w:w="400" w:type="dxa"/>
            <w:vAlign w:val="bottom"/>
            <w:tcBorders>
              <w:bottom w:val="single" w:sz="8" w:color="929292"/>
            </w:tcBorders>
          </w:tcPr>
          <w:p>
            <w:pPr>
              <w:spacing w:after="0"/>
              <w:rPr>
                <w:sz w:val="12"/>
                <w:szCs w:val="12"/>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6"/>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(37,241)</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(7,260)</w:t>
            </w:r>
          </w:p>
        </w:tc>
        <w:tc>
          <w:tcPr>
            <w:tcW w:w="0" w:type="dxa"/>
            <w:vAlign w:val="bottom"/>
          </w:tcPr>
          <w:p>
            <w:pPr>
              <w:spacing w:after="0"/>
              <w:rPr>
                <w:sz w:val="1"/>
                <w:szCs w:val="1"/>
                <w:color w:val="auto"/>
              </w:rPr>
            </w:pPr>
          </w:p>
        </w:tc>
      </w:tr>
      <w:tr>
        <w:trPr>
          <w:trHeight w:val="147"/>
        </w:trPr>
        <w:tc>
          <w:tcPr>
            <w:tcW w:w="8080" w:type="dxa"/>
            <w:vAlign w:val="bottom"/>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2"/>
                <w:szCs w:val="12"/>
                <w:color w:val="auto"/>
              </w:rPr>
            </w:pPr>
          </w:p>
        </w:tc>
        <w:tc>
          <w:tcPr>
            <w:tcW w:w="340" w:type="dxa"/>
            <w:vAlign w:val="bottom"/>
            <w:tcBorders>
              <w:bottom w:val="single" w:sz="8" w:color="929292"/>
            </w:tcBorders>
          </w:tcPr>
          <w:p>
            <w:pPr>
              <w:spacing w:after="0"/>
              <w:rPr>
                <w:sz w:val="12"/>
                <w:szCs w:val="12"/>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(23,758)</w:t>
            </w:r>
          </w:p>
        </w:tc>
        <w:tc>
          <w:tcPr>
            <w:tcW w:w="400" w:type="dxa"/>
            <w:vAlign w:val="bottom"/>
            <w:tcBorders>
              <w:bottom w:val="single" w:sz="8" w:color="929292"/>
            </w:tcBorders>
          </w:tcPr>
          <w:p>
            <w:pPr>
              <w:spacing w:after="0"/>
              <w:rPr>
                <w:sz w:val="12"/>
                <w:szCs w:val="12"/>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(5,173)</w:t>
            </w:r>
          </w:p>
        </w:tc>
        <w:tc>
          <w:tcPr>
            <w:tcW w:w="0" w:type="dxa"/>
            <w:vAlign w:val="bottom"/>
          </w:tcPr>
          <w:p>
            <w:pPr>
              <w:spacing w:after="0"/>
              <w:rPr>
                <w:sz w:val="1"/>
                <w:szCs w:val="1"/>
                <w:color w:val="auto"/>
              </w:rPr>
            </w:pPr>
          </w:p>
        </w:tc>
      </w:tr>
      <w:tr>
        <w:trPr>
          <w:trHeight w:val="153"/>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(13,483)</w:t>
            </w:r>
          </w:p>
        </w:tc>
        <w:tc>
          <w:tcPr>
            <w:tcW w:w="40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(2,087)</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Non-GAAP financial measures:</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40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080" w:type="dxa"/>
            <w:vAlign w:val="bottom"/>
            <w:vMerge w:val="continue"/>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EBITDA</w:t>
            </w:r>
          </w:p>
        </w:tc>
        <w:tc>
          <w:tcPr>
            <w:tcW w:w="10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577</w:t>
            </w:r>
          </w:p>
        </w:tc>
        <w:tc>
          <w:tcPr>
            <w:tcW w:w="4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26,764</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Adjusted EBITDA</w:t>
            </w:r>
          </w:p>
        </w:tc>
        <w:tc>
          <w:tcPr>
            <w:tcW w:w="10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11,073</w:t>
            </w:r>
          </w:p>
        </w:tc>
        <w:tc>
          <w:tcPr>
            <w:tcW w:w="40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32,056</w:t>
            </w:r>
          </w:p>
        </w:tc>
        <w:tc>
          <w:tcPr>
            <w:tcW w:w="0" w:type="dxa"/>
            <w:vAlign w:val="bottom"/>
          </w:tcPr>
          <w:p>
            <w:pPr>
              <w:spacing w:after="0"/>
              <w:rPr>
                <w:sz w:val="1"/>
                <w:szCs w:val="1"/>
                <w:color w:val="auto"/>
              </w:rPr>
            </w:pPr>
          </w:p>
        </w:tc>
      </w:tr>
      <w:tr>
        <w:trPr>
          <w:trHeight w:val="166"/>
        </w:trPr>
        <w:tc>
          <w:tcPr>
            <w:tcW w:w="8080" w:type="dxa"/>
            <w:vAlign w:val="bottom"/>
          </w:tcPr>
          <w:p>
            <w:pPr>
              <w:ind w:left="20"/>
              <w:spacing w:after="0"/>
              <w:rPr>
                <w:sz w:val="20"/>
                <w:szCs w:val="20"/>
                <w:color w:val="auto"/>
              </w:rPr>
            </w:pPr>
            <w:r>
              <w:rPr>
                <w:rFonts w:ascii="Arial" w:cs="Arial" w:eastAsia="Arial" w:hAnsi="Arial"/>
                <w:sz w:val="11"/>
                <w:szCs w:val="11"/>
                <w:color w:val="auto"/>
              </w:rPr>
              <w:t>Adjusted EBITDA margin</w:t>
            </w:r>
          </w:p>
        </w:tc>
        <w:tc>
          <w:tcPr>
            <w:tcW w:w="10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4.1 %</w:t>
            </w:r>
          </w:p>
        </w:tc>
        <w:tc>
          <w:tcPr>
            <w:tcW w:w="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15.7 %</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components of net revenue and results thereof for the three months ended March 31, 2022 and 2021:</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6"/>
        </w:trPr>
        <w:tc>
          <w:tcPr>
            <w:tcW w:w="2580" w:type="dxa"/>
            <w:vAlign w:val="bottom"/>
            <w:tcBorders>
              <w:left w:val="single" w:sz="8" w:color="929292"/>
            </w:tcBorders>
          </w:tcPr>
          <w:p>
            <w:pPr>
              <w:ind w:left="600"/>
              <w:spacing w:after="0"/>
              <w:rPr>
                <w:sz w:val="20"/>
                <w:szCs w:val="20"/>
                <w:color w:val="auto"/>
              </w:rPr>
            </w:pPr>
            <w:r>
              <w:rPr>
                <w:rFonts w:ascii="Arial" w:cs="Arial" w:eastAsia="Arial" w:hAnsi="Arial"/>
                <w:sz w:val="11"/>
                <w:szCs w:val="11"/>
                <w:b w:val="1"/>
                <w:bCs w:val="1"/>
                <w:color w:val="0A2299"/>
              </w:rPr>
              <w:t>Commission net revenues</w:t>
            </w: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5"/>
                <w:szCs w:val="15"/>
                <w:color w:val="auto"/>
              </w:rPr>
            </w:pPr>
          </w:p>
        </w:tc>
        <w:tc>
          <w:tcPr>
            <w:tcW w:w="7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500" w:type="dxa"/>
            <w:vAlign w:val="bottom"/>
            <w:tcBorders>
              <w:bottom w:val="single" w:sz="8" w:color="929292"/>
            </w:tcBorders>
          </w:tcPr>
          <w:p>
            <w:pPr>
              <w:spacing w:after="0"/>
              <w:rPr>
                <w:sz w:val="15"/>
                <w:szCs w:val="15"/>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209,639</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173,981</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1600" w:type="dxa"/>
            <w:vAlign w:val="bottom"/>
          </w:tcPr>
          <w:p>
            <w:pPr>
              <w:jc w:val="right"/>
              <w:ind w:right="1163"/>
              <w:spacing w:after="0"/>
              <w:rPr>
                <w:sz w:val="20"/>
                <w:szCs w:val="20"/>
                <w:color w:val="auto"/>
              </w:rPr>
            </w:pPr>
            <w:r>
              <w:rPr>
                <w:rFonts w:ascii="Arial" w:cs="Arial" w:eastAsia="Arial" w:hAnsi="Arial"/>
                <w:sz w:val="11"/>
                <w:szCs w:val="11"/>
                <w:color w:val="auto"/>
              </w:rPr>
              <w:t>35,658</w:t>
            </w: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20.5 %</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77.5%</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46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increases in commission revenue from the sales of Medicare Advantage policies in both the Medicare—Internal and Medicare—External segments, driven by a 62% increase in total Medicare Advantage commissionable Approved Submissions.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6"/>
        </w:trPr>
        <w:tc>
          <w:tcPr>
            <w:tcW w:w="2580" w:type="dxa"/>
            <w:vAlign w:val="bottom"/>
            <w:tcBorders>
              <w:left w:val="single" w:sz="8" w:color="929292"/>
            </w:tcBorders>
          </w:tcPr>
          <w:p>
            <w:pPr>
              <w:ind w:left="660"/>
              <w:spacing w:after="0"/>
              <w:rPr>
                <w:sz w:val="20"/>
                <w:szCs w:val="20"/>
                <w:color w:val="auto"/>
              </w:rPr>
            </w:pPr>
            <w:r>
              <w:rPr>
                <w:rFonts w:ascii="Arial" w:cs="Arial" w:eastAsia="Arial" w:hAnsi="Arial"/>
                <w:sz w:val="11"/>
                <w:szCs w:val="11"/>
                <w:b w:val="1"/>
                <w:bCs w:val="1"/>
                <w:color w:val="0A2299"/>
              </w:rPr>
              <w:t>Enterprise net revenues</w:t>
            </w: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5"/>
                <w:szCs w:val="15"/>
                <w:color w:val="auto"/>
              </w:rPr>
            </w:pPr>
          </w:p>
        </w:tc>
        <w:tc>
          <w:tcPr>
            <w:tcW w:w="7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56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 Change</w:t>
            </w:r>
          </w:p>
        </w:tc>
        <w:tc>
          <w:tcPr>
            <w:tcW w:w="540" w:type="dxa"/>
            <w:vAlign w:val="bottom"/>
            <w:tcBorders>
              <w:bottom w:val="single" w:sz="8" w:color="929292"/>
            </w:tcBorders>
          </w:tcPr>
          <w:p>
            <w:pPr>
              <w:spacing w:after="0"/>
              <w:rPr>
                <w:sz w:val="15"/>
                <w:szCs w:val="15"/>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60,954</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30,198</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1560" w:type="dxa"/>
            <w:vAlign w:val="bottom"/>
          </w:tcPr>
          <w:p>
            <w:pPr>
              <w:jc w:val="right"/>
              <w:ind w:right="1123"/>
              <w:spacing w:after="0"/>
              <w:rPr>
                <w:sz w:val="20"/>
                <w:szCs w:val="20"/>
                <w:color w:val="auto"/>
              </w:rPr>
            </w:pPr>
            <w:r>
              <w:rPr>
                <w:rFonts w:ascii="Arial" w:cs="Arial" w:eastAsia="Arial" w:hAnsi="Arial"/>
                <w:sz w:val="11"/>
                <w:szCs w:val="11"/>
                <w:color w:val="auto"/>
              </w:rPr>
              <w:t>30,756</w:t>
            </w:r>
          </w:p>
        </w:tc>
        <w:tc>
          <w:tcPr>
            <w:tcW w:w="540" w:type="dxa"/>
            <w:vAlign w:val="bottom"/>
          </w:tcPr>
          <w:p>
            <w:pPr>
              <w:jc w:val="right"/>
              <w:ind w:right="43"/>
              <w:spacing w:after="0"/>
              <w:rPr>
                <w:sz w:val="20"/>
                <w:szCs w:val="20"/>
                <w:color w:val="auto"/>
              </w:rPr>
            </w:pPr>
            <w:r>
              <w:rPr>
                <w:rFonts w:ascii="Arial" w:cs="Arial" w:eastAsia="Arial" w:hAnsi="Arial"/>
                <w:sz w:val="11"/>
                <w:szCs w:val="11"/>
                <w:color w:val="auto"/>
              </w:rPr>
              <w:t>101.8 %</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22.5%</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jc w:val="both"/>
        <w:ind w:right="50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an increase of $18.8 million related to partner marketing and enrollment services and a $12.0 million increase in direct partner campaigns in our Medicare—Internal segment.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key components of operating expenses and results thereof for the three months ended March 31, 2022 and 2021:</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3"/>
          </w:tcPr>
          <w:p>
            <w:pPr>
              <w:jc w:val="center"/>
              <w:ind w:left="103"/>
              <w:spacing w:after="0"/>
              <w:rPr>
                <w:sz w:val="20"/>
                <w:szCs w:val="20"/>
                <w:color w:val="auto"/>
              </w:rPr>
            </w:pPr>
            <w:r>
              <w:rPr>
                <w:rFonts w:ascii="Arial" w:cs="Arial" w:eastAsia="Arial" w:hAnsi="Arial"/>
                <w:sz w:val="11"/>
                <w:szCs w:val="11"/>
                <w:color w:val="auto"/>
              </w:rPr>
              <w:t>Three months ended Mar. 31,</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Borders>
              <w:left w:val="single" w:sz="8" w:color="929292"/>
            </w:tcBorders>
          </w:tcPr>
          <w:p>
            <w:pPr>
              <w:ind w:left="880"/>
              <w:spacing w:after="0"/>
              <w:rPr>
                <w:sz w:val="20"/>
                <w:szCs w:val="20"/>
                <w:color w:val="auto"/>
              </w:rPr>
            </w:pPr>
            <w:r>
              <w:rPr>
                <w:rFonts w:ascii="Arial" w:cs="Arial" w:eastAsia="Arial" w:hAnsi="Arial"/>
                <w:sz w:val="11"/>
                <w:szCs w:val="11"/>
                <w:b w:val="1"/>
                <w:bCs w:val="1"/>
                <w:color w:val="0A2299"/>
              </w:rPr>
              <w:t>Cost of revenue</w:t>
            </w: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980" w:type="dxa"/>
            <w:vAlign w:val="bottom"/>
            <w:tcBorders>
              <w:bottom w:val="single" w:sz="8" w:color="929292"/>
            </w:tcBorders>
            <w:gridSpan w:val="2"/>
          </w:tcPr>
          <w:p>
            <w:pPr>
              <w:jc w:val="right"/>
              <w:ind w:right="80"/>
              <w:spacing w:after="0"/>
              <w:rPr>
                <w:sz w:val="20"/>
                <w:szCs w:val="20"/>
                <w:color w:val="auto"/>
              </w:rPr>
            </w:pPr>
            <w:r>
              <w:rPr>
                <w:rFonts w:ascii="Arial" w:cs="Arial" w:eastAsia="Arial" w:hAnsi="Arial"/>
                <w:sz w:val="11"/>
                <w:szCs w:val="11"/>
                <w:color w:val="auto"/>
              </w:rPr>
              <w:t>2021</w:t>
            </w:r>
          </w:p>
        </w:tc>
        <w:tc>
          <w:tcPr>
            <w:tcW w:w="520" w:type="dxa"/>
            <w:vAlign w:val="bottom"/>
            <w:tcBorders>
              <w:bottom w:val="single" w:sz="8" w:color="929292"/>
            </w:tcBorders>
          </w:tcPr>
          <w:p>
            <w:pPr>
              <w:spacing w:after="0"/>
              <w:rPr>
                <w:sz w:val="15"/>
                <w:szCs w:val="15"/>
                <w:color w:val="auto"/>
              </w:rPr>
            </w:pPr>
          </w:p>
        </w:tc>
        <w:tc>
          <w:tcPr>
            <w:tcW w:w="480" w:type="dxa"/>
            <w:vAlign w:val="bottom"/>
            <w:tcBorders>
              <w:bottom w:val="single" w:sz="8" w:color="929292"/>
            </w:tcBorders>
          </w:tcPr>
          <w:p>
            <w:pPr>
              <w:spacing w:after="0"/>
              <w:rPr>
                <w:sz w:val="15"/>
                <w:szCs w:val="15"/>
                <w:color w:val="auto"/>
              </w:rPr>
            </w:pPr>
          </w:p>
        </w:tc>
        <w:tc>
          <w:tcPr>
            <w:tcW w:w="1260" w:type="dxa"/>
            <w:vAlign w:val="bottom"/>
            <w:tcBorders>
              <w:bottom w:val="single" w:sz="8" w:color="929292"/>
            </w:tcBorders>
            <w:gridSpan w:val="2"/>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67,923</w:t>
            </w:r>
          </w:p>
        </w:tc>
        <w:tc>
          <w:tcPr>
            <w:tcW w:w="760" w:type="dxa"/>
            <w:vAlign w:val="bottom"/>
          </w:tcPr>
          <w:p>
            <w:pPr>
              <w:jc w:val="right"/>
              <w:ind w:right="56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48,375</w:t>
            </w:r>
          </w:p>
        </w:tc>
        <w:tc>
          <w:tcPr>
            <w:tcW w:w="48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63"/>
              <w:spacing w:after="0"/>
              <w:rPr>
                <w:sz w:val="20"/>
                <w:szCs w:val="20"/>
                <w:color w:val="auto"/>
              </w:rPr>
            </w:pPr>
            <w:r>
              <w:rPr>
                <w:rFonts w:ascii="Arial" w:cs="Arial" w:eastAsia="Arial" w:hAnsi="Arial"/>
                <w:sz w:val="11"/>
                <w:szCs w:val="11"/>
                <w:color w:val="auto"/>
              </w:rPr>
              <w:t>19,548</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40.4 %</w:t>
            </w:r>
          </w:p>
        </w:tc>
        <w:tc>
          <w:tcPr>
            <w:tcW w:w="1260" w:type="dxa"/>
            <w:vAlign w:val="bottom"/>
            <w:tcBorders>
              <w:bottom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25.1%</w:t>
            </w:r>
          </w:p>
        </w:tc>
        <w:tc>
          <w:tcPr>
            <w:tcW w:w="1260" w:type="dxa"/>
            <w:vAlign w:val="bottom"/>
            <w:tcBorders>
              <w:bottom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vMerge w:val="restart"/>
          </w:tcPr>
          <w:p>
            <w:pPr>
              <w:jc w:val="center"/>
              <w:ind w:left="323"/>
              <w:spacing w:after="0"/>
              <w:rPr>
                <w:sz w:val="20"/>
                <w:szCs w:val="20"/>
                <w:color w:val="auto"/>
              </w:rPr>
            </w:pPr>
            <w:r>
              <w:rPr>
                <w:rFonts w:ascii="Arial" w:cs="Arial" w:eastAsia="Arial" w:hAnsi="Arial"/>
                <w:sz w:val="11"/>
                <w:szCs w:val="11"/>
                <w:color w:val="auto"/>
              </w:rPr>
              <w:t>GoHealth, Inc.</w:t>
            </w:r>
          </w:p>
        </w:tc>
        <w:tc>
          <w:tcPr>
            <w:tcW w:w="22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2022 Form 10-Q</w:t>
            </w:r>
          </w:p>
        </w:tc>
        <w:tc>
          <w:tcPr>
            <w:tcW w:w="12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880" w:type="dxa"/>
            <w:vAlign w:val="bottom"/>
          </w:tcPr>
          <w:p>
            <w:pPr>
              <w:jc w:val="right"/>
              <w:ind w:right="643"/>
              <w:spacing w:after="0"/>
              <w:rPr>
                <w:sz w:val="20"/>
                <w:szCs w:val="20"/>
                <w:color w:val="auto"/>
              </w:rPr>
            </w:pPr>
            <w:r>
              <w:rPr>
                <w:rFonts w:ascii="Arial" w:cs="Arial" w:eastAsia="Arial" w:hAnsi="Arial"/>
                <w:sz w:val="11"/>
                <w:szCs w:val="11"/>
                <w:color w:val="auto"/>
              </w:rPr>
              <w:t>24</w:t>
            </w: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-605790</wp:posOffset>
            </wp:positionV>
            <wp:extent cx="15970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7" w:name="page28"/>
    <w:bookmarkEnd w:id="27"/>
    <w:p>
      <w:pPr>
        <w:ind w:right="14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a 111% increase in commissionable Approved Submissions in the Medicare— External segment, which increased the amount of expense we recognized pursuant to our revenue-sharing agreements with external agents and other partners.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6"/>
        </w:trPr>
        <w:tc>
          <w:tcPr>
            <w:tcW w:w="2580" w:type="dxa"/>
            <w:vAlign w:val="bottom"/>
            <w:tcBorders>
              <w:left w:val="single" w:sz="8" w:color="929292"/>
            </w:tcBorders>
          </w:tcPr>
          <w:p>
            <w:pPr>
              <w:ind w:left="360"/>
              <w:spacing w:after="0"/>
              <w:rPr>
                <w:sz w:val="20"/>
                <w:szCs w:val="20"/>
                <w:color w:val="auto"/>
              </w:rPr>
            </w:pPr>
            <w:r>
              <w:rPr>
                <w:rFonts w:ascii="Arial" w:cs="Arial" w:eastAsia="Arial" w:hAnsi="Arial"/>
                <w:sz w:val="11"/>
                <w:szCs w:val="11"/>
                <w:b w:val="1"/>
                <w:bCs w:val="1"/>
                <w:color w:val="0A2299"/>
              </w:rPr>
              <w:t>Marketing and advertising expense</w:t>
            </w: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5"/>
                <w:szCs w:val="15"/>
                <w:color w:val="auto"/>
              </w:rPr>
            </w:pPr>
          </w:p>
        </w:tc>
        <w:tc>
          <w:tcPr>
            <w:tcW w:w="7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500" w:type="dxa"/>
            <w:vAlign w:val="bottom"/>
            <w:tcBorders>
              <w:bottom w:val="single" w:sz="8" w:color="929292"/>
            </w:tcBorders>
          </w:tcPr>
          <w:p>
            <w:pPr>
              <w:spacing w:after="0"/>
              <w:rPr>
                <w:sz w:val="15"/>
                <w:szCs w:val="15"/>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84,033</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54,484</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1600" w:type="dxa"/>
            <w:vAlign w:val="bottom"/>
          </w:tcPr>
          <w:p>
            <w:pPr>
              <w:jc w:val="right"/>
              <w:ind w:right="1163"/>
              <w:spacing w:after="0"/>
              <w:rPr>
                <w:sz w:val="20"/>
                <w:szCs w:val="20"/>
                <w:color w:val="auto"/>
              </w:rPr>
            </w:pPr>
            <w:r>
              <w:rPr>
                <w:rFonts w:ascii="Arial" w:cs="Arial" w:eastAsia="Arial" w:hAnsi="Arial"/>
                <w:sz w:val="11"/>
                <w:szCs w:val="11"/>
                <w:color w:val="auto"/>
              </w:rPr>
              <w:t>29,549</w:t>
            </w: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54.2 %</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31.1%</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92" w:lineRule="exact"/>
        <w:rPr>
          <w:sz w:val="20"/>
          <w:szCs w:val="20"/>
          <w:color w:val="auto"/>
        </w:rPr>
      </w:pPr>
    </w:p>
    <w:p>
      <w:pPr>
        <w:ind w:right="340"/>
        <w:spacing w:after="0" w:line="283"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an increase in our advertising costs for the Medicare—Internal segment to generate more qualified prospects, which contributed to a 46% in Medicare—Internal commissionable Approved Submissions.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1"/>
        </w:trPr>
        <w:tc>
          <w:tcPr>
            <w:tcW w:w="2580" w:type="dxa"/>
            <w:vAlign w:val="bottom"/>
            <w:tcBorders>
              <w:left w:val="single" w:sz="8" w:color="929292"/>
            </w:tcBorders>
          </w:tcPr>
          <w:p>
            <w:pPr>
              <w:ind w:left="480"/>
              <w:spacing w:after="0"/>
              <w:rPr>
                <w:sz w:val="20"/>
                <w:szCs w:val="20"/>
                <w:color w:val="auto"/>
              </w:rPr>
            </w:pPr>
            <w:r>
              <w:rPr>
                <w:rFonts w:ascii="Arial" w:cs="Arial" w:eastAsia="Arial" w:hAnsi="Arial"/>
                <w:sz w:val="11"/>
                <w:szCs w:val="11"/>
                <w:b w:val="1"/>
                <w:bCs w:val="1"/>
                <w:color w:val="0A2299"/>
              </w:rPr>
              <w:t>Customer care and enrollment</w:t>
            </w: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4"/>
                <w:szCs w:val="14"/>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4"/>
                <w:szCs w:val="14"/>
                <w:color w:val="auto"/>
              </w:rPr>
            </w:pPr>
          </w:p>
        </w:tc>
        <w:tc>
          <w:tcPr>
            <w:tcW w:w="7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500" w:type="dxa"/>
            <w:vAlign w:val="bottom"/>
            <w:tcBorders>
              <w:bottom w:val="single" w:sz="8" w:color="929292"/>
            </w:tcBorders>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78,455</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47,094</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1600" w:type="dxa"/>
            <w:vAlign w:val="bottom"/>
          </w:tcPr>
          <w:p>
            <w:pPr>
              <w:jc w:val="right"/>
              <w:ind w:right="1163"/>
              <w:spacing w:after="0"/>
              <w:rPr>
                <w:sz w:val="20"/>
                <w:szCs w:val="20"/>
                <w:color w:val="auto"/>
              </w:rPr>
            </w:pPr>
            <w:r>
              <w:rPr>
                <w:rFonts w:ascii="Arial" w:cs="Arial" w:eastAsia="Arial" w:hAnsi="Arial"/>
                <w:sz w:val="11"/>
                <w:szCs w:val="11"/>
                <w:color w:val="auto"/>
              </w:rPr>
              <w:t>31,361</w:t>
            </w: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66.6 %</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29.0%</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the hiring of additional agents in the Medicare—Internal segment throughout 2021, particularly in the second and third quarters as we prepared for the annual enrollment period (“AEP”).</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6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3"/>
          </w:tcPr>
          <w:p>
            <w:pPr>
              <w:jc w:val="right"/>
              <w:ind w:right="663"/>
              <w:spacing w:after="0"/>
              <w:rPr>
                <w:sz w:val="20"/>
                <w:szCs w:val="20"/>
                <w:color w:val="auto"/>
              </w:rPr>
            </w:pPr>
            <w:r>
              <w:rPr>
                <w:rFonts w:ascii="Arial" w:cs="Arial" w:eastAsia="Arial" w:hAnsi="Arial"/>
                <w:sz w:val="11"/>
                <w:szCs w:val="11"/>
                <w:color w:val="auto"/>
              </w:rPr>
              <w:t>Three months ended Mar. 31,</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76"/>
        </w:trPr>
        <w:tc>
          <w:tcPr>
            <w:tcW w:w="2600" w:type="dxa"/>
            <w:vAlign w:val="bottom"/>
            <w:tcBorders>
              <w:left w:val="single" w:sz="8" w:color="929292"/>
            </w:tcBorders>
          </w:tcPr>
          <w:p>
            <w:pPr>
              <w:ind w:left="740"/>
              <w:spacing w:after="0"/>
              <w:rPr>
                <w:sz w:val="20"/>
                <w:szCs w:val="20"/>
                <w:color w:val="auto"/>
              </w:rPr>
            </w:pPr>
            <w:r>
              <w:rPr>
                <w:rFonts w:ascii="Arial" w:cs="Arial" w:eastAsia="Arial" w:hAnsi="Arial"/>
                <w:sz w:val="11"/>
                <w:szCs w:val="11"/>
                <w:b w:val="1"/>
                <w:bCs w:val="1"/>
                <w:color w:val="0A2299"/>
              </w:rPr>
              <w:t>Technology expense</w:t>
            </w:r>
          </w:p>
        </w:tc>
        <w:tc>
          <w:tcPr>
            <w:tcW w:w="80" w:type="dxa"/>
            <w:vAlign w:val="bottom"/>
            <w:tcBorders>
              <w:bottom w:val="single" w:sz="8" w:color="929292"/>
            </w:tcBorders>
            <w:shd w:val="clear" w:color="auto" w:fill="929292"/>
          </w:tcPr>
          <w:p>
            <w:pPr>
              <w:spacing w:after="0"/>
              <w:rPr>
                <w:sz w:val="15"/>
                <w:szCs w:val="15"/>
                <w:color w:val="auto"/>
              </w:rPr>
            </w:pPr>
          </w:p>
        </w:tc>
        <w:tc>
          <w:tcPr>
            <w:tcW w:w="32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5"/>
                <w:szCs w:val="15"/>
                <w:color w:val="auto"/>
              </w:rPr>
            </w:pP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56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520" w:type="dxa"/>
            <w:vAlign w:val="bottom"/>
            <w:tcBorders>
              <w:bottom w:val="single" w:sz="8" w:color="929292"/>
            </w:tcBorders>
          </w:tcPr>
          <w:p>
            <w:pPr>
              <w:spacing w:after="0"/>
              <w:rPr>
                <w:sz w:val="15"/>
                <w:szCs w:val="15"/>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480" w:type="dxa"/>
            <w:vAlign w:val="bottom"/>
            <w:tcBorders>
              <w:bottom w:val="single" w:sz="8" w:color="929292"/>
            </w:tcBorders>
            <w:shd w:val="clear" w:color="auto" w:fill="929292"/>
          </w:tcPr>
          <w:p>
            <w:pPr>
              <w:spacing w:after="0"/>
              <w:rPr>
                <w:sz w:val="15"/>
                <w:szCs w:val="15"/>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60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12,759</w:t>
            </w:r>
          </w:p>
        </w:tc>
        <w:tc>
          <w:tcPr>
            <w:tcW w:w="3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9,617</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1560" w:type="dxa"/>
            <w:vAlign w:val="bottom"/>
          </w:tcPr>
          <w:p>
            <w:pPr>
              <w:jc w:val="right"/>
              <w:ind w:right="1163"/>
              <w:spacing w:after="0"/>
              <w:rPr>
                <w:sz w:val="20"/>
                <w:szCs w:val="20"/>
                <w:color w:val="auto"/>
              </w:rPr>
            </w:pPr>
            <w:r>
              <w:rPr>
                <w:rFonts w:ascii="Arial" w:cs="Arial" w:eastAsia="Arial" w:hAnsi="Arial"/>
                <w:sz w:val="11"/>
                <w:szCs w:val="11"/>
                <w:color w:val="auto"/>
              </w:rPr>
              <w:t>3,142</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32.7 %</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4.7%</w:t>
            </w:r>
          </w:p>
        </w:tc>
        <w:tc>
          <w:tcPr>
            <w:tcW w:w="480" w:type="dxa"/>
            <w:vAlign w:val="bottom"/>
            <w:shd w:val="clear" w:color="auto" w:fill="929292"/>
          </w:tcPr>
          <w:p>
            <w:pPr>
              <w:spacing w:after="0"/>
              <w:rPr>
                <w:sz w:val="12"/>
                <w:szCs w:val="12"/>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-113665</wp:posOffset>
            </wp:positionV>
            <wp:extent cx="15900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90040" cy="6985"/>
                    </a:xfrm>
                    <a:prstGeom prst="rect">
                      <a:avLst/>
                    </a:prstGeom>
                    <a:noFill/>
                  </pic:spPr>
                </pic:pic>
              </a:graphicData>
            </a:graphic>
          </wp:anchor>
        </w:drawing>
      </w:r>
    </w:p>
    <w:p>
      <w:pPr>
        <w:spacing w:after="0" w:line="192" w:lineRule="exact"/>
        <w:rPr>
          <w:sz w:val="20"/>
          <w:szCs w:val="20"/>
          <w:color w:val="auto"/>
        </w:rPr>
      </w:pPr>
    </w:p>
    <w:p>
      <w:pPr>
        <w:ind w:right="200"/>
        <w:spacing w:after="0" w:line="283"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the hiring of additional employees in our technology and data science teams, and the expansion of our business intelligence and analytics staffing in order to support the growth of the Medicare—Internal segment.</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420" w:type="dxa"/>
            <w:vAlign w:val="bottom"/>
            <w:gridSpan w:val="2"/>
          </w:tcPr>
          <w:p>
            <w:pPr>
              <w:jc w:val="right"/>
              <w:ind w:right="163"/>
              <w:spacing w:after="0"/>
              <w:rPr>
                <w:sz w:val="20"/>
                <w:szCs w:val="20"/>
                <w:color w:val="auto"/>
              </w:rPr>
            </w:pPr>
            <w:r>
              <w:rPr>
                <w:rFonts w:ascii="Arial" w:cs="Arial" w:eastAsia="Arial" w:hAnsi="Arial"/>
                <w:sz w:val="11"/>
                <w:szCs w:val="11"/>
                <w:color w:val="auto"/>
              </w:rPr>
              <w:t>Three months ended Mar. 31,</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760" w:type="dxa"/>
            <w:vAlign w:val="bottom"/>
            <w:tcBorders>
              <w:top w:val="single" w:sz="8" w:color="929292"/>
            </w:tcBorders>
            <w:shd w:val="clear" w:color="auto" w:fill="929292"/>
          </w:tcPr>
          <w:p>
            <w:pPr>
              <w:spacing w:after="0"/>
              <w:rPr>
                <w:sz w:val="14"/>
                <w:szCs w:val="14"/>
                <w:color w:val="auto"/>
              </w:rPr>
            </w:pPr>
          </w:p>
        </w:tc>
      </w:tr>
      <w:tr>
        <w:trPr>
          <w:trHeight w:val="171"/>
        </w:trPr>
        <w:tc>
          <w:tcPr>
            <w:tcW w:w="2580" w:type="dxa"/>
            <w:vAlign w:val="bottom"/>
            <w:tcBorders>
              <w:left w:val="single" w:sz="8" w:color="929292"/>
            </w:tcBorders>
          </w:tcPr>
          <w:p>
            <w:pPr>
              <w:ind w:left="340"/>
              <w:spacing w:after="0"/>
              <w:rPr>
                <w:sz w:val="20"/>
                <w:szCs w:val="20"/>
                <w:color w:val="auto"/>
              </w:rPr>
            </w:pPr>
            <w:r>
              <w:rPr>
                <w:rFonts w:ascii="Arial" w:cs="Arial" w:eastAsia="Arial" w:hAnsi="Arial"/>
                <w:sz w:val="11"/>
                <w:szCs w:val="11"/>
                <w:b w:val="1"/>
                <w:bCs w:val="1"/>
                <w:color w:val="0A2299"/>
              </w:rPr>
              <w:t>General and administrative expense</w:t>
            </w:r>
          </w:p>
        </w:tc>
        <w:tc>
          <w:tcPr>
            <w:tcW w:w="80" w:type="dxa"/>
            <w:vAlign w:val="bottom"/>
            <w:tcBorders>
              <w:bottom w:val="single" w:sz="8" w:color="929292"/>
            </w:tcBorders>
            <w:shd w:val="clear" w:color="auto" w:fill="929292"/>
          </w:tcPr>
          <w:p>
            <w:pPr>
              <w:spacing w:after="0"/>
              <w:rPr>
                <w:sz w:val="14"/>
                <w:szCs w:val="14"/>
                <w:color w:val="auto"/>
              </w:rPr>
            </w:pPr>
          </w:p>
        </w:tc>
        <w:tc>
          <w:tcPr>
            <w:tcW w:w="92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2022</w:t>
            </w:r>
          </w:p>
        </w:tc>
        <w:tc>
          <w:tcPr>
            <w:tcW w:w="150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2021</w:t>
            </w:r>
          </w:p>
        </w:tc>
        <w:tc>
          <w:tcPr>
            <w:tcW w:w="520" w:type="dxa"/>
            <w:vAlign w:val="bottom"/>
            <w:tcBorders>
              <w:bottom w:val="single" w:sz="8" w:color="929292"/>
            </w:tcBorders>
          </w:tcPr>
          <w:p>
            <w:pPr>
              <w:spacing w:after="0"/>
              <w:rPr>
                <w:sz w:val="14"/>
                <w:szCs w:val="14"/>
                <w:color w:val="auto"/>
              </w:rPr>
            </w:pPr>
          </w:p>
        </w:tc>
        <w:tc>
          <w:tcPr>
            <w:tcW w:w="108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156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500" w:type="dxa"/>
            <w:vAlign w:val="bottom"/>
            <w:tcBorders>
              <w:bottom w:val="single" w:sz="8" w:color="929292"/>
            </w:tcBorders>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4"/>
                <w:szCs w:val="14"/>
                <w:color w:val="auto"/>
              </w:rPr>
            </w:pPr>
          </w:p>
        </w:tc>
        <w:tc>
          <w:tcPr>
            <w:tcW w:w="7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w w:val="97"/>
              </w:rPr>
              <w:t>2021</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jc w:val="right"/>
              <w:ind w:right="1003"/>
              <w:spacing w:after="0"/>
              <w:rPr>
                <w:sz w:val="20"/>
                <w:szCs w:val="20"/>
                <w:color w:val="auto"/>
              </w:rPr>
            </w:pPr>
            <w:r>
              <w:rPr>
                <w:rFonts w:ascii="Arial" w:cs="Arial" w:eastAsia="Arial" w:hAnsi="Arial"/>
                <w:sz w:val="11"/>
                <w:szCs w:val="11"/>
                <w:color w:val="auto"/>
              </w:rPr>
              <w:t>29,217</w:t>
            </w: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19,685</w:t>
            </w:r>
          </w:p>
        </w:tc>
        <w:tc>
          <w:tcPr>
            <w:tcW w:w="108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1560" w:type="dxa"/>
            <w:vAlign w:val="bottom"/>
          </w:tcPr>
          <w:p>
            <w:pPr>
              <w:jc w:val="right"/>
              <w:ind w:right="1163"/>
              <w:spacing w:after="0"/>
              <w:rPr>
                <w:sz w:val="20"/>
                <w:szCs w:val="20"/>
                <w:color w:val="auto"/>
              </w:rPr>
            </w:pPr>
            <w:r>
              <w:rPr>
                <w:rFonts w:ascii="Arial" w:cs="Arial" w:eastAsia="Arial" w:hAnsi="Arial"/>
                <w:sz w:val="11"/>
                <w:szCs w:val="11"/>
                <w:color w:val="auto"/>
              </w:rPr>
              <w:t>9,532</w:t>
            </w: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48.4 %</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10.8%</w:t>
            </w:r>
          </w:p>
        </w:tc>
        <w:tc>
          <w:tcPr>
            <w:tcW w:w="500" w:type="dxa"/>
            <w:vAlign w:val="bottom"/>
            <w:shd w:val="clear" w:color="auto" w:fill="929292"/>
          </w:tcPr>
          <w:p>
            <w:pPr>
              <w:spacing w:after="0"/>
              <w:rPr>
                <w:sz w:val="12"/>
                <w:szCs w:val="12"/>
                <w:color w:val="auto"/>
              </w:rPr>
            </w:pPr>
          </w:p>
        </w:tc>
        <w:tc>
          <w:tcPr>
            <w:tcW w:w="7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w w:val="95"/>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64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professional and consulting fees, as well as investments in corporate infrastructure, such as legal, human resources, and finance.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6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920" w:type="dxa"/>
            <w:vAlign w:val="bottom"/>
            <w:gridSpan w:val="2"/>
          </w:tcPr>
          <w:p>
            <w:pPr>
              <w:jc w:val="right"/>
              <w:ind w:right="663"/>
              <w:spacing w:after="0"/>
              <w:rPr>
                <w:sz w:val="20"/>
                <w:szCs w:val="20"/>
                <w:color w:val="auto"/>
              </w:rPr>
            </w:pPr>
            <w:r>
              <w:rPr>
                <w:rFonts w:ascii="Arial" w:cs="Arial" w:eastAsia="Arial" w:hAnsi="Arial"/>
                <w:sz w:val="11"/>
                <w:szCs w:val="11"/>
                <w:color w:val="auto"/>
              </w:rPr>
              <w:t>Three months ended Mar. 31,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spacing w:after="0"/>
              <w:rPr>
                <w:sz w:val="20"/>
                <w:szCs w:val="20"/>
                <w:color w:val="auto"/>
              </w:rPr>
            </w:pPr>
            <w:r>
              <w:rPr>
                <w:rFonts w:ascii="Arial" w:cs="Arial" w:eastAsia="Arial" w:hAnsi="Arial"/>
                <w:sz w:val="11"/>
                <w:szCs w:val="11"/>
                <w:color w:val="FFFFFF"/>
              </w:rPr>
              <w:t>% of Net Revenues</w:t>
            </w:r>
          </w:p>
        </w:tc>
      </w:tr>
      <w:tr>
        <w:trPr>
          <w:trHeight w:val="171"/>
        </w:trPr>
        <w:tc>
          <w:tcPr>
            <w:tcW w:w="2600" w:type="dxa"/>
            <w:vAlign w:val="bottom"/>
            <w:tcBorders>
              <w:left w:val="single" w:sz="8" w:color="929292"/>
            </w:tcBorders>
          </w:tcPr>
          <w:p>
            <w:pPr>
              <w:ind w:left="420"/>
              <w:spacing w:after="0"/>
              <w:rPr>
                <w:sz w:val="20"/>
                <w:szCs w:val="20"/>
                <w:color w:val="auto"/>
              </w:rPr>
            </w:pPr>
            <w:r>
              <w:rPr>
                <w:rFonts w:ascii="Arial" w:cs="Arial" w:eastAsia="Arial" w:hAnsi="Arial"/>
                <w:sz w:val="11"/>
                <w:szCs w:val="11"/>
                <w:b w:val="1"/>
                <w:bCs w:val="1"/>
                <w:color w:val="0A2299"/>
              </w:rPr>
              <w:t>Amortization of intangible assets</w:t>
            </w:r>
          </w:p>
        </w:tc>
        <w:tc>
          <w:tcPr>
            <w:tcW w:w="80" w:type="dxa"/>
            <w:vAlign w:val="bottom"/>
            <w:tcBorders>
              <w:bottom w:val="single" w:sz="8" w:color="929292"/>
            </w:tcBorders>
            <w:shd w:val="clear" w:color="auto" w:fill="929292"/>
          </w:tcPr>
          <w:p>
            <w:pPr>
              <w:spacing w:after="0"/>
              <w:rPr>
                <w:sz w:val="14"/>
                <w:szCs w:val="14"/>
                <w:color w:val="auto"/>
              </w:rPr>
            </w:pPr>
          </w:p>
        </w:tc>
        <w:tc>
          <w:tcPr>
            <w:tcW w:w="1720" w:type="dxa"/>
            <w:vAlign w:val="bottom"/>
            <w:tcBorders>
              <w:bottom w:val="single" w:sz="8" w:color="929292"/>
            </w:tcBorders>
          </w:tcPr>
          <w:p>
            <w:pPr>
              <w:jc w:val="right"/>
              <w:ind w:right="843"/>
              <w:spacing w:after="0"/>
              <w:rPr>
                <w:sz w:val="20"/>
                <w:szCs w:val="20"/>
                <w:color w:val="auto"/>
              </w:rPr>
            </w:pPr>
            <w:r>
              <w:rPr>
                <w:rFonts w:ascii="Arial" w:cs="Arial" w:eastAsia="Arial" w:hAnsi="Arial"/>
                <w:sz w:val="11"/>
                <w:szCs w:val="11"/>
                <w:color w:val="auto"/>
              </w:rPr>
              <w:t>2022</w:t>
            </w:r>
          </w:p>
        </w:tc>
        <w:tc>
          <w:tcPr>
            <w:tcW w:w="12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4"/>
                <w:szCs w:val="14"/>
                <w:color w:val="auto"/>
              </w:rPr>
            </w:pPr>
          </w:p>
        </w:tc>
        <w:tc>
          <w:tcPr>
            <w:tcW w:w="82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540" w:type="dxa"/>
            <w:vAlign w:val="bottom"/>
            <w:tcBorders>
              <w:bottom w:val="single" w:sz="8" w:color="929292"/>
            </w:tcBorders>
          </w:tcPr>
          <w:p>
            <w:pPr>
              <w:ind w:left="900"/>
              <w:spacing w:after="0"/>
              <w:rPr>
                <w:sz w:val="20"/>
                <w:szCs w:val="20"/>
                <w:color w:val="auto"/>
              </w:rPr>
            </w:pPr>
            <w:r>
              <w:rPr>
                <w:rFonts w:ascii="Arial" w:cs="Arial" w:eastAsia="Arial" w:hAnsi="Arial"/>
                <w:sz w:val="11"/>
                <w:szCs w:val="11"/>
                <w:color w:val="auto"/>
              </w:rPr>
              <w:t>% Change</w:t>
            </w:r>
          </w:p>
        </w:tc>
        <w:tc>
          <w:tcPr>
            <w:tcW w:w="460" w:type="dxa"/>
            <w:vAlign w:val="bottom"/>
            <w:tcBorders>
              <w:bottom w:val="single" w:sz="8" w:color="929292"/>
            </w:tcBorders>
          </w:tcPr>
          <w:p>
            <w:pPr>
              <w:spacing w:after="0"/>
              <w:rPr>
                <w:sz w:val="14"/>
                <w:szCs w:val="14"/>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480" w:type="dxa"/>
            <w:vAlign w:val="bottom"/>
            <w:tcBorders>
              <w:bottom w:val="single" w:sz="8" w:color="929292"/>
            </w:tcBorders>
            <w:shd w:val="clear" w:color="auto" w:fill="929292"/>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60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1720" w:type="dxa"/>
            <w:vAlign w:val="bottom"/>
          </w:tcPr>
          <w:p>
            <w:pPr>
              <w:jc w:val="right"/>
              <w:ind w:right="303"/>
              <w:spacing w:after="0"/>
              <w:rPr>
                <w:sz w:val="20"/>
                <w:szCs w:val="20"/>
                <w:color w:val="auto"/>
              </w:rPr>
            </w:pPr>
            <w:r>
              <w:rPr>
                <w:rFonts w:ascii="Arial" w:cs="Arial" w:eastAsia="Arial" w:hAnsi="Arial"/>
                <w:sz w:val="11"/>
                <w:szCs w:val="11"/>
                <w:color w:val="auto"/>
              </w:rPr>
              <w:t>23,514</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540" w:type="dxa"/>
            <w:vAlign w:val="bottom"/>
          </w:tcPr>
          <w:p>
            <w:pPr>
              <w:ind w:left="160"/>
              <w:spacing w:after="0"/>
              <w:rPr>
                <w:sz w:val="20"/>
                <w:szCs w:val="20"/>
                <w:color w:val="auto"/>
              </w:rPr>
            </w:pPr>
            <w:r>
              <w:rPr>
                <w:rFonts w:ascii="Arial" w:cs="Arial" w:eastAsia="Arial" w:hAnsi="Arial"/>
                <w:sz w:val="11"/>
                <w:szCs w:val="11"/>
                <w:color w:val="auto"/>
              </w:rPr>
              <w:t>—</w:t>
            </w:r>
          </w:p>
        </w:tc>
        <w:tc>
          <w:tcPr>
            <w:tcW w:w="460" w:type="dxa"/>
            <w:vAlign w:val="bottom"/>
          </w:tcPr>
          <w:p>
            <w:pPr>
              <w:ind w:left="120"/>
              <w:spacing w:after="0"/>
              <w:rPr>
                <w:sz w:val="20"/>
                <w:szCs w:val="20"/>
                <w:color w:val="auto"/>
              </w:rPr>
            </w:pPr>
            <w:r>
              <w:rPr>
                <w:rFonts w:ascii="Arial" w:cs="Arial" w:eastAsia="Arial" w:hAnsi="Arial"/>
                <w:sz w:val="11"/>
                <w:szCs w:val="11"/>
                <w:color w:val="auto"/>
              </w:rPr>
              <w:t>— %</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8.7%</w:t>
            </w:r>
          </w:p>
        </w:tc>
        <w:tc>
          <w:tcPr>
            <w:tcW w:w="480" w:type="dxa"/>
            <w:vAlign w:val="bottom"/>
            <w:shd w:val="clear" w:color="auto" w:fill="929292"/>
          </w:tcPr>
          <w:p>
            <w:pPr>
              <w:spacing w:after="0"/>
              <w:rPr>
                <w:sz w:val="12"/>
                <w:szCs w:val="12"/>
                <w:color w:val="auto"/>
              </w:rPr>
            </w:pPr>
          </w:p>
        </w:tc>
        <w:tc>
          <w:tcPr>
            <w:tcW w:w="1260" w:type="dxa"/>
            <w:vAlign w:val="bottom"/>
            <w:shd w:val="clear" w:color="auto" w:fill="929292"/>
          </w:tcPr>
          <w:p>
            <w:pPr>
              <w:jc w:val="right"/>
              <w:ind w:right="423"/>
              <w:spacing w:after="0"/>
              <w:rPr>
                <w:sz w:val="20"/>
                <w:szCs w:val="20"/>
                <w:color w:val="auto"/>
              </w:rPr>
            </w:pPr>
            <w:r>
              <w:rPr>
                <w:rFonts w:ascii="Arial" w:cs="Arial" w:eastAsia="Arial" w:hAnsi="Arial"/>
                <w:sz w:val="11"/>
                <w:szCs w:val="11"/>
                <w:color w:val="FFFFFF"/>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-113665</wp:posOffset>
            </wp:positionV>
            <wp:extent cx="15900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90040" cy="6985"/>
                    </a:xfrm>
                    <a:prstGeom prst="rect">
                      <a:avLst/>
                    </a:prstGeom>
                    <a:noFill/>
                  </pic:spPr>
                </pic:pic>
              </a:graphicData>
            </a:graphic>
          </wp:anchor>
        </w:drawing>
      </w:r>
    </w:p>
    <w:p>
      <w:pPr>
        <w:spacing w:after="0" w:line="192" w:lineRule="exact"/>
        <w:rPr>
          <w:sz w:val="20"/>
          <w:szCs w:val="20"/>
          <w:color w:val="auto"/>
        </w:rPr>
      </w:pPr>
    </w:p>
    <w:p>
      <w:pPr>
        <w:ind w:right="580"/>
        <w:spacing w:after="0" w:line="283" w:lineRule="auto"/>
        <w:rPr>
          <w:sz w:val="20"/>
          <w:szCs w:val="20"/>
          <w:color w:val="auto"/>
        </w:rPr>
      </w:pPr>
      <w:r>
        <w:rPr>
          <w:rFonts w:ascii="Arial" w:cs="Arial" w:eastAsia="Arial" w:hAnsi="Arial"/>
          <w:sz w:val="13"/>
          <w:szCs w:val="13"/>
          <w:color w:val="auto"/>
        </w:rPr>
        <w:t>Amortization of intangible assets expense was $23.5 million for both the three months ended March 31, 2022 and 2021, and relates to the amortization of developed technology and customer relationships.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460" w:type="dxa"/>
            <w:vAlign w:val="bottom"/>
            <w:gridSpan w:val="2"/>
          </w:tcPr>
          <w:p>
            <w:pPr>
              <w:jc w:val="right"/>
              <w:ind w:right="203"/>
              <w:spacing w:after="0"/>
              <w:rPr>
                <w:sz w:val="20"/>
                <w:szCs w:val="20"/>
                <w:color w:val="auto"/>
              </w:rPr>
            </w:pPr>
            <w:r>
              <w:rPr>
                <w:rFonts w:ascii="Arial" w:cs="Arial" w:eastAsia="Arial" w:hAnsi="Arial"/>
                <w:sz w:val="11"/>
                <w:szCs w:val="11"/>
                <w:color w:val="auto"/>
              </w:rPr>
              <w:t>Three months ended Mar. 31,</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60" w:type="dxa"/>
            <w:vAlign w:val="bottom"/>
            <w:tcBorders>
              <w:top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76"/>
        </w:trPr>
        <w:tc>
          <w:tcPr>
            <w:tcW w:w="2580" w:type="dxa"/>
            <w:vAlign w:val="bottom"/>
            <w:tcBorders>
              <w:left w:val="single" w:sz="8" w:color="929292"/>
            </w:tcBorders>
          </w:tcPr>
          <w:p>
            <w:pPr>
              <w:ind w:left="860"/>
              <w:spacing w:after="0"/>
              <w:rPr>
                <w:sz w:val="20"/>
                <w:szCs w:val="20"/>
                <w:color w:val="auto"/>
              </w:rPr>
            </w:pPr>
            <w:r>
              <w:rPr>
                <w:rFonts w:ascii="Arial" w:cs="Arial" w:eastAsia="Arial" w:hAnsi="Arial"/>
                <w:sz w:val="11"/>
                <w:szCs w:val="11"/>
                <w:b w:val="1"/>
                <w:bCs w:val="1"/>
                <w:color w:val="0A2299"/>
              </w:rPr>
              <w:t>Interest expense</w:t>
            </w:r>
          </w:p>
        </w:tc>
        <w:tc>
          <w:tcPr>
            <w:tcW w:w="80" w:type="dxa"/>
            <w:vAlign w:val="bottom"/>
            <w:tcBorders>
              <w:bottom w:val="single" w:sz="8" w:color="929292"/>
            </w:tcBorders>
            <w:shd w:val="clear" w:color="auto" w:fill="929292"/>
          </w:tcPr>
          <w:p>
            <w:pPr>
              <w:spacing w:after="0"/>
              <w:rPr>
                <w:sz w:val="15"/>
                <w:szCs w:val="15"/>
                <w:color w:val="auto"/>
              </w:rPr>
            </w:pPr>
          </w:p>
        </w:tc>
        <w:tc>
          <w:tcPr>
            <w:tcW w:w="940" w:type="dxa"/>
            <w:vAlign w:val="bottom"/>
            <w:tcBorders>
              <w:bottom w:val="single" w:sz="8" w:color="929292"/>
            </w:tcBorders>
          </w:tcPr>
          <w:p>
            <w:pPr>
              <w:jc w:val="right"/>
              <w:ind w:right="43"/>
              <w:spacing w:after="0"/>
              <w:rPr>
                <w:sz w:val="20"/>
                <w:szCs w:val="20"/>
                <w:color w:val="auto"/>
              </w:rPr>
            </w:pPr>
            <w:r>
              <w:rPr>
                <w:rFonts w:ascii="Arial" w:cs="Arial" w:eastAsia="Arial" w:hAnsi="Arial"/>
                <w:sz w:val="11"/>
                <w:szCs w:val="11"/>
                <w:color w:val="auto"/>
              </w:rPr>
              <w:t>2022</w:t>
            </w:r>
          </w:p>
        </w:tc>
        <w:tc>
          <w:tcPr>
            <w:tcW w:w="152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929292"/>
            </w:tcBorders>
          </w:tcPr>
          <w:p>
            <w:pPr>
              <w:spacing w:after="0"/>
              <w:rPr>
                <w:sz w:val="15"/>
                <w:szCs w:val="15"/>
                <w:color w:val="auto"/>
              </w:rPr>
            </w:pPr>
          </w:p>
        </w:tc>
        <w:tc>
          <w:tcPr>
            <w:tcW w:w="108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156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500" w:type="dxa"/>
            <w:vAlign w:val="bottom"/>
            <w:tcBorders>
              <w:bottom w:val="single" w:sz="8" w:color="929292"/>
            </w:tcBorders>
          </w:tcPr>
          <w:p>
            <w:pPr>
              <w:spacing w:after="0"/>
              <w:rPr>
                <w:sz w:val="15"/>
                <w:szCs w:val="15"/>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5"/>
                <w:szCs w:val="15"/>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jc w:val="right"/>
              <w:ind w:right="1043"/>
              <w:spacing w:after="0"/>
              <w:rPr>
                <w:sz w:val="20"/>
                <w:szCs w:val="20"/>
                <w:color w:val="auto"/>
              </w:rPr>
            </w:pPr>
            <w:r>
              <w:rPr>
                <w:rFonts w:ascii="Arial" w:cs="Arial" w:eastAsia="Arial" w:hAnsi="Arial"/>
                <w:sz w:val="11"/>
                <w:szCs w:val="11"/>
                <w:color w:val="auto"/>
              </w:rPr>
              <w:t>11,398</w:t>
            </w: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8,688</w:t>
            </w:r>
          </w:p>
        </w:tc>
        <w:tc>
          <w:tcPr>
            <w:tcW w:w="108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1560" w:type="dxa"/>
            <w:vAlign w:val="bottom"/>
          </w:tcPr>
          <w:p>
            <w:pPr>
              <w:jc w:val="right"/>
              <w:ind w:right="1163"/>
              <w:spacing w:after="0"/>
              <w:rPr>
                <w:sz w:val="20"/>
                <w:szCs w:val="20"/>
                <w:color w:val="auto"/>
              </w:rPr>
            </w:pPr>
            <w:r>
              <w:rPr>
                <w:rFonts w:ascii="Arial" w:cs="Arial" w:eastAsia="Arial" w:hAnsi="Arial"/>
                <w:sz w:val="11"/>
                <w:szCs w:val="11"/>
                <w:color w:val="auto"/>
              </w:rPr>
              <w:t>2,710</w:t>
            </w: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31.2 %</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4.2%</w:t>
            </w:r>
          </w:p>
        </w:tc>
        <w:tc>
          <w:tcPr>
            <w:tcW w:w="500" w:type="dxa"/>
            <w:vAlign w:val="bottom"/>
            <w:shd w:val="clear" w:color="auto" w:fill="929292"/>
          </w:tcPr>
          <w:p>
            <w:pPr>
              <w:spacing w:after="0"/>
              <w:rPr>
                <w:sz w:val="12"/>
                <w:szCs w:val="12"/>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additional debt outstanding on our Credit Facilities.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20"/>
        <w:spacing w:after="0" w:line="283" w:lineRule="auto"/>
        <w:rPr>
          <w:sz w:val="20"/>
          <w:szCs w:val="20"/>
          <w:color w:val="auto"/>
        </w:rPr>
      </w:pPr>
      <w:r>
        <w:rPr>
          <w:rFonts w:ascii="Arial" w:cs="Arial" w:eastAsia="Arial" w:hAnsi="Arial"/>
          <w:sz w:val="12"/>
          <w:szCs w:val="12"/>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its business and monitor its results of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auto"/>
        </w:rPr>
        <w:t>Adjusted EBITDA represents EBITDA as further adjusted for certain items summarized in the table below. Adjusted EBITDA margin represents Adjusted EBITDA divided by net revenues.</w:t>
      </w:r>
    </w:p>
    <w:p>
      <w:pPr>
        <w:spacing w:after="0" w:line="169" w:lineRule="exact"/>
        <w:rPr>
          <w:sz w:val="20"/>
          <w:szCs w:val="20"/>
          <w:color w:val="auto"/>
        </w:rPr>
      </w:pPr>
    </w:p>
    <w:p>
      <w:pPr>
        <w:ind w:right="120"/>
        <w:spacing w:after="0" w:line="275" w:lineRule="auto"/>
        <w:rPr>
          <w:sz w:val="20"/>
          <w:szCs w:val="20"/>
          <w:color w:val="auto"/>
        </w:rPr>
      </w:pPr>
      <w:r>
        <w:rPr>
          <w:rFonts w:ascii="Arial" w:cs="Arial" w:eastAsia="Arial" w:hAnsi="Arial"/>
          <w:sz w:val="12"/>
          <w:szCs w:val="12"/>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reconciliations of GAAP net income (loss) to EBITDA and Adjusted EBITDA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8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743"/>
              <w:spacing w:after="0"/>
              <w:rPr>
                <w:sz w:val="20"/>
                <w:szCs w:val="20"/>
                <w:color w:val="auto"/>
              </w:rPr>
            </w:pPr>
            <w:r>
              <w:rPr>
                <w:rFonts w:ascii="Arial" w:cs="Arial" w:eastAsia="Arial" w:hAnsi="Arial"/>
                <w:sz w:val="11"/>
                <w:szCs w:val="11"/>
                <w:color w:val="auto"/>
              </w:rPr>
              <w:t>Three months ended Mar. 31,</w:t>
            </w:r>
          </w:p>
        </w:tc>
        <w:tc>
          <w:tcPr>
            <w:tcW w:w="0" w:type="dxa"/>
            <w:vAlign w:val="bottom"/>
          </w:tcPr>
          <w:p>
            <w:pPr>
              <w:spacing w:after="0"/>
              <w:rPr>
                <w:sz w:val="1"/>
                <w:szCs w:val="1"/>
                <w:color w:val="auto"/>
              </w:rPr>
            </w:pPr>
          </w:p>
        </w:tc>
      </w:tr>
      <w:tr>
        <w:trPr>
          <w:trHeight w:val="152"/>
        </w:trPr>
        <w:tc>
          <w:tcPr>
            <w:tcW w:w="808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Non-GAAP Financial Measures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60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53"/>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270,593</w:t>
            </w:r>
          </w:p>
        </w:tc>
        <w:tc>
          <w:tcPr>
            <w:tcW w:w="40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204,179</w:t>
            </w:r>
          </w:p>
        </w:tc>
        <w:tc>
          <w:tcPr>
            <w:tcW w:w="0" w:type="dxa"/>
            <w:vAlign w:val="bottom"/>
          </w:tcPr>
          <w:p>
            <w:pPr>
              <w:spacing w:after="0"/>
              <w:rPr>
                <w:sz w:val="1"/>
                <w:szCs w:val="1"/>
                <w:color w:val="auto"/>
              </w:rPr>
            </w:pPr>
          </w:p>
        </w:tc>
      </w:tr>
      <w:tr>
        <w:trPr>
          <w:trHeight w:val="144"/>
        </w:trPr>
        <w:tc>
          <w:tcPr>
            <w:tcW w:w="80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103"/>
              <w:spacing w:after="0"/>
              <w:rPr>
                <w:sz w:val="20"/>
                <w:szCs w:val="20"/>
                <w:color w:val="auto"/>
              </w:rPr>
            </w:pPr>
            <w:r>
              <w:rPr>
                <w:rFonts w:ascii="Arial" w:cs="Arial" w:eastAsia="Arial" w:hAnsi="Arial"/>
                <w:sz w:val="11"/>
                <w:szCs w:val="11"/>
                <w:color w:val="auto"/>
              </w:rPr>
              <w:t>(37,241)</w:t>
            </w:r>
          </w:p>
        </w:tc>
        <w:tc>
          <w:tcPr>
            <w:tcW w:w="400" w:type="dxa"/>
            <w:vAlign w:val="bottom"/>
          </w:tcPr>
          <w:p>
            <w:pPr>
              <w:spacing w:after="0"/>
              <w:rPr>
                <w:sz w:val="12"/>
                <w:szCs w:val="12"/>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(7,260)</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11,398</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8,688</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Income tax expense (benefit)</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472</w:t>
            </w:r>
          </w:p>
        </w:tc>
        <w:tc>
          <w:tcPr>
            <w:tcW w:w="400" w:type="dxa"/>
            <w:vAlign w:val="bottom"/>
          </w:tcPr>
          <w:p>
            <w:pPr>
              <w:spacing w:after="0"/>
              <w:rPr>
                <w:sz w:val="13"/>
                <w:szCs w:val="13"/>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Depreciation and amortization expense</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25,948</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25,367</w:t>
            </w:r>
          </w:p>
        </w:tc>
        <w:tc>
          <w:tcPr>
            <w:tcW w:w="0" w:type="dxa"/>
            <w:vAlign w:val="bottom"/>
          </w:tcPr>
          <w:p>
            <w:pPr>
              <w:spacing w:after="0"/>
              <w:rPr>
                <w:sz w:val="1"/>
                <w:szCs w:val="1"/>
                <w:color w:val="auto"/>
              </w:rPr>
            </w:pPr>
          </w:p>
        </w:tc>
      </w:tr>
      <w:tr>
        <w:trPr>
          <w:trHeight w:val="156"/>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EBITDA</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577</w:t>
            </w:r>
          </w:p>
        </w:tc>
        <w:tc>
          <w:tcPr>
            <w:tcW w:w="40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26,764</w:t>
            </w:r>
          </w:p>
        </w:tc>
        <w:tc>
          <w:tcPr>
            <w:tcW w:w="0" w:type="dxa"/>
            <w:vAlign w:val="bottom"/>
          </w:tcPr>
          <w:p>
            <w:pPr>
              <w:spacing w:after="0"/>
              <w:rPr>
                <w:sz w:val="1"/>
                <w:szCs w:val="1"/>
                <w:color w:val="auto"/>
              </w:rPr>
            </w:pPr>
          </w:p>
        </w:tc>
      </w:tr>
      <w:tr>
        <w:trPr>
          <w:trHeight w:val="144"/>
        </w:trPr>
        <w:tc>
          <w:tcPr>
            <w:tcW w:w="8080" w:type="dxa"/>
            <w:vAlign w:val="bottom"/>
          </w:tcPr>
          <w:p>
            <w:pPr>
              <w:ind w:left="20"/>
              <w:spacing w:after="0"/>
              <w:rPr>
                <w:sz w:val="20"/>
                <w:szCs w:val="20"/>
                <w:color w:val="auto"/>
              </w:rPr>
            </w:pPr>
            <w:r>
              <w:rPr>
                <w:rFonts w:ascii="Arial" w:cs="Arial" w:eastAsia="Arial" w:hAnsi="Arial"/>
                <w:sz w:val="11"/>
                <w:szCs w:val="11"/>
                <w:color w:val="auto"/>
              </w:rPr>
              <w:t>Share-based compensation expense (1)</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5,155</w:t>
            </w:r>
          </w:p>
        </w:tc>
        <w:tc>
          <w:tcPr>
            <w:tcW w:w="4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5,112</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Severance costs (2)</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1,391</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8080" w:type="dxa"/>
            <w:vAlign w:val="bottom"/>
          </w:tcPr>
          <w:p>
            <w:pPr>
              <w:ind w:left="20"/>
              <w:spacing w:after="0"/>
              <w:rPr>
                <w:sz w:val="20"/>
                <w:szCs w:val="20"/>
                <w:color w:val="auto"/>
              </w:rPr>
            </w:pPr>
            <w:r>
              <w:rPr>
                <w:rFonts w:ascii="Arial" w:cs="Arial" w:eastAsia="Arial" w:hAnsi="Arial"/>
                <w:sz w:val="11"/>
                <w:szCs w:val="11"/>
                <w:color w:val="auto"/>
              </w:rPr>
              <w:t>Professional services (3)</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1"/>
                <w:szCs w:val="11"/>
                <w:color w:val="auto"/>
              </w:rPr>
              <w:t>3,950</w:t>
            </w:r>
          </w:p>
        </w:tc>
        <w:tc>
          <w:tcPr>
            <w:tcW w:w="40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8080" w:type="dxa"/>
            <w:vAlign w:val="bottom"/>
          </w:tcPr>
          <w:p>
            <w:pPr>
              <w:ind w:left="20"/>
              <w:spacing w:after="0"/>
              <w:rPr>
                <w:sz w:val="20"/>
                <w:szCs w:val="20"/>
                <w:color w:val="auto"/>
              </w:rPr>
            </w:pPr>
            <w:r>
              <w:rPr>
                <w:rFonts w:ascii="Arial" w:cs="Arial" w:eastAsia="Arial" w:hAnsi="Arial"/>
                <w:sz w:val="11"/>
                <w:szCs w:val="11"/>
                <w:color w:val="auto"/>
              </w:rPr>
              <w:t>Legal fees (4)</w:t>
            </w:r>
          </w:p>
        </w:tc>
        <w:tc>
          <w:tcPr>
            <w:tcW w:w="10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929292"/>
            </w:tcBorders>
          </w:tcPr>
          <w:p>
            <w:pPr>
              <w:spacing w:after="0"/>
              <w:rPr>
                <w:sz w:val="14"/>
                <w:szCs w:val="14"/>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53"/>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Adjusted EBITDA</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11,073</w:t>
            </w:r>
          </w:p>
        </w:tc>
        <w:tc>
          <w:tcPr>
            <w:tcW w:w="40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32,056</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Adjusted EBITDA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40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vMerge w:val="continue"/>
          </w:tcPr>
          <w:p>
            <w:pPr>
              <w:spacing w:after="0"/>
              <w:rPr>
                <w:sz w:val="12"/>
                <w:szCs w:val="12"/>
                <w:color w:val="auto"/>
              </w:rPr>
            </w:pP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4.1 %</w:t>
            </w: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15.7 %</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non-cash share-based compensation expense relating to equity awards.</w:t>
      </w:r>
    </w:p>
    <w:p>
      <w:pPr>
        <w:spacing w:after="0" w:line="9"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costs associated with the termination of employment and associated fees.</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costs associated with non-recurring consulting fees.</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non-recurring legal fees unrelated to our core operations.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16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160" w:type="dxa"/>
            <w:vAlign w:val="bottom"/>
            <w:tcBorders>
              <w:left w:val="single" w:sz="8" w:color="929292"/>
            </w:tcBorders>
          </w:tcPr>
          <w:p>
            <w:pPr>
              <w:ind w:left="2120"/>
              <w:spacing w:after="0"/>
              <w:rPr>
                <w:sz w:val="20"/>
                <w:szCs w:val="20"/>
                <w:color w:val="auto"/>
              </w:rPr>
            </w:pPr>
            <w:r>
              <w:rPr>
                <w:rFonts w:ascii="Arial" w:cs="Arial" w:eastAsia="Arial" w:hAnsi="Arial"/>
                <w:sz w:val="11"/>
                <w:szCs w:val="11"/>
                <w:b w:val="1"/>
                <w:bCs w:val="1"/>
                <w:color w:val="00497F"/>
              </w:rPr>
              <w:t>Adjusted EBITDA</w:t>
            </w: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Borders>
              <w:bottom w:val="single" w:sz="8" w:color="929292"/>
            </w:tcBorders>
          </w:tcPr>
          <w:p>
            <w:pPr>
              <w:spacing w:after="0"/>
              <w:rPr>
                <w:sz w:val="14"/>
                <w:szCs w:val="14"/>
                <w:color w:val="auto"/>
              </w:rPr>
            </w:pPr>
          </w:p>
        </w:tc>
        <w:tc>
          <w:tcPr>
            <w:tcW w:w="11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2021</w:t>
            </w:r>
          </w:p>
        </w:tc>
        <w:tc>
          <w:tcPr>
            <w:tcW w:w="340" w:type="dxa"/>
            <w:vAlign w:val="bottom"/>
            <w:tcBorders>
              <w:bottom w:val="single" w:sz="8" w:color="929292"/>
            </w:tcBorders>
          </w:tcPr>
          <w:p>
            <w:pPr>
              <w:spacing w:after="0"/>
              <w:rPr>
                <w:sz w:val="14"/>
                <w:szCs w:val="14"/>
                <w:color w:val="auto"/>
              </w:rPr>
            </w:pPr>
          </w:p>
        </w:tc>
        <w:tc>
          <w:tcPr>
            <w:tcW w:w="1420" w:type="dxa"/>
            <w:vAlign w:val="bottom"/>
            <w:tcBorders>
              <w:bottom w:val="single" w:sz="8" w:color="929292"/>
            </w:tcBorders>
          </w:tcPr>
          <w:p>
            <w:pPr>
              <w:jc w:val="right"/>
              <w:ind w:right="683"/>
              <w:spacing w:after="0"/>
              <w:rPr>
                <w:sz w:val="20"/>
                <w:szCs w:val="20"/>
                <w:color w:val="auto"/>
              </w:rPr>
            </w:pPr>
            <w:r>
              <w:rPr>
                <w:rFonts w:ascii="Arial" w:cs="Arial" w:eastAsia="Arial" w:hAnsi="Arial"/>
                <w:sz w:val="11"/>
                <w:szCs w:val="11"/>
                <w:color w:val="auto"/>
              </w:rPr>
              <w:t>$ Change</w:t>
            </w:r>
          </w:p>
        </w:tc>
        <w:tc>
          <w:tcPr>
            <w:tcW w:w="132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 Change</w:t>
            </w:r>
          </w:p>
        </w:tc>
      </w:tr>
      <w:tr>
        <w:trPr>
          <w:trHeight w:val="147"/>
        </w:trPr>
        <w:tc>
          <w:tcPr>
            <w:tcW w:w="516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11,073</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32,056</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43"/>
              <w:spacing w:after="0"/>
              <w:rPr>
                <w:sz w:val="20"/>
                <w:szCs w:val="20"/>
                <w:color w:val="auto"/>
              </w:rPr>
            </w:pPr>
            <w:r>
              <w:rPr>
                <w:rFonts w:ascii="Arial" w:cs="Arial" w:eastAsia="Arial" w:hAnsi="Arial"/>
                <w:sz w:val="11"/>
                <w:szCs w:val="11"/>
                <w:color w:val="auto"/>
              </w:rPr>
              <w:t>(20,983)</w:t>
            </w:r>
          </w:p>
        </w:tc>
        <w:tc>
          <w:tcPr>
            <w:tcW w:w="1320" w:type="dxa"/>
            <w:vAlign w:val="bottom"/>
          </w:tcPr>
          <w:p>
            <w:pPr>
              <w:jc w:val="right"/>
              <w:spacing w:after="0"/>
              <w:rPr>
                <w:sz w:val="20"/>
                <w:szCs w:val="20"/>
                <w:color w:val="auto"/>
              </w:rPr>
            </w:pPr>
            <w:r>
              <w:rPr>
                <w:rFonts w:ascii="Arial" w:cs="Arial" w:eastAsia="Arial" w:hAnsi="Arial"/>
                <w:sz w:val="11"/>
                <w:szCs w:val="11"/>
                <w:color w:val="auto"/>
              </w:rPr>
              <w:t>(65.5)%</w:t>
            </w:r>
          </w:p>
        </w:tc>
      </w:tr>
    </w:tbl>
    <w:p>
      <w:pPr>
        <w:spacing w:after="0" w:line="223" w:lineRule="exact"/>
        <w:rPr>
          <w:sz w:val="20"/>
          <w:szCs w:val="20"/>
          <w:color w:val="auto"/>
        </w:rPr>
      </w:pPr>
    </w:p>
    <w:p>
      <w:pPr>
        <w:ind w:right="380"/>
        <w:spacing w:after="0" w:line="283" w:lineRule="auto"/>
        <w:rPr>
          <w:sz w:val="20"/>
          <w:szCs w:val="20"/>
          <w:color w:val="auto"/>
        </w:rPr>
      </w:pPr>
      <w:r>
        <w:rPr>
          <w:rFonts w:ascii="Arial" w:cs="Arial" w:eastAsia="Arial" w:hAnsi="Arial"/>
          <w:sz w:val="13"/>
          <w:szCs w:val="13"/>
          <w:color w:val="auto"/>
        </w:rPr>
        <w:t>The decrease for the three months ended March 31, 2022 compared to the prior year period was primarily due to increases in agent costs associated with a larger agent workforce and increased marketing and advertising spend, which drove a 62% increase in total Medicare Advantage commissionable Approved Submissions over the prior year period.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 xml:space="preserve">We are organized under the following four reportable segments: (1) </w:t>
      </w:r>
      <w:r>
        <w:rPr>
          <w:rFonts w:ascii="Arial" w:cs="Arial" w:eastAsia="Arial" w:hAnsi="Arial"/>
          <w:sz w:val="13"/>
          <w:szCs w:val="13"/>
          <w:b w:val="1"/>
          <w:bCs w:val="1"/>
          <w:color w:val="00497F"/>
        </w:rPr>
        <w:t>Medicare—Internal</w:t>
      </w:r>
      <w:r>
        <w:rPr>
          <w:rFonts w:ascii="Arial" w:cs="Arial" w:eastAsia="Arial" w:hAnsi="Arial"/>
          <w:sz w:val="13"/>
          <w:szCs w:val="13"/>
          <w:color w:val="auto"/>
        </w:rPr>
        <w:t xml:space="preserve">, (2) </w:t>
      </w:r>
      <w:r>
        <w:rPr>
          <w:rFonts w:ascii="Arial" w:cs="Arial" w:eastAsia="Arial" w:hAnsi="Arial"/>
          <w:sz w:val="13"/>
          <w:szCs w:val="13"/>
          <w:b w:val="1"/>
          <w:bCs w:val="1"/>
          <w:color w:val="00497F"/>
        </w:rPr>
        <w:t>Medicare—External</w:t>
      </w:r>
      <w:r>
        <w:rPr>
          <w:rFonts w:ascii="Arial" w:cs="Arial" w:eastAsia="Arial" w:hAnsi="Arial"/>
          <w:sz w:val="13"/>
          <w:szCs w:val="13"/>
          <w:color w:val="auto"/>
        </w:rPr>
        <w:t xml:space="preserve">, (3) </w:t>
      </w:r>
      <w:r>
        <w:rPr>
          <w:rFonts w:ascii="Arial" w:cs="Arial" w:eastAsia="Arial" w:hAnsi="Arial"/>
          <w:sz w:val="13"/>
          <w:szCs w:val="13"/>
          <w:b w:val="1"/>
          <w:bCs w:val="1"/>
          <w:color w:val="00497F"/>
        </w:rPr>
        <w:t>Individual and Family Plans (“IFP”) and Other—Internal</w:t>
      </w:r>
      <w:r>
        <w:rPr>
          <w:rFonts w:ascii="Arial" w:cs="Arial" w:eastAsia="Arial" w:hAnsi="Arial"/>
          <w:sz w:val="13"/>
          <w:szCs w:val="13"/>
          <w:color w:val="auto"/>
        </w:rPr>
        <w:t xml:space="preserve"> and (4) </w:t>
      </w:r>
      <w:r>
        <w:rPr>
          <w:rFonts w:ascii="Arial" w:cs="Arial" w:eastAsia="Arial" w:hAnsi="Arial"/>
          <w:sz w:val="13"/>
          <w:szCs w:val="13"/>
          <w:b w:val="1"/>
          <w:bCs w:val="1"/>
          <w:color w:val="00497F"/>
        </w:rPr>
        <w:t>IFP and</w:t>
      </w:r>
      <w:r>
        <w:rPr>
          <w:rFonts w:ascii="Arial" w:cs="Arial" w:eastAsia="Arial" w:hAnsi="Arial"/>
          <w:sz w:val="13"/>
          <w:szCs w:val="13"/>
          <w:color w:val="auto"/>
        </w:rPr>
        <w:t xml:space="preserve"> </w:t>
      </w:r>
      <w:r>
        <w:rPr>
          <w:rFonts w:ascii="Arial" w:cs="Arial" w:eastAsia="Arial" w:hAnsi="Arial"/>
          <w:sz w:val="13"/>
          <w:szCs w:val="13"/>
          <w:b w:val="1"/>
          <w:bCs w:val="1"/>
          <w:color w:val="00497F"/>
        </w:rPr>
        <w:t>Other—External</w:t>
      </w:r>
      <w:r>
        <w:rPr>
          <w:rFonts w:ascii="Arial" w:cs="Arial" w:eastAsia="Arial" w:hAnsi="Arial"/>
          <w:sz w:val="13"/>
          <w:szCs w:val="13"/>
          <w:color w:val="000000"/>
        </w:rPr>
        <w:t>. The basis for our segmentation is product type and distribution channel. We organize the segments by product type, Medicare and IFP and Other, as well as by distribution channel,</w:t>
      </w:r>
      <w:r>
        <w:rPr>
          <w:rFonts w:ascii="Arial" w:cs="Arial" w:eastAsia="Arial" w:hAnsi="Arial"/>
          <w:sz w:val="13"/>
          <w:szCs w:val="13"/>
          <w:b w:val="1"/>
          <w:bCs w:val="1"/>
          <w:color w:val="00497F"/>
        </w:rPr>
        <w:t xml:space="preserve"> </w:t>
      </w:r>
      <w:r>
        <w:rPr>
          <w:rFonts w:ascii="Arial" w:cs="Arial" w:eastAsia="Arial" w:hAnsi="Arial"/>
          <w:sz w:val="13"/>
          <w:szCs w:val="13"/>
          <w:color w:val="000000"/>
        </w:rPr>
        <w:t>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4"/>
          </w:tcPr>
          <w:p>
            <w:pPr>
              <w:jc w:val="right"/>
              <w:ind w:right="663"/>
              <w:spacing w:after="0"/>
              <w:rPr>
                <w:sz w:val="20"/>
                <w:szCs w:val="20"/>
                <w:color w:val="auto"/>
              </w:rPr>
            </w:pPr>
            <w:r>
              <w:rPr>
                <w:rFonts w:ascii="Arial" w:cs="Arial" w:eastAsia="Arial" w:hAnsi="Arial"/>
                <w:sz w:val="11"/>
                <w:szCs w:val="11"/>
                <w:color w:val="auto"/>
              </w:rPr>
              <w:t>Three months ended Mar. 31,</w:t>
            </w:r>
          </w:p>
        </w:tc>
      </w:tr>
      <w:tr>
        <w:trPr>
          <w:trHeight w:val="152"/>
        </w:trPr>
        <w:tc>
          <w:tcPr>
            <w:tcW w:w="824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929292"/>
            </w:tcBorders>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Net revenues:</w:t>
            </w:r>
          </w:p>
        </w:tc>
        <w:tc>
          <w:tcPr>
            <w:tcW w:w="100" w:type="dxa"/>
            <w:vAlign w:val="bottom"/>
            <w:shd w:val="clear" w:color="auto" w:fill="929292"/>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100" w:type="dxa"/>
            <w:vAlign w:val="bottom"/>
            <w:shd w:val="clear" w:color="auto" w:fill="929292"/>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203,845</w:t>
            </w:r>
          </w:p>
        </w:tc>
        <w:tc>
          <w:tcPr>
            <w:tcW w:w="10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157,353</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Medicare—External</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61,486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39,500</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4,200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3,975</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IFP and Other—External</w:t>
            </w: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1,062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3,351</w:t>
            </w:r>
          </w:p>
        </w:tc>
      </w:tr>
      <w:tr>
        <w:trPr>
          <w:trHeight w:val="150"/>
        </w:trPr>
        <w:tc>
          <w:tcPr>
            <w:tcW w:w="8240" w:type="dxa"/>
            <w:vAlign w:val="bottom"/>
          </w:tcPr>
          <w:p>
            <w:pPr>
              <w:ind w:left="20"/>
              <w:spacing w:after="0"/>
              <w:rPr>
                <w:sz w:val="20"/>
                <w:szCs w:val="20"/>
                <w:color w:val="auto"/>
              </w:rPr>
            </w:pPr>
            <w:r>
              <w:rPr>
                <w:rFonts w:ascii="Arial" w:cs="Arial" w:eastAsia="Arial" w:hAnsi="Arial"/>
                <w:sz w:val="11"/>
                <w:szCs w:val="11"/>
                <w:color w:val="auto"/>
              </w:rPr>
              <w:t>Net revenues</w:t>
            </w: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270,593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204,179</w:t>
            </w:r>
          </w:p>
        </w:tc>
      </w:tr>
      <w:tr>
        <w:trPr>
          <w:trHeight w:val="139"/>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Segment profit (loss):</w:t>
            </w:r>
          </w:p>
        </w:tc>
        <w:tc>
          <w:tcPr>
            <w:tcW w:w="100" w:type="dxa"/>
            <w:vAlign w:val="bottom"/>
            <w:shd w:val="clear" w:color="auto" w:fill="929292"/>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34,839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46,443</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Medicare—External</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(7,793)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(631)</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590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(729)</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IFP and Other—External</w:t>
            </w: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160</w:t>
            </w:r>
          </w:p>
        </w:tc>
      </w:tr>
      <w:tr>
        <w:trPr>
          <w:trHeight w:val="150"/>
        </w:trPr>
        <w:tc>
          <w:tcPr>
            <w:tcW w:w="8240" w:type="dxa"/>
            <w:vAlign w:val="bottom"/>
          </w:tcPr>
          <w:p>
            <w:pPr>
              <w:ind w:left="20"/>
              <w:spacing w:after="0"/>
              <w:rPr>
                <w:sz w:val="20"/>
                <w:szCs w:val="20"/>
                <w:color w:val="auto"/>
              </w:rPr>
            </w:pPr>
            <w:r>
              <w:rPr>
                <w:rFonts w:ascii="Arial" w:cs="Arial" w:eastAsia="Arial" w:hAnsi="Arial"/>
                <w:sz w:val="11"/>
                <w:szCs w:val="11"/>
                <w:color w:val="auto"/>
              </w:rPr>
              <w:t>Segment profit (loss)</w:t>
            </w: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27,378</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45,243</w:t>
            </w:r>
          </w:p>
        </w:tc>
      </w:tr>
      <w:tr>
        <w:trPr>
          <w:trHeight w:val="150"/>
        </w:trPr>
        <w:tc>
          <w:tcPr>
            <w:tcW w:w="8240" w:type="dxa"/>
            <w:vAlign w:val="bottom"/>
          </w:tcPr>
          <w:p>
            <w:pPr>
              <w:ind w:left="180"/>
              <w:spacing w:after="0"/>
              <w:rPr>
                <w:sz w:val="20"/>
                <w:szCs w:val="20"/>
                <w:color w:val="auto"/>
              </w:rPr>
            </w:pPr>
            <w:r>
              <w:rPr>
                <w:rFonts w:ascii="Arial" w:cs="Arial" w:eastAsia="Arial" w:hAnsi="Arial"/>
                <w:sz w:val="11"/>
                <w:szCs w:val="11"/>
                <w:color w:val="auto"/>
              </w:rPr>
              <w:t>Corporate expense</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29,172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20,319</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23,514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23,514</w:t>
            </w:r>
          </w:p>
        </w:tc>
      </w:tr>
      <w:tr>
        <w:trPr>
          <w:trHeight w:val="159"/>
        </w:trPr>
        <w:tc>
          <w:tcPr>
            <w:tcW w:w="824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11,398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8,688</w:t>
            </w:r>
          </w:p>
        </w:tc>
      </w:tr>
      <w:tr>
        <w:trPr>
          <w:trHeight w:val="162"/>
        </w:trPr>
        <w:tc>
          <w:tcPr>
            <w:tcW w:w="8240" w:type="dxa"/>
            <w:vAlign w:val="bottom"/>
          </w:tcPr>
          <w:p>
            <w:pPr>
              <w:ind w:left="180"/>
              <w:spacing w:after="0"/>
              <w:rPr>
                <w:sz w:val="20"/>
                <w:szCs w:val="20"/>
                <w:color w:val="auto"/>
              </w:rPr>
            </w:pPr>
            <w:r>
              <w:rPr>
                <w:rFonts w:ascii="Arial" w:cs="Arial" w:eastAsia="Arial" w:hAnsi="Arial"/>
                <w:sz w:val="11"/>
                <w:szCs w:val="11"/>
                <w:color w:val="auto"/>
              </w:rPr>
              <w:t>Other (income) expense, net</w:t>
            </w:r>
          </w:p>
        </w:tc>
        <w:tc>
          <w:tcPr>
            <w:tcW w:w="10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w:t>
            </w:r>
          </w:p>
        </w:tc>
      </w:tr>
      <w:tr>
        <w:trPr>
          <w:trHeight w:val="173"/>
        </w:trPr>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00" w:type="dxa"/>
            <w:vAlign w:val="bottom"/>
            <w:tcBorders>
              <w:bottom w:val="single" w:sz="8" w:color="929292"/>
            </w:tcBorders>
            <w:shd w:val="clear" w:color="auto" w:fill="929292"/>
          </w:tcPr>
          <w:p>
            <w:pPr>
              <w:spacing w:after="0"/>
              <w:rPr>
                <w:sz w:val="15"/>
                <w:szCs w:val="15"/>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(36,769)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(7,291)</w:t>
            </w: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Medicare-Internal Segment</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The Medicare—Internal segment relates to sales of products and plans by GoHealth-employed agents offering 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generated, as well as enrollment fees, hourly fees and other fees for services performed for specific carriers and other partners. The Medicare—Internal segment is our largest and fastest growing segment, and represented 127% of segment profits in 2022.</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Medicare—Internal</w:t>
            </w: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0" w:type="dxa"/>
            <w:vAlign w:val="bottom"/>
          </w:tcPr>
          <w:p>
            <w:pPr>
              <w:spacing w:after="0"/>
              <w:rPr>
                <w:sz w:val="1"/>
                <w:szCs w:val="1"/>
                <w:color w:val="auto"/>
              </w:rPr>
            </w:pPr>
          </w:p>
        </w:tc>
      </w:tr>
      <w:tr>
        <w:trPr>
          <w:trHeight w:val="80"/>
        </w:trPr>
        <w:tc>
          <w:tcPr>
            <w:tcW w:w="2580" w:type="dxa"/>
            <w:vAlign w:val="bottom"/>
            <w:tcBorders>
              <w:left w:val="single" w:sz="8" w:color="929292"/>
            </w:tcBorders>
            <w:vMerge w:val="continue"/>
          </w:tcPr>
          <w:p>
            <w:pPr>
              <w:spacing w:after="0"/>
              <w:rPr>
                <w:sz w:val="6"/>
                <w:szCs w:val="6"/>
                <w:color w:val="auto"/>
              </w:rPr>
            </w:pPr>
          </w:p>
        </w:tc>
        <w:tc>
          <w:tcPr>
            <w:tcW w:w="80" w:type="dxa"/>
            <w:vAlign w:val="bottom"/>
            <w:shd w:val="clear" w:color="auto" w:fill="929292"/>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6"/>
                <w:szCs w:val="6"/>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Pr>
          <w:p>
            <w:pPr>
              <w:spacing w:after="0"/>
              <w:rPr>
                <w:sz w:val="6"/>
                <w:szCs w:val="6"/>
                <w:color w:val="auto"/>
              </w:rPr>
            </w:pPr>
          </w:p>
        </w:tc>
        <w:tc>
          <w:tcPr>
            <w:tcW w:w="1420" w:type="dxa"/>
            <w:vAlign w:val="bottom"/>
            <w:vMerge w:val="restart"/>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vMerge w:val="restart"/>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85"/>
        </w:trPr>
        <w:tc>
          <w:tcPr>
            <w:tcW w:w="258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color w:val="00497F"/>
              </w:rPr>
              <w:t>Net Revenues</w:t>
            </w:r>
          </w:p>
        </w:tc>
        <w:tc>
          <w:tcPr>
            <w:tcW w:w="80" w:type="dxa"/>
            <w:vAlign w:val="bottom"/>
            <w:tcBorders>
              <w:bottom w:val="single" w:sz="8" w:color="929292"/>
            </w:tcBorders>
            <w:shd w:val="clear" w:color="auto" w:fill="929292"/>
          </w:tcPr>
          <w:p>
            <w:pPr>
              <w:spacing w:after="0"/>
              <w:rPr>
                <w:sz w:val="7"/>
                <w:szCs w:val="7"/>
                <w:color w:val="auto"/>
              </w:rPr>
            </w:pPr>
          </w:p>
        </w:tc>
        <w:tc>
          <w:tcPr>
            <w:tcW w:w="34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vMerge w:val="continue"/>
          </w:tcPr>
          <w:p>
            <w:pPr>
              <w:spacing w:after="0"/>
              <w:rPr>
                <w:sz w:val="7"/>
                <w:szCs w:val="7"/>
                <w:color w:val="auto"/>
              </w:rPr>
            </w:pPr>
          </w:p>
        </w:tc>
        <w:tc>
          <w:tcPr>
            <w:tcW w:w="40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vMerge w:val="continue"/>
          </w:tcPr>
          <w:p>
            <w:pPr>
              <w:spacing w:after="0"/>
              <w:rPr>
                <w:sz w:val="7"/>
                <w:szCs w:val="7"/>
                <w:color w:val="auto"/>
              </w:rPr>
            </w:pPr>
          </w:p>
        </w:tc>
        <w:tc>
          <w:tcPr>
            <w:tcW w:w="320" w:type="dxa"/>
            <w:vAlign w:val="bottom"/>
            <w:tcBorders>
              <w:bottom w:val="single" w:sz="8" w:color="929292"/>
            </w:tcBorders>
          </w:tcPr>
          <w:p>
            <w:pPr>
              <w:spacing w:after="0"/>
              <w:rPr>
                <w:sz w:val="7"/>
                <w:szCs w:val="7"/>
                <w:color w:val="auto"/>
              </w:rPr>
            </w:pPr>
          </w:p>
        </w:tc>
        <w:tc>
          <w:tcPr>
            <w:tcW w:w="1420" w:type="dxa"/>
            <w:vAlign w:val="bottom"/>
            <w:tcBorders>
              <w:bottom w:val="single" w:sz="8" w:color="929292"/>
            </w:tcBorders>
            <w:vMerge w:val="continue"/>
          </w:tcPr>
          <w:p>
            <w:pPr>
              <w:spacing w:after="0"/>
              <w:rPr>
                <w:sz w:val="7"/>
                <w:szCs w:val="7"/>
                <w:color w:val="auto"/>
              </w:rPr>
            </w:pPr>
          </w:p>
        </w:tc>
        <w:tc>
          <w:tcPr>
            <w:tcW w:w="1400" w:type="dxa"/>
            <w:vAlign w:val="bottom"/>
            <w:tcBorders>
              <w:bottom w:val="single" w:sz="8" w:color="929292"/>
            </w:tcBorders>
            <w:vMerge w:val="continue"/>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580" w:type="dxa"/>
            <w:vAlign w:val="bottom"/>
            <w:tcBorders>
              <w:left w:val="single" w:sz="8" w:color="929292"/>
            </w:tcBorders>
            <w:vMerge w:val="continue"/>
          </w:tcPr>
          <w:p>
            <w:pPr>
              <w:spacing w:after="0"/>
              <w:rPr>
                <w:sz w:val="3"/>
                <w:szCs w:val="3"/>
                <w:color w:val="auto"/>
              </w:rPr>
            </w:pPr>
          </w:p>
        </w:tc>
        <w:tc>
          <w:tcPr>
            <w:tcW w:w="80" w:type="dxa"/>
            <w:vAlign w:val="bottom"/>
            <w:shd w:val="clear" w:color="auto" w:fill="929292"/>
          </w:tcPr>
          <w:p>
            <w:pPr>
              <w:spacing w:after="0"/>
              <w:rPr>
                <w:sz w:val="3"/>
                <w:szCs w:val="3"/>
                <w:color w:val="auto"/>
              </w:rPr>
            </w:pPr>
          </w:p>
        </w:tc>
        <w:tc>
          <w:tcPr>
            <w:tcW w:w="340" w:type="dxa"/>
            <w:vAlign w:val="bottom"/>
            <w:vMerge w:val="restart"/>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vMerge w:val="restart"/>
          </w:tcPr>
          <w:p>
            <w:pPr>
              <w:jc w:val="right"/>
              <w:ind w:right="23"/>
              <w:spacing w:after="0"/>
              <w:rPr>
                <w:sz w:val="20"/>
                <w:szCs w:val="20"/>
                <w:color w:val="auto"/>
              </w:rPr>
            </w:pPr>
            <w:r>
              <w:rPr>
                <w:rFonts w:ascii="Arial" w:cs="Arial" w:eastAsia="Arial" w:hAnsi="Arial"/>
                <w:sz w:val="11"/>
                <w:szCs w:val="11"/>
                <w:color w:val="auto"/>
              </w:rPr>
              <w:t>203,845</w:t>
            </w:r>
          </w:p>
        </w:tc>
        <w:tc>
          <w:tcPr>
            <w:tcW w:w="40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3"/>
              <w:spacing w:after="0"/>
              <w:rPr>
                <w:sz w:val="20"/>
                <w:szCs w:val="20"/>
                <w:color w:val="auto"/>
              </w:rPr>
            </w:pPr>
            <w:r>
              <w:rPr>
                <w:rFonts w:ascii="Arial" w:cs="Arial" w:eastAsia="Arial" w:hAnsi="Arial"/>
                <w:sz w:val="11"/>
                <w:szCs w:val="11"/>
                <w:color w:val="auto"/>
              </w:rPr>
              <w:t>157,353</w:t>
            </w:r>
          </w:p>
        </w:tc>
        <w:tc>
          <w:tcPr>
            <w:tcW w:w="32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vMerge w:val="restart"/>
          </w:tcPr>
          <w:p>
            <w:pPr>
              <w:jc w:val="right"/>
              <w:ind w:right="263"/>
              <w:spacing w:after="0"/>
              <w:rPr>
                <w:sz w:val="20"/>
                <w:szCs w:val="20"/>
                <w:color w:val="auto"/>
              </w:rPr>
            </w:pPr>
            <w:r>
              <w:rPr>
                <w:rFonts w:ascii="Arial" w:cs="Arial" w:eastAsia="Arial" w:hAnsi="Arial"/>
                <w:sz w:val="11"/>
                <w:szCs w:val="11"/>
                <w:color w:val="auto"/>
              </w:rPr>
              <w:t>46,492</w:t>
            </w:r>
          </w:p>
        </w:tc>
        <w:tc>
          <w:tcPr>
            <w:tcW w:w="1400" w:type="dxa"/>
            <w:vAlign w:val="bottom"/>
            <w:vMerge w:val="restart"/>
          </w:tcPr>
          <w:p>
            <w:pPr>
              <w:jc w:val="right"/>
              <w:ind w:right="43"/>
              <w:spacing w:after="0"/>
              <w:rPr>
                <w:sz w:val="20"/>
                <w:szCs w:val="20"/>
                <w:color w:val="auto"/>
              </w:rPr>
            </w:pPr>
            <w:r>
              <w:rPr>
                <w:rFonts w:ascii="Arial" w:cs="Arial" w:eastAsia="Arial" w:hAnsi="Arial"/>
                <w:sz w:val="11"/>
                <w:szCs w:val="11"/>
                <w:color w:val="auto"/>
              </w:rPr>
              <w:t>29.5 %</w:t>
            </w:r>
          </w:p>
        </w:tc>
        <w:tc>
          <w:tcPr>
            <w:tcW w:w="1260" w:type="dxa"/>
            <w:vAlign w:val="bottom"/>
            <w:vMerge w:val="restart"/>
            <w:shd w:val="clear" w:color="auto" w:fill="929292"/>
          </w:tcPr>
          <w:p>
            <w:pPr>
              <w:jc w:val="right"/>
              <w:ind w:right="403"/>
              <w:spacing w:after="0"/>
              <w:rPr>
                <w:sz w:val="20"/>
                <w:szCs w:val="20"/>
                <w:color w:val="auto"/>
              </w:rPr>
            </w:pPr>
            <w:r>
              <w:rPr>
                <w:rFonts w:ascii="Arial" w:cs="Arial" w:eastAsia="Arial" w:hAnsi="Arial"/>
                <w:sz w:val="11"/>
                <w:szCs w:val="11"/>
                <w:color w:val="FFFFFF"/>
              </w:rPr>
              <w:t>75.4%</w:t>
            </w:r>
          </w:p>
        </w:tc>
        <w:tc>
          <w:tcPr>
            <w:tcW w:w="1260" w:type="dxa"/>
            <w:vAlign w:val="bottom"/>
            <w:vMerge w:val="restart"/>
            <w:shd w:val="clear" w:color="auto" w:fill="929292"/>
          </w:tcPr>
          <w:p>
            <w:pPr>
              <w:jc w:val="right"/>
              <w:ind w:right="403"/>
              <w:spacing w:after="0"/>
              <w:rPr>
                <w:sz w:val="20"/>
                <w:szCs w:val="20"/>
                <w:color w:val="auto"/>
              </w:rPr>
            </w:pPr>
            <w:r>
              <w:rPr>
                <w:rFonts w:ascii="Arial" w:cs="Arial" w:eastAsia="Arial" w:hAnsi="Arial"/>
                <w:sz w:val="11"/>
                <w:szCs w:val="11"/>
                <w:color w:val="FFFFFF"/>
              </w:rPr>
              <w:t>77.0%</w:t>
            </w:r>
          </w:p>
        </w:tc>
        <w:tc>
          <w:tcPr>
            <w:tcW w:w="0" w:type="dxa"/>
            <w:vAlign w:val="bottom"/>
          </w:tcPr>
          <w:p>
            <w:pPr>
              <w:spacing w:after="0"/>
              <w:rPr>
                <w:sz w:val="1"/>
                <w:szCs w:val="1"/>
                <w:color w:val="auto"/>
              </w:rPr>
            </w:pPr>
          </w:p>
        </w:tc>
      </w:tr>
      <w:tr>
        <w:trPr>
          <w:trHeight w:val="109"/>
        </w:trPr>
        <w:tc>
          <w:tcPr>
            <w:tcW w:w="2580" w:type="dxa"/>
            <w:vAlign w:val="bottom"/>
            <w:tcBorders>
              <w:left w:val="single" w:sz="8" w:color="929292"/>
              <w:bottom w:val="single" w:sz="8" w:color="929292"/>
            </w:tcBorders>
          </w:tcPr>
          <w:p>
            <w:pPr>
              <w:spacing w:after="0"/>
              <w:rPr>
                <w:sz w:val="9"/>
                <w:szCs w:val="9"/>
                <w:color w:val="auto"/>
              </w:rPr>
            </w:pPr>
          </w:p>
        </w:tc>
        <w:tc>
          <w:tcPr>
            <w:tcW w:w="80" w:type="dxa"/>
            <w:vAlign w:val="bottom"/>
            <w:tcBorders>
              <w:bottom w:val="single" w:sz="8" w:color="929292"/>
            </w:tcBorders>
            <w:shd w:val="clear" w:color="auto" w:fill="929292"/>
          </w:tcPr>
          <w:p>
            <w:pPr>
              <w:spacing w:after="0"/>
              <w:rPr>
                <w:sz w:val="9"/>
                <w:szCs w:val="9"/>
                <w:color w:val="auto"/>
              </w:rPr>
            </w:pPr>
          </w:p>
        </w:tc>
        <w:tc>
          <w:tcPr>
            <w:tcW w:w="3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vMerge w:val="continue"/>
            <w:shd w:val="clear" w:color="auto" w:fill="929292"/>
          </w:tcPr>
          <w:p>
            <w:pPr>
              <w:spacing w:after="0"/>
              <w:rPr>
                <w:sz w:val="9"/>
                <w:szCs w:val="9"/>
                <w:color w:val="auto"/>
              </w:rPr>
            </w:pPr>
          </w:p>
        </w:tc>
        <w:tc>
          <w:tcPr>
            <w:tcW w:w="1260" w:type="dxa"/>
            <w:vAlign w:val="bottom"/>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the hiring of additional agents and an increase in marketing costs to generate a greater number of prospects for a larger agent workforce, which drove a 46% increase in commissionable Approved Submissions.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Medicare—Internal</w:t>
            </w: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c>
          <w:tcPr>
            <w:tcW w:w="0" w:type="dxa"/>
            <w:vAlign w:val="bottom"/>
          </w:tcPr>
          <w:p>
            <w:pPr>
              <w:spacing w:after="0"/>
              <w:rPr>
                <w:sz w:val="1"/>
                <w:szCs w:val="1"/>
                <w:color w:val="auto"/>
              </w:rPr>
            </w:pPr>
          </w:p>
        </w:tc>
      </w:tr>
      <w:tr>
        <w:trPr>
          <w:trHeight w:val="81"/>
        </w:trPr>
        <w:tc>
          <w:tcPr>
            <w:tcW w:w="2580" w:type="dxa"/>
            <w:vAlign w:val="bottom"/>
            <w:tcBorders>
              <w:left w:val="single" w:sz="8" w:color="929292"/>
            </w:tcBorders>
            <w:vMerge w:val="continue"/>
          </w:tcPr>
          <w:p>
            <w:pPr>
              <w:spacing w:after="0"/>
              <w:rPr>
                <w:sz w:val="7"/>
                <w:szCs w:val="7"/>
                <w:color w:val="auto"/>
              </w:rPr>
            </w:pPr>
          </w:p>
        </w:tc>
        <w:tc>
          <w:tcPr>
            <w:tcW w:w="80" w:type="dxa"/>
            <w:vAlign w:val="bottom"/>
            <w:shd w:val="clear" w:color="auto" w:fill="929292"/>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7"/>
                <w:szCs w:val="7"/>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Pr>
          <w:p>
            <w:pPr>
              <w:spacing w:after="0"/>
              <w:rPr>
                <w:sz w:val="7"/>
                <w:szCs w:val="7"/>
                <w:color w:val="auto"/>
              </w:rPr>
            </w:pPr>
          </w:p>
        </w:tc>
        <w:tc>
          <w:tcPr>
            <w:tcW w:w="1420" w:type="dxa"/>
            <w:vAlign w:val="bottom"/>
            <w:vMerge w:val="restart"/>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vMerge w:val="restart"/>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89"/>
        </w:trPr>
        <w:tc>
          <w:tcPr>
            <w:tcW w:w="2580" w:type="dxa"/>
            <w:vAlign w:val="bottom"/>
            <w:tcBorders>
              <w:left w:val="single" w:sz="8" w:color="929292"/>
            </w:tcBorders>
          </w:tcPr>
          <w:p>
            <w:pPr>
              <w:jc w:val="center"/>
              <w:spacing w:after="0" w:line="86" w:lineRule="exact"/>
              <w:rPr>
                <w:sz w:val="20"/>
                <w:szCs w:val="20"/>
                <w:color w:val="auto"/>
              </w:rPr>
            </w:pPr>
            <w:r>
              <w:rPr>
                <w:rFonts w:ascii="Arial" w:cs="Arial" w:eastAsia="Arial" w:hAnsi="Arial"/>
                <w:sz w:val="9"/>
                <w:szCs w:val="9"/>
                <w:color w:val="00497F"/>
              </w:rPr>
              <w:t>Segment Profit (Loss)</w:t>
            </w:r>
          </w:p>
        </w:tc>
        <w:tc>
          <w:tcPr>
            <w:tcW w:w="80" w:type="dxa"/>
            <w:vAlign w:val="bottom"/>
            <w:tcBorders>
              <w:bottom w:val="single" w:sz="8" w:color="929292"/>
            </w:tcBorders>
            <w:shd w:val="clear" w:color="auto" w:fill="929292"/>
          </w:tcPr>
          <w:p>
            <w:pPr>
              <w:spacing w:after="0"/>
              <w:rPr>
                <w:sz w:val="7"/>
                <w:szCs w:val="7"/>
                <w:color w:val="auto"/>
              </w:rPr>
            </w:pPr>
          </w:p>
        </w:tc>
        <w:tc>
          <w:tcPr>
            <w:tcW w:w="34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vMerge w:val="continue"/>
          </w:tcPr>
          <w:p>
            <w:pPr>
              <w:spacing w:after="0"/>
              <w:rPr>
                <w:sz w:val="7"/>
                <w:szCs w:val="7"/>
                <w:color w:val="auto"/>
              </w:rPr>
            </w:pPr>
          </w:p>
        </w:tc>
        <w:tc>
          <w:tcPr>
            <w:tcW w:w="40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vMerge w:val="continue"/>
          </w:tcPr>
          <w:p>
            <w:pPr>
              <w:spacing w:after="0"/>
              <w:rPr>
                <w:sz w:val="7"/>
                <w:szCs w:val="7"/>
                <w:color w:val="auto"/>
              </w:rPr>
            </w:pPr>
          </w:p>
        </w:tc>
        <w:tc>
          <w:tcPr>
            <w:tcW w:w="320" w:type="dxa"/>
            <w:vAlign w:val="bottom"/>
            <w:tcBorders>
              <w:bottom w:val="single" w:sz="8" w:color="929292"/>
            </w:tcBorders>
          </w:tcPr>
          <w:p>
            <w:pPr>
              <w:spacing w:after="0"/>
              <w:rPr>
                <w:sz w:val="7"/>
                <w:szCs w:val="7"/>
                <w:color w:val="auto"/>
              </w:rPr>
            </w:pPr>
          </w:p>
        </w:tc>
        <w:tc>
          <w:tcPr>
            <w:tcW w:w="1420" w:type="dxa"/>
            <w:vAlign w:val="bottom"/>
            <w:tcBorders>
              <w:bottom w:val="single" w:sz="8" w:color="929292"/>
            </w:tcBorders>
            <w:vMerge w:val="continue"/>
          </w:tcPr>
          <w:p>
            <w:pPr>
              <w:spacing w:after="0"/>
              <w:rPr>
                <w:sz w:val="7"/>
                <w:szCs w:val="7"/>
                <w:color w:val="auto"/>
              </w:rPr>
            </w:pPr>
          </w:p>
        </w:tc>
        <w:tc>
          <w:tcPr>
            <w:tcW w:w="1400" w:type="dxa"/>
            <w:vAlign w:val="bottom"/>
            <w:tcBorders>
              <w:bottom w:val="single" w:sz="8" w:color="929292"/>
            </w:tcBorders>
            <w:vMerge w:val="continue"/>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580" w:type="dxa"/>
            <w:vAlign w:val="bottom"/>
            <w:tcBorders>
              <w:left w:val="single" w:sz="8" w:color="929292"/>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34,839</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46,443</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223"/>
              <w:spacing w:after="0"/>
              <w:rPr>
                <w:sz w:val="20"/>
                <w:szCs w:val="20"/>
                <w:color w:val="auto"/>
              </w:rPr>
            </w:pPr>
            <w:r>
              <w:rPr>
                <w:rFonts w:ascii="Arial" w:cs="Arial" w:eastAsia="Arial" w:hAnsi="Arial"/>
                <w:sz w:val="11"/>
                <w:szCs w:val="11"/>
                <w:color w:val="auto"/>
              </w:rPr>
              <w:t>(11,604)</w:t>
            </w:r>
          </w:p>
        </w:tc>
        <w:tc>
          <w:tcPr>
            <w:tcW w:w="1400" w:type="dxa"/>
            <w:vAlign w:val="bottom"/>
          </w:tcPr>
          <w:p>
            <w:pPr>
              <w:jc w:val="right"/>
              <w:ind w:right="43"/>
              <w:spacing w:after="0"/>
              <w:rPr>
                <w:sz w:val="20"/>
                <w:szCs w:val="20"/>
                <w:color w:val="auto"/>
              </w:rPr>
            </w:pPr>
            <w:r>
              <w:rPr>
                <w:rFonts w:ascii="Arial" w:cs="Arial" w:eastAsia="Arial" w:hAnsi="Arial"/>
                <w:sz w:val="11"/>
                <w:szCs w:val="11"/>
                <w:color w:val="auto"/>
              </w:rPr>
              <w:t>(25.0)%</w:t>
            </w:r>
          </w:p>
        </w:tc>
        <w:tc>
          <w:tcPr>
            <w:tcW w:w="1260" w:type="dxa"/>
            <w:vAlign w:val="bottom"/>
            <w:shd w:val="clear" w:color="auto" w:fill="929292"/>
          </w:tcPr>
          <w:p>
            <w:pPr>
              <w:jc w:val="right"/>
              <w:ind w:right="383"/>
              <w:spacing w:after="0"/>
              <w:rPr>
                <w:sz w:val="20"/>
                <w:szCs w:val="20"/>
                <w:color w:val="auto"/>
              </w:rPr>
            </w:pPr>
            <w:r>
              <w:rPr>
                <w:rFonts w:ascii="Arial" w:cs="Arial" w:eastAsia="Arial" w:hAnsi="Arial"/>
                <w:sz w:val="11"/>
                <w:szCs w:val="11"/>
                <w:color w:val="FFFFFF"/>
              </w:rPr>
              <w:t>127.3%</w:t>
            </w:r>
          </w:p>
        </w:tc>
        <w:tc>
          <w:tcPr>
            <w:tcW w:w="1260" w:type="dxa"/>
            <w:vAlign w:val="bottom"/>
            <w:shd w:val="clear" w:color="auto" w:fill="929292"/>
          </w:tcPr>
          <w:p>
            <w:pPr>
              <w:jc w:val="right"/>
              <w:ind w:right="383"/>
              <w:spacing w:after="0"/>
              <w:rPr>
                <w:sz w:val="20"/>
                <w:szCs w:val="20"/>
                <w:color w:val="auto"/>
              </w:rPr>
            </w:pPr>
            <w:r>
              <w:rPr>
                <w:rFonts w:ascii="Arial" w:cs="Arial" w:eastAsia="Arial" w:hAnsi="Arial"/>
                <w:sz w:val="11"/>
                <w:szCs w:val="11"/>
                <w:color w:val="FFFFFF"/>
              </w:rPr>
              <w:t>102.7%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92"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decrease for the three months ended March 31, 2022 compared to the prior year period was primarily due to (i) increased marketing and advertising costs, which contributed to a 46% increase in Medicare—Internal commissionable Approved Submissions and a 30% increase in net revenue, and (ii) increased customer care and enrollment costs attributable to the hiring, onboarding, and training of additional agents throughout 2021, particularly in the second and third quarters as we prepared for the AEP.</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Medicare-External Segment</w:t>
      </w:r>
    </w:p>
    <w:p>
      <w:pPr>
        <w:spacing w:after="0" w:line="243"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Medicare—External segment relates to sales of products and plans under GoHealth’s carrier contracts using an 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Medicare—External</w:t>
            </w: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0" w:type="dxa"/>
            <w:vAlign w:val="bottom"/>
          </w:tcPr>
          <w:p>
            <w:pPr>
              <w:spacing w:after="0"/>
              <w:rPr>
                <w:sz w:val="1"/>
                <w:szCs w:val="1"/>
                <w:color w:val="auto"/>
              </w:rPr>
            </w:pPr>
          </w:p>
        </w:tc>
      </w:tr>
      <w:tr>
        <w:trPr>
          <w:trHeight w:val="80"/>
        </w:trPr>
        <w:tc>
          <w:tcPr>
            <w:tcW w:w="2580" w:type="dxa"/>
            <w:vAlign w:val="bottom"/>
            <w:tcBorders>
              <w:left w:val="single" w:sz="8" w:color="929292"/>
            </w:tcBorders>
            <w:vMerge w:val="continue"/>
          </w:tcPr>
          <w:p>
            <w:pPr>
              <w:spacing w:after="0"/>
              <w:rPr>
                <w:sz w:val="6"/>
                <w:szCs w:val="6"/>
                <w:color w:val="auto"/>
              </w:rPr>
            </w:pPr>
          </w:p>
        </w:tc>
        <w:tc>
          <w:tcPr>
            <w:tcW w:w="80" w:type="dxa"/>
            <w:vAlign w:val="bottom"/>
            <w:shd w:val="clear" w:color="auto" w:fill="929292"/>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6"/>
                <w:szCs w:val="6"/>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Pr>
          <w:p>
            <w:pPr>
              <w:spacing w:after="0"/>
              <w:rPr>
                <w:sz w:val="6"/>
                <w:szCs w:val="6"/>
                <w:color w:val="auto"/>
              </w:rPr>
            </w:pPr>
          </w:p>
        </w:tc>
        <w:tc>
          <w:tcPr>
            <w:tcW w:w="1420" w:type="dxa"/>
            <w:vAlign w:val="bottom"/>
            <w:vMerge w:val="restart"/>
          </w:tcPr>
          <w:p>
            <w:pPr>
              <w:jc w:val="right"/>
              <w:ind w:right="663"/>
              <w:spacing w:after="0"/>
              <w:rPr>
                <w:sz w:val="20"/>
                <w:szCs w:val="20"/>
                <w:color w:val="auto"/>
              </w:rPr>
            </w:pPr>
            <w:r>
              <w:rPr>
                <w:rFonts w:ascii="Arial" w:cs="Arial" w:eastAsia="Arial" w:hAnsi="Arial"/>
                <w:sz w:val="11"/>
                <w:szCs w:val="11"/>
                <w:color w:val="auto"/>
              </w:rPr>
              <w:t>$ Change</w:t>
            </w:r>
          </w:p>
        </w:tc>
        <w:tc>
          <w:tcPr>
            <w:tcW w:w="1400" w:type="dxa"/>
            <w:vAlign w:val="bottom"/>
            <w:vMerge w:val="restart"/>
          </w:tcPr>
          <w:p>
            <w:pPr>
              <w:jc w:val="right"/>
              <w:ind w:right="503"/>
              <w:spacing w:after="0"/>
              <w:rPr>
                <w:sz w:val="20"/>
                <w:szCs w:val="20"/>
                <w:color w:val="auto"/>
              </w:rPr>
            </w:pPr>
            <w:r>
              <w:rPr>
                <w:rFonts w:ascii="Arial" w:cs="Arial" w:eastAsia="Arial" w:hAnsi="Arial"/>
                <w:sz w:val="11"/>
                <w:szCs w:val="11"/>
                <w:color w:val="auto"/>
              </w:rPr>
              <w:t>% Change</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85"/>
        </w:trPr>
        <w:tc>
          <w:tcPr>
            <w:tcW w:w="258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color w:val="00497F"/>
              </w:rPr>
              <w:t>Net Revenues</w:t>
            </w:r>
          </w:p>
        </w:tc>
        <w:tc>
          <w:tcPr>
            <w:tcW w:w="80" w:type="dxa"/>
            <w:vAlign w:val="bottom"/>
            <w:tcBorders>
              <w:bottom w:val="single" w:sz="8" w:color="929292"/>
            </w:tcBorders>
            <w:shd w:val="clear" w:color="auto" w:fill="929292"/>
          </w:tcPr>
          <w:p>
            <w:pPr>
              <w:spacing w:after="0"/>
              <w:rPr>
                <w:sz w:val="7"/>
                <w:szCs w:val="7"/>
                <w:color w:val="auto"/>
              </w:rPr>
            </w:pPr>
          </w:p>
        </w:tc>
        <w:tc>
          <w:tcPr>
            <w:tcW w:w="34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vMerge w:val="continue"/>
          </w:tcPr>
          <w:p>
            <w:pPr>
              <w:spacing w:after="0"/>
              <w:rPr>
                <w:sz w:val="7"/>
                <w:szCs w:val="7"/>
                <w:color w:val="auto"/>
              </w:rPr>
            </w:pPr>
          </w:p>
        </w:tc>
        <w:tc>
          <w:tcPr>
            <w:tcW w:w="400" w:type="dxa"/>
            <w:vAlign w:val="bottom"/>
            <w:tcBorders>
              <w:bottom w:val="single" w:sz="8" w:color="929292"/>
            </w:tcBorders>
          </w:tcPr>
          <w:p>
            <w:pPr>
              <w:spacing w:after="0"/>
              <w:rPr>
                <w:sz w:val="7"/>
                <w:szCs w:val="7"/>
                <w:color w:val="auto"/>
              </w:rPr>
            </w:pPr>
          </w:p>
        </w:tc>
        <w:tc>
          <w:tcPr>
            <w:tcW w:w="1100" w:type="dxa"/>
            <w:vAlign w:val="bottom"/>
            <w:tcBorders>
              <w:bottom w:val="single" w:sz="8" w:color="929292"/>
            </w:tcBorders>
            <w:vMerge w:val="continue"/>
          </w:tcPr>
          <w:p>
            <w:pPr>
              <w:spacing w:after="0"/>
              <w:rPr>
                <w:sz w:val="7"/>
                <w:szCs w:val="7"/>
                <w:color w:val="auto"/>
              </w:rPr>
            </w:pPr>
          </w:p>
        </w:tc>
        <w:tc>
          <w:tcPr>
            <w:tcW w:w="320" w:type="dxa"/>
            <w:vAlign w:val="bottom"/>
            <w:tcBorders>
              <w:bottom w:val="single" w:sz="8" w:color="929292"/>
            </w:tcBorders>
          </w:tcPr>
          <w:p>
            <w:pPr>
              <w:spacing w:after="0"/>
              <w:rPr>
                <w:sz w:val="7"/>
                <w:szCs w:val="7"/>
                <w:color w:val="auto"/>
              </w:rPr>
            </w:pPr>
          </w:p>
        </w:tc>
        <w:tc>
          <w:tcPr>
            <w:tcW w:w="1420" w:type="dxa"/>
            <w:vAlign w:val="bottom"/>
            <w:tcBorders>
              <w:bottom w:val="single" w:sz="8" w:color="929292"/>
            </w:tcBorders>
            <w:vMerge w:val="continue"/>
          </w:tcPr>
          <w:p>
            <w:pPr>
              <w:spacing w:after="0"/>
              <w:rPr>
                <w:sz w:val="7"/>
                <w:szCs w:val="7"/>
                <w:color w:val="auto"/>
              </w:rPr>
            </w:pPr>
          </w:p>
        </w:tc>
        <w:tc>
          <w:tcPr>
            <w:tcW w:w="1400" w:type="dxa"/>
            <w:vAlign w:val="bottom"/>
            <w:tcBorders>
              <w:bottom w:val="single" w:sz="8" w:color="929292"/>
            </w:tcBorders>
            <w:vMerge w:val="continue"/>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580" w:type="dxa"/>
            <w:vAlign w:val="bottom"/>
            <w:tcBorders>
              <w:left w:val="single" w:sz="8" w:color="929292"/>
            </w:tcBorders>
            <w:vMerge w:val="continue"/>
          </w:tcPr>
          <w:p>
            <w:pPr>
              <w:spacing w:after="0"/>
              <w:rPr>
                <w:sz w:val="3"/>
                <w:szCs w:val="3"/>
                <w:color w:val="auto"/>
              </w:rPr>
            </w:pPr>
          </w:p>
        </w:tc>
        <w:tc>
          <w:tcPr>
            <w:tcW w:w="80" w:type="dxa"/>
            <w:vAlign w:val="bottom"/>
            <w:shd w:val="clear" w:color="auto" w:fill="929292"/>
          </w:tcPr>
          <w:p>
            <w:pPr>
              <w:spacing w:after="0"/>
              <w:rPr>
                <w:sz w:val="3"/>
                <w:szCs w:val="3"/>
                <w:color w:val="auto"/>
              </w:rPr>
            </w:pPr>
          </w:p>
        </w:tc>
        <w:tc>
          <w:tcPr>
            <w:tcW w:w="340" w:type="dxa"/>
            <w:vAlign w:val="bottom"/>
            <w:vMerge w:val="restart"/>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vMerge w:val="restart"/>
          </w:tcPr>
          <w:p>
            <w:pPr>
              <w:jc w:val="right"/>
              <w:ind w:right="23"/>
              <w:spacing w:after="0"/>
              <w:rPr>
                <w:sz w:val="20"/>
                <w:szCs w:val="20"/>
                <w:color w:val="auto"/>
              </w:rPr>
            </w:pPr>
            <w:r>
              <w:rPr>
                <w:rFonts w:ascii="Arial" w:cs="Arial" w:eastAsia="Arial" w:hAnsi="Arial"/>
                <w:sz w:val="11"/>
                <w:szCs w:val="11"/>
                <w:color w:val="auto"/>
              </w:rPr>
              <w:t>61,486</w:t>
            </w:r>
          </w:p>
        </w:tc>
        <w:tc>
          <w:tcPr>
            <w:tcW w:w="40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3"/>
              <w:spacing w:after="0"/>
              <w:rPr>
                <w:sz w:val="20"/>
                <w:szCs w:val="20"/>
                <w:color w:val="auto"/>
              </w:rPr>
            </w:pPr>
            <w:r>
              <w:rPr>
                <w:rFonts w:ascii="Arial" w:cs="Arial" w:eastAsia="Arial" w:hAnsi="Arial"/>
                <w:sz w:val="11"/>
                <w:szCs w:val="11"/>
                <w:color w:val="auto"/>
              </w:rPr>
              <w:t>39,500</w:t>
            </w:r>
          </w:p>
        </w:tc>
        <w:tc>
          <w:tcPr>
            <w:tcW w:w="32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vMerge w:val="restart"/>
          </w:tcPr>
          <w:p>
            <w:pPr>
              <w:jc w:val="right"/>
              <w:ind w:right="263"/>
              <w:spacing w:after="0"/>
              <w:rPr>
                <w:sz w:val="20"/>
                <w:szCs w:val="20"/>
                <w:color w:val="auto"/>
              </w:rPr>
            </w:pPr>
            <w:r>
              <w:rPr>
                <w:rFonts w:ascii="Arial" w:cs="Arial" w:eastAsia="Arial" w:hAnsi="Arial"/>
                <w:sz w:val="11"/>
                <w:szCs w:val="11"/>
                <w:color w:val="auto"/>
              </w:rPr>
              <w:t>21,986</w:t>
            </w:r>
          </w:p>
        </w:tc>
        <w:tc>
          <w:tcPr>
            <w:tcW w:w="1400" w:type="dxa"/>
            <w:vAlign w:val="bottom"/>
            <w:vMerge w:val="restart"/>
          </w:tcPr>
          <w:p>
            <w:pPr>
              <w:jc w:val="right"/>
              <w:ind w:right="43"/>
              <w:spacing w:after="0"/>
              <w:rPr>
                <w:sz w:val="20"/>
                <w:szCs w:val="20"/>
                <w:color w:val="auto"/>
              </w:rPr>
            </w:pPr>
            <w:r>
              <w:rPr>
                <w:rFonts w:ascii="Arial" w:cs="Arial" w:eastAsia="Arial" w:hAnsi="Arial"/>
                <w:sz w:val="11"/>
                <w:szCs w:val="11"/>
                <w:color w:val="auto"/>
              </w:rPr>
              <w:t>55.7 %</w:t>
            </w:r>
          </w:p>
        </w:tc>
        <w:tc>
          <w:tcPr>
            <w:tcW w:w="1260" w:type="dxa"/>
            <w:vAlign w:val="bottom"/>
            <w:vMerge w:val="restart"/>
            <w:shd w:val="clear" w:color="auto" w:fill="929292"/>
          </w:tcPr>
          <w:p>
            <w:pPr>
              <w:jc w:val="right"/>
              <w:ind w:right="403"/>
              <w:spacing w:after="0"/>
              <w:rPr>
                <w:sz w:val="20"/>
                <w:szCs w:val="20"/>
                <w:color w:val="auto"/>
              </w:rPr>
            </w:pPr>
            <w:r>
              <w:rPr>
                <w:rFonts w:ascii="Arial" w:cs="Arial" w:eastAsia="Arial" w:hAnsi="Arial"/>
                <w:sz w:val="11"/>
                <w:szCs w:val="11"/>
                <w:color w:val="FFFFFF"/>
              </w:rPr>
              <w:t>22.7%</w:t>
            </w:r>
          </w:p>
        </w:tc>
        <w:tc>
          <w:tcPr>
            <w:tcW w:w="1260" w:type="dxa"/>
            <w:vAlign w:val="bottom"/>
            <w:vMerge w:val="restart"/>
            <w:shd w:val="clear" w:color="auto" w:fill="929292"/>
          </w:tcPr>
          <w:p>
            <w:pPr>
              <w:jc w:val="right"/>
              <w:ind w:right="403"/>
              <w:spacing w:after="0"/>
              <w:rPr>
                <w:sz w:val="20"/>
                <w:szCs w:val="20"/>
                <w:color w:val="auto"/>
              </w:rPr>
            </w:pPr>
            <w:r>
              <w:rPr>
                <w:rFonts w:ascii="Arial" w:cs="Arial" w:eastAsia="Arial" w:hAnsi="Arial"/>
                <w:sz w:val="11"/>
                <w:szCs w:val="11"/>
                <w:color w:val="FFFFFF"/>
              </w:rPr>
              <w:t>19.3%</w:t>
            </w:r>
          </w:p>
        </w:tc>
        <w:tc>
          <w:tcPr>
            <w:tcW w:w="0" w:type="dxa"/>
            <w:vAlign w:val="bottom"/>
          </w:tcPr>
          <w:p>
            <w:pPr>
              <w:spacing w:after="0"/>
              <w:rPr>
                <w:sz w:val="1"/>
                <w:szCs w:val="1"/>
                <w:color w:val="auto"/>
              </w:rPr>
            </w:pPr>
          </w:p>
        </w:tc>
      </w:tr>
      <w:tr>
        <w:trPr>
          <w:trHeight w:val="109"/>
        </w:trPr>
        <w:tc>
          <w:tcPr>
            <w:tcW w:w="2580" w:type="dxa"/>
            <w:vAlign w:val="bottom"/>
            <w:tcBorders>
              <w:left w:val="single" w:sz="8" w:color="929292"/>
              <w:bottom w:val="single" w:sz="8" w:color="929292"/>
            </w:tcBorders>
          </w:tcPr>
          <w:p>
            <w:pPr>
              <w:spacing w:after="0"/>
              <w:rPr>
                <w:sz w:val="9"/>
                <w:szCs w:val="9"/>
                <w:color w:val="auto"/>
              </w:rPr>
            </w:pPr>
          </w:p>
        </w:tc>
        <w:tc>
          <w:tcPr>
            <w:tcW w:w="80" w:type="dxa"/>
            <w:vAlign w:val="bottom"/>
            <w:tcBorders>
              <w:bottom w:val="single" w:sz="8" w:color="929292"/>
            </w:tcBorders>
            <w:shd w:val="clear" w:color="auto" w:fill="929292"/>
          </w:tcPr>
          <w:p>
            <w:pPr>
              <w:spacing w:after="0"/>
              <w:rPr>
                <w:sz w:val="9"/>
                <w:szCs w:val="9"/>
                <w:color w:val="auto"/>
              </w:rPr>
            </w:pPr>
          </w:p>
        </w:tc>
        <w:tc>
          <w:tcPr>
            <w:tcW w:w="3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vMerge w:val="continue"/>
            <w:shd w:val="clear" w:color="auto" w:fill="929292"/>
          </w:tcPr>
          <w:p>
            <w:pPr>
              <w:spacing w:after="0"/>
              <w:rPr>
                <w:sz w:val="9"/>
                <w:szCs w:val="9"/>
                <w:color w:val="auto"/>
              </w:rPr>
            </w:pPr>
          </w:p>
        </w:tc>
        <w:tc>
          <w:tcPr>
            <w:tcW w:w="1260" w:type="dxa"/>
            <w:vAlign w:val="bottom"/>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The increase for the three months ended March 31, 2022 compared to the prior year period was primarily attributable to a 111% increase in commissionable Approved Submissions in the Medicare— External segment due to our ability to recruit and onboard additional external agents to enroll consumers in Medicare plans using our technology and platform.</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62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1"/>
                <w:szCs w:val="11"/>
                <w:b w:val="1"/>
                <w:bCs w:val="1"/>
                <w:color w:val="00497F"/>
              </w:rPr>
              <w:t>Medicare—External</w:t>
            </w: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0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1"/>
                <w:szCs w:val="11"/>
                <w:color w:val="FFFFFF"/>
              </w:rPr>
              <w:t>% of Segment Profit (Loss)</w:t>
            </w:r>
          </w:p>
        </w:tc>
        <w:tc>
          <w:tcPr>
            <w:tcW w:w="0" w:type="dxa"/>
            <w:vAlign w:val="bottom"/>
          </w:tcPr>
          <w:p>
            <w:pPr>
              <w:spacing w:after="0"/>
              <w:rPr>
                <w:sz w:val="1"/>
                <w:szCs w:val="1"/>
                <w:color w:val="auto"/>
              </w:rPr>
            </w:pPr>
          </w:p>
        </w:tc>
      </w:tr>
      <w:tr>
        <w:trPr>
          <w:trHeight w:val="85"/>
        </w:trPr>
        <w:tc>
          <w:tcPr>
            <w:tcW w:w="2620" w:type="dxa"/>
            <w:vAlign w:val="bottom"/>
            <w:tcBorders>
              <w:left w:val="single" w:sz="8" w:color="929292"/>
            </w:tcBorders>
            <w:vMerge w:val="continue"/>
          </w:tcPr>
          <w:p>
            <w:pPr>
              <w:spacing w:after="0"/>
              <w:rPr>
                <w:sz w:val="7"/>
                <w:szCs w:val="7"/>
                <w:color w:val="auto"/>
              </w:rPr>
            </w:pPr>
          </w:p>
        </w:tc>
        <w:tc>
          <w:tcPr>
            <w:tcW w:w="80" w:type="dxa"/>
            <w:vAlign w:val="bottom"/>
            <w:shd w:val="clear" w:color="auto" w:fill="929292"/>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vMerge w:val="restart"/>
          </w:tcPr>
          <w:p>
            <w:pPr>
              <w:jc w:val="right"/>
              <w:ind w:right="563"/>
              <w:spacing w:after="0"/>
              <w:rPr>
                <w:sz w:val="20"/>
                <w:szCs w:val="20"/>
                <w:color w:val="auto"/>
              </w:rPr>
            </w:pPr>
            <w:r>
              <w:rPr>
                <w:rFonts w:ascii="Arial" w:cs="Arial" w:eastAsia="Arial" w:hAnsi="Arial"/>
                <w:sz w:val="11"/>
                <w:szCs w:val="11"/>
                <w:color w:val="auto"/>
              </w:rPr>
              <w:t>2022</w:t>
            </w:r>
          </w:p>
        </w:tc>
        <w:tc>
          <w:tcPr>
            <w:tcW w:w="380" w:type="dxa"/>
            <w:vAlign w:val="bottom"/>
          </w:tcPr>
          <w:p>
            <w:pPr>
              <w:spacing w:after="0"/>
              <w:rPr>
                <w:sz w:val="7"/>
                <w:szCs w:val="7"/>
                <w:color w:val="auto"/>
              </w:rPr>
            </w:pPr>
          </w:p>
        </w:tc>
        <w:tc>
          <w:tcPr>
            <w:tcW w:w="1120" w:type="dxa"/>
            <w:vAlign w:val="bottom"/>
            <w:vMerge w:val="restart"/>
          </w:tcPr>
          <w:p>
            <w:pPr>
              <w:jc w:val="right"/>
              <w:ind w:right="563"/>
              <w:spacing w:after="0"/>
              <w:rPr>
                <w:sz w:val="20"/>
                <w:szCs w:val="20"/>
                <w:color w:val="auto"/>
              </w:rPr>
            </w:pPr>
            <w:r>
              <w:rPr>
                <w:rFonts w:ascii="Arial" w:cs="Arial" w:eastAsia="Arial" w:hAnsi="Arial"/>
                <w:sz w:val="11"/>
                <w:szCs w:val="11"/>
                <w:color w:val="auto"/>
              </w:rPr>
              <w:t>2021</w:t>
            </w:r>
          </w:p>
        </w:tc>
        <w:tc>
          <w:tcPr>
            <w:tcW w:w="320" w:type="dxa"/>
            <w:vAlign w:val="bottom"/>
          </w:tcPr>
          <w:p>
            <w:pPr>
              <w:spacing w:after="0"/>
              <w:rPr>
                <w:sz w:val="7"/>
                <w:szCs w:val="7"/>
                <w:color w:val="auto"/>
              </w:rPr>
            </w:pPr>
          </w:p>
        </w:tc>
        <w:tc>
          <w:tcPr>
            <w:tcW w:w="1420" w:type="dxa"/>
            <w:vAlign w:val="bottom"/>
            <w:vMerge w:val="restart"/>
          </w:tcPr>
          <w:p>
            <w:pPr>
              <w:jc w:val="right"/>
              <w:ind w:right="683"/>
              <w:spacing w:after="0"/>
              <w:rPr>
                <w:sz w:val="20"/>
                <w:szCs w:val="20"/>
                <w:color w:val="auto"/>
              </w:rPr>
            </w:pPr>
            <w:r>
              <w:rPr>
                <w:rFonts w:ascii="Arial" w:cs="Arial" w:eastAsia="Arial" w:hAnsi="Arial"/>
                <w:sz w:val="11"/>
                <w:szCs w:val="11"/>
                <w:color w:val="auto"/>
              </w:rPr>
              <w:t>$ Change</w:t>
            </w:r>
          </w:p>
        </w:tc>
        <w:tc>
          <w:tcPr>
            <w:tcW w:w="1320" w:type="dxa"/>
            <w:vAlign w:val="bottom"/>
            <w:vMerge w:val="restart"/>
          </w:tcPr>
          <w:p>
            <w:pPr>
              <w:ind w:left="260"/>
              <w:spacing w:after="0"/>
              <w:rPr>
                <w:sz w:val="20"/>
                <w:szCs w:val="20"/>
                <w:color w:val="auto"/>
              </w:rPr>
            </w:pPr>
            <w:r>
              <w:rPr>
                <w:rFonts w:ascii="Arial" w:cs="Arial" w:eastAsia="Arial" w:hAnsi="Arial"/>
                <w:sz w:val="11"/>
                <w:szCs w:val="11"/>
                <w:color w:val="auto"/>
              </w:rPr>
              <w:t>% Change</w:t>
            </w:r>
          </w:p>
        </w:tc>
        <w:tc>
          <w:tcPr>
            <w:tcW w:w="126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2022</w:t>
            </w:r>
          </w:p>
        </w:tc>
        <w:tc>
          <w:tcPr>
            <w:tcW w:w="1280" w:type="dxa"/>
            <w:vAlign w:val="bottom"/>
            <w:vMerge w:val="restart"/>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c>
          <w:tcPr>
            <w:tcW w:w="0" w:type="dxa"/>
            <w:vAlign w:val="bottom"/>
          </w:tcPr>
          <w:p>
            <w:pPr>
              <w:spacing w:after="0"/>
              <w:rPr>
                <w:sz w:val="1"/>
                <w:szCs w:val="1"/>
                <w:color w:val="auto"/>
              </w:rPr>
            </w:pPr>
          </w:p>
        </w:tc>
      </w:tr>
      <w:tr>
        <w:trPr>
          <w:trHeight w:val="85"/>
        </w:trPr>
        <w:tc>
          <w:tcPr>
            <w:tcW w:w="262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1"/>
                <w:szCs w:val="11"/>
                <w:color w:val="00497F"/>
              </w:rPr>
              <w:t>Segment Profit (Loss)</w:t>
            </w:r>
          </w:p>
        </w:tc>
        <w:tc>
          <w:tcPr>
            <w:tcW w:w="80" w:type="dxa"/>
            <w:vAlign w:val="bottom"/>
            <w:tcBorders>
              <w:bottom w:val="single" w:sz="8" w:color="929292"/>
            </w:tcBorders>
            <w:shd w:val="clear" w:color="auto" w:fill="929292"/>
          </w:tcPr>
          <w:p>
            <w:pPr>
              <w:spacing w:after="0"/>
              <w:rPr>
                <w:sz w:val="7"/>
                <w:szCs w:val="7"/>
                <w:color w:val="auto"/>
              </w:rPr>
            </w:pPr>
          </w:p>
        </w:tc>
        <w:tc>
          <w:tcPr>
            <w:tcW w:w="340" w:type="dxa"/>
            <w:vAlign w:val="bottom"/>
            <w:tcBorders>
              <w:bottom w:val="single" w:sz="8" w:color="929292"/>
            </w:tcBorders>
          </w:tcPr>
          <w:p>
            <w:pPr>
              <w:spacing w:after="0"/>
              <w:rPr>
                <w:sz w:val="7"/>
                <w:szCs w:val="7"/>
                <w:color w:val="auto"/>
              </w:rPr>
            </w:pPr>
          </w:p>
        </w:tc>
        <w:tc>
          <w:tcPr>
            <w:tcW w:w="1120" w:type="dxa"/>
            <w:vAlign w:val="bottom"/>
            <w:tcBorders>
              <w:bottom w:val="single" w:sz="8" w:color="929292"/>
            </w:tcBorders>
            <w:vMerge w:val="continue"/>
          </w:tcPr>
          <w:p>
            <w:pPr>
              <w:spacing w:after="0"/>
              <w:rPr>
                <w:sz w:val="7"/>
                <w:szCs w:val="7"/>
                <w:color w:val="auto"/>
              </w:rPr>
            </w:pPr>
          </w:p>
        </w:tc>
        <w:tc>
          <w:tcPr>
            <w:tcW w:w="380" w:type="dxa"/>
            <w:vAlign w:val="bottom"/>
            <w:tcBorders>
              <w:bottom w:val="single" w:sz="8" w:color="929292"/>
            </w:tcBorders>
          </w:tcPr>
          <w:p>
            <w:pPr>
              <w:spacing w:after="0"/>
              <w:rPr>
                <w:sz w:val="7"/>
                <w:szCs w:val="7"/>
                <w:color w:val="auto"/>
              </w:rPr>
            </w:pPr>
          </w:p>
        </w:tc>
        <w:tc>
          <w:tcPr>
            <w:tcW w:w="1120" w:type="dxa"/>
            <w:vAlign w:val="bottom"/>
            <w:tcBorders>
              <w:bottom w:val="single" w:sz="8" w:color="929292"/>
            </w:tcBorders>
            <w:vMerge w:val="continue"/>
          </w:tcPr>
          <w:p>
            <w:pPr>
              <w:spacing w:after="0"/>
              <w:rPr>
                <w:sz w:val="7"/>
                <w:szCs w:val="7"/>
                <w:color w:val="auto"/>
              </w:rPr>
            </w:pPr>
          </w:p>
        </w:tc>
        <w:tc>
          <w:tcPr>
            <w:tcW w:w="320" w:type="dxa"/>
            <w:vAlign w:val="bottom"/>
            <w:tcBorders>
              <w:bottom w:val="single" w:sz="8" w:color="929292"/>
            </w:tcBorders>
          </w:tcPr>
          <w:p>
            <w:pPr>
              <w:spacing w:after="0"/>
              <w:rPr>
                <w:sz w:val="7"/>
                <w:szCs w:val="7"/>
                <w:color w:val="auto"/>
              </w:rPr>
            </w:pPr>
          </w:p>
        </w:tc>
        <w:tc>
          <w:tcPr>
            <w:tcW w:w="1420" w:type="dxa"/>
            <w:vAlign w:val="bottom"/>
            <w:tcBorders>
              <w:bottom w:val="single" w:sz="8" w:color="929292"/>
            </w:tcBorders>
            <w:vMerge w:val="continue"/>
          </w:tcPr>
          <w:p>
            <w:pPr>
              <w:spacing w:after="0"/>
              <w:rPr>
                <w:sz w:val="7"/>
                <w:szCs w:val="7"/>
                <w:color w:val="auto"/>
              </w:rPr>
            </w:pPr>
          </w:p>
        </w:tc>
        <w:tc>
          <w:tcPr>
            <w:tcW w:w="1320" w:type="dxa"/>
            <w:vAlign w:val="bottom"/>
            <w:tcBorders>
              <w:bottom w:val="single" w:sz="8" w:color="929292"/>
            </w:tcBorders>
            <w:vMerge w:val="continue"/>
          </w:tcPr>
          <w:p>
            <w:pPr>
              <w:spacing w:after="0"/>
              <w:rPr>
                <w:sz w:val="7"/>
                <w:szCs w:val="7"/>
                <w:color w:val="auto"/>
              </w:rPr>
            </w:pPr>
          </w:p>
        </w:tc>
        <w:tc>
          <w:tcPr>
            <w:tcW w:w="1260" w:type="dxa"/>
            <w:vAlign w:val="bottom"/>
            <w:tcBorders>
              <w:bottom w:val="single" w:sz="8" w:color="929292"/>
            </w:tcBorders>
            <w:vMerge w:val="continue"/>
            <w:shd w:val="clear" w:color="auto" w:fill="929292"/>
          </w:tcPr>
          <w:p>
            <w:pPr>
              <w:spacing w:after="0"/>
              <w:rPr>
                <w:sz w:val="7"/>
                <w:szCs w:val="7"/>
                <w:color w:val="auto"/>
              </w:rPr>
            </w:pPr>
          </w:p>
        </w:tc>
        <w:tc>
          <w:tcPr>
            <w:tcW w:w="1280" w:type="dxa"/>
            <w:vAlign w:val="bottom"/>
            <w:tcBorders>
              <w:bottom w:val="single" w:sz="8" w:color="929292"/>
            </w:tcBorders>
            <w:vMerge w:val="continue"/>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620" w:type="dxa"/>
            <w:vAlign w:val="bottom"/>
            <w:tcBorders>
              <w:left w:val="single" w:sz="8" w:color="929292"/>
            </w:tcBorders>
            <w:vMerge w:val="continue"/>
          </w:tcPr>
          <w:p>
            <w:pPr>
              <w:spacing w:after="0"/>
              <w:rPr>
                <w:sz w:val="3"/>
                <w:szCs w:val="3"/>
                <w:color w:val="auto"/>
              </w:rPr>
            </w:pPr>
          </w:p>
        </w:tc>
        <w:tc>
          <w:tcPr>
            <w:tcW w:w="80" w:type="dxa"/>
            <w:vAlign w:val="bottom"/>
            <w:shd w:val="clear" w:color="auto" w:fill="929292"/>
          </w:tcPr>
          <w:p>
            <w:pPr>
              <w:spacing w:after="0"/>
              <w:rPr>
                <w:sz w:val="3"/>
                <w:szCs w:val="3"/>
                <w:color w:val="auto"/>
              </w:rPr>
            </w:pPr>
          </w:p>
        </w:tc>
        <w:tc>
          <w:tcPr>
            <w:tcW w:w="340" w:type="dxa"/>
            <w:vAlign w:val="bottom"/>
            <w:vMerge w:val="restart"/>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vMerge w:val="restart"/>
          </w:tcPr>
          <w:p>
            <w:pPr>
              <w:jc w:val="right"/>
              <w:ind w:right="3"/>
              <w:spacing w:after="0"/>
              <w:rPr>
                <w:sz w:val="20"/>
                <w:szCs w:val="20"/>
                <w:color w:val="auto"/>
              </w:rPr>
            </w:pPr>
            <w:r>
              <w:rPr>
                <w:rFonts w:ascii="Arial" w:cs="Arial" w:eastAsia="Arial" w:hAnsi="Arial"/>
                <w:sz w:val="11"/>
                <w:szCs w:val="11"/>
                <w:color w:val="auto"/>
              </w:rPr>
              <w:t>(7,793)</w:t>
            </w:r>
          </w:p>
        </w:tc>
        <w:tc>
          <w:tcPr>
            <w:tcW w:w="38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3"/>
              <w:spacing w:after="0"/>
              <w:rPr>
                <w:sz w:val="20"/>
                <w:szCs w:val="20"/>
                <w:color w:val="auto"/>
              </w:rPr>
            </w:pPr>
            <w:r>
              <w:rPr>
                <w:rFonts w:ascii="Arial" w:cs="Arial" w:eastAsia="Arial" w:hAnsi="Arial"/>
                <w:sz w:val="11"/>
                <w:szCs w:val="11"/>
                <w:color w:val="auto"/>
              </w:rPr>
              <w:t>(631)</w:t>
            </w:r>
          </w:p>
        </w:tc>
        <w:tc>
          <w:tcPr>
            <w:tcW w:w="32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1420" w:type="dxa"/>
            <w:vAlign w:val="bottom"/>
            <w:vMerge w:val="restart"/>
          </w:tcPr>
          <w:p>
            <w:pPr>
              <w:jc w:val="right"/>
              <w:ind w:right="223"/>
              <w:spacing w:after="0"/>
              <w:rPr>
                <w:sz w:val="20"/>
                <w:szCs w:val="20"/>
                <w:color w:val="auto"/>
              </w:rPr>
            </w:pPr>
            <w:r>
              <w:rPr>
                <w:rFonts w:ascii="Arial" w:cs="Arial" w:eastAsia="Arial" w:hAnsi="Arial"/>
                <w:sz w:val="11"/>
                <w:szCs w:val="11"/>
                <w:color w:val="auto"/>
              </w:rPr>
              <w:t>(7,162)</w:t>
            </w:r>
          </w:p>
        </w:tc>
        <w:tc>
          <w:tcPr>
            <w:tcW w:w="1320" w:type="dxa"/>
            <w:vAlign w:val="bottom"/>
            <w:vMerge w:val="restart"/>
          </w:tcPr>
          <w:p>
            <w:pPr>
              <w:ind w:left="1020"/>
              <w:spacing w:after="0"/>
              <w:rPr>
                <w:sz w:val="20"/>
                <w:szCs w:val="20"/>
                <w:color w:val="auto"/>
              </w:rPr>
            </w:pPr>
            <w:r>
              <w:rPr>
                <w:rFonts w:ascii="Arial" w:cs="Arial" w:eastAsia="Arial" w:hAnsi="Arial"/>
                <w:sz w:val="11"/>
                <w:szCs w:val="11"/>
                <w:color w:val="auto"/>
              </w:rPr>
              <w:t>N/M</w:t>
            </w:r>
          </w:p>
        </w:tc>
        <w:tc>
          <w:tcPr>
            <w:tcW w:w="1260" w:type="dxa"/>
            <w:vAlign w:val="bottom"/>
            <w:vMerge w:val="restart"/>
            <w:shd w:val="clear" w:color="auto" w:fill="929292"/>
          </w:tcPr>
          <w:p>
            <w:pPr>
              <w:jc w:val="right"/>
              <w:ind w:right="363"/>
              <w:spacing w:after="0"/>
              <w:rPr>
                <w:sz w:val="20"/>
                <w:szCs w:val="20"/>
                <w:color w:val="auto"/>
              </w:rPr>
            </w:pPr>
            <w:r>
              <w:rPr>
                <w:rFonts w:ascii="Arial" w:cs="Arial" w:eastAsia="Arial" w:hAnsi="Arial"/>
                <w:sz w:val="11"/>
                <w:szCs w:val="11"/>
                <w:color w:val="FFFFFF"/>
              </w:rPr>
              <w:t>(28.5)%</w:t>
            </w:r>
          </w:p>
        </w:tc>
        <w:tc>
          <w:tcPr>
            <w:tcW w:w="1280" w:type="dxa"/>
            <w:vAlign w:val="bottom"/>
            <w:vMerge w:val="restart"/>
            <w:shd w:val="clear" w:color="auto" w:fill="929292"/>
          </w:tcPr>
          <w:p>
            <w:pPr>
              <w:jc w:val="right"/>
              <w:ind w:right="403"/>
              <w:spacing w:after="0"/>
              <w:rPr>
                <w:sz w:val="20"/>
                <w:szCs w:val="20"/>
                <w:color w:val="auto"/>
              </w:rPr>
            </w:pPr>
            <w:r>
              <w:rPr>
                <w:rFonts w:ascii="Arial" w:cs="Arial" w:eastAsia="Arial" w:hAnsi="Arial"/>
                <w:sz w:val="11"/>
                <w:szCs w:val="11"/>
                <w:color w:val="FFFFFF"/>
              </w:rPr>
              <w:t>(1.4)%</w:t>
            </w:r>
          </w:p>
        </w:tc>
        <w:tc>
          <w:tcPr>
            <w:tcW w:w="0" w:type="dxa"/>
            <w:vAlign w:val="bottom"/>
          </w:tcPr>
          <w:p>
            <w:pPr>
              <w:spacing w:after="0"/>
              <w:rPr>
                <w:sz w:val="1"/>
                <w:szCs w:val="1"/>
                <w:color w:val="auto"/>
              </w:rPr>
            </w:pPr>
          </w:p>
        </w:tc>
      </w:tr>
      <w:tr>
        <w:trPr>
          <w:trHeight w:val="109"/>
        </w:trPr>
        <w:tc>
          <w:tcPr>
            <w:tcW w:w="2620" w:type="dxa"/>
            <w:vAlign w:val="bottom"/>
            <w:tcBorders>
              <w:left w:val="single" w:sz="8" w:color="929292"/>
              <w:bottom w:val="single" w:sz="8" w:color="929292"/>
            </w:tcBorders>
          </w:tcPr>
          <w:p>
            <w:pPr>
              <w:spacing w:after="0"/>
              <w:rPr>
                <w:sz w:val="9"/>
                <w:szCs w:val="9"/>
                <w:color w:val="auto"/>
              </w:rPr>
            </w:pPr>
          </w:p>
        </w:tc>
        <w:tc>
          <w:tcPr>
            <w:tcW w:w="80" w:type="dxa"/>
            <w:vAlign w:val="bottom"/>
            <w:tcBorders>
              <w:bottom w:val="single" w:sz="8" w:color="929292"/>
            </w:tcBorders>
            <w:shd w:val="clear" w:color="auto" w:fill="929292"/>
          </w:tcPr>
          <w:p>
            <w:pPr>
              <w:spacing w:after="0"/>
              <w:rPr>
                <w:sz w:val="9"/>
                <w:szCs w:val="9"/>
                <w:color w:val="auto"/>
              </w:rPr>
            </w:pPr>
          </w:p>
        </w:tc>
        <w:tc>
          <w:tcPr>
            <w:tcW w:w="3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60" w:type="dxa"/>
            <w:vAlign w:val="bottom"/>
            <w:vMerge w:val="continue"/>
            <w:shd w:val="clear" w:color="auto" w:fill="929292"/>
          </w:tcPr>
          <w:p>
            <w:pPr>
              <w:spacing w:after="0"/>
              <w:rPr>
                <w:sz w:val="9"/>
                <w:szCs w:val="9"/>
                <w:color w:val="auto"/>
              </w:rPr>
            </w:pPr>
          </w:p>
        </w:tc>
        <w:tc>
          <w:tcPr>
            <w:tcW w:w="1280" w:type="dxa"/>
            <w:vAlign w:val="bottom"/>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-113665</wp:posOffset>
            </wp:positionV>
            <wp:extent cx="16103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1036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NM = Not meaningful</w:t>
      </w:r>
    </w:p>
    <w:p>
      <w:pPr>
        <w:spacing w:after="0" w:line="174"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The increase in loss for the three months ended March 31, 2022 compared to the prior year period was primarily attributable to an increase in the amount of expense we recognized pursuant to our revenue-sharing agreements with external agents and other partners.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IFP and Other Segments</w:t>
      </w:r>
    </w:p>
    <w:p>
      <w:pPr>
        <w:spacing w:after="0" w:line="254"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IFP and Other—Internal segment relates to sales of products and plans by GoHealth-employed agents offering 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The IFP and Other—External segment relates to sales of products and plans under GoHealth’s carrier contracts 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3"/>
          </w:tcPr>
          <w:p>
            <w:pPr>
              <w:jc w:val="right"/>
              <w:ind w:right="683"/>
              <w:spacing w:after="0"/>
              <w:rPr>
                <w:sz w:val="20"/>
                <w:szCs w:val="20"/>
                <w:color w:val="auto"/>
              </w:rPr>
            </w:pPr>
            <w:r>
              <w:rPr>
                <w:rFonts w:ascii="Arial" w:cs="Arial" w:eastAsia="Arial" w:hAnsi="Arial"/>
                <w:sz w:val="11"/>
                <w:szCs w:val="11"/>
                <w:color w:val="auto"/>
              </w:rPr>
              <w:t>Three months ended Mar. 31,</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shd w:val="clear" w:color="auto" w:fill="929292"/>
          </w:tcPr>
          <w:p>
            <w:pPr>
              <w:spacing w:after="0"/>
              <w:rPr>
                <w:sz w:val="13"/>
                <w:szCs w:val="13"/>
                <w:color w:val="auto"/>
              </w:rPr>
            </w:pPr>
          </w:p>
        </w:tc>
        <w:tc>
          <w:tcPr>
            <w:tcW w:w="1760" w:type="dxa"/>
            <w:vAlign w:val="bottom"/>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53"/>
        </w:trPr>
        <w:tc>
          <w:tcPr>
            <w:tcW w:w="2580" w:type="dxa"/>
            <w:vAlign w:val="bottom"/>
            <w:tcBorders>
              <w:bottom w:val="single" w:sz="8" w:color="929292"/>
            </w:tcBorders>
          </w:tcPr>
          <w:p>
            <w:pPr>
              <w:ind w:left="94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2021</w:t>
            </w:r>
          </w:p>
        </w:tc>
        <w:tc>
          <w:tcPr>
            <w:tcW w:w="320" w:type="dxa"/>
            <w:vAlign w:val="bottom"/>
            <w:tcBorders>
              <w:bottom w:val="single" w:sz="8" w:color="929292"/>
            </w:tcBorders>
          </w:tcPr>
          <w:p>
            <w:pPr>
              <w:spacing w:after="0"/>
              <w:rPr>
                <w:sz w:val="13"/>
                <w:szCs w:val="13"/>
                <w:color w:val="auto"/>
              </w:rPr>
            </w:pP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tcBorders>
              <w:bottom w:val="single" w:sz="8" w:color="929292"/>
            </w:tcBorders>
          </w:tcPr>
          <w:p>
            <w:pPr>
              <w:jc w:val="right"/>
              <w:ind w:right="23"/>
              <w:spacing w:after="0"/>
              <w:rPr>
                <w:sz w:val="20"/>
                <w:szCs w:val="20"/>
                <w:color w:val="auto"/>
              </w:rPr>
            </w:pPr>
            <w:r>
              <w:rPr>
                <w:rFonts w:ascii="Arial" w:cs="Arial" w:eastAsia="Arial" w:hAnsi="Arial"/>
                <w:sz w:val="11"/>
                <w:szCs w:val="11"/>
                <w:color w:val="auto"/>
              </w:rPr>
              <w:t>% Change</w:t>
            </w:r>
          </w:p>
        </w:tc>
        <w:tc>
          <w:tcPr>
            <w:tcW w:w="480" w:type="dxa"/>
            <w:vAlign w:val="bottom"/>
            <w:tcBorders>
              <w:bottom w:val="single" w:sz="8" w:color="929292"/>
            </w:tcBorders>
          </w:tcPr>
          <w:p>
            <w:pPr>
              <w:spacing w:after="0"/>
              <w:rPr>
                <w:sz w:val="13"/>
                <w:szCs w:val="13"/>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2022</w:t>
            </w:r>
          </w:p>
        </w:tc>
        <w:tc>
          <w:tcPr>
            <w:tcW w:w="500" w:type="dxa"/>
            <w:vAlign w:val="bottom"/>
            <w:tcBorders>
              <w:bottom w:val="single" w:sz="8" w:color="929292"/>
            </w:tcBorders>
            <w:shd w:val="clear" w:color="auto" w:fill="929292"/>
          </w:tcPr>
          <w:p>
            <w:pPr>
              <w:spacing w:after="0"/>
              <w:rPr>
                <w:sz w:val="13"/>
                <w:szCs w:val="13"/>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4,200</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3,975</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1600" w:type="dxa"/>
            <w:vAlign w:val="bottom"/>
          </w:tcPr>
          <w:p>
            <w:pPr>
              <w:jc w:val="right"/>
              <w:ind w:right="1183"/>
              <w:spacing w:after="0"/>
              <w:rPr>
                <w:sz w:val="20"/>
                <w:szCs w:val="20"/>
                <w:color w:val="auto"/>
              </w:rPr>
            </w:pPr>
            <w:r>
              <w:rPr>
                <w:rFonts w:ascii="Arial" w:cs="Arial" w:eastAsia="Arial" w:hAnsi="Arial"/>
                <w:sz w:val="11"/>
                <w:szCs w:val="11"/>
                <w:color w:val="auto"/>
              </w:rPr>
              <w:t>225</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6 %</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1.6%</w:t>
            </w:r>
          </w:p>
        </w:tc>
        <w:tc>
          <w:tcPr>
            <w:tcW w:w="500" w:type="dxa"/>
            <w:vAlign w:val="bottom"/>
            <w:shd w:val="clear" w:color="auto" w:fill="929292"/>
          </w:tcPr>
          <w:p>
            <w:pPr>
              <w:spacing w:after="0"/>
              <w:rPr>
                <w:sz w:val="13"/>
                <w:szCs w:val="13"/>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1.9%</w:t>
            </w:r>
          </w:p>
        </w:tc>
      </w:tr>
      <w:tr>
        <w:trPr>
          <w:trHeight w:val="166"/>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Other—External</w:t>
            </w: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1,062</w:t>
            </w:r>
          </w:p>
        </w:tc>
        <w:tc>
          <w:tcPr>
            <w:tcW w:w="40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3,351</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jc w:val="right"/>
              <w:ind w:right="1143"/>
              <w:spacing w:after="0"/>
              <w:rPr>
                <w:sz w:val="20"/>
                <w:szCs w:val="20"/>
                <w:color w:val="auto"/>
              </w:rPr>
            </w:pPr>
            <w:r>
              <w:rPr>
                <w:rFonts w:ascii="Arial" w:cs="Arial" w:eastAsia="Arial" w:hAnsi="Arial"/>
                <w:sz w:val="11"/>
                <w:szCs w:val="11"/>
                <w:color w:val="auto"/>
              </w:rPr>
              <w:t>(2,289)</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(68)%</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0.4%</w:t>
            </w:r>
          </w:p>
        </w:tc>
        <w:tc>
          <w:tcPr>
            <w:tcW w:w="500" w:type="dxa"/>
            <w:vAlign w:val="bottom"/>
            <w:shd w:val="clear" w:color="auto" w:fill="929292"/>
          </w:tcPr>
          <w:p>
            <w:pPr>
              <w:spacing w:after="0"/>
              <w:rPr>
                <w:sz w:val="14"/>
                <w:szCs w:val="14"/>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-208280</wp:posOffset>
            </wp:positionV>
            <wp:extent cx="15970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14"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color w:val="auto"/>
        </w:rPr>
        <w:t>For the IFP and Other—Internal segment, the increase was driven by a change in product mix sold. For the IFP and Other—External segment, the decrease was primarily driven by a strategic shift towards higher margin Medicare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80" w:type="dxa"/>
            <w:vAlign w:val="bottom"/>
            <w:shd w:val="clear" w:color="auto" w:fill="929292"/>
          </w:tcPr>
          <w:p>
            <w:pPr>
              <w:spacing w:after="0"/>
              <w:rPr>
                <w:sz w:val="13"/>
                <w:szCs w:val="13"/>
                <w:color w:val="auto"/>
              </w:rPr>
            </w:pPr>
          </w:p>
        </w:tc>
        <w:tc>
          <w:tcPr>
            <w:tcW w:w="2480" w:type="dxa"/>
            <w:vAlign w:val="bottom"/>
            <w:gridSpan w:val="3"/>
          </w:tcPr>
          <w:p>
            <w:pPr>
              <w:jc w:val="right"/>
              <w:ind w:right="223"/>
              <w:spacing w:after="0"/>
              <w:rPr>
                <w:sz w:val="20"/>
                <w:szCs w:val="20"/>
                <w:color w:val="auto"/>
              </w:rPr>
            </w:pPr>
            <w:r>
              <w:rPr>
                <w:rFonts w:ascii="Arial" w:cs="Arial" w:eastAsia="Arial" w:hAnsi="Arial"/>
                <w:sz w:val="11"/>
                <w:szCs w:val="11"/>
                <w:color w:val="auto"/>
              </w:rPr>
              <w:t>Three months ended Mar. 31,</w:t>
            </w: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gridSpan w:val="2"/>
            <w:shd w:val="clear" w:color="auto" w:fill="929292"/>
          </w:tcPr>
          <w:p>
            <w:pPr>
              <w:ind w:left="580"/>
              <w:spacing w:after="0"/>
              <w:rPr>
                <w:sz w:val="20"/>
                <w:szCs w:val="20"/>
                <w:color w:val="auto"/>
              </w:rPr>
            </w:pPr>
            <w:r>
              <w:rPr>
                <w:rFonts w:ascii="Arial" w:cs="Arial" w:eastAsia="Arial" w:hAnsi="Arial"/>
                <w:sz w:val="11"/>
                <w:szCs w:val="11"/>
                <w:color w:val="FFFFFF"/>
              </w:rPr>
              <w:t>% of Segment Profit (Loss)</w:t>
            </w:r>
          </w:p>
        </w:tc>
      </w:tr>
      <w:tr>
        <w:trPr>
          <w:trHeight w:val="153"/>
        </w:trPr>
        <w:tc>
          <w:tcPr>
            <w:tcW w:w="2580" w:type="dxa"/>
            <w:vAlign w:val="bottom"/>
            <w:tcBorders>
              <w:bottom w:val="single" w:sz="8" w:color="929292"/>
            </w:tcBorders>
          </w:tcPr>
          <w:p>
            <w:pPr>
              <w:ind w:left="740"/>
              <w:spacing w:after="0"/>
              <w:rPr>
                <w:sz w:val="20"/>
                <w:szCs w:val="20"/>
                <w:color w:val="auto"/>
              </w:rPr>
            </w:pPr>
            <w:r>
              <w:rPr>
                <w:rFonts w:ascii="Arial" w:cs="Arial" w:eastAsia="Arial" w:hAnsi="Arial"/>
                <w:sz w:val="11"/>
                <w:szCs w:val="11"/>
                <w:color w:val="auto"/>
              </w:rPr>
              <w:t>Segment Profit (Loss)</w:t>
            </w:r>
          </w:p>
        </w:tc>
        <w:tc>
          <w:tcPr>
            <w:tcW w:w="80" w:type="dxa"/>
            <w:vAlign w:val="bottom"/>
            <w:tcBorders>
              <w:bottom w:val="single" w:sz="8" w:color="929292"/>
            </w:tcBorders>
            <w:shd w:val="clear" w:color="auto" w:fill="929292"/>
          </w:tcPr>
          <w:p>
            <w:pPr>
              <w:spacing w:after="0"/>
              <w:rPr>
                <w:sz w:val="13"/>
                <w:szCs w:val="13"/>
                <w:color w:val="auto"/>
              </w:rPr>
            </w:pPr>
          </w:p>
        </w:tc>
        <w:tc>
          <w:tcPr>
            <w:tcW w:w="98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929292"/>
            </w:tcBorders>
          </w:tcPr>
          <w:p>
            <w:pPr>
              <w:spacing w:after="0"/>
              <w:rPr>
                <w:sz w:val="13"/>
                <w:szCs w:val="13"/>
                <w:color w:val="auto"/>
              </w:rPr>
            </w:pPr>
          </w:p>
        </w:tc>
        <w:tc>
          <w:tcPr>
            <w:tcW w:w="102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3"/>
              <w:spacing w:after="0"/>
              <w:rPr>
                <w:sz w:val="20"/>
                <w:szCs w:val="20"/>
                <w:color w:val="auto"/>
              </w:rPr>
            </w:pPr>
            <w:r>
              <w:rPr>
                <w:rFonts w:ascii="Arial" w:cs="Arial" w:eastAsia="Arial" w:hAnsi="Arial"/>
                <w:sz w:val="11"/>
                <w:szCs w:val="11"/>
                <w:color w:val="auto"/>
              </w:rPr>
              <w:t>$ Change</w:t>
            </w:r>
          </w:p>
        </w:tc>
        <w:tc>
          <w:tcPr>
            <w:tcW w:w="154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 Change</w:t>
            </w:r>
          </w:p>
        </w:tc>
        <w:tc>
          <w:tcPr>
            <w:tcW w:w="520" w:type="dxa"/>
            <w:vAlign w:val="bottom"/>
            <w:tcBorders>
              <w:bottom w:val="single" w:sz="8" w:color="929292"/>
            </w:tcBorders>
          </w:tcPr>
          <w:p>
            <w:pPr>
              <w:spacing w:after="0"/>
              <w:rPr>
                <w:sz w:val="13"/>
                <w:szCs w:val="13"/>
                <w:color w:val="auto"/>
              </w:rPr>
            </w:pP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2022</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1"/>
                <w:szCs w:val="11"/>
                <w:color w:val="FFFFFF"/>
              </w:rPr>
              <w:t>2021</w:t>
            </w:r>
          </w:p>
        </w:tc>
      </w:tr>
      <w:tr>
        <w:trPr>
          <w:trHeight w:val="150"/>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Other—Internal</w:t>
            </w:r>
          </w:p>
        </w:tc>
        <w:tc>
          <w:tcPr>
            <w:tcW w:w="80" w:type="dxa"/>
            <w:vAlign w:val="bottom"/>
            <w:shd w:val="clear" w:color="auto" w:fill="929292"/>
          </w:tcPr>
          <w:p>
            <w:pPr>
              <w:spacing w:after="0"/>
              <w:rPr>
                <w:sz w:val="13"/>
                <w:szCs w:val="13"/>
                <w:color w:val="auto"/>
              </w:rPr>
            </w:pP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590</w:t>
            </w:r>
          </w:p>
        </w:tc>
        <w:tc>
          <w:tcPr>
            <w:tcW w:w="1020" w:type="dxa"/>
            <w:vAlign w:val="bottom"/>
          </w:tcPr>
          <w:p>
            <w:pPr>
              <w:jc w:val="right"/>
              <w:ind w:right="8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(729)</w:t>
            </w:r>
          </w:p>
        </w:tc>
        <w:tc>
          <w:tcPr>
            <w:tcW w:w="106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1540" w:type="dxa"/>
            <w:vAlign w:val="bottom"/>
          </w:tcPr>
          <w:p>
            <w:pPr>
              <w:jc w:val="right"/>
              <w:ind w:right="1143"/>
              <w:spacing w:after="0"/>
              <w:rPr>
                <w:sz w:val="20"/>
                <w:szCs w:val="20"/>
                <w:color w:val="auto"/>
              </w:rPr>
            </w:pPr>
            <w:r>
              <w:rPr>
                <w:rFonts w:ascii="Arial" w:cs="Arial" w:eastAsia="Arial" w:hAnsi="Arial"/>
                <w:sz w:val="11"/>
                <w:szCs w:val="11"/>
                <w:color w:val="auto"/>
              </w:rPr>
              <w:t>1,319</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N/M</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2.2%</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(1.6)%</w:t>
            </w:r>
          </w:p>
        </w:tc>
      </w:tr>
      <w:tr>
        <w:trPr>
          <w:trHeight w:val="166"/>
        </w:trPr>
        <w:tc>
          <w:tcPr>
            <w:tcW w:w="2580" w:type="dxa"/>
            <w:vAlign w:val="bottom"/>
          </w:tcPr>
          <w:p>
            <w:pPr>
              <w:ind w:left="20"/>
              <w:spacing w:after="0"/>
              <w:rPr>
                <w:sz w:val="20"/>
                <w:szCs w:val="20"/>
                <w:color w:val="auto"/>
              </w:rPr>
            </w:pPr>
            <w:r>
              <w:rPr>
                <w:rFonts w:ascii="Arial" w:cs="Arial" w:eastAsia="Arial" w:hAnsi="Arial"/>
                <w:sz w:val="11"/>
                <w:szCs w:val="11"/>
                <w:color w:val="auto"/>
              </w:rPr>
              <w:t>IFP and Other—External</w:t>
            </w:r>
          </w:p>
        </w:tc>
        <w:tc>
          <w:tcPr>
            <w:tcW w:w="80" w:type="dxa"/>
            <w:vAlign w:val="bottom"/>
            <w:shd w:val="clear" w:color="auto" w:fill="929292"/>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(258)</w:t>
            </w:r>
          </w:p>
        </w:tc>
        <w:tc>
          <w:tcPr>
            <w:tcW w:w="1020" w:type="dxa"/>
            <w:vAlign w:val="bottom"/>
          </w:tcPr>
          <w:p>
            <w:pPr>
              <w:spacing w:after="0"/>
              <w:rPr>
                <w:sz w:val="14"/>
                <w:szCs w:val="14"/>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160</w:t>
            </w:r>
          </w:p>
        </w:tc>
        <w:tc>
          <w:tcPr>
            <w:tcW w:w="1060" w:type="dxa"/>
            <w:vAlign w:val="bottom"/>
          </w:tcPr>
          <w:p>
            <w:pPr>
              <w:spacing w:after="0"/>
              <w:rPr>
                <w:sz w:val="14"/>
                <w:szCs w:val="14"/>
                <w:color w:val="auto"/>
              </w:rPr>
            </w:pPr>
          </w:p>
        </w:tc>
        <w:tc>
          <w:tcPr>
            <w:tcW w:w="1540" w:type="dxa"/>
            <w:vAlign w:val="bottom"/>
          </w:tcPr>
          <w:p>
            <w:pPr>
              <w:jc w:val="right"/>
              <w:ind w:right="1123"/>
              <w:spacing w:after="0"/>
              <w:rPr>
                <w:sz w:val="20"/>
                <w:szCs w:val="20"/>
                <w:color w:val="auto"/>
              </w:rPr>
            </w:pPr>
            <w:r>
              <w:rPr>
                <w:rFonts w:ascii="Arial" w:cs="Arial" w:eastAsia="Arial" w:hAnsi="Arial"/>
                <w:sz w:val="11"/>
                <w:szCs w:val="11"/>
                <w:color w:val="auto"/>
              </w:rPr>
              <w:t>(418)</w:t>
            </w: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(261)%</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(1.0)%</w:t>
            </w:r>
          </w:p>
        </w:tc>
        <w:tc>
          <w:tcPr>
            <w:tcW w:w="1260" w:type="dxa"/>
            <w:vAlign w:val="bottom"/>
            <w:shd w:val="clear" w:color="auto" w:fill="929292"/>
          </w:tcPr>
          <w:p>
            <w:pPr>
              <w:jc w:val="center"/>
              <w:spacing w:after="0"/>
              <w:rPr>
                <w:sz w:val="20"/>
                <w:szCs w:val="20"/>
                <w:color w:val="auto"/>
              </w:rPr>
            </w:pPr>
            <w:r>
              <w:rPr>
                <w:rFonts w:ascii="Arial" w:cs="Arial" w:eastAsia="Arial" w:hAnsi="Arial"/>
                <w:sz w:val="11"/>
                <w:szCs w:val="11"/>
                <w:color w:val="FFFFFF"/>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-208280</wp:posOffset>
            </wp:positionV>
            <wp:extent cx="15970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NM = Not meaningful</w:t>
      </w:r>
    </w:p>
    <w:p>
      <w:pPr>
        <w:spacing w:after="0" w:line="174" w:lineRule="exact"/>
        <w:rPr>
          <w:sz w:val="20"/>
          <w:szCs w:val="20"/>
          <w:color w:val="auto"/>
        </w:rPr>
      </w:pPr>
    </w:p>
    <w:p>
      <w:pPr>
        <w:ind w:right="220"/>
        <w:spacing w:after="0" w:line="261" w:lineRule="auto"/>
        <w:rPr>
          <w:sz w:val="20"/>
          <w:szCs w:val="20"/>
          <w:color w:val="auto"/>
        </w:rPr>
      </w:pPr>
      <w:r>
        <w:rPr>
          <w:rFonts w:ascii="Arial" w:cs="Arial" w:eastAsia="Arial" w:hAnsi="Arial"/>
          <w:sz w:val="13"/>
          <w:szCs w:val="13"/>
          <w:color w:val="auto"/>
        </w:rPr>
        <w:t>For the IFP and Other—Internal segment, the increase was attributable to a reduction in operating costs driven by less investment in this segment, as we have implemented an overall strategic shift towards higher margin Medicare products. For the IFP and Other—External segment, the decrease was primarily driven by a change in product mix sold by external agencies, as well as an overall strategic shift towards higher margin Medicare products.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 The business and operating metrics are organized to reflect the evolution of a policy from submission to recognition of commission revenue.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Submitted Policies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table presents the number of Submitted Policies by product for the Medicare segments for the periods presented, split between those submissions that are commissionable (compensated through commissions received from carriers) and those that are non-commissionable (compensated via hourly fees and enrollment fees):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940" w:type="dxa"/>
            <w:vAlign w:val="bottom"/>
            <w:gridSpan w:val="2"/>
          </w:tcPr>
          <w:p>
            <w:pPr>
              <w:jc w:val="right"/>
              <w:ind w:right="663"/>
              <w:spacing w:after="0"/>
              <w:rPr>
                <w:sz w:val="20"/>
                <w:szCs w:val="20"/>
                <w:color w:val="auto"/>
              </w:rPr>
            </w:pPr>
            <w:r>
              <w:rPr>
                <w:rFonts w:ascii="Arial" w:cs="Arial" w:eastAsia="Arial" w:hAnsi="Arial"/>
                <w:sz w:val="11"/>
                <w:szCs w:val="11"/>
                <w:color w:val="auto"/>
              </w:rPr>
              <w:t>Three months ended Mar. 31,</w:t>
            </w:r>
          </w:p>
        </w:tc>
      </w:tr>
      <w:tr>
        <w:trPr>
          <w:trHeight w:val="152"/>
        </w:trPr>
        <w:tc>
          <w:tcPr>
            <w:tcW w:w="824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Submitted Policies</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863"/>
              <w:spacing w:after="0"/>
              <w:rPr>
                <w:sz w:val="20"/>
                <w:szCs w:val="20"/>
                <w:color w:val="auto"/>
              </w:rPr>
            </w:pPr>
            <w:r>
              <w:rPr>
                <w:rFonts w:ascii="Arial" w:cs="Arial" w:eastAsia="Arial" w:hAnsi="Arial"/>
                <w:sz w:val="11"/>
                <w:szCs w:val="11"/>
                <w:color w:val="auto"/>
              </w:rPr>
              <w:t>2022</w:t>
            </w:r>
          </w:p>
        </w:tc>
        <w:tc>
          <w:tcPr>
            <w:tcW w:w="11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Commissionable</w:t>
            </w:r>
          </w:p>
        </w:tc>
        <w:tc>
          <w:tcPr>
            <w:tcW w:w="100" w:type="dxa"/>
            <w:vAlign w:val="bottom"/>
            <w:shd w:val="clear" w:color="auto" w:fill="929292"/>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286,109</w:t>
            </w:r>
          </w:p>
        </w:tc>
        <w:tc>
          <w:tcPr>
            <w:tcW w:w="1180" w:type="dxa"/>
            <w:vAlign w:val="bottom"/>
          </w:tcPr>
          <w:p>
            <w:pPr>
              <w:jc w:val="right"/>
              <w:spacing w:after="0"/>
              <w:rPr>
                <w:sz w:val="20"/>
                <w:szCs w:val="20"/>
                <w:color w:val="auto"/>
              </w:rPr>
            </w:pPr>
            <w:r>
              <w:rPr>
                <w:rFonts w:ascii="Arial" w:cs="Arial" w:eastAsia="Arial" w:hAnsi="Arial"/>
                <w:sz w:val="11"/>
                <w:szCs w:val="11"/>
                <w:color w:val="auto"/>
              </w:rPr>
              <w:t>172,874</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502</w:t>
            </w:r>
          </w:p>
        </w:tc>
        <w:tc>
          <w:tcPr>
            <w:tcW w:w="1180" w:type="dxa"/>
            <w:vAlign w:val="bottom"/>
          </w:tcPr>
          <w:p>
            <w:pPr>
              <w:jc w:val="right"/>
              <w:spacing w:after="0"/>
              <w:rPr>
                <w:sz w:val="20"/>
                <w:szCs w:val="20"/>
                <w:color w:val="auto"/>
              </w:rPr>
            </w:pPr>
            <w:r>
              <w:rPr>
                <w:rFonts w:ascii="Arial" w:cs="Arial" w:eastAsia="Arial" w:hAnsi="Arial"/>
                <w:sz w:val="11"/>
                <w:szCs w:val="11"/>
                <w:color w:val="auto"/>
              </w:rPr>
              <w:t>1,104</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PDP</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6,525</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2,593</w:t>
            </w:r>
          </w:p>
        </w:tc>
      </w:tr>
      <w:tr>
        <w:trPr>
          <w:trHeight w:val="156"/>
        </w:trPr>
        <w:tc>
          <w:tcPr>
            <w:tcW w:w="8240" w:type="dxa"/>
            <w:vAlign w:val="bottom"/>
            <w:tcBorders>
              <w:bottom w:val="single" w:sz="8" w:color="929292"/>
            </w:tcBorders>
          </w:tcPr>
          <w:p>
            <w:pPr>
              <w:ind w:left="20"/>
              <w:spacing w:after="0"/>
              <w:rPr>
                <w:sz w:val="20"/>
                <w:szCs w:val="20"/>
                <w:color w:val="auto"/>
              </w:rPr>
            </w:pPr>
            <w:r>
              <w:rPr>
                <w:rFonts w:ascii="Arial" w:cs="Arial" w:eastAsia="Arial" w:hAnsi="Arial"/>
                <w:sz w:val="11"/>
                <w:szCs w:val="11"/>
                <w:b w:val="1"/>
                <w:bCs w:val="1"/>
                <w:color w:val="auto"/>
              </w:rPr>
              <w:t>Medicare commissionable Submitted Policies</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293,136</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176,571</w:t>
            </w:r>
          </w:p>
        </w:tc>
      </w:tr>
      <w:tr>
        <w:trPr>
          <w:trHeight w:val="144"/>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Non-commissionable</w:t>
            </w:r>
          </w:p>
        </w:tc>
        <w:tc>
          <w:tcPr>
            <w:tcW w:w="100" w:type="dxa"/>
            <w:vAlign w:val="bottom"/>
            <w:shd w:val="clear" w:color="auto" w:fill="929292"/>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4,487</w:t>
            </w:r>
          </w:p>
        </w:tc>
        <w:tc>
          <w:tcPr>
            <w:tcW w:w="1180" w:type="dxa"/>
            <w:vAlign w:val="bottom"/>
          </w:tcPr>
          <w:p>
            <w:pPr>
              <w:jc w:val="right"/>
              <w:spacing w:after="0"/>
              <w:rPr>
                <w:sz w:val="20"/>
                <w:szCs w:val="20"/>
                <w:color w:val="auto"/>
              </w:rPr>
            </w:pPr>
            <w:r>
              <w:rPr>
                <w:rFonts w:ascii="Arial" w:cs="Arial" w:eastAsia="Arial" w:hAnsi="Arial"/>
                <w:sz w:val="11"/>
                <w:szCs w:val="11"/>
                <w:color w:val="auto"/>
              </w:rPr>
              <w:t>5,939</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2,191</w:t>
            </w:r>
          </w:p>
        </w:tc>
        <w:tc>
          <w:tcPr>
            <w:tcW w:w="1180" w:type="dxa"/>
            <w:vAlign w:val="bottom"/>
          </w:tcPr>
          <w:p>
            <w:pPr>
              <w:jc w:val="right"/>
              <w:spacing w:after="0"/>
              <w:rPr>
                <w:sz w:val="20"/>
                <w:szCs w:val="20"/>
                <w:color w:val="auto"/>
              </w:rPr>
            </w:pPr>
            <w:r>
              <w:rPr>
                <w:rFonts w:ascii="Arial" w:cs="Arial" w:eastAsia="Arial" w:hAnsi="Arial"/>
                <w:sz w:val="11"/>
                <w:szCs w:val="11"/>
                <w:color w:val="auto"/>
              </w:rPr>
              <w:t>1,650</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PDP</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829</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885</w:t>
            </w:r>
          </w:p>
        </w:tc>
      </w:tr>
      <w:tr>
        <w:trPr>
          <w:trHeight w:val="156"/>
        </w:trPr>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Medicare non-commissionable Submitted Policies</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7,507</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8,474</w:t>
            </w:r>
          </w:p>
        </w:tc>
      </w:tr>
      <w:tr>
        <w:trPr>
          <w:trHeight w:val="133"/>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Total Submitted Policies</w:t>
            </w:r>
          </w:p>
        </w:tc>
        <w:tc>
          <w:tcPr>
            <w:tcW w:w="100" w:type="dxa"/>
            <w:vAlign w:val="bottom"/>
            <w:shd w:val="clear" w:color="auto" w:fill="929292"/>
          </w:tcPr>
          <w:p>
            <w:pPr>
              <w:spacing w:after="0"/>
              <w:rPr>
                <w:sz w:val="11"/>
                <w:szCs w:val="11"/>
                <w:color w:val="auto"/>
              </w:rPr>
            </w:pPr>
          </w:p>
        </w:tc>
        <w:tc>
          <w:tcPr>
            <w:tcW w:w="17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290,596</w:t>
            </w:r>
          </w:p>
        </w:tc>
        <w:tc>
          <w:tcPr>
            <w:tcW w:w="1180" w:type="dxa"/>
            <w:vAlign w:val="bottom"/>
          </w:tcPr>
          <w:p>
            <w:pPr>
              <w:jc w:val="right"/>
              <w:spacing w:after="0"/>
              <w:rPr>
                <w:sz w:val="20"/>
                <w:szCs w:val="20"/>
                <w:color w:val="auto"/>
              </w:rPr>
            </w:pPr>
            <w:r>
              <w:rPr>
                <w:rFonts w:ascii="Arial" w:cs="Arial" w:eastAsia="Arial" w:hAnsi="Arial"/>
                <w:sz w:val="11"/>
                <w:szCs w:val="11"/>
                <w:color w:val="auto"/>
              </w:rPr>
              <w:t>178,813</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2,693</w:t>
            </w:r>
          </w:p>
        </w:tc>
        <w:tc>
          <w:tcPr>
            <w:tcW w:w="1180" w:type="dxa"/>
            <w:vAlign w:val="bottom"/>
          </w:tcPr>
          <w:p>
            <w:pPr>
              <w:jc w:val="right"/>
              <w:spacing w:after="0"/>
              <w:rPr>
                <w:sz w:val="20"/>
                <w:szCs w:val="20"/>
                <w:color w:val="auto"/>
              </w:rPr>
            </w:pPr>
            <w:r>
              <w:rPr>
                <w:rFonts w:ascii="Arial" w:cs="Arial" w:eastAsia="Arial" w:hAnsi="Arial"/>
                <w:sz w:val="11"/>
                <w:szCs w:val="11"/>
                <w:color w:val="auto"/>
              </w:rPr>
              <w:t>2,754</w:t>
            </w:r>
          </w:p>
        </w:tc>
      </w:tr>
      <w:tr>
        <w:trPr>
          <w:trHeight w:val="162"/>
        </w:trPr>
        <w:tc>
          <w:tcPr>
            <w:tcW w:w="8240" w:type="dxa"/>
            <w:vAlign w:val="bottom"/>
          </w:tcPr>
          <w:p>
            <w:pPr>
              <w:ind w:left="100"/>
              <w:spacing w:after="0"/>
              <w:rPr>
                <w:sz w:val="20"/>
                <w:szCs w:val="20"/>
                <w:color w:val="auto"/>
              </w:rPr>
            </w:pPr>
            <w:r>
              <w:rPr>
                <w:rFonts w:ascii="Arial" w:cs="Arial" w:eastAsia="Arial" w:hAnsi="Arial"/>
                <w:sz w:val="11"/>
                <w:szCs w:val="11"/>
                <w:color w:val="auto"/>
              </w:rPr>
              <w:t>PDP</w:t>
            </w:r>
          </w:p>
        </w:tc>
        <w:tc>
          <w:tcPr>
            <w:tcW w:w="100" w:type="dxa"/>
            <w:vAlign w:val="bottom"/>
            <w:tcBorders>
              <w:bottom w:val="single" w:sz="8" w:color="929292"/>
            </w:tcBorders>
            <w:shd w:val="clear" w:color="auto" w:fill="929292"/>
          </w:tcPr>
          <w:p>
            <w:pPr>
              <w:spacing w:after="0"/>
              <w:rPr>
                <w:sz w:val="14"/>
                <w:szCs w:val="14"/>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7,354</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3,478</w:t>
            </w:r>
          </w:p>
        </w:tc>
      </w:tr>
      <w:tr>
        <w:trPr>
          <w:trHeight w:val="173"/>
        </w:trPr>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Total Medicare commissionable and non-commissionable Submitted Policies</w:t>
            </w:r>
          </w:p>
        </w:tc>
        <w:tc>
          <w:tcPr>
            <w:tcW w:w="100" w:type="dxa"/>
            <w:vAlign w:val="bottom"/>
            <w:tcBorders>
              <w:bottom w:val="single" w:sz="8" w:color="929292"/>
            </w:tcBorders>
            <w:shd w:val="clear" w:color="auto" w:fill="929292"/>
          </w:tcPr>
          <w:p>
            <w:pPr>
              <w:spacing w:after="0"/>
              <w:rPr>
                <w:sz w:val="15"/>
                <w:szCs w:val="15"/>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300,643</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185,045</w:t>
            </w: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r>
    </w:tbl>
    <w:p>
      <w:pPr>
        <w:spacing w:after="0" w:line="234"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The increase for the three months ended March 31, 2022 compared to the prior year period is attributable to an increase in agent headcount, driven by the hiring, onboarding, and training of additional agents throughout 2021, particularly in the second and third quarters as we prepared for AEP, and an increase in marketing costs to generate a greater number of prospects for a larger agent workforce.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IFP and Other Segments</w:t>
      </w:r>
    </w:p>
    <w:p>
      <w:pPr>
        <w:spacing w:after="0" w:line="167" w:lineRule="exact"/>
        <w:rPr>
          <w:sz w:val="20"/>
          <w:szCs w:val="20"/>
          <w:color w:val="auto"/>
        </w:rPr>
      </w:pPr>
    </w:p>
    <w:p>
      <w:pPr>
        <w:ind w:right="300"/>
        <w:spacing w:after="0" w:line="283" w:lineRule="auto"/>
        <w:rPr>
          <w:sz w:val="20"/>
          <w:szCs w:val="20"/>
          <w:color w:val="auto"/>
        </w:rPr>
      </w:pPr>
      <w:r>
        <w:rPr>
          <w:rFonts w:ascii="Arial" w:cs="Arial" w:eastAsia="Arial" w:hAnsi="Arial"/>
          <w:sz w:val="13"/>
          <w:szCs w:val="13"/>
          <w:color w:val="auto"/>
        </w:rPr>
        <w:t>Total Submitted Policies for the IFP and Other segments were 9,205 and 16,824 for the three months ended March 31, 2022 and 2021, respectively. The decrease is due to a change in strategy to prioritize agents and marketing and advertising spend in the Medicare segments instead of the IFP and Other segments.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Approved Submissions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38"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The following tables present the number of Approved Submissions by product relating to commissionable policies for each of the Medicare segments for the periods presented. Only commissionable policies are used to calculate our LTV.</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5"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940" w:type="dxa"/>
            <w:vAlign w:val="bottom"/>
            <w:gridSpan w:val="2"/>
          </w:tcPr>
          <w:p>
            <w:pPr>
              <w:jc w:val="right"/>
              <w:ind w:right="663"/>
              <w:spacing w:after="0"/>
              <w:rPr>
                <w:sz w:val="20"/>
                <w:szCs w:val="20"/>
                <w:color w:val="auto"/>
              </w:rPr>
            </w:pPr>
            <w:r>
              <w:rPr>
                <w:rFonts w:ascii="Arial" w:cs="Arial" w:eastAsia="Arial" w:hAnsi="Arial"/>
                <w:sz w:val="11"/>
                <w:szCs w:val="11"/>
                <w:color w:val="auto"/>
              </w:rPr>
              <w:t>Three months ended Mar. 31,</w:t>
            </w:r>
          </w:p>
        </w:tc>
      </w:tr>
      <w:tr>
        <w:trPr>
          <w:trHeight w:val="152"/>
        </w:trPr>
        <w:tc>
          <w:tcPr>
            <w:tcW w:w="824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Approved Submissions</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863"/>
              <w:spacing w:after="0"/>
              <w:rPr>
                <w:sz w:val="20"/>
                <w:szCs w:val="20"/>
                <w:color w:val="auto"/>
              </w:rPr>
            </w:pPr>
            <w:r>
              <w:rPr>
                <w:rFonts w:ascii="Arial" w:cs="Arial" w:eastAsia="Arial" w:hAnsi="Arial"/>
                <w:sz w:val="11"/>
                <w:szCs w:val="11"/>
                <w:color w:val="auto"/>
              </w:rPr>
              <w:t>2022</w:t>
            </w:r>
          </w:p>
        </w:tc>
        <w:tc>
          <w:tcPr>
            <w:tcW w:w="11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Medicare-Internal</w:t>
            </w:r>
          </w:p>
        </w:tc>
        <w:tc>
          <w:tcPr>
            <w:tcW w:w="100" w:type="dxa"/>
            <w:vAlign w:val="bottom"/>
            <w:shd w:val="clear" w:color="auto" w:fill="929292"/>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188,928</w:t>
            </w:r>
          </w:p>
        </w:tc>
        <w:tc>
          <w:tcPr>
            <w:tcW w:w="1180" w:type="dxa"/>
            <w:vAlign w:val="bottom"/>
          </w:tcPr>
          <w:p>
            <w:pPr>
              <w:jc w:val="right"/>
              <w:spacing w:after="0"/>
              <w:rPr>
                <w:sz w:val="20"/>
                <w:szCs w:val="20"/>
                <w:color w:val="auto"/>
              </w:rPr>
            </w:pPr>
            <w:r>
              <w:rPr>
                <w:rFonts w:ascii="Arial" w:cs="Arial" w:eastAsia="Arial" w:hAnsi="Arial"/>
                <w:sz w:val="11"/>
                <w:szCs w:val="11"/>
                <w:color w:val="auto"/>
              </w:rPr>
              <w:t>128,886</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154</w:t>
            </w:r>
          </w:p>
        </w:tc>
        <w:tc>
          <w:tcPr>
            <w:tcW w:w="1180" w:type="dxa"/>
            <w:vAlign w:val="bottom"/>
          </w:tcPr>
          <w:p>
            <w:pPr>
              <w:jc w:val="right"/>
              <w:spacing w:after="0"/>
              <w:rPr>
                <w:sz w:val="20"/>
                <w:szCs w:val="20"/>
                <w:color w:val="auto"/>
              </w:rPr>
            </w:pPr>
            <w:r>
              <w:rPr>
                <w:rFonts w:ascii="Arial" w:cs="Arial" w:eastAsia="Arial" w:hAnsi="Arial"/>
                <w:sz w:val="11"/>
                <w:szCs w:val="11"/>
                <w:color w:val="auto"/>
              </w:rPr>
              <w:t>251</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PDP</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2,999</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2,284</w:t>
            </w:r>
          </w:p>
        </w:tc>
      </w:tr>
      <w:tr>
        <w:trPr>
          <w:trHeight w:val="156"/>
        </w:trPr>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Medicare-Internal commissionable Approved Submissions</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192,081</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131,421</w:t>
            </w:r>
          </w:p>
        </w:tc>
      </w:tr>
      <w:tr>
        <w:trPr>
          <w:trHeight w:val="133"/>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Medicare-External</w:t>
            </w:r>
          </w:p>
        </w:tc>
        <w:tc>
          <w:tcPr>
            <w:tcW w:w="100" w:type="dxa"/>
            <w:vAlign w:val="bottom"/>
            <w:shd w:val="clear" w:color="auto" w:fill="929292"/>
          </w:tcPr>
          <w:p>
            <w:pPr>
              <w:spacing w:after="0"/>
              <w:rPr>
                <w:sz w:val="11"/>
                <w:szCs w:val="11"/>
                <w:color w:val="auto"/>
              </w:rPr>
            </w:pPr>
          </w:p>
        </w:tc>
        <w:tc>
          <w:tcPr>
            <w:tcW w:w="17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87,948</w:t>
            </w:r>
          </w:p>
        </w:tc>
        <w:tc>
          <w:tcPr>
            <w:tcW w:w="1180" w:type="dxa"/>
            <w:vAlign w:val="bottom"/>
          </w:tcPr>
          <w:p>
            <w:pPr>
              <w:jc w:val="right"/>
              <w:spacing w:after="0"/>
              <w:rPr>
                <w:sz w:val="20"/>
                <w:szCs w:val="20"/>
                <w:color w:val="auto"/>
              </w:rPr>
            </w:pPr>
            <w:r>
              <w:rPr>
                <w:rFonts w:ascii="Arial" w:cs="Arial" w:eastAsia="Arial" w:hAnsi="Arial"/>
                <w:sz w:val="11"/>
                <w:szCs w:val="11"/>
                <w:color w:val="auto"/>
              </w:rPr>
              <w:t>42,241</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216</w:t>
            </w:r>
          </w:p>
        </w:tc>
        <w:tc>
          <w:tcPr>
            <w:tcW w:w="1180" w:type="dxa"/>
            <w:vAlign w:val="bottom"/>
          </w:tcPr>
          <w:p>
            <w:pPr>
              <w:jc w:val="right"/>
              <w:spacing w:after="0"/>
              <w:rPr>
                <w:sz w:val="20"/>
                <w:szCs w:val="20"/>
                <w:color w:val="auto"/>
              </w:rPr>
            </w:pPr>
            <w:r>
              <w:rPr>
                <w:rFonts w:ascii="Arial" w:cs="Arial" w:eastAsia="Arial" w:hAnsi="Arial"/>
                <w:sz w:val="11"/>
                <w:szCs w:val="11"/>
                <w:color w:val="auto"/>
              </w:rPr>
              <w:t>731</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PDP</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3,174</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289</w:t>
            </w:r>
          </w:p>
        </w:tc>
      </w:tr>
      <w:tr>
        <w:trPr>
          <w:trHeight w:val="156"/>
        </w:trPr>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Medicare-External commissionable Approved Submissions</w:t>
            </w:r>
          </w:p>
        </w:tc>
        <w:tc>
          <w:tcPr>
            <w:tcW w:w="100" w:type="dxa"/>
            <w:vAlign w:val="bottom"/>
            <w:tcBorders>
              <w:bottom w:val="single" w:sz="8" w:color="929292"/>
            </w:tcBorders>
            <w:shd w:val="clear" w:color="auto" w:fill="929292"/>
          </w:tcPr>
          <w:p>
            <w:pPr>
              <w:spacing w:after="0"/>
              <w:rPr>
                <w:sz w:val="13"/>
                <w:szCs w:val="13"/>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91,338</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43,261</w:t>
            </w:r>
          </w:p>
        </w:tc>
      </w:tr>
      <w:tr>
        <w:trPr>
          <w:trHeight w:val="133"/>
        </w:trPr>
        <w:tc>
          <w:tcPr>
            <w:tcW w:w="8240" w:type="dxa"/>
            <w:vAlign w:val="bottom"/>
          </w:tcPr>
          <w:p>
            <w:pPr>
              <w:ind w:left="20"/>
              <w:spacing w:after="0"/>
              <w:rPr>
                <w:sz w:val="20"/>
                <w:szCs w:val="20"/>
                <w:color w:val="auto"/>
              </w:rPr>
            </w:pPr>
            <w:r>
              <w:rPr>
                <w:rFonts w:ascii="Arial" w:cs="Arial" w:eastAsia="Arial" w:hAnsi="Arial"/>
                <w:sz w:val="11"/>
                <w:szCs w:val="11"/>
                <w:i w:val="1"/>
                <w:iCs w:val="1"/>
                <w:color w:val="auto"/>
              </w:rPr>
              <w:t>Total commissionable Approved Submissions</w:t>
            </w:r>
          </w:p>
        </w:tc>
        <w:tc>
          <w:tcPr>
            <w:tcW w:w="100" w:type="dxa"/>
            <w:vAlign w:val="bottom"/>
            <w:shd w:val="clear" w:color="auto" w:fill="929292"/>
          </w:tcPr>
          <w:p>
            <w:pPr>
              <w:spacing w:after="0"/>
              <w:rPr>
                <w:sz w:val="11"/>
                <w:szCs w:val="11"/>
                <w:color w:val="auto"/>
              </w:rPr>
            </w:pPr>
          </w:p>
        </w:tc>
        <w:tc>
          <w:tcPr>
            <w:tcW w:w="17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276,876</w:t>
            </w:r>
          </w:p>
        </w:tc>
        <w:tc>
          <w:tcPr>
            <w:tcW w:w="1180" w:type="dxa"/>
            <w:vAlign w:val="bottom"/>
          </w:tcPr>
          <w:p>
            <w:pPr>
              <w:jc w:val="right"/>
              <w:spacing w:after="0"/>
              <w:rPr>
                <w:sz w:val="20"/>
                <w:szCs w:val="20"/>
                <w:color w:val="auto"/>
              </w:rPr>
            </w:pPr>
            <w:r>
              <w:rPr>
                <w:rFonts w:ascii="Arial" w:cs="Arial" w:eastAsia="Arial" w:hAnsi="Arial"/>
                <w:sz w:val="11"/>
                <w:szCs w:val="11"/>
                <w:color w:val="auto"/>
              </w:rPr>
              <w:t>171,127</w:t>
            </w:r>
          </w:p>
        </w:tc>
      </w:tr>
      <w:tr>
        <w:trPr>
          <w:trHeight w:val="159"/>
        </w:trPr>
        <w:tc>
          <w:tcPr>
            <w:tcW w:w="8240" w:type="dxa"/>
            <w:vAlign w:val="bottom"/>
          </w:tcPr>
          <w:p>
            <w:pPr>
              <w:ind w:left="10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1760" w:type="dxa"/>
            <w:vAlign w:val="bottom"/>
          </w:tcPr>
          <w:p>
            <w:pPr>
              <w:jc w:val="right"/>
              <w:ind w:right="283"/>
              <w:spacing w:after="0"/>
              <w:rPr>
                <w:sz w:val="20"/>
                <w:szCs w:val="20"/>
                <w:color w:val="auto"/>
              </w:rPr>
            </w:pPr>
            <w:r>
              <w:rPr>
                <w:rFonts w:ascii="Arial" w:cs="Arial" w:eastAsia="Arial" w:hAnsi="Arial"/>
                <w:sz w:val="11"/>
                <w:szCs w:val="11"/>
                <w:color w:val="auto"/>
              </w:rPr>
              <w:t>370</w:t>
            </w:r>
          </w:p>
        </w:tc>
        <w:tc>
          <w:tcPr>
            <w:tcW w:w="1180" w:type="dxa"/>
            <w:vAlign w:val="bottom"/>
          </w:tcPr>
          <w:p>
            <w:pPr>
              <w:jc w:val="right"/>
              <w:spacing w:after="0"/>
              <w:rPr>
                <w:sz w:val="20"/>
                <w:szCs w:val="20"/>
                <w:color w:val="auto"/>
              </w:rPr>
            </w:pPr>
            <w:r>
              <w:rPr>
                <w:rFonts w:ascii="Arial" w:cs="Arial" w:eastAsia="Arial" w:hAnsi="Arial"/>
                <w:sz w:val="11"/>
                <w:szCs w:val="11"/>
                <w:color w:val="auto"/>
              </w:rPr>
              <w:t>982</w:t>
            </w:r>
          </w:p>
        </w:tc>
      </w:tr>
      <w:tr>
        <w:trPr>
          <w:trHeight w:val="162"/>
        </w:trPr>
        <w:tc>
          <w:tcPr>
            <w:tcW w:w="8240" w:type="dxa"/>
            <w:vAlign w:val="bottom"/>
          </w:tcPr>
          <w:p>
            <w:pPr>
              <w:ind w:left="100"/>
              <w:spacing w:after="0"/>
              <w:rPr>
                <w:sz w:val="20"/>
                <w:szCs w:val="20"/>
                <w:color w:val="auto"/>
              </w:rPr>
            </w:pPr>
            <w:r>
              <w:rPr>
                <w:rFonts w:ascii="Arial" w:cs="Arial" w:eastAsia="Arial" w:hAnsi="Arial"/>
                <w:sz w:val="11"/>
                <w:szCs w:val="11"/>
                <w:color w:val="auto"/>
              </w:rPr>
              <w:t>PDP</w:t>
            </w:r>
          </w:p>
        </w:tc>
        <w:tc>
          <w:tcPr>
            <w:tcW w:w="100" w:type="dxa"/>
            <w:vAlign w:val="bottom"/>
            <w:tcBorders>
              <w:bottom w:val="single" w:sz="8" w:color="929292"/>
            </w:tcBorders>
            <w:shd w:val="clear" w:color="auto" w:fill="929292"/>
          </w:tcPr>
          <w:p>
            <w:pPr>
              <w:spacing w:after="0"/>
              <w:rPr>
                <w:sz w:val="14"/>
                <w:szCs w:val="14"/>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color w:val="auto"/>
              </w:rPr>
              <w:t>6,173</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2,573</w:t>
            </w:r>
          </w:p>
        </w:tc>
      </w:tr>
      <w:tr>
        <w:trPr>
          <w:trHeight w:val="173"/>
        </w:trPr>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Total Medicare commissionable Approved Submissions</w:t>
            </w:r>
          </w:p>
        </w:tc>
        <w:tc>
          <w:tcPr>
            <w:tcW w:w="100" w:type="dxa"/>
            <w:vAlign w:val="bottom"/>
            <w:tcBorders>
              <w:bottom w:val="single" w:sz="8" w:color="929292"/>
            </w:tcBorders>
            <w:shd w:val="clear" w:color="auto" w:fill="929292"/>
          </w:tcPr>
          <w:p>
            <w:pPr>
              <w:spacing w:after="0"/>
              <w:rPr>
                <w:sz w:val="15"/>
                <w:szCs w:val="15"/>
                <w:color w:val="auto"/>
              </w:rPr>
            </w:pPr>
          </w:p>
        </w:tc>
        <w:tc>
          <w:tcPr>
            <w:tcW w:w="176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283,419</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174,682</w:t>
            </w: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r>
    </w:tbl>
    <w:p>
      <w:pPr>
        <w:spacing w:after="0" w:line="234" w:lineRule="exact"/>
        <w:rPr>
          <w:sz w:val="20"/>
          <w:szCs w:val="20"/>
          <w:color w:val="auto"/>
        </w:rPr>
      </w:pPr>
    </w:p>
    <w:p>
      <w:pPr>
        <w:jc w:val="both"/>
        <w:ind w:right="380"/>
        <w:spacing w:after="0" w:line="309" w:lineRule="auto"/>
        <w:rPr>
          <w:sz w:val="20"/>
          <w:szCs w:val="20"/>
          <w:color w:val="auto"/>
        </w:rPr>
      </w:pPr>
      <w:r>
        <w:rPr>
          <w:rFonts w:ascii="Arial" w:cs="Arial" w:eastAsia="Arial" w:hAnsi="Arial"/>
          <w:sz w:val="12"/>
          <w:szCs w:val="12"/>
          <w:color w:val="auto"/>
        </w:rPr>
        <w:t>The increase in Medicare—Internal commissionable Approved Submissions was attributable to an increase in agent headcount, driven by the hiring, onboarding, and training of additional agents throughout 2021, particularly in the second and third quarters as we prepared for AEP, and an increase in marketing costs to generate a greater number of prospects for a larger agent workforce.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increase in Medicare—External commissionable Approved Submissions was attributable to our ability to recruit and onboard additional external agents to enroll consumers in Medicare plans.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LTV Per Approved Submission</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LTV per Approved Submission by product for the Medicare segments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3"/>
          </w:tcPr>
          <w:p>
            <w:pPr>
              <w:jc w:val="right"/>
              <w:ind w:right="663"/>
              <w:spacing w:after="0"/>
              <w:rPr>
                <w:sz w:val="20"/>
                <w:szCs w:val="20"/>
                <w:color w:val="auto"/>
              </w:rPr>
            </w:pPr>
            <w:r>
              <w:rPr>
                <w:rFonts w:ascii="Arial" w:cs="Arial" w:eastAsia="Arial" w:hAnsi="Arial"/>
                <w:sz w:val="11"/>
                <w:szCs w:val="11"/>
                <w:color w:val="auto"/>
              </w:rPr>
              <w:t>Three months ended Mar. 31,</w:t>
            </w:r>
          </w:p>
        </w:tc>
      </w:tr>
      <w:tr>
        <w:trPr>
          <w:trHeight w:val="152"/>
        </w:trPr>
        <w:tc>
          <w:tcPr>
            <w:tcW w:w="824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LTV Per Approved Submission</w:t>
            </w:r>
          </w:p>
        </w:tc>
        <w:tc>
          <w:tcPr>
            <w:tcW w:w="100" w:type="dxa"/>
            <w:vAlign w:val="bottom"/>
            <w:tcBorders>
              <w:bottom w:val="single" w:sz="8" w:color="929292"/>
            </w:tcBorders>
            <w:shd w:val="clear" w:color="auto" w:fill="929292"/>
          </w:tcPr>
          <w:p>
            <w:pPr>
              <w:spacing w:after="0"/>
              <w:rPr>
                <w:sz w:val="13"/>
                <w:szCs w:val="13"/>
                <w:color w:val="auto"/>
              </w:rPr>
            </w:pPr>
          </w:p>
        </w:tc>
        <w:tc>
          <w:tcPr>
            <w:tcW w:w="32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tcBorders>
          </w:tcPr>
          <w:p>
            <w:pPr>
              <w:jc w:val="right"/>
              <w:ind w:right="54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929292"/>
            </w:tcBorders>
          </w:tcPr>
          <w:p>
            <w:pPr>
              <w:spacing w:after="0"/>
              <w:rPr>
                <w:sz w:val="13"/>
                <w:szCs w:val="13"/>
                <w:color w:val="auto"/>
              </w:rPr>
            </w:pPr>
          </w:p>
        </w:tc>
        <w:tc>
          <w:tcPr>
            <w:tcW w:w="110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2021</w:t>
            </w: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color w:val="auto"/>
              </w:rPr>
              <w:t>MA</w:t>
            </w:r>
          </w:p>
        </w:tc>
        <w:tc>
          <w:tcPr>
            <w:tcW w:w="100" w:type="dxa"/>
            <w:vAlign w:val="bottom"/>
            <w:shd w:val="clear" w:color="auto" w:fill="929292"/>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756</w:t>
            </w:r>
          </w:p>
        </w:tc>
        <w:tc>
          <w:tcPr>
            <w:tcW w:w="40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856</w:t>
            </w:r>
          </w:p>
        </w:tc>
      </w:tr>
      <w:tr>
        <w:trPr>
          <w:trHeight w:val="159"/>
        </w:trPr>
        <w:tc>
          <w:tcPr>
            <w:tcW w:w="8240" w:type="dxa"/>
            <w:vAlign w:val="bottom"/>
          </w:tcPr>
          <w:p>
            <w:pPr>
              <w:ind w:left="20"/>
              <w:spacing w:after="0"/>
              <w:rPr>
                <w:sz w:val="20"/>
                <w:szCs w:val="20"/>
                <w:color w:val="auto"/>
              </w:rPr>
            </w:pPr>
            <w:r>
              <w:rPr>
                <w:rFonts w:ascii="Arial" w:cs="Arial" w:eastAsia="Arial" w:hAnsi="Arial"/>
                <w:sz w:val="11"/>
                <w:szCs w:val="11"/>
                <w:color w:val="auto"/>
              </w:rPr>
              <w:t>MS</w:t>
            </w:r>
          </w:p>
        </w:tc>
        <w:tc>
          <w:tcPr>
            <w:tcW w:w="100" w:type="dxa"/>
            <w:vAlign w:val="bottom"/>
            <w:shd w:val="clear" w:color="auto" w:fill="929292"/>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843</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798</w:t>
            </w:r>
          </w:p>
        </w:tc>
      </w:tr>
      <w:tr>
        <w:trPr>
          <w:trHeight w:val="166"/>
        </w:trPr>
        <w:tc>
          <w:tcPr>
            <w:tcW w:w="8240" w:type="dxa"/>
            <w:vAlign w:val="bottom"/>
          </w:tcPr>
          <w:p>
            <w:pPr>
              <w:ind w:left="20"/>
              <w:spacing w:after="0"/>
              <w:rPr>
                <w:sz w:val="20"/>
                <w:szCs w:val="20"/>
                <w:color w:val="auto"/>
              </w:rPr>
            </w:pPr>
            <w:r>
              <w:rPr>
                <w:rFonts w:ascii="Arial" w:cs="Arial" w:eastAsia="Arial" w:hAnsi="Arial"/>
                <w:sz w:val="11"/>
                <w:szCs w:val="11"/>
                <w:color w:val="auto"/>
              </w:rPr>
              <w:t>PDP</w:t>
            </w:r>
          </w:p>
        </w:tc>
        <w:tc>
          <w:tcPr>
            <w:tcW w:w="10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203</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215</w:t>
            </w:r>
          </w:p>
        </w:tc>
      </w:tr>
    </w:tbl>
    <w:p>
      <w:pPr>
        <w:spacing w:after="0" w:line="234"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color w:val="auto"/>
        </w:rPr>
        <w:t>The decrease in LTV Per Approved Submission for Medicare Advantage was primarily attributable to an increase in consumer shopping, resulting in lower persistency and an increased constraint added to the LTV for the three months ended March 31, 2022.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LTV Per Approved Submission for Medicare Supplement and prescription drug plans were primarily due to changes in carrier mix and an increased constraint added to the LTVs.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3" w:name="page34"/>
    <w:bookmarkEnd w:id="33"/>
    <w:p>
      <w:pPr>
        <w:ind w:left="20"/>
        <w:spacing w:after="0"/>
        <w:rPr>
          <w:sz w:val="20"/>
          <w:szCs w:val="20"/>
          <w:color w:val="auto"/>
        </w:rPr>
      </w:pPr>
      <w:r>
        <w:rPr>
          <w:rFonts w:ascii="Arial" w:cs="Arial" w:eastAsia="Arial" w:hAnsi="Arial"/>
          <w:sz w:val="13"/>
          <w:szCs w:val="13"/>
          <w:b w:val="1"/>
          <w:bCs w:val="1"/>
          <w:color w:val="00497F"/>
        </w:rPr>
        <w:t>LTV/CAC</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excluding cost of revenue adjustments recorded in the period, but relating to performance obligations satisfied in prior periods,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LTV/CACs as well as our CACs, for our Medicare—Internal segment for the three months ended March 31,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520" w:type="dxa"/>
            <w:vAlign w:val="bottom"/>
            <w:gridSpan w:val="3"/>
          </w:tcPr>
          <w:p>
            <w:pPr>
              <w:jc w:val="right"/>
              <w:ind w:right="243"/>
              <w:spacing w:after="0"/>
              <w:rPr>
                <w:sz w:val="20"/>
                <w:szCs w:val="20"/>
                <w:color w:val="auto"/>
              </w:rPr>
            </w:pPr>
            <w:r>
              <w:rPr>
                <w:rFonts w:ascii="Arial" w:cs="Arial" w:eastAsia="Arial" w:hAnsi="Arial"/>
                <w:sz w:val="11"/>
                <w:szCs w:val="11"/>
                <w:color w:val="auto"/>
              </w:rPr>
              <w:t>Three months ended Mar. 31,</w:t>
            </w:r>
          </w:p>
        </w:tc>
        <w:tc>
          <w:tcPr>
            <w:tcW w:w="420" w:type="dxa"/>
            <w:vAlign w:val="bottom"/>
          </w:tcPr>
          <w:p>
            <w:pPr>
              <w:spacing w:after="0"/>
              <w:rPr>
                <w:sz w:val="14"/>
                <w:szCs w:val="14"/>
                <w:color w:val="auto"/>
              </w:rPr>
            </w:pPr>
          </w:p>
        </w:tc>
      </w:tr>
      <w:tr>
        <w:trPr>
          <w:trHeight w:val="152"/>
        </w:trPr>
        <w:tc>
          <w:tcPr>
            <w:tcW w:w="8240" w:type="dxa"/>
            <w:vAlign w:val="bottom"/>
            <w:tcBorders>
              <w:bottom w:val="single" w:sz="8" w:color="929292"/>
            </w:tcBorders>
          </w:tcPr>
          <w:p>
            <w:pPr>
              <w:spacing w:after="0"/>
              <w:rPr>
                <w:sz w:val="13"/>
                <w:szCs w:val="13"/>
                <w:color w:val="auto"/>
              </w:rPr>
            </w:pPr>
          </w:p>
        </w:tc>
        <w:tc>
          <w:tcPr>
            <w:tcW w:w="100" w:type="dxa"/>
            <w:vAlign w:val="bottom"/>
            <w:tcBorders>
              <w:bottom w:val="single" w:sz="8" w:color="929292"/>
            </w:tcBorders>
            <w:shd w:val="clear" w:color="auto" w:fill="929292"/>
          </w:tcPr>
          <w:p>
            <w:pPr>
              <w:spacing w:after="0"/>
              <w:rPr>
                <w:sz w:val="13"/>
                <w:szCs w:val="13"/>
                <w:color w:val="auto"/>
              </w:rPr>
            </w:pPr>
          </w:p>
        </w:tc>
        <w:tc>
          <w:tcPr>
            <w:tcW w:w="9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2022</w:t>
            </w:r>
          </w:p>
        </w:tc>
        <w:tc>
          <w:tcPr>
            <w:tcW w:w="500" w:type="dxa"/>
            <w:vAlign w:val="bottom"/>
            <w:tcBorders>
              <w:bottom w:val="single" w:sz="8" w:color="929292"/>
            </w:tcBorders>
          </w:tcPr>
          <w:p>
            <w:pPr>
              <w:spacing w:after="0"/>
              <w:rPr>
                <w:sz w:val="13"/>
                <w:szCs w:val="13"/>
                <w:color w:val="auto"/>
              </w:rPr>
            </w:pPr>
          </w:p>
        </w:tc>
        <w:tc>
          <w:tcPr>
            <w:tcW w:w="106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2021</w:t>
            </w:r>
          </w:p>
        </w:tc>
        <w:tc>
          <w:tcPr>
            <w:tcW w:w="420" w:type="dxa"/>
            <w:vAlign w:val="bottom"/>
            <w:tcBorders>
              <w:bottom w:val="single" w:sz="8" w:color="929292"/>
            </w:tcBorders>
          </w:tcPr>
          <w:p>
            <w:pPr>
              <w:spacing w:after="0"/>
              <w:rPr>
                <w:sz w:val="13"/>
                <w:szCs w:val="13"/>
                <w:color w:val="auto"/>
              </w:rPr>
            </w:pP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color w:val="auto"/>
              </w:rPr>
              <w:t>LTV/CAC</w:t>
            </w:r>
          </w:p>
        </w:tc>
        <w:tc>
          <w:tcPr>
            <w:tcW w:w="100" w:type="dxa"/>
            <w:vAlign w:val="bottom"/>
            <w:shd w:val="clear" w:color="auto" w:fill="929292"/>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1.5x</w:t>
            </w:r>
          </w:p>
        </w:tc>
        <w:tc>
          <w:tcPr>
            <w:tcW w:w="10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1.5x</w:t>
            </w:r>
          </w:p>
        </w:tc>
      </w:tr>
      <w:tr>
        <w:trPr>
          <w:trHeight w:val="166"/>
        </w:trPr>
        <w:tc>
          <w:tcPr>
            <w:tcW w:w="8240" w:type="dxa"/>
            <w:vAlign w:val="bottom"/>
          </w:tcPr>
          <w:p>
            <w:pPr>
              <w:ind w:left="20"/>
              <w:spacing w:after="0"/>
              <w:rPr>
                <w:sz w:val="20"/>
                <w:szCs w:val="20"/>
                <w:color w:val="auto"/>
              </w:rPr>
            </w:pPr>
            <w:r>
              <w:rPr>
                <w:rFonts w:ascii="Arial" w:cs="Arial" w:eastAsia="Arial" w:hAnsi="Arial"/>
                <w:sz w:val="11"/>
                <w:szCs w:val="11"/>
                <w:color w:val="auto"/>
              </w:rPr>
              <w:t>CAC</w:t>
            </w:r>
          </w:p>
        </w:tc>
        <w:tc>
          <w:tcPr>
            <w:tcW w:w="100" w:type="dxa"/>
            <w:vAlign w:val="bottom"/>
            <w:shd w:val="clear" w:color="auto" w:fill="929292"/>
          </w:tcPr>
          <w:p>
            <w:pPr>
              <w:spacing w:after="0"/>
              <w:rPr>
                <w:sz w:val="14"/>
                <w:szCs w:val="14"/>
                <w:color w:val="auto"/>
              </w:rPr>
            </w:pPr>
          </w:p>
        </w:tc>
        <w:tc>
          <w:tcPr>
            <w:tcW w:w="960" w:type="dxa"/>
            <w:vAlign w:val="bottom"/>
          </w:tcPr>
          <w:p>
            <w:pPr>
              <w:jc w:val="right"/>
              <w:ind w:right="82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100.0</w:t>
            </w:r>
          </w:p>
        </w:tc>
        <w:tc>
          <w:tcPr>
            <w:tcW w:w="1060" w:type="dxa"/>
            <w:vAlign w:val="bottom"/>
          </w:tcPr>
          <w:p>
            <w:pPr>
              <w:jc w:val="right"/>
              <w:ind w:right="883"/>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73.6</w:t>
            </w:r>
          </w:p>
        </w:tc>
      </w:tr>
    </w:tbl>
    <w:p>
      <w:pPr>
        <w:spacing w:after="0" w:line="234"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LTV/CAC for the three months ended March 31, 2022 and 2021 was 1.5x. The hiring of additional agents and increased marketing and advertising spend to generate a greater number of prospects for a larger agent workforce drove a 29.5% increase in revenues within the Medicare—Internal segment and resulted in a flat LTV/CAC year-over-year.</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Overview</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Our liquidity needs primarily include working capital and debt service requirements. At March 31, 2022, cash and cash equivalents totaled $129.6 million. We believe that our current sources of liquidity, which include cash and cash equivalents and funds available under the Credit Facilities, as described further below, will be sufficient to meet our projected operating and debt service requirements for at least the next 12 months. Short-term liquidity needs will primarily be funded through the Revolving Credit Facilities, as described further below, if necessary. As of March 31, 2022, the Company had $155.0 million outstanding under the Revolving Credit Facilities and had a remaining capacity of $45.0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cash flows for the three months ended March 31, 2022 and 2021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72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right"/>
              <w:ind w:right="443"/>
              <w:spacing w:after="0"/>
              <w:rPr>
                <w:sz w:val="20"/>
                <w:szCs w:val="20"/>
                <w:color w:val="auto"/>
              </w:rPr>
            </w:pPr>
            <w:r>
              <w:rPr>
                <w:rFonts w:ascii="Arial" w:cs="Arial" w:eastAsia="Arial" w:hAnsi="Arial"/>
                <w:sz w:val="11"/>
                <w:szCs w:val="11"/>
                <w:color w:val="auto"/>
              </w:rPr>
              <w:t>Three months ended Mar. 31,</w:t>
            </w:r>
          </w:p>
        </w:tc>
      </w:tr>
      <w:tr>
        <w:trPr>
          <w:trHeight w:val="152"/>
        </w:trPr>
        <w:tc>
          <w:tcPr>
            <w:tcW w:w="872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Borders>
              <w:bottom w:val="single" w:sz="8" w:color="929292"/>
            </w:tcBorders>
            <w:shd w:val="clear" w:color="auto" w:fill="929292"/>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96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color w:val="auto"/>
              </w:rPr>
              <w:t>2022</w:t>
            </w:r>
          </w:p>
        </w:tc>
        <w:tc>
          <w:tcPr>
            <w:tcW w:w="320" w:type="dxa"/>
            <w:vAlign w:val="bottom"/>
            <w:tcBorders>
              <w:bottom w:val="single" w:sz="8" w:color="929292"/>
            </w:tcBorders>
          </w:tcPr>
          <w:p>
            <w:pPr>
              <w:spacing w:after="0"/>
              <w:rPr>
                <w:sz w:val="13"/>
                <w:szCs w:val="13"/>
                <w:color w:val="auto"/>
              </w:rPr>
            </w:pPr>
          </w:p>
        </w:tc>
        <w:tc>
          <w:tcPr>
            <w:tcW w:w="92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2021</w:t>
            </w:r>
          </w:p>
        </w:tc>
      </w:tr>
      <w:tr>
        <w:trPr>
          <w:trHeight w:val="147"/>
        </w:trPr>
        <w:tc>
          <w:tcPr>
            <w:tcW w:w="8720" w:type="dxa"/>
            <w:vAlign w:val="bottom"/>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80" w:type="dxa"/>
            <w:vAlign w:val="bottom"/>
            <w:shd w:val="clear" w:color="auto" w:fill="929292"/>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54,486</w:t>
            </w:r>
          </w:p>
        </w:tc>
        <w:tc>
          <w:tcPr>
            <w:tcW w:w="3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31,202</w:t>
            </w:r>
          </w:p>
        </w:tc>
      </w:tr>
      <w:tr>
        <w:trPr>
          <w:trHeight w:val="159"/>
        </w:trPr>
        <w:tc>
          <w:tcPr>
            <w:tcW w:w="872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80" w:type="dxa"/>
            <w:vAlign w:val="bottom"/>
            <w:shd w:val="clear" w:color="auto" w:fill="929292"/>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(5,997)</w:t>
            </w: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(3,740)</w:t>
            </w:r>
          </w:p>
        </w:tc>
      </w:tr>
      <w:tr>
        <w:trPr>
          <w:trHeight w:val="166"/>
        </w:trPr>
        <w:tc>
          <w:tcPr>
            <w:tcW w:w="8720" w:type="dxa"/>
            <w:vAlign w:val="bottom"/>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8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(3,105)</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2,276</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167" w:lineRule="exact"/>
        <w:rPr>
          <w:sz w:val="20"/>
          <w:szCs w:val="20"/>
          <w:color w:val="auto"/>
        </w:rPr>
      </w:pPr>
    </w:p>
    <w:p>
      <w:pPr>
        <w:jc w:val="both"/>
        <w:ind w:right="260"/>
        <w:spacing w:after="0" w:line="261" w:lineRule="auto"/>
        <w:rPr>
          <w:sz w:val="20"/>
          <w:szCs w:val="20"/>
          <w:color w:val="auto"/>
        </w:rPr>
      </w:pPr>
      <w:r>
        <w:rPr>
          <w:rFonts w:ascii="Arial" w:cs="Arial" w:eastAsia="Arial" w:hAnsi="Arial"/>
          <w:sz w:val="13"/>
          <w:szCs w:val="13"/>
          <w:color w:val="auto"/>
        </w:rPr>
        <w:t>Cash provided by operating activities primarily consists of net income (loss) adjusted for certain non-cash items including share-based compensation; depreciation and amortization; amortization of intangible assets; loss on extinguishment of debt; loss on sublease; change in the fair value of contingent consideration; goodwill impairment charges; noncash lease expense; amortization of debt discount and issuance costs and the effect of changes in working capital and other activities.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4" w:name="page35"/>
    <w:bookmarkEnd w:id="34"/>
    <w:p>
      <w:pPr>
        <w:ind w:right="60"/>
        <w:spacing w:after="0" w:line="266" w:lineRule="auto"/>
        <w:rPr>
          <w:sz w:val="20"/>
          <w:szCs w:val="20"/>
          <w:color w:val="auto"/>
        </w:rPr>
      </w:pPr>
      <w:r>
        <w:rPr>
          <w:rFonts w:ascii="Arial" w:cs="Arial" w:eastAsia="Arial" w:hAnsi="Arial"/>
          <w:sz w:val="13"/>
          <w:szCs w:val="13"/>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Net cash provided by operating activities was $54.5 million for the three months ended March 31, 2022, compared to $31.2 million for the three months ended March 31, 2021. The $23.3 million increase is primarily driven by a decrease in commissions receivable of $116.5 million, partially offset by an increase in net loss of $30.0 million, a decrease in commissions payable of $29.9 million, an increase in accounts receivable of $21.2 million, and other adjustments for non-cash items of $12.2 million.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177"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color w:val="auto"/>
        </w:rPr>
        <w:t>Net cash used in investing activities increased to $6.0 million for the three months ended March 31, 2022, from $3.7 million for the three months ended March 31, 2021. The increase was primarily driven by an increase in capitalized internal-use software related to new technology, software, and systems and purchases of property and equipment.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77"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Net cash used in financing activities was $3.1 million for the three months ended March 31, 2022, from $2.3 million cash provided by financing activities for the three months ended March 31, 2021. The change is primarily driven by the collection of the short-term advancement to NVX Holdings of $3.4 million during the three months ended March 31, 2021, as well as an increase in debt issuance cost payments of $1.7 million.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Term Loan Facilities</w:t>
      </w:r>
    </w:p>
    <w:p>
      <w:pPr>
        <w:spacing w:after="0" w:line="177"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155"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On June 11, 2021, the Company entered into Amendment No. 5 to the Credit Agreement and Incremental Facility Agreement (“Amendment No. 5”). Amendment No. 5 creates a new class of incremental term loans (the “2021 Incremental Term Loans”) in an aggregate principal amount equal to $310.0 million, which was used to refinance $295.5 million of outstanding principal under the Initial Term Loan Facility, pay the related accrued interest and fund the prepayment premium. In connection with Amendment No. 5 and the refinancing of the Initial Term Loan, the Company recognized an $11.9 million loss on debt extinguishment, representing the 2% prepayment premium of $5.9 million and the write-down of deferred financing costs and debt discounts of $6.0 million. The Company incurred $1.7 million of debt issuance costs associated with Amendment No. 5, which are being amortized over the life of the debt to interest expense using the effective interest method.</w:t>
      </w:r>
    </w:p>
    <w:p>
      <w:pPr>
        <w:spacing w:after="0" w:line="48" w:lineRule="exact"/>
        <w:rPr>
          <w:sz w:val="20"/>
          <w:szCs w:val="20"/>
          <w:color w:val="auto"/>
        </w:rPr>
      </w:pPr>
    </w:p>
    <w:p>
      <w:pPr>
        <w:jc w:val="both"/>
        <w:ind w:right="120"/>
        <w:spacing w:after="0" w:line="244" w:lineRule="auto"/>
        <w:rPr>
          <w:sz w:val="20"/>
          <w:szCs w:val="20"/>
          <w:color w:val="auto"/>
        </w:rPr>
      </w:pPr>
      <w:r>
        <w:rPr>
          <w:rFonts w:ascii="Arial" w:cs="Arial" w:eastAsia="Arial" w:hAnsi="Arial"/>
          <w:sz w:val="13"/>
          <w:szCs w:val="13"/>
          <w:color w:val="auto"/>
        </w:rPr>
        <w:t>On November 10, 2021, the Company entered into Amendment No. 6 to the Credit Agreement and Incremental Facility Agreement (“Amendment No. 6”). Amendment No. 6 provides $100.0 million of incremental term loans, or the “2021-2 Incremental Term Loans”. The Company incurred $2.5 million of debt issuance costs associated with Amendment No. 6, which are being amortized over the life of the debt to interest expense using the effective interest method.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Initial Term Loan Facility, the Incremental Term Loan Facility, and the 2021 Incremental Term Loans as the “Term Loan Facilities”.</w:t>
      </w:r>
    </w:p>
    <w:p>
      <w:pPr>
        <w:spacing w:after="0" w:line="179"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As of March 31, 2022, the Company had a principal amount of $114.7 million, $307.7 million, and $99.7 million outstanding under the Incremental Term Loan Facility, the 2021 Incremental Term Loans, and the 2021-2 Incremental Term Loans, respectively. As of December 31, 2021, the Company had a principal amount of $115.0 million $308.4 million, and $100.0 million outstanding under the Incremental Term Loan Facility, the 2021 Incremental Term Loans, and the 2021-2 Incremental Term Loans, respectively. The Incremental Term Loan Facility effective interest rate was 7.5% at both March 31, 2022 and December 31, 2021. The 2021 Incremental Term Loans and the 2021-2 Incremental Term Loans effective interest rate was 7.5% and 6.0% at March 31, 2022 and December 31, 2021, respectively.</w:t>
      </w:r>
    </w:p>
    <w:p>
      <w:pPr>
        <w:spacing w:after="0" w:line="158"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color w:val="auto"/>
        </w:rPr>
        <w:t>Borrowings under the Incremental Term Loan Facility are, at the option of the Borrower, either (i) alternate base rate (“ABR”) plus 5.50% per annum or (ii) LIBOR plus 6.50% per annum. The 2021 Incremental Term Loans from and after the 2021-2 Incremental</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32</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5" w:name="page36"/>
    <w:bookmarkEnd w:id="35"/>
    <w:p>
      <w:pPr>
        <w:ind w:right="260"/>
        <w:spacing w:after="0" w:line="266" w:lineRule="auto"/>
        <w:rPr>
          <w:sz w:val="20"/>
          <w:szCs w:val="20"/>
          <w:color w:val="auto"/>
        </w:rPr>
      </w:pPr>
      <w:r>
        <w:rPr>
          <w:rFonts w:ascii="Arial" w:cs="Arial" w:eastAsia="Arial" w:hAnsi="Arial"/>
          <w:sz w:val="13"/>
          <w:szCs w:val="13"/>
          <w:color w:val="auto"/>
        </w:rPr>
        <w:t>Term Loans Closing Date, or November 10, 2021, and the 2021-2 Incremental Term Loans, bear interest at either (i) alternate base rate (“ABR”) plus 4.00% per annum or (ii) LIBOR plus 5.00% per annum.</w:t>
      </w:r>
    </w:p>
    <w:p>
      <w:pPr>
        <w:spacing w:after="0" w:line="146" w:lineRule="exact"/>
        <w:rPr>
          <w:sz w:val="20"/>
          <w:szCs w:val="20"/>
          <w:color w:val="auto"/>
        </w:rPr>
      </w:pPr>
    </w:p>
    <w:p>
      <w:pPr>
        <w:ind w:right="140"/>
        <w:spacing w:after="0" w:line="274" w:lineRule="auto"/>
        <w:rPr>
          <w:sz w:val="20"/>
          <w:szCs w:val="20"/>
          <w:color w:val="auto"/>
        </w:rPr>
      </w:pPr>
      <w:r>
        <w:rPr>
          <w:rFonts w:ascii="Arial" w:cs="Arial" w:eastAsia="Arial" w:hAnsi="Arial"/>
          <w:sz w:val="12"/>
          <w:szCs w:val="12"/>
          <w:color w:val="auto"/>
        </w:rPr>
        <w:t>On March 14, 2022, the Company entered into Amendment No. 7 to the Credit Agreement and Incremental Facility Agreement (“Amendment No. 7”). Amendment No. 7 provides that (a) the 2021 Incremental Term Loans, from and after the Amendment No. 7 Effective Date, will bear interest at either (i) alternate base rate (“ABR”) plus 5.50% per annum or (ii) LIBOR plus 6.50% per annum and</w:t>
      </w:r>
    </w:p>
    <w:p>
      <w:pPr>
        <w:spacing w:after="0" w:line="1" w:lineRule="exact"/>
        <w:rPr>
          <w:sz w:val="20"/>
          <w:szCs w:val="20"/>
          <w:color w:val="auto"/>
        </w:rPr>
      </w:pPr>
    </w:p>
    <w:p>
      <w:pPr>
        <w:ind w:right="60" w:firstLine="5"/>
        <w:spacing w:after="0" w:line="249"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spacing w:after="0" w:line="146"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Revolving Credit Facilities</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25" w:lineRule="exact"/>
        <w:rPr>
          <w:sz w:val="20"/>
          <w:szCs w:val="20"/>
          <w:color w:val="auto"/>
        </w:rPr>
      </w:pPr>
    </w:p>
    <w:p>
      <w:pPr>
        <w:ind w:right="500"/>
        <w:spacing w:after="0" w:line="266" w:lineRule="auto"/>
        <w:rPr>
          <w:sz w:val="20"/>
          <w:szCs w:val="20"/>
          <w:color w:val="auto"/>
        </w:rPr>
      </w:pPr>
      <w:r>
        <w:rPr>
          <w:rFonts w:ascii="Arial" w:cs="Arial" w:eastAsia="Arial" w:hAnsi="Arial"/>
          <w:sz w:val="13"/>
          <w:szCs w:val="13"/>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Revolving Credit Facility, the Incremental Revolving Credit Facilities, and the Incremental No. 4 Revolving Credit Facility as the “Revolving Credit Facilities”.</w:t>
      </w:r>
    </w:p>
    <w:p>
      <w:pPr>
        <w:spacing w:after="0" w:line="169"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25" w:lineRule="exact"/>
        <w:rPr>
          <w:sz w:val="20"/>
          <w:szCs w:val="20"/>
          <w:color w:val="auto"/>
        </w:rPr>
      </w:pPr>
    </w:p>
    <w:p>
      <w:pPr>
        <w:ind w:right="280"/>
        <w:spacing w:after="0" w:line="309" w:lineRule="auto"/>
        <w:rPr>
          <w:sz w:val="20"/>
          <w:szCs w:val="20"/>
          <w:color w:val="auto"/>
        </w:rPr>
      </w:pPr>
      <w:r>
        <w:rPr>
          <w:rFonts w:ascii="Arial" w:cs="Arial" w:eastAsia="Arial" w:hAnsi="Arial"/>
          <w:sz w:val="12"/>
          <w:szCs w:val="12"/>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122" w:lineRule="exact"/>
        <w:rPr>
          <w:sz w:val="20"/>
          <w:szCs w:val="20"/>
          <w:color w:val="auto"/>
        </w:rPr>
      </w:pPr>
    </w:p>
    <w:p>
      <w:pPr>
        <w:jc w:val="both"/>
        <w:ind w:right="160"/>
        <w:spacing w:after="0" w:line="261" w:lineRule="auto"/>
        <w:rPr>
          <w:sz w:val="20"/>
          <w:szCs w:val="20"/>
          <w:color w:val="auto"/>
        </w:rPr>
      </w:pPr>
      <w:r>
        <w:rPr>
          <w:rFonts w:ascii="Arial" w:cs="Arial" w:eastAsia="Arial" w:hAnsi="Arial"/>
          <w:sz w:val="13"/>
          <w:szCs w:val="13"/>
          <w:color w:val="auto"/>
        </w:rPr>
        <w:t>The Company had $23.2 million outstanding under the Class A Revolving Credit Facilities and $131.8 million outstanding under the Class B Revolving Credit Facilities as of both March 31, 2022 and December 31, 2021. The Revolving Credit Facilities have a remaining capacity of $45.0 million in the aggregate as of March 31, 2022. The Class A Revolving Credit Facilities and Class B Revolving Credit Facilities effective interest rates at both March 31, 2022 and December 31, 2021 was 7.5% and 5.0%,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Outstanding borrowings under the Revolving Credit Facilities do not amortize and are due and payable on September 13, 2024.</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For a discussion of new accounting pronouncements recently adopted and not yet adopted, see Note 1, “Description Of Business And Significant Accounting Policies,” to the Condensed Consolidated Financial Statements included elsewhere in this Quarterly Report on Form 10-Q.</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33</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fourth quarter or positively impacted by a substantial decline in marketing and advertising expenses as a result of lower volume of applications submitted during the fourth quarter.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intangible assets, (4) income taxes and (5) liabilities pursuant to TRAs.</w:t>
      </w:r>
    </w:p>
    <w:p>
      <w:pPr>
        <w:spacing w:after="0" w:line="140" w:lineRule="exact"/>
        <w:rPr>
          <w:sz w:val="20"/>
          <w:szCs w:val="20"/>
          <w:color w:val="auto"/>
        </w:rPr>
      </w:pPr>
    </w:p>
    <w:p>
      <w:pPr>
        <w:ind w:right="200"/>
        <w:spacing w:after="0" w:line="249" w:lineRule="auto"/>
        <w:rPr>
          <w:sz w:val="20"/>
          <w:szCs w:val="20"/>
          <w:color w:val="auto"/>
        </w:rPr>
      </w:pPr>
      <w:r>
        <w:rPr>
          <w:rFonts w:ascii="Arial" w:cs="Arial" w:eastAsia="Arial" w:hAnsi="Arial"/>
          <w:sz w:val="13"/>
          <w:szCs w:val="13"/>
          <w:color w:val="auto"/>
        </w:rPr>
        <w:t>Our critical accounting policies are described under the heading “Management’s Discussion and Analysis of Financial Condition and Results of Operations—Critical Accounting Policies” in our 2021 Form 10-K. During the three months ended March 31, 2022, there were no material changes to our critical accounting policies from those discussed in our 2021 Form 10-K, with the exception of our policy to test goodwill for impairment on an annual basis in the fourth quarter of each year, on November 30th, or whenever events or changes in circumstances indicate that the goodwill may be impaired. This change was driven by the annual goodwill impairment test conducted as of November 30, 2021, which resulted in the Company recognizing goodwill impairment charges of $386.6 million in the fourth quarter of 2021, representing the full amount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6153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QUANTITATIVE AND QUALITATIVE DISCLOSURES ABOUT MARKET RISK.</w:t>
      </w:r>
    </w:p>
    <w:p>
      <w:pPr>
        <w:spacing w:after="0" w:line="254"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color w:val="auto"/>
        </w:rPr>
        <w:t>In the normal course of business, we are subject to market risks. Market risk represents the risk of loss that may impact our financial position due to adverse changes in financial market prices and rates. There have been no material changes to our market risk policies or our market risk-sensitive instruments and positions as described in our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61530" cy="107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Effectiveness of Controls and Procedures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79"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color w:val="auto"/>
        </w:rPr>
        <w:t>Our management, with the participation of our chief executive officer and interim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interim chief financial officer concluded that our disclosure controls and procedures were not effective as of March 31, 2022,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Based on this evaluation and those criteria, our management concluded that our internal control over financial reporting was ineffective as of March 31, 2022,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7" w:name="page38"/>
    <w:bookmarkEnd w:id="37"/>
    <w:p>
      <w:pPr>
        <w:ind w:right="60"/>
        <w:spacing w:after="0" w:line="241" w:lineRule="auto"/>
        <w:rPr>
          <w:sz w:val="20"/>
          <w:szCs w:val="20"/>
          <w:color w:val="auto"/>
        </w:rPr>
      </w:pPr>
      <w:r>
        <w:rPr>
          <w:rFonts w:ascii="Arial" w:cs="Arial" w:eastAsia="Arial" w:hAnsi="Arial"/>
          <w:sz w:val="13"/>
          <w:szCs w:val="13"/>
          <w:color w:val="auto"/>
        </w:rPr>
        <w:t>We continue to strengthen our internal control over financial reporting and are committed to ensuring that such controls are designed and operating effectively. We will be implementing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When fully implemented and operational, we believe the measures described above will remediate the control deficiencies that have led to the material weakness.</w:t>
      </w:r>
    </w:p>
    <w:p>
      <w:pPr>
        <w:spacing w:after="0" w:line="190" w:lineRule="exact"/>
        <w:rPr>
          <w:sz w:val="20"/>
          <w:szCs w:val="20"/>
          <w:color w:val="auto"/>
        </w:rPr>
      </w:pPr>
    </w:p>
    <w:p>
      <w:pPr>
        <w:ind w:right="100"/>
        <w:spacing w:after="0" w:line="309" w:lineRule="auto"/>
        <w:rPr>
          <w:sz w:val="20"/>
          <w:szCs w:val="20"/>
          <w:color w:val="auto"/>
        </w:rPr>
      </w:pPr>
      <w:r>
        <w:rPr>
          <w:rFonts w:ascii="Arial" w:cs="Arial" w:eastAsia="Arial" w:hAnsi="Arial"/>
          <w:sz w:val="12"/>
          <w:szCs w:val="12"/>
          <w:color w:val="auto"/>
        </w:rPr>
        <w:t>Notwithstanding the existence of the material weakness as described above, 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79"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Except for the material weakness identified above, there were no changes in our internal control over financial reporting identified in management’s evaluation pursuant to Rules 13a-15(d) or 15d-15(d) of the Exchange Act during the quarter ended March 31, 2022 that materially affected, or are reasonably likely to materially affect, our internal control over financial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LEGAL PROCEEDINGS.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11, “Commitments And Contingencies,” of the Notes to Condensed Consolidated Financial Statements for information about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1A. RISK FACTORS.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may be adversely impacted by factors that impact our estimate of LTV.</w:t>
      </w:r>
    </w:p>
    <w:p>
      <w:pPr>
        <w:spacing w:after="0" w:line="190" w:lineRule="exact"/>
        <w:rPr>
          <w:sz w:val="20"/>
          <w:szCs w:val="20"/>
          <w:color w:val="auto"/>
        </w:rPr>
      </w:pPr>
    </w:p>
    <w:p>
      <w:pPr>
        <w:ind w:right="20"/>
        <w:spacing w:after="0" w:line="233" w:lineRule="auto"/>
        <w:rPr>
          <w:sz w:val="20"/>
          <w:szCs w:val="20"/>
          <w:color w:val="auto"/>
        </w:rPr>
      </w:pPr>
      <w:r>
        <w:rPr>
          <w:rFonts w:ascii="Arial" w:cs="Arial" w:eastAsia="Arial" w:hAnsi="Arial"/>
          <w:sz w:val="13"/>
          <w:szCs w:val="13"/>
          <w:color w:val="auto"/>
        </w:rPr>
        <w:t>We recognize revenue at the time a Submitted Policy becomes an Approved Submission by applying the latest estimated LTV for that product. We estimate commission revenue for each product by using a portfolio approach to a group of approved customers that are organized based on a variety of attributes, which we refer to as “vintages.” We estimate the cash commissions we expect to collect for each approved customer vintage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LTVs for the affected vintages at the time such determination is made. Changes in LTV may result in an increase or a decrease to revenue and a corresponding increase or decrease to net commissions receivable accordingly.</w:t>
      </w:r>
    </w:p>
    <w:p>
      <w:pPr>
        <w:spacing w:after="0" w:line="165" w:lineRule="exact"/>
        <w:rPr>
          <w:sz w:val="20"/>
          <w:szCs w:val="20"/>
          <w:color w:val="auto"/>
        </w:rPr>
      </w:pPr>
    </w:p>
    <w:p>
      <w:pPr>
        <w:ind w:right="20"/>
        <w:spacing w:after="0" w:line="232" w:lineRule="auto"/>
        <w:rPr>
          <w:sz w:val="20"/>
          <w:szCs w:val="20"/>
          <w:color w:val="auto"/>
        </w:rPr>
      </w:pPr>
      <w:r>
        <w:rPr>
          <w:rFonts w:ascii="Arial" w:cs="Arial" w:eastAsia="Arial" w:hAnsi="Arial"/>
          <w:sz w:val="13"/>
          <w:szCs w:val="13"/>
          <w:color w:val="auto"/>
        </w:rPr>
        <w:t>As we continue to evaluate our LTV estimation models and the process and controls related to the LTV estimation models, including to address the material weakness identified in Item 4 in this Quarterly Report on Form 10-Q and Item 9A “Controls and Procedures” of our 2021 Form 10-K, we have made and will make further changes based on a number of factors and such changes could result in significant further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We have seen, in the past few quarters, and continue to see some of these negative changes.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78" w:lineRule="exact"/>
        <w:rPr>
          <w:sz w:val="20"/>
          <w:szCs w:val="20"/>
          <w:color w:val="auto"/>
        </w:rPr>
      </w:pPr>
    </w:p>
    <w:p>
      <w:pPr>
        <w:ind w:right="20"/>
        <w:spacing w:after="0" w:line="233" w:lineRule="auto"/>
        <w:rPr>
          <w:sz w:val="20"/>
          <w:szCs w:val="20"/>
          <w:color w:val="auto"/>
        </w:rPr>
      </w:pPr>
      <w:r>
        <w:rPr>
          <w:rFonts w:ascii="Arial" w:cs="Arial" w:eastAsia="Arial" w:hAnsi="Arial"/>
          <w:sz w:val="13"/>
          <w:szCs w:val="13"/>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We have seen pressure, within the industry, on plan duration based upon increased customer churn. 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LTVs.</w:t>
      </w:r>
    </w:p>
    <w:p>
      <w:pPr>
        <w:spacing w:after="0" w:line="172"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159" w:lineRule="exact"/>
        <w:rPr>
          <w:sz w:val="20"/>
          <w:szCs w:val="20"/>
          <w:color w:val="auto"/>
        </w:rPr>
      </w:pPr>
    </w:p>
    <w:p>
      <w:pPr>
        <w:ind w:right="500"/>
        <w:spacing w:after="0" w:line="259" w:lineRule="auto"/>
        <w:rPr>
          <w:sz w:val="20"/>
          <w:szCs w:val="20"/>
          <w:color w:val="auto"/>
        </w:rPr>
      </w:pPr>
      <w:r>
        <w:rPr>
          <w:rFonts w:ascii="Arial" w:cs="Arial" w:eastAsia="Arial" w:hAnsi="Arial"/>
          <w:sz w:val="13"/>
          <w:szCs w:val="13"/>
          <w:b w:val="1"/>
          <w:bCs w:val="1"/>
          <w:i w:val="1"/>
          <w:iCs w:val="1"/>
          <w:color w:val="auto"/>
        </w:rPr>
        <w:t>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In addition, the Sarbanes-Oxley Act and related rules and regulations require that management report annually on the effectiveness of our internal control over financial reporting and assess the effectiveness of our disclosure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39" w:name="page40"/>
    <w:bookmarkEnd w:id="39"/>
    <w:p>
      <w:pPr>
        <w:ind w:right="540"/>
        <w:spacing w:after="0" w:line="249" w:lineRule="auto"/>
        <w:rPr>
          <w:sz w:val="20"/>
          <w:szCs w:val="20"/>
          <w:color w:val="auto"/>
        </w:rPr>
      </w:pPr>
      <w:r>
        <w:rPr>
          <w:rFonts w:ascii="Arial" w:cs="Arial" w:eastAsia="Arial" w:hAnsi="Arial"/>
          <w:sz w:val="13"/>
          <w:szCs w:val="13"/>
          <w:color w:val="auto"/>
        </w:rPr>
        <w:t>controls and procedures on a quarterly basis. Maintaining and adapting our internal controls is expensive and is likely to place a considerable strain on our financial and management systems, processes and controls, as well as on our personnel.</w:t>
      </w:r>
    </w:p>
    <w:p>
      <w:pPr>
        <w:spacing w:after="0" w:line="167" w:lineRule="exact"/>
        <w:rPr>
          <w:sz w:val="20"/>
          <w:szCs w:val="20"/>
          <w:color w:val="auto"/>
        </w:rPr>
      </w:pPr>
    </w:p>
    <w:p>
      <w:pPr>
        <w:ind w:right="120"/>
        <w:spacing w:after="0" w:line="232" w:lineRule="auto"/>
        <w:rPr>
          <w:sz w:val="20"/>
          <w:szCs w:val="20"/>
          <w:color w:val="auto"/>
        </w:rPr>
      </w:pPr>
      <w:r>
        <w:rPr>
          <w:rFonts w:ascii="Arial" w:cs="Arial" w:eastAsia="Arial" w:hAnsi="Arial"/>
          <w:sz w:val="13"/>
          <w:szCs w:val="13"/>
          <w:color w:val="auto"/>
        </w:rPr>
        <w:t>As described in Item 9A “Controls and Procedures” of our 2021 Form 10-K, and Item 4 in this Quarterly Report on Form 10-Q, we concluded that our disclosure controls and procedures were not effective as of December 31, 2021 and March 31, 2022, and that we had, as of such dates, a material weakness in our internal control over financial reporting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 This material weakness identified in Item 9A of our 2021 Form 10-K did not result in any adjustments or restatements of our audited and unaudited consolidated financial statements or disclosures for any prior period previously reported by the Company. However, until the material weakness is remediated and our associated disclosure controls and procedures improved, or if additional material weaknesses or significant deficiencies in our internal control over financial reporting occur in the future, our future consolidated financial statements or other information filed with the SEC may contain material misstatements.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are evaluating and developing a plan, which will include the implementation of appropriate processes and controls to remediate the material weakness described above. While we work towards the design and implementation of these processes and controls, we may rely significantly on manual procedures to assist us with meeting the objectives otherwise fulfilled by an effective control environment. The implementation of new procedures and controls could be costly and distract management from other activities. Prior to the complete remediation of this material weakness, there remains a risk that the transitional controls on which we currently rely will fail to be sufficiently effective, which could result in errors in our consolidated financial statements. If the new controls being implemented to address the material weakness and to strengthen the overall internal control are not designed or do not operate effectively, if we are unsuccessful in implementing or following these new processes or if we are otherwise unable to remediate this material weakness, it may result in untimely or inaccurate reporting of our financial condition or results of operations.</w:t>
      </w:r>
    </w:p>
    <w:p>
      <w:pPr>
        <w:spacing w:after="0" w:line="164"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In addition, although we review and evaluate internal control systems to allow management to report on the sufficiency of our internal controls, we cannot assure you that we will not discover additional weaknesses in our internal control over financial reporting in the future. Any such additional weakness or failure to remediate the existing weakness could materially adversely affect our financial condition or ability to comply with applicable financial reporting requirements, which could result in violations of applicable securities laws and NASDAQ listing requirements, subject us to litigation and investigations, negatively affect investor confidence in our financial statements, and adversely impact our stock price and ability to access capital markets.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b w:val="1"/>
          <w:bCs w:val="1"/>
          <w:i w:val="1"/>
          <w:iCs w:val="1"/>
          <w:color w:val="auto"/>
        </w:rPr>
        <w:t>If our common stock’s closing bid price continues to remain below the minimum price of $1.00 per share, or if we fail to satisfy the NASDAQ rule concerning the composition of our audit committee, our common stock may be delisted from the NASDAQ.</w:t>
      </w:r>
    </w:p>
    <w:p>
      <w:pPr>
        <w:spacing w:after="0" w:line="155"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auto"/>
        </w:rPr>
        <w:t>Recently, the closing price of our common stock fell below $1.00 per share. If our common stock were to continue to trade below $1.00 per share, which is the minimum closing bid price required for continued listing on NASDAQ, for 30 consecutive business days, we will receive a notification letter from NASDAQ and will have 180 calendar days (subject to extension in some circumstances) to regain compliance with the minimum bid price rule (“Minimum Bid Price Rule”). To regain compliance, the closing bid price of our common stock must be at least $1.00 per share for a minimum of ten consecutive business days (or such longer period of time as the NASDAQ may require in some circumstances). Should we fail to regain compliance with the Minimum Bid Price Rule, we may consider a reverse stock split (or combination) of our outstanding common stock.</w:t>
      </w:r>
    </w:p>
    <w:p>
      <w:pPr>
        <w:spacing w:after="0" w:line="173"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On April 29, 2022, we received notification from NASDAQ regarding our noncompliance with NASDAQ Listing Rule 5605(c)(2) (“Rule 5605”), which requires that our audit committee be comprised of a minimum of three independent directors. Our noncompliance occurred as the result of the resignation of one of our directors, Anita Pramoda, who was one of the three members of our audit committee. In accordance with NASDAQ Listing Rule 5605(c)(4), we have a cure period in order to regain compliance with Rule 5605 lasting until the date that is 180 days following the event that caused the vacancy. We intend to appoint a third independent director to our board of directors and audit committee, and thereby regain compliance Rule 5605, prior to the end of the cure period.</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3"/>
          <w:szCs w:val="13"/>
          <w:color w:val="auto"/>
        </w:rPr>
        <w:t>If we fail to effect a reverse stock split which allows us to regain compliance with the Minimum Bid Price Rule or otherwise fail to achieve compliance with the Minimum Bid Price Rule, or if we fail to regain compliance with Rule 5605 prior to the expiration of the cure period, our stock may be delisted. 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stock, the sale or purchase of our stock would likely be made more difficult and the trading volume and liquidity of our stock could decline. Delisting from NASDAQ could also result in negative publicity and make it more difficult for us to raise additional capital. The absence of such a listing may adversely affect the acceptance of our common stock as currency or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We cannot assure you that our common stock, if delisted from NASDAQ, will be listed on another national securities exchange or quoted on an over-the counter quotation system. If our common stock is delisted, it may come within the definition of “penny stock” as defined in the Securities Exchange Act of 1934 as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0" w:name="page41"/>
    <w:bookmarkEnd w:id="40"/>
    <w:p>
      <w:pPr>
        <w:ind w:right="220"/>
        <w:spacing w:after="0" w:line="249" w:lineRule="auto"/>
        <w:rPr>
          <w:sz w:val="20"/>
          <w:szCs w:val="20"/>
          <w:color w:val="auto"/>
        </w:rPr>
      </w:pPr>
      <w:r>
        <w:rPr>
          <w:rFonts w:ascii="Arial" w:cs="Arial" w:eastAsia="Arial" w:hAnsi="Arial"/>
          <w:sz w:val="13"/>
          <w:szCs w:val="13"/>
          <w:color w:val="auto"/>
        </w:rPr>
        <w:t>amended (the “Exchange Act”) and would be covered by Rule 15g-9 of the Exchange Act. That Rule imposes additional sales practice requirements on broker-dealers who sell securities to persons other than established customers and accredited investors.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With the exception of the risk factor noted above, there have been no material changes to the risk factors set forth in our 2021 Form 10-K. Before investing in our Class A common stock, we recommend that investors carefully consider the risks described in the 2021 Form 10-K filed with the SEC, including those under the heading “Item 1A. Risk Factors.” Realization of any of these risks could have a material adverse effect on our financial condition or results of operations. Additional risks and uncertainties not currently known to us or that we deem to be immaterial could also materially adversely affect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61530" cy="1079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DEFAULTS UPON SENIOR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MINE SAFETY DISCLOSURES.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1" w:name="page42"/>
    <w:bookmarkEnd w:id="41"/>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702310</wp:posOffset>
            </wp:positionV>
            <wp:extent cx="7161530" cy="1079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6. EXHIBITS.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Index</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Exhibit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gridSpan w:val="14"/>
          </w:tcPr>
          <w:p>
            <w:pPr>
              <w:ind w:left="1080"/>
              <w:spacing w:after="0"/>
              <w:rPr>
                <w:sz w:val="20"/>
                <w:szCs w:val="20"/>
                <w:color w:val="auto"/>
              </w:rPr>
            </w:pPr>
            <w:r>
              <w:rPr>
                <w:rFonts w:ascii="Arial" w:cs="Arial" w:eastAsia="Arial" w:hAnsi="Arial"/>
                <w:sz w:val="11"/>
                <w:szCs w:val="11"/>
                <w:b w:val="1"/>
                <w:bCs w:val="1"/>
                <w:color w:val="auto"/>
              </w:rPr>
              <w:t>Description</w:t>
            </w:r>
          </w:p>
        </w:tc>
      </w:tr>
      <w:tr>
        <w:trPr>
          <w:trHeight w:val="134"/>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60" w:type="dxa"/>
            <w:vAlign w:val="bottom"/>
            <w:gridSpan w:val="15"/>
          </w:tcPr>
          <w:p>
            <w:pPr>
              <w:spacing w:after="0"/>
              <w:rPr>
                <w:rFonts w:ascii="Arial" w:cs="Arial" w:eastAsia="Arial" w:hAnsi="Arial"/>
                <w:sz w:val="11"/>
                <w:szCs w:val="11"/>
                <w:color w:val="0000FF"/>
              </w:rPr>
            </w:pPr>
            <w:hyperlink r:id="rId134">
              <w:r>
                <w:rPr>
                  <w:rFonts w:ascii="Arial" w:cs="Arial" w:eastAsia="Arial" w:hAnsi="Arial"/>
                  <w:sz w:val="11"/>
                  <w:szCs w:val="11"/>
                  <w:color w:val="0000FF"/>
                </w:rPr>
                <w:t>Amended and Restated Certificate of Incorporation of GoHealth, Inc.</w:t>
              </w:r>
            </w:hyperlink>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4"/>
          </w:tcPr>
          <w:p>
            <w:pPr>
              <w:spacing w:after="0"/>
              <w:rPr>
                <w:rFonts w:ascii="Arial" w:cs="Arial" w:eastAsia="Arial" w:hAnsi="Arial"/>
                <w:sz w:val="11"/>
                <w:szCs w:val="11"/>
                <w:color w:val="0000FF"/>
              </w:rPr>
            </w:pPr>
            <w:hyperlink r:id="rId135">
              <w:r>
                <w:rPr>
                  <w:rFonts w:ascii="Arial" w:cs="Arial" w:eastAsia="Arial" w:hAnsi="Arial"/>
                  <w:sz w:val="11"/>
                  <w:szCs w:val="11"/>
                  <w:color w:val="0000FF"/>
                </w:rPr>
                <w:t>Amended and Restated Bylaws of GoHealth, Inc.</w:t>
              </w:r>
            </w:hyperlink>
          </w:p>
        </w:tc>
        <w:tc>
          <w:tcPr>
            <w:tcW w:w="1540" w:type="dxa"/>
            <w:vAlign w:val="bottom"/>
            <w:gridSpan w:val="11"/>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rPr>
                <w:rFonts w:ascii="Arial" w:cs="Arial" w:eastAsia="Arial" w:hAnsi="Arial"/>
                <w:sz w:val="11"/>
                <w:szCs w:val="11"/>
                <w:color w:val="0000FF"/>
              </w:rPr>
            </w:pPr>
            <w:hyperlink r:id="rId136">
              <w:r>
                <w:rPr>
                  <w:rFonts w:ascii="Arial" w:cs="Arial" w:eastAsia="Arial" w:hAnsi="Arial"/>
                  <w:sz w:val="11"/>
                  <w:szCs w:val="11"/>
                  <w:color w:val="0000FF"/>
                </w:rPr>
                <w:t>Specimen Stock Certificate evidencing the shares of Class A common stock.</w:t>
              </w:r>
            </w:hyperlink>
          </w:p>
        </w:tc>
        <w:tc>
          <w:tcPr>
            <w:tcW w:w="1120" w:type="dxa"/>
            <w:vAlign w:val="bottom"/>
            <w:gridSpan w:val="9"/>
          </w:tcPr>
          <w:p>
            <w:pPr>
              <w:spacing w:after="0"/>
              <w:rPr>
                <w:sz w:val="13"/>
                <w:szCs w:val="13"/>
                <w:color w:val="auto"/>
              </w:rPr>
            </w:pPr>
          </w:p>
        </w:tc>
      </w:tr>
      <w:tr>
        <w:trPr>
          <w:trHeight w:val="256"/>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10.1</w:t>
            </w:r>
          </w:p>
        </w:tc>
        <w:tc>
          <w:tcPr>
            <w:tcW w:w="60" w:type="dxa"/>
            <w:vAlign w:val="bottom"/>
          </w:tcPr>
          <w:p>
            <w:pPr>
              <w:spacing w:after="0"/>
              <w:rPr>
                <w:sz w:val="22"/>
                <w:szCs w:val="22"/>
                <w:color w:val="auto"/>
              </w:rPr>
            </w:pPr>
          </w:p>
        </w:tc>
        <w:tc>
          <w:tcPr>
            <w:tcW w:w="4920" w:type="dxa"/>
            <w:vAlign w:val="bottom"/>
            <w:tcBorders>
              <w:bottom w:val="single" w:sz="8" w:color="0000FF"/>
            </w:tcBorders>
            <w:gridSpan w:val="15"/>
          </w:tcPr>
          <w:p>
            <w:pPr>
              <w:spacing w:after="0"/>
              <w:rPr>
                <w:rFonts w:ascii="Arial" w:cs="Arial" w:eastAsia="Arial" w:hAnsi="Arial"/>
                <w:sz w:val="11"/>
                <w:szCs w:val="11"/>
                <w:color w:val="0000FF"/>
              </w:rPr>
            </w:pPr>
            <w:hyperlink r:id="rId137">
              <w:r>
                <w:rPr>
                  <w:rFonts w:ascii="Arial" w:cs="Arial" w:eastAsia="Arial" w:hAnsi="Arial"/>
                  <w:sz w:val="11"/>
                  <w:szCs w:val="11"/>
                  <w:color w:val="0000FF"/>
                </w:rPr>
                <w:t>Amendment No. 7 to the Credit Agreement and Incremental Facility Agreement, dated as of March</w:t>
              </w:r>
            </w:hyperlink>
          </w:p>
        </w:tc>
        <w:tc>
          <w:tcPr>
            <w:tcW w:w="80" w:type="dxa"/>
            <w:vAlign w:val="bottom"/>
            <w:gridSpan w:val="2"/>
          </w:tcPr>
          <w:p>
            <w:pPr>
              <w:spacing w:after="0"/>
              <w:rPr>
                <w:sz w:val="22"/>
                <w:szCs w:val="22"/>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17"/>
          </w:tcPr>
          <w:p>
            <w:pPr>
              <w:spacing w:after="0" w:line="118" w:lineRule="exact"/>
              <w:rPr>
                <w:rFonts w:ascii="Arial" w:cs="Arial" w:eastAsia="Arial" w:hAnsi="Arial"/>
                <w:sz w:val="11"/>
                <w:szCs w:val="11"/>
                <w:color w:val="0000FF"/>
              </w:rPr>
            </w:pPr>
            <w:hyperlink r:id="rId137">
              <w:r>
                <w:rPr>
                  <w:rFonts w:ascii="Arial" w:cs="Arial" w:eastAsia="Arial" w:hAnsi="Arial"/>
                  <w:sz w:val="11"/>
                  <w:szCs w:val="11"/>
                  <w:color w:val="0000FF"/>
                </w:rPr>
                <w:t>14, 2022, among Norvax, LLC, as borrower, Blizzard Midco, LLC, as a guarantor, the other</w:t>
              </w:r>
            </w:hyperlink>
          </w:p>
        </w:tc>
      </w:tr>
      <w:tr>
        <w:trPr>
          <w:trHeight w:val="107"/>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520" w:type="dxa"/>
            <w:vAlign w:val="bottom"/>
            <w:tcBorders>
              <w:top w:val="single" w:sz="8" w:color="0000FF"/>
            </w:tcBorders>
            <w:gridSpan w:val="12"/>
          </w:tcPr>
          <w:p>
            <w:pPr>
              <w:spacing w:after="0" w:line="107" w:lineRule="exact"/>
              <w:rPr>
                <w:rFonts w:ascii="Arial" w:cs="Arial" w:eastAsia="Arial" w:hAnsi="Arial"/>
                <w:sz w:val="11"/>
                <w:szCs w:val="11"/>
                <w:color w:val="0000FF"/>
              </w:rPr>
            </w:pPr>
            <w:hyperlink r:id="rId137">
              <w:r>
                <w:rPr>
                  <w:rFonts w:ascii="Arial" w:cs="Arial" w:eastAsia="Arial" w:hAnsi="Arial"/>
                  <w:sz w:val="11"/>
                  <w:szCs w:val="11"/>
                  <w:color w:val="0000FF"/>
                </w:rPr>
                <w:t>guarantors party thereto, Owl Rock Capital Corporation, as administrative agent, collateral</w:t>
              </w:r>
            </w:hyperlink>
          </w:p>
        </w:tc>
        <w:tc>
          <w:tcPr>
            <w:tcW w:w="480" w:type="dxa"/>
            <w:vAlign w:val="bottom"/>
            <w:gridSpan w:val="5"/>
          </w:tcPr>
          <w:p>
            <w:pPr>
              <w:spacing w:after="0" w:line="107" w:lineRule="exact"/>
              <w:rPr>
                <w:rFonts w:ascii="Arial" w:cs="Arial" w:eastAsia="Arial" w:hAnsi="Arial"/>
                <w:sz w:val="11"/>
                <w:szCs w:val="11"/>
                <w:color w:val="0000FF"/>
              </w:rPr>
            </w:pPr>
            <w:hyperlink r:id="rId137">
              <w:r>
                <w:rPr>
                  <w:rFonts w:ascii="Arial" w:cs="Arial" w:eastAsia="Arial" w:hAnsi="Arial"/>
                  <w:sz w:val="11"/>
                  <w:szCs w:val="11"/>
                  <w:color w:val="0000FF"/>
                </w:rPr>
                <w:t>agent</w:t>
              </w:r>
            </w:hyperlink>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7"/>
          </w:tcPr>
          <w:p>
            <w:pPr>
              <w:spacing w:after="0" w:line="118" w:lineRule="exact"/>
              <w:rPr>
                <w:rFonts w:ascii="Arial" w:cs="Arial" w:eastAsia="Arial" w:hAnsi="Arial"/>
                <w:sz w:val="11"/>
                <w:szCs w:val="11"/>
                <w:color w:val="0000FF"/>
              </w:rPr>
            </w:pPr>
            <w:hyperlink r:id="rId137">
              <w:r>
                <w:rPr>
                  <w:rFonts w:ascii="Arial" w:cs="Arial" w:eastAsia="Arial" w:hAnsi="Arial"/>
                  <w:sz w:val="11"/>
                  <w:szCs w:val="11"/>
                  <w:color w:val="0000FF"/>
                </w:rPr>
                <w:t>and swingline lender and the other lenders from time to time party thereto.</w:t>
              </w:r>
            </w:hyperlink>
          </w:p>
        </w:tc>
        <w:tc>
          <w:tcPr>
            <w:tcW w:w="1100" w:type="dxa"/>
            <w:vAlign w:val="bottom"/>
            <w:tcBorders>
              <w:top w:val="single" w:sz="8" w:color="0000FF"/>
            </w:tcBorders>
            <w:gridSpan w:val="6"/>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10.2#</w:t>
            </w:r>
          </w:p>
        </w:tc>
        <w:tc>
          <w:tcPr>
            <w:tcW w:w="60" w:type="dxa"/>
            <w:vAlign w:val="bottom"/>
          </w:tcPr>
          <w:p>
            <w:pPr>
              <w:spacing w:after="0"/>
              <w:rPr>
                <w:sz w:val="13"/>
                <w:szCs w:val="13"/>
                <w:color w:val="auto"/>
              </w:rPr>
            </w:pPr>
          </w:p>
        </w:tc>
        <w:tc>
          <w:tcPr>
            <w:tcW w:w="4980" w:type="dxa"/>
            <w:vAlign w:val="bottom"/>
            <w:tcBorders>
              <w:bottom w:val="single" w:sz="8" w:color="0000FF"/>
            </w:tcBorders>
            <w:gridSpan w:val="16"/>
          </w:tcPr>
          <w:p>
            <w:pPr>
              <w:spacing w:after="0"/>
              <w:rPr>
                <w:sz w:val="20"/>
                <w:szCs w:val="20"/>
                <w:color w:val="auto"/>
              </w:rPr>
            </w:pPr>
            <w:r>
              <w:rPr>
                <w:rFonts w:ascii="Arial" w:cs="Arial" w:eastAsia="Arial" w:hAnsi="Arial"/>
                <w:sz w:val="11"/>
                <w:szCs w:val="11"/>
                <w:color w:val="0000FF"/>
              </w:rPr>
              <w:t>Amended and Restated Employment Agreement, dated July 7, 2020, by and among GoHealth, Inc.,</w:t>
            </w:r>
          </w:p>
        </w:tc>
        <w:tc>
          <w:tcPr>
            <w:tcW w:w="20" w:type="dxa"/>
            <w:vAlign w:val="bottom"/>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0" w:type="dxa"/>
            <w:vAlign w:val="bottom"/>
            <w:gridSpan w:val="17"/>
          </w:tcPr>
          <w:p>
            <w:pPr>
              <w:spacing w:after="0" w:line="118" w:lineRule="exact"/>
              <w:rPr>
                <w:sz w:val="20"/>
                <w:szCs w:val="20"/>
                <w:color w:val="auto"/>
              </w:rPr>
            </w:pPr>
            <w:r>
              <w:rPr>
                <w:rFonts w:ascii="Arial" w:cs="Arial" w:eastAsia="Arial" w:hAnsi="Arial"/>
                <w:sz w:val="11"/>
                <w:szCs w:val="11"/>
                <w:color w:val="0000FF"/>
              </w:rPr>
              <w:t>GoHealth Holdings, LLC, and Brandon Cruz.</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13"/>
                <w:szCs w:val="13"/>
                <w:color w:val="auto"/>
              </w:rPr>
            </w:pPr>
          </w:p>
        </w:tc>
        <w:tc>
          <w:tcPr>
            <w:tcW w:w="4820" w:type="dxa"/>
            <w:vAlign w:val="bottom"/>
            <w:tcBorders>
              <w:bottom w:val="single" w:sz="8" w:color="0000FF"/>
            </w:tcBorders>
            <w:gridSpan w:val="14"/>
          </w:tcPr>
          <w:p>
            <w:pPr>
              <w:spacing w:after="0"/>
              <w:rPr>
                <w:sz w:val="20"/>
                <w:szCs w:val="20"/>
                <w:color w:val="auto"/>
              </w:rPr>
            </w:pPr>
            <w:r>
              <w:rPr>
                <w:rFonts w:ascii="Arial" w:cs="Arial" w:eastAsia="Arial" w:hAnsi="Arial"/>
                <w:sz w:val="11"/>
                <w:szCs w:val="11"/>
                <w:color w:val="0000FF"/>
              </w:rPr>
              <w:t>Employment Agreement, dated June 3, 2020, by and among GoHealth, Inc., GoHealth Holdings,</w:t>
            </w:r>
          </w:p>
        </w:tc>
        <w:tc>
          <w:tcPr>
            <w:tcW w:w="180" w:type="dxa"/>
            <w:vAlign w:val="bottom"/>
            <w:gridSpan w:val="3"/>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bottom w:val="single" w:sz="8" w:color="0000FF"/>
            </w:tcBorders>
            <w:gridSpan w:val="3"/>
          </w:tcPr>
          <w:p>
            <w:pPr>
              <w:spacing w:after="0" w:line="118" w:lineRule="exact"/>
              <w:rPr>
                <w:sz w:val="20"/>
                <w:szCs w:val="20"/>
                <w:color w:val="auto"/>
              </w:rPr>
            </w:pPr>
            <w:r>
              <w:rPr>
                <w:rFonts w:ascii="Arial" w:cs="Arial" w:eastAsia="Arial" w:hAnsi="Arial"/>
                <w:sz w:val="11"/>
                <w:szCs w:val="11"/>
                <w:color w:val="0000FF"/>
                <w:w w:val="99"/>
              </w:rPr>
              <w:t>LLC, and Brian Farley.</w:t>
            </w:r>
          </w:p>
        </w:tc>
        <w:tc>
          <w:tcPr>
            <w:tcW w:w="3880" w:type="dxa"/>
            <w:vAlign w:val="bottom"/>
            <w:gridSpan w:val="14"/>
          </w:tcPr>
          <w:p>
            <w:pPr>
              <w:spacing w:after="0"/>
              <w:rPr>
                <w:sz w:val="10"/>
                <w:szCs w:val="10"/>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31.1</w:t>
            </w:r>
          </w:p>
        </w:tc>
        <w:tc>
          <w:tcPr>
            <w:tcW w:w="60" w:type="dxa"/>
            <w:vAlign w:val="bottom"/>
          </w:tcPr>
          <w:p>
            <w:pPr>
              <w:spacing w:after="0"/>
              <w:rPr>
                <w:sz w:val="13"/>
                <w:szCs w:val="13"/>
                <w:color w:val="auto"/>
              </w:rPr>
            </w:pPr>
          </w:p>
        </w:tc>
        <w:tc>
          <w:tcPr>
            <w:tcW w:w="4040" w:type="dxa"/>
            <w:vAlign w:val="bottom"/>
            <w:tcBorders>
              <w:bottom w:val="single" w:sz="8" w:color="0000FF"/>
            </w:tcBorders>
            <w:gridSpan w:val="11"/>
          </w:tcPr>
          <w:p>
            <w:pPr>
              <w:spacing w:after="0"/>
              <w:rPr>
                <w:sz w:val="20"/>
                <w:szCs w:val="20"/>
                <w:color w:val="auto"/>
              </w:rPr>
            </w:pPr>
            <w:r>
              <w:rPr>
                <w:rFonts w:ascii="Arial" w:cs="Arial" w:eastAsia="Arial" w:hAnsi="Arial"/>
                <w:sz w:val="11"/>
                <w:szCs w:val="11"/>
                <w:color w:val="0000FF"/>
              </w:rPr>
              <w:t>Certification of Chief Executive Officer pursuant to Exchange Act Rule 13a-14(a).</w:t>
            </w:r>
          </w:p>
        </w:tc>
        <w:tc>
          <w:tcPr>
            <w:tcW w:w="960" w:type="dxa"/>
            <w:vAlign w:val="bottom"/>
            <w:gridSpan w:val="6"/>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31.2</w:t>
            </w:r>
          </w:p>
        </w:tc>
        <w:tc>
          <w:tcPr>
            <w:tcW w:w="60" w:type="dxa"/>
            <w:vAlign w:val="bottom"/>
          </w:tcPr>
          <w:p>
            <w:pPr>
              <w:spacing w:after="0"/>
              <w:rPr>
                <w:sz w:val="13"/>
                <w:szCs w:val="13"/>
                <w:color w:val="auto"/>
              </w:rPr>
            </w:pPr>
          </w:p>
        </w:tc>
        <w:tc>
          <w:tcPr>
            <w:tcW w:w="4000" w:type="dxa"/>
            <w:vAlign w:val="bottom"/>
            <w:tcBorders>
              <w:bottom w:val="single" w:sz="8" w:color="0000FF"/>
            </w:tcBorders>
            <w:gridSpan w:val="10"/>
          </w:tcPr>
          <w:p>
            <w:pPr>
              <w:spacing w:after="0"/>
              <w:rPr>
                <w:sz w:val="20"/>
                <w:szCs w:val="20"/>
                <w:color w:val="auto"/>
              </w:rPr>
            </w:pPr>
            <w:r>
              <w:rPr>
                <w:rFonts w:ascii="Arial" w:cs="Arial" w:eastAsia="Arial" w:hAnsi="Arial"/>
                <w:sz w:val="11"/>
                <w:szCs w:val="11"/>
                <w:color w:val="0000FF"/>
              </w:rPr>
              <w:t>Certification of Chief Financial Officer pursuant to Exchange Act Rule 13a-14(a).</w:t>
            </w:r>
          </w:p>
        </w:tc>
        <w:tc>
          <w:tcPr>
            <w:tcW w:w="1000" w:type="dxa"/>
            <w:vAlign w:val="bottom"/>
            <w:gridSpan w:val="7"/>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32.1</w:t>
            </w:r>
          </w:p>
        </w:tc>
        <w:tc>
          <w:tcPr>
            <w:tcW w:w="60" w:type="dxa"/>
            <w:vAlign w:val="bottom"/>
          </w:tcPr>
          <w:p>
            <w:pPr>
              <w:spacing w:after="0"/>
              <w:rPr>
                <w:sz w:val="13"/>
                <w:szCs w:val="13"/>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0000FF"/>
              </w:rPr>
              <w:t>Certification of Principal Executive Officer pursuant to 18 U.S.C. Section 1350.</w:t>
            </w: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32.2</w:t>
            </w:r>
          </w:p>
        </w:tc>
        <w:tc>
          <w:tcPr>
            <w:tcW w:w="6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1"/>
                <w:szCs w:val="11"/>
                <w:color w:val="0000FF"/>
              </w:rPr>
              <w:t>Certification of Chief Financial Officer pursuant to 18 U.S.C. Section 1350.</w:t>
            </w:r>
          </w:p>
        </w:tc>
        <w:tc>
          <w:tcPr>
            <w:tcW w:w="200" w:type="dxa"/>
            <w:vAlign w:val="bottom"/>
            <w:tcBorders>
              <w:top w:val="single" w:sz="8" w:color="0000FF"/>
            </w:tcBorders>
            <w:gridSpan w:val="2"/>
          </w:tcPr>
          <w:p>
            <w:pPr>
              <w:spacing w:after="0"/>
              <w:rPr>
                <w:sz w:val="13"/>
                <w:szCs w:val="13"/>
                <w:color w:val="auto"/>
              </w:rPr>
            </w:pPr>
          </w:p>
        </w:tc>
        <w:tc>
          <w:tcPr>
            <w:tcW w:w="1100" w:type="dxa"/>
            <w:vAlign w:val="bottom"/>
            <w:gridSpan w:val="8"/>
          </w:tcPr>
          <w:p>
            <w:pPr>
              <w:spacing w:after="0"/>
              <w:rPr>
                <w:sz w:val="13"/>
                <w:szCs w:val="13"/>
                <w:color w:val="auto"/>
              </w:rPr>
            </w:pPr>
          </w:p>
        </w:tc>
      </w:tr>
      <w:tr>
        <w:trPr>
          <w:trHeight w:val="175"/>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101.INS</w:t>
            </w:r>
          </w:p>
        </w:tc>
        <w:tc>
          <w:tcPr>
            <w:tcW w:w="60" w:type="dxa"/>
            <w:vAlign w:val="bottom"/>
          </w:tcPr>
          <w:p>
            <w:pPr>
              <w:spacing w:after="0"/>
              <w:rPr>
                <w:sz w:val="15"/>
                <w:szCs w:val="15"/>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w:t>
            </w:r>
          </w:p>
        </w:tc>
      </w:tr>
      <w:tr>
        <w:trPr>
          <w:trHeight w:val="148"/>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File because its XBRL tags are embedded within the Inline XBRL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101.SCH</w:t>
            </w:r>
          </w:p>
        </w:tc>
        <w:tc>
          <w:tcPr>
            <w:tcW w:w="60" w:type="dxa"/>
            <w:vAlign w:val="bottom"/>
          </w:tcPr>
          <w:p>
            <w:pPr>
              <w:spacing w:after="0"/>
              <w:rPr>
                <w:sz w:val="15"/>
                <w:szCs w:val="15"/>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Inline XBRL Taxonomy Extension Schema Document</w:t>
            </w:r>
          </w:p>
        </w:tc>
      </w:tr>
      <w:tr>
        <w:trPr>
          <w:trHeight w:val="180"/>
        </w:trPr>
        <w:tc>
          <w:tcPr>
            <w:tcW w:w="1040" w:type="dxa"/>
            <w:vAlign w:val="bottom"/>
          </w:tcPr>
          <w:p>
            <w:pPr>
              <w:jc w:val="center"/>
              <w:spacing w:after="0"/>
              <w:rPr>
                <w:sz w:val="20"/>
                <w:szCs w:val="20"/>
                <w:color w:val="auto"/>
              </w:rPr>
            </w:pPr>
            <w:r>
              <w:rPr>
                <w:rFonts w:ascii="Arial" w:cs="Arial" w:eastAsia="Arial" w:hAnsi="Arial"/>
                <w:sz w:val="11"/>
                <w:szCs w:val="11"/>
                <w:color w:val="auto"/>
              </w:rPr>
              <w:t>101.CAL</w:t>
            </w:r>
          </w:p>
        </w:tc>
        <w:tc>
          <w:tcPr>
            <w:tcW w:w="60" w:type="dxa"/>
            <w:vAlign w:val="bottom"/>
          </w:tcPr>
          <w:p>
            <w:pPr>
              <w:spacing w:after="0"/>
              <w:rPr>
                <w:sz w:val="15"/>
                <w:szCs w:val="15"/>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Inline XBRL Taxonomy Extension Calculation Linkbase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101.DEF</w:t>
            </w:r>
          </w:p>
        </w:tc>
        <w:tc>
          <w:tcPr>
            <w:tcW w:w="60" w:type="dxa"/>
            <w:vAlign w:val="bottom"/>
          </w:tcPr>
          <w:p>
            <w:pPr>
              <w:spacing w:after="0"/>
              <w:rPr>
                <w:sz w:val="15"/>
                <w:szCs w:val="15"/>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Inline XBRL Taxonomy Extension Definition Linkbase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w w:val="99"/>
              </w:rPr>
              <w:t>101.LAB</w:t>
            </w:r>
          </w:p>
        </w:tc>
        <w:tc>
          <w:tcPr>
            <w:tcW w:w="60" w:type="dxa"/>
            <w:vAlign w:val="bottom"/>
          </w:tcPr>
          <w:p>
            <w:pPr>
              <w:spacing w:after="0"/>
              <w:rPr>
                <w:sz w:val="15"/>
                <w:szCs w:val="15"/>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Inline XBRL Taxonomy Extension Label Linkbase Document</w:t>
            </w: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101.PRE</w:t>
            </w:r>
          </w:p>
        </w:tc>
        <w:tc>
          <w:tcPr>
            <w:tcW w:w="60" w:type="dxa"/>
            <w:vAlign w:val="bottom"/>
          </w:tcPr>
          <w:p>
            <w:pPr>
              <w:spacing w:after="0"/>
              <w:rPr>
                <w:sz w:val="15"/>
                <w:szCs w:val="15"/>
                <w:color w:val="auto"/>
              </w:rPr>
            </w:pPr>
          </w:p>
        </w:tc>
        <w:tc>
          <w:tcPr>
            <w:tcW w:w="5000" w:type="dxa"/>
            <w:vAlign w:val="bottom"/>
            <w:gridSpan w:val="17"/>
          </w:tcPr>
          <w:p>
            <w:pPr>
              <w:spacing w:after="0"/>
              <w:rPr>
                <w:sz w:val="20"/>
                <w:szCs w:val="20"/>
                <w:color w:val="auto"/>
              </w:rPr>
            </w:pPr>
            <w:r>
              <w:rPr>
                <w:rFonts w:ascii="Arial" w:cs="Arial" w:eastAsia="Arial" w:hAnsi="Arial"/>
                <w:sz w:val="11"/>
                <w:szCs w:val="11"/>
                <w:color w:val="auto"/>
              </w:rPr>
              <w:t>Inline XBRL Taxonomy Extension Presentation Linkbase Document</w:t>
            </w:r>
          </w:p>
        </w:tc>
      </w:tr>
    </w:tbl>
    <w:p>
      <w:pPr>
        <w:spacing w:after="0" w:line="32" w:lineRule="exact"/>
        <w:rPr>
          <w:sz w:val="20"/>
          <w:szCs w:val="20"/>
          <w:color w:val="auto"/>
        </w:rPr>
      </w:pPr>
    </w:p>
    <w:p>
      <w:pPr>
        <w:ind w:left="1100" w:hanging="701"/>
        <w:spacing w:after="0"/>
        <w:tabs>
          <w:tab w:leader="none" w:pos="1100" w:val="left"/>
        </w:tabs>
        <w:numPr>
          <w:ilvl w:val="1"/>
          <w:numId w:val="15"/>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and contained in Exhibit 101)</w:t>
      </w:r>
    </w:p>
    <w:p>
      <w:pPr>
        <w:spacing w:after="0" w:line="9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Filed herewith.</w:t>
      </w:r>
    </w:p>
    <w:p>
      <w:pPr>
        <w:spacing w:after="0" w:line="21" w:lineRule="exact"/>
        <w:rPr>
          <w:rFonts w:ascii="Arial" w:cs="Arial" w:eastAsia="Arial" w:hAnsi="Arial"/>
          <w:sz w:val="11"/>
          <w:szCs w:val="11"/>
          <w:color w:val="auto"/>
        </w:rPr>
      </w:pPr>
    </w:p>
    <w:p>
      <w:pPr>
        <w:ind w:left="220" w:hanging="215"/>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Furnished herewith.</w:t>
      </w:r>
    </w:p>
    <w:p>
      <w:pPr>
        <w:spacing w:after="0" w:line="11" w:lineRule="exact"/>
        <w:rPr>
          <w:sz w:val="20"/>
          <w:szCs w:val="20"/>
          <w:color w:val="auto"/>
        </w:rPr>
      </w:pPr>
    </w:p>
    <w:p>
      <w:pPr>
        <w:ind w:left="200" w:hanging="195"/>
        <w:spacing w:after="0"/>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247269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Filing</w:t>
            </w:r>
          </w:p>
        </w:tc>
      </w:tr>
      <w:tr>
        <w:trPr>
          <w:trHeight w:val="160"/>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File No.</w:t>
            </w:r>
          </w:p>
        </w:tc>
        <w:tc>
          <w:tcPr>
            <w:tcW w:w="100" w:type="dxa"/>
            <w:vAlign w:val="bottom"/>
          </w:tcPr>
          <w:p>
            <w:pPr>
              <w:spacing w:after="0"/>
              <w:rPr>
                <w:sz w:val="13"/>
                <w:szCs w:val="13"/>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159"/>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8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8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6/19/2020</w:t>
            </w:r>
          </w:p>
        </w:tc>
      </w:tr>
      <w:tr>
        <w:trPr>
          <w:trHeight w:val="477"/>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3/16/2022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Filed/</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Furnished</w:t>
      </w:r>
    </w:p>
    <w:p>
      <w:pPr>
        <w:spacing w:after="0" w:line="11"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11430</wp:posOffset>
            </wp:positionV>
            <wp:extent cx="70040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00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708" w:lineRule="exact"/>
        <w:rPr>
          <w:sz w:val="20"/>
          <w:szCs w:val="20"/>
          <w:color w:val="auto"/>
        </w:rPr>
      </w:pPr>
    </w:p>
    <w:p>
      <w:pPr>
        <w:sectPr>
          <w:pgSz w:w="11900" w:h="16838" w:orient="portrait"/>
          <w:cols w:equalWidth="0" w:num="3">
            <w:col w:w="6100" w:space="100"/>
            <w:col w:w="3880" w:space="380"/>
            <w:col w:w="820"/>
          </w:cols>
          <w:pgMar w:left="300" w:top="1105" w:right="31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3"/>
          <w:szCs w:val="13"/>
          <w:b w:val="1"/>
          <w:bCs w:val="1"/>
          <w:color w:val="00497F"/>
        </w:rPr>
        <w:t>SIGNATURES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GoHealth, Inc.</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(Registrant)</w:t>
      </w:r>
    </w:p>
    <w:p>
      <w:pPr>
        <w:spacing w:after="0" w:line="114"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May 10, 2022</w:t>
      </w:r>
      <w:r>
        <w:rPr>
          <w:sz w:val="20"/>
          <w:szCs w:val="20"/>
          <w:color w:val="auto"/>
        </w:rPr>
        <w:tab/>
      </w:r>
      <w:r>
        <w:rPr>
          <w:rFonts w:ascii="Arial" w:cs="Arial" w:eastAsia="Arial" w:hAnsi="Arial"/>
          <w:sz w:val="12"/>
          <w:szCs w:val="12"/>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Clinton P. Jones</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Executive Officer)</w:t>
      </w:r>
    </w:p>
    <w:p>
      <w:pPr>
        <w:spacing w:after="0" w:line="114"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May 10, 2022</w:t>
      </w:r>
      <w:r>
        <w:rPr>
          <w:sz w:val="20"/>
          <w:szCs w:val="20"/>
          <w:color w:val="auto"/>
        </w:rPr>
        <w:tab/>
      </w:r>
      <w:r>
        <w:rPr>
          <w:rFonts w:ascii="Arial" w:cs="Arial" w:eastAsia="Arial" w:hAnsi="Arial"/>
          <w:sz w:val="12"/>
          <w:szCs w:val="12"/>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Travis J. Matthiesen</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Interim Chief Financial Officer</w:t>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200" w:lineRule="exact"/>
        <w:rPr>
          <w:sz w:val="20"/>
          <w:szCs w:val="20"/>
          <w:color w:val="auto"/>
        </w:rPr>
      </w:pPr>
    </w:p>
    <w:p>
      <w:pPr>
        <w:spacing w:after="0" w:line="264" w:lineRule="exact"/>
        <w:rPr>
          <w:sz w:val="20"/>
          <w:szCs w:val="20"/>
          <w:color w:val="auto"/>
        </w:rPr>
      </w:pPr>
    </w:p>
    <w:tbl>
      <w:tblPr>
        <w:tblLayout w:type="fixed"/>
        <w:tblInd w:w="3760" w:type="dxa"/>
        <w:tblCellMar>
          <w:top w:w="0" w:type="dxa"/>
          <w:left w:w="0" w:type="dxa"/>
          <w:bottom w:w="0" w:type="dxa"/>
          <w:right w:w="0" w:type="dxa"/>
        </w:tblCellMar>
      </w:tblPr>
      <w:tr>
        <w:trPr>
          <w:trHeight w:val="15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2022 Form 10-Q</w:t>
            </w:r>
          </w:p>
        </w:tc>
        <w:tc>
          <w:tcPr>
            <w:tcW w:w="180" w:type="dxa"/>
            <w:vAlign w:val="bottom"/>
          </w:tcPr>
          <w:p>
            <w:pPr>
              <w:jc w:val="right"/>
              <w:spacing w:after="0"/>
              <w:rPr>
                <w:sz w:val="20"/>
                <w:szCs w:val="20"/>
                <w:color w:val="auto"/>
              </w:rPr>
            </w:pPr>
            <w:r>
              <w:rPr>
                <w:rFonts w:ascii="Arial" w:cs="Arial" w:eastAsia="Arial" w:hAnsi="Arial"/>
                <w:sz w:val="11"/>
                <w:szCs w:val="11"/>
                <w:color w:val="auto"/>
              </w:rPr>
              <w:t>40</w:t>
            </w:r>
          </w:p>
        </w:tc>
      </w:tr>
    </w:tbl>
    <w:p>
      <w:pPr>
        <w:sectPr>
          <w:pgSz w:w="11900" w:h="16838" w:orient="portrait"/>
          <w:cols w:equalWidth="0" w:num="1">
            <w:col w:w="10960"/>
          </w:cols>
          <w:pgMar w:left="300" w:top="1073" w:right="639" w:bottom="1440"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Clinton P. Jones, certify that:</w:t>
      </w:r>
    </w:p>
    <w:p>
      <w:pPr>
        <w:spacing w:after="0" w:line="169" w:lineRule="exact"/>
        <w:rPr>
          <w:sz w:val="20"/>
          <w:szCs w:val="20"/>
          <w:color w:val="auto"/>
        </w:rPr>
      </w:pPr>
    </w:p>
    <w:p>
      <w:pPr>
        <w:ind w:left="760" w:hanging="373"/>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10,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Clinton P. Jones</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3"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Travis J. Matthiesen, certify that:</w:t>
      </w:r>
    </w:p>
    <w:p>
      <w:pPr>
        <w:spacing w:after="0" w:line="169" w:lineRule="exact"/>
        <w:rPr>
          <w:sz w:val="20"/>
          <w:szCs w:val="20"/>
          <w:color w:val="auto"/>
        </w:rPr>
      </w:pPr>
    </w:p>
    <w:p>
      <w:pPr>
        <w:ind w:left="760" w:hanging="373"/>
        <w:spacing w:after="0"/>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10,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Travis J. Matthiesen</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Interim Chief Financial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p>
      <w:pPr>
        <w:sectPr>
          <w:pgSz w:w="11900" w:h="16838" w:orient="portrait"/>
          <w:cols w:equalWidth="0" w:num="1">
            <w:col w:w="11280"/>
          </w:cols>
          <w:pgMar w:left="300" w:top="903" w:right="31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b w:val="1"/>
          <w:bCs w:val="1"/>
          <w:color w:val="auto"/>
        </w:rPr>
        <w:t>Exhibit 32.1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March 31, 2022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10,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Clinton P. Jones</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3"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32.2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March 31, 2022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10,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Travis J. Matthiesen</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Interim Chief Financial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sectPr>
      <w:pgSz w:w="11900" w:h="16838" w:orient="portrait"/>
      <w:cols w:equalWidth="0" w:num="1">
        <w:col w:w="11280"/>
      </w:cols>
      <w:pgMar w:left="300" w:top="9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
      <w:numFmt w:val="bullet"/>
      <w:start w:val="1"/>
    </w:lvl>
    <w:lvl w:ilvl="1">
      <w:lvlJc w:val="left"/>
      <w:lvlText w:val="%2"/>
      <w:numFmt w:val="decimal"/>
      <w:start w:val="104"/>
    </w:lvl>
  </w:abstractNum>
  <w:abstractNum w:abstractNumId="15">
    <w:nsid w:val="3F2DBA31"/>
    <w:multiLevelType w:val="hybridMultilevel"/>
    <w:lvl w:ilvl="0">
      <w:lvlJc w:val="left"/>
      <w:lvlText w:val="**"/>
      <w:numFmt w:val="bullet"/>
      <w:start w:val="1"/>
    </w:lvl>
    <w:lvl w:ilvl="1">
      <w:lvlJc w:val="left"/>
      <w:lvlText w:val="%2"/>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34" Type="http://schemas.openxmlformats.org/officeDocument/2006/relationships/hyperlink" Target="https://www.sec.gov/Archives/edgar/data/1808220/000119312520224832/d935246dex31.htm" TargetMode="External"/><Relationship Id="rId135" Type="http://schemas.openxmlformats.org/officeDocument/2006/relationships/hyperlink" Target="https://www.sec.gov/Archives/edgar/data/1808220/000119312520224832/d935246dex32.htm" TargetMode="External"/><Relationship Id="rId136" Type="http://schemas.openxmlformats.org/officeDocument/2006/relationships/hyperlink" Target="https://www.sec.gov/Archives/edgar/data/1808220/000119312520173051/d797183dex41.htm" TargetMode="External"/><Relationship Id="rId137" Type="http://schemas.openxmlformats.org/officeDocument/2006/relationships/hyperlink" Target="https://www.sec.gov/Archives/edgar/data/0001808220/000119312522076947/d22964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2022-05-10T16:39:07Z</dcterms:created>
  <dcterms:modified xsi:type="dcterms:W3CDTF">2022-05-10T16:39:07Z</dcterms:modified>
</cp:coreProperties>
</file>