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216535</wp:posOffset>
            </wp:positionH>
            <wp:positionV relativeFrom="page">
              <wp:posOffset>191770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217805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t>UNITED STATES</w:t>
      </w:r>
    </w:p>
    <w:p>
      <w:pPr>
        <w:spacing w:after="0" w:line="132" w:lineRule="exact"/>
        <w:rPr>
          <w:sz w:val="24"/>
          <w:szCs w:val="24"/>
          <w:color w:val="auto"/>
        </w:rPr>
      </w:pPr>
    </w:p>
    <w:p>
      <w:pPr>
        <w:jc w:val="center"/>
        <w:ind w:right="-299"/>
        <w:spacing w:after="0"/>
        <w:rPr>
          <w:sz w:val="20"/>
          <w:szCs w:val="20"/>
          <w:color w:val="auto"/>
        </w:rPr>
      </w:pPr>
      <w:r>
        <w:rPr>
          <w:rFonts w:ascii="Arial" w:cs="Arial" w:eastAsia="Arial" w:hAnsi="Arial"/>
          <w:sz w:val="32"/>
          <w:szCs w:val="32"/>
          <w:b w:val="1"/>
          <w:bCs w:val="1"/>
          <w:color w:val="auto"/>
        </w:rPr>
        <w:t>SECURITIES AND EXCHANGE COMMISSION</w:t>
      </w:r>
    </w:p>
    <w:p>
      <w:pPr>
        <w:spacing w:after="0" w:line="200" w:lineRule="exact"/>
        <w:rPr>
          <w:sz w:val="24"/>
          <w:szCs w:val="24"/>
          <w:color w:val="auto"/>
        </w:rPr>
      </w:pPr>
    </w:p>
    <w:p>
      <w:pPr>
        <w:spacing w:after="0" w:line="300" w:lineRule="exact"/>
        <w:rPr>
          <w:sz w:val="24"/>
          <w:szCs w:val="24"/>
          <w:color w:val="auto"/>
        </w:rPr>
      </w:pPr>
    </w:p>
    <w:p>
      <w:pPr>
        <w:jc w:val="center"/>
        <w:ind w:right="-299"/>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46"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FORM 10-Q</w:t>
      </w:r>
    </w:p>
    <w:p>
      <w:pPr>
        <w:spacing w:after="0" w:line="142"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80" w:lineRule="exact"/>
        <w:rPr>
          <w:sz w:val="24"/>
          <w:szCs w:val="24"/>
          <w:color w:val="auto"/>
        </w:rPr>
      </w:pPr>
    </w:p>
    <w:p>
      <w:pPr>
        <w:ind w:left="400" w:hanging="374"/>
        <w:spacing w:after="0" w:line="285" w:lineRule="auto"/>
        <w:tabs>
          <w:tab w:leader="none" w:pos="40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29"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For the quarterly period ended March 31, 2025</w:t>
      </w:r>
    </w:p>
    <w:p>
      <w:pPr>
        <w:spacing w:after="0" w:line="127"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OR</w:t>
      </w:r>
    </w:p>
    <w:p>
      <w:pPr>
        <w:spacing w:after="0" w:line="166" w:lineRule="exact"/>
        <w:rPr>
          <w:sz w:val="24"/>
          <w:szCs w:val="24"/>
          <w:color w:val="auto"/>
        </w:rPr>
      </w:pPr>
    </w:p>
    <w:p>
      <w:pPr>
        <w:ind w:left="400" w:hanging="374"/>
        <w:spacing w:after="0" w:line="285" w:lineRule="auto"/>
        <w:tabs>
          <w:tab w:leader="none" w:pos="40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143" w:lineRule="exact"/>
        <w:rPr>
          <w:sz w:val="24"/>
          <w:szCs w:val="24"/>
          <w:color w:val="auto"/>
        </w:rPr>
      </w:pPr>
    </w:p>
    <w:p>
      <w:pPr>
        <w:ind w:left="3540"/>
        <w:spacing w:after="0"/>
        <w:tabs>
          <w:tab w:leader="none" w:pos="6600" w:val="left"/>
        </w:tabs>
        <w:rPr>
          <w:sz w:val="20"/>
          <w:szCs w:val="20"/>
          <w:color w:val="auto"/>
        </w:rPr>
      </w:pPr>
      <w:r>
        <w:rPr>
          <w:rFonts w:ascii="Arial" w:cs="Arial" w:eastAsia="Arial" w:hAnsi="Arial"/>
          <w:sz w:val="16"/>
          <w:szCs w:val="16"/>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3602990</wp:posOffset>
            </wp:positionH>
            <wp:positionV relativeFrom="paragraph">
              <wp:posOffset>-4445</wp:posOffset>
            </wp:positionV>
            <wp:extent cx="12858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5875" cy="8255"/>
                    </a:xfrm>
                    <a:prstGeom prst="rect">
                      <a:avLst/>
                    </a:prstGeom>
                    <a:noFill/>
                  </pic:spPr>
                </pic:pic>
              </a:graphicData>
            </a:graphic>
          </wp:anchor>
        </w:drawing>
      </w:r>
    </w:p>
    <w:p>
      <w:pPr>
        <w:spacing w:after="0" w:line="200" w:lineRule="exact"/>
        <w:rPr>
          <w:sz w:val="24"/>
          <w:szCs w:val="24"/>
          <w:color w:val="auto"/>
        </w:rPr>
      </w:pPr>
    </w:p>
    <w:p>
      <w:pPr>
        <w:spacing w:after="0" w:line="24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001-39390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2499360</wp:posOffset>
            </wp:positionH>
            <wp:positionV relativeFrom="paragraph">
              <wp:posOffset>80645</wp:posOffset>
            </wp:positionV>
            <wp:extent cx="2143125" cy="1122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43125" cy="11226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jc w:val="center"/>
        <w:ind w:right="-299"/>
        <w:spacing w:after="0"/>
        <w:rPr>
          <w:sz w:val="20"/>
          <w:szCs w:val="20"/>
          <w:color w:val="auto"/>
        </w:rPr>
      </w:pPr>
      <w:r>
        <w:rPr>
          <w:rFonts w:ascii="Arial" w:cs="Arial" w:eastAsia="Arial" w:hAnsi="Arial"/>
          <w:sz w:val="43"/>
          <w:szCs w:val="43"/>
          <w:b w:val="1"/>
          <w:bCs w:val="1"/>
          <w:color w:val="auto"/>
        </w:rPr>
        <w:t>GoHealth, Inc.</w:t>
      </w:r>
    </w:p>
    <w:p>
      <w:pPr>
        <w:spacing w:after="0" w:line="142"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(Exact name of registrant as specified in its charter)</w:t>
      </w:r>
    </w:p>
    <w:p>
      <w:pPr>
        <w:spacing w:after="0" w:line="127" w:lineRule="exact"/>
        <w:rPr>
          <w:sz w:val="24"/>
          <w:szCs w:val="24"/>
          <w:color w:val="auto"/>
        </w:rPr>
      </w:pPr>
    </w:p>
    <w:p>
      <w:pPr>
        <w:ind w:left="4500"/>
        <w:spacing w:after="0"/>
        <w:rPr>
          <w:sz w:val="20"/>
          <w:szCs w:val="20"/>
          <w:color w:val="auto"/>
        </w:rPr>
      </w:pPr>
      <w:r>
        <w:rPr>
          <w:rFonts w:ascii="Arial" w:cs="Arial" w:eastAsia="Arial" w:hAnsi="Arial"/>
          <w:sz w:val="16"/>
          <w:szCs w:val="16"/>
          <w:color w:val="auto"/>
        </w:rPr>
        <w:t>_________________________</w:t>
      </w:r>
    </w:p>
    <w:p>
      <w:pPr>
        <w:spacing w:after="0" w:line="172" w:lineRule="exact"/>
        <w:rPr>
          <w:sz w:val="24"/>
          <w:szCs w:val="24"/>
          <w:color w:val="auto"/>
        </w:rPr>
      </w:pPr>
    </w:p>
    <w:tbl>
      <w:tblPr>
        <w:tblLayout w:type="fixed"/>
        <w:tblInd w:w="760" w:type="dxa"/>
        <w:tblCellMar>
          <w:top w:w="0" w:type="dxa"/>
          <w:left w:w="0" w:type="dxa"/>
          <w:bottom w:w="0" w:type="dxa"/>
          <w:right w:w="0" w:type="dxa"/>
        </w:tblCellMar>
      </w:tblPr>
      <w:tr>
        <w:trPr>
          <w:trHeight w:val="196"/>
        </w:trPr>
        <w:tc>
          <w:tcPr>
            <w:tcW w:w="5320" w:type="dxa"/>
            <w:vAlign w:val="bottom"/>
          </w:tcPr>
          <w:p>
            <w:pPr>
              <w:jc w:val="center"/>
              <w:ind w:right="1044"/>
              <w:spacing w:after="0"/>
              <w:rPr>
                <w:sz w:val="20"/>
                <w:szCs w:val="20"/>
                <w:color w:val="auto"/>
              </w:rPr>
            </w:pPr>
            <w:r>
              <w:rPr>
                <w:rFonts w:ascii="Arial" w:cs="Arial" w:eastAsia="Arial" w:hAnsi="Arial"/>
                <w:sz w:val="14"/>
                <w:szCs w:val="14"/>
                <w:b w:val="1"/>
                <w:bCs w:val="1"/>
                <w:color w:val="auto"/>
              </w:rPr>
              <w:t>Delaware</w:t>
            </w:r>
          </w:p>
        </w:tc>
        <w:tc>
          <w:tcPr>
            <w:tcW w:w="3640" w:type="dxa"/>
            <w:vAlign w:val="bottom"/>
          </w:tcPr>
          <w:p>
            <w:pPr>
              <w:jc w:val="right"/>
              <w:ind w:right="784"/>
              <w:spacing w:after="0"/>
              <w:rPr>
                <w:sz w:val="20"/>
                <w:szCs w:val="20"/>
                <w:color w:val="auto"/>
              </w:rPr>
            </w:pPr>
            <w:r>
              <w:rPr>
                <w:rFonts w:ascii="Arial" w:cs="Arial" w:eastAsia="Arial" w:hAnsi="Arial"/>
                <w:sz w:val="14"/>
                <w:szCs w:val="14"/>
                <w:b w:val="1"/>
                <w:bCs w:val="1"/>
                <w:color w:val="auto"/>
              </w:rPr>
              <w:t>85-0563805</w:t>
            </w:r>
          </w:p>
        </w:tc>
        <w:tc>
          <w:tcPr>
            <w:tcW w:w="0" w:type="dxa"/>
            <w:vAlign w:val="bottom"/>
          </w:tcPr>
          <w:p>
            <w:pPr>
              <w:spacing w:after="0"/>
              <w:rPr>
                <w:sz w:val="1"/>
                <w:szCs w:val="1"/>
                <w:color w:val="auto"/>
              </w:rPr>
            </w:pPr>
          </w:p>
        </w:tc>
      </w:tr>
      <w:tr>
        <w:trPr>
          <w:trHeight w:val="243"/>
        </w:trPr>
        <w:tc>
          <w:tcPr>
            <w:tcW w:w="5320" w:type="dxa"/>
            <w:vAlign w:val="bottom"/>
          </w:tcPr>
          <w:p>
            <w:pPr>
              <w:jc w:val="center"/>
              <w:ind w:right="1064"/>
              <w:spacing w:after="0"/>
              <w:rPr>
                <w:sz w:val="20"/>
                <w:szCs w:val="20"/>
                <w:color w:val="auto"/>
              </w:rPr>
            </w:pPr>
            <w:r>
              <w:rPr>
                <w:rFonts w:ascii="Arial" w:cs="Arial" w:eastAsia="Arial" w:hAnsi="Arial"/>
                <w:sz w:val="16"/>
                <w:szCs w:val="16"/>
                <w:color w:val="auto"/>
              </w:rPr>
              <w:t>(State or other jurisdiction of incorporation or organization)</w:t>
            </w:r>
          </w:p>
        </w:tc>
        <w:tc>
          <w:tcPr>
            <w:tcW w:w="3640" w:type="dxa"/>
            <w:vAlign w:val="bottom"/>
          </w:tcPr>
          <w:p>
            <w:pPr>
              <w:jc w:val="center"/>
              <w:ind w:left="1064"/>
              <w:spacing w:after="0"/>
              <w:rPr>
                <w:sz w:val="20"/>
                <w:szCs w:val="20"/>
                <w:color w:val="auto"/>
              </w:rPr>
            </w:pPr>
            <w:r>
              <w:rPr>
                <w:rFonts w:ascii="Arial" w:cs="Arial" w:eastAsia="Arial" w:hAnsi="Arial"/>
                <w:sz w:val="16"/>
                <w:szCs w:val="16"/>
                <w:color w:val="auto"/>
              </w:rPr>
              <w:t>(I.R.S. Employer Identification No.)</w:t>
            </w:r>
          </w:p>
        </w:tc>
        <w:tc>
          <w:tcPr>
            <w:tcW w:w="0" w:type="dxa"/>
            <w:vAlign w:val="bottom"/>
          </w:tcPr>
          <w:p>
            <w:pPr>
              <w:spacing w:after="0"/>
              <w:rPr>
                <w:sz w:val="1"/>
                <w:szCs w:val="1"/>
                <w:color w:val="auto"/>
              </w:rPr>
            </w:pPr>
          </w:p>
        </w:tc>
      </w:tr>
      <w:tr>
        <w:trPr>
          <w:trHeight w:val="486"/>
        </w:trPr>
        <w:tc>
          <w:tcPr>
            <w:tcW w:w="5320" w:type="dxa"/>
            <w:vAlign w:val="bottom"/>
          </w:tcPr>
          <w:p>
            <w:pPr>
              <w:jc w:val="center"/>
              <w:ind w:right="1044"/>
              <w:spacing w:after="0"/>
              <w:rPr>
                <w:sz w:val="20"/>
                <w:szCs w:val="20"/>
                <w:color w:val="auto"/>
              </w:rPr>
            </w:pPr>
            <w:r>
              <w:rPr>
                <w:rFonts w:ascii="Arial" w:cs="Arial" w:eastAsia="Arial" w:hAnsi="Arial"/>
                <w:sz w:val="14"/>
                <w:szCs w:val="14"/>
                <w:b w:val="1"/>
                <w:bCs w:val="1"/>
                <w:color w:val="auto"/>
              </w:rPr>
              <w:t>222 W Merchandise Mart Plaza, Suite 1750</w:t>
            </w:r>
          </w:p>
        </w:tc>
        <w:tc>
          <w:tcPr>
            <w:tcW w:w="3640" w:type="dxa"/>
            <w:vAlign w:val="bottom"/>
            <w:vMerge w:val="restart"/>
          </w:tcPr>
          <w:p>
            <w:pPr>
              <w:jc w:val="right"/>
              <w:ind w:right="964"/>
              <w:spacing w:after="0"/>
              <w:rPr>
                <w:sz w:val="20"/>
                <w:szCs w:val="20"/>
                <w:color w:val="auto"/>
              </w:rPr>
            </w:pPr>
            <w:r>
              <w:rPr>
                <w:rFonts w:ascii="Arial" w:cs="Arial" w:eastAsia="Arial" w:hAnsi="Arial"/>
                <w:sz w:val="14"/>
                <w:szCs w:val="14"/>
                <w:b w:val="1"/>
                <w:bCs w:val="1"/>
                <w:color w:val="auto"/>
              </w:rPr>
              <w:t>60654</w:t>
            </w:r>
          </w:p>
        </w:tc>
        <w:tc>
          <w:tcPr>
            <w:tcW w:w="0" w:type="dxa"/>
            <w:vAlign w:val="bottom"/>
          </w:tcPr>
          <w:p>
            <w:pPr>
              <w:spacing w:after="0"/>
              <w:rPr>
                <w:sz w:val="1"/>
                <w:szCs w:val="1"/>
                <w:color w:val="auto"/>
              </w:rPr>
            </w:pPr>
          </w:p>
        </w:tc>
      </w:tr>
      <w:tr>
        <w:trPr>
          <w:trHeight w:val="108"/>
        </w:trPr>
        <w:tc>
          <w:tcPr>
            <w:tcW w:w="5320" w:type="dxa"/>
            <w:vAlign w:val="bottom"/>
            <w:vMerge w:val="restart"/>
          </w:tcPr>
          <w:p>
            <w:pPr>
              <w:ind w:left="1580"/>
              <w:spacing w:after="0"/>
              <w:rPr>
                <w:sz w:val="20"/>
                <w:szCs w:val="20"/>
                <w:color w:val="auto"/>
              </w:rPr>
            </w:pPr>
            <w:r>
              <w:rPr>
                <w:rFonts w:ascii="Arial" w:cs="Arial" w:eastAsia="Arial" w:hAnsi="Arial"/>
                <w:sz w:val="14"/>
                <w:szCs w:val="14"/>
                <w:b w:val="1"/>
                <w:bCs w:val="1"/>
                <w:color w:val="auto"/>
              </w:rPr>
              <w:t>Chicago, Illinois</w:t>
            </w:r>
          </w:p>
        </w:tc>
        <w:tc>
          <w:tcPr>
            <w:tcW w:w="3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5320" w:type="dxa"/>
            <w:vAlign w:val="bottom"/>
            <w:vMerge w:val="continue"/>
          </w:tcPr>
          <w:p>
            <w:pPr>
              <w:spacing w:after="0"/>
              <w:rPr>
                <w:sz w:val="12"/>
                <w:szCs w:val="12"/>
                <w:color w:val="auto"/>
              </w:rPr>
            </w:pPr>
          </w:p>
        </w:tc>
        <w:tc>
          <w:tcPr>
            <w:tcW w:w="3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5320" w:type="dxa"/>
            <w:vAlign w:val="bottom"/>
          </w:tcPr>
          <w:p>
            <w:pPr>
              <w:jc w:val="center"/>
              <w:ind w:right="1044"/>
              <w:spacing w:after="0"/>
              <w:rPr>
                <w:sz w:val="20"/>
                <w:szCs w:val="20"/>
                <w:color w:val="auto"/>
              </w:rPr>
            </w:pPr>
            <w:r>
              <w:rPr>
                <w:rFonts w:ascii="Arial" w:cs="Arial" w:eastAsia="Arial" w:hAnsi="Arial"/>
                <w:sz w:val="16"/>
                <w:szCs w:val="16"/>
                <w:color w:val="auto"/>
              </w:rPr>
              <w:t>(Address of principal executive offices)</w:t>
            </w:r>
          </w:p>
        </w:tc>
        <w:tc>
          <w:tcPr>
            <w:tcW w:w="3640" w:type="dxa"/>
            <w:vAlign w:val="bottom"/>
          </w:tcPr>
          <w:p>
            <w:pPr>
              <w:jc w:val="center"/>
              <w:ind w:left="1064"/>
              <w:spacing w:after="0"/>
              <w:rPr>
                <w:sz w:val="20"/>
                <w:szCs w:val="20"/>
                <w:color w:val="auto"/>
              </w:rPr>
            </w:pPr>
            <w:r>
              <w:rPr>
                <w:rFonts w:ascii="Arial" w:cs="Arial" w:eastAsia="Arial" w:hAnsi="Arial"/>
                <w:sz w:val="16"/>
                <w:szCs w:val="16"/>
                <w:color w:val="auto"/>
              </w:rPr>
              <w:t>(Zip Code)</w:t>
            </w:r>
          </w:p>
        </w:tc>
        <w:tc>
          <w:tcPr>
            <w:tcW w:w="0" w:type="dxa"/>
            <w:vAlign w:val="bottom"/>
          </w:tcPr>
          <w:p>
            <w:pPr>
              <w:spacing w:after="0"/>
              <w:rPr>
                <w:sz w:val="1"/>
                <w:szCs w:val="1"/>
                <w:color w:val="auto"/>
              </w:rPr>
            </w:pPr>
          </w:p>
        </w:tc>
      </w:tr>
    </w:tbl>
    <w:p>
      <w:pPr>
        <w:spacing w:after="0" w:line="204"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(312) 386-8200</w:t>
      </w:r>
    </w:p>
    <w:p>
      <w:pPr>
        <w:spacing w:after="0" w:line="113"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(Registrant’s telephone number, including area code)</w:t>
      </w:r>
    </w:p>
    <w:p>
      <w:pPr>
        <w:spacing w:after="0" w:line="200" w:lineRule="exact"/>
        <w:rPr>
          <w:sz w:val="24"/>
          <w:szCs w:val="24"/>
          <w:color w:val="auto"/>
        </w:rPr>
      </w:pPr>
    </w:p>
    <w:p>
      <w:pPr>
        <w:spacing w:after="0" w:line="264"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N/A</w:t>
      </w:r>
    </w:p>
    <w:p>
      <w:pPr>
        <w:spacing w:after="0" w:line="127"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113" w:lineRule="exact"/>
        <w:rPr>
          <w:sz w:val="24"/>
          <w:szCs w:val="24"/>
          <w:color w:val="auto"/>
        </w:rPr>
      </w:pPr>
    </w:p>
    <w:p>
      <w:pPr>
        <w:ind w:left="4500"/>
        <w:spacing w:after="0"/>
        <w:rPr>
          <w:sz w:val="20"/>
          <w:szCs w:val="20"/>
          <w:color w:val="auto"/>
        </w:rPr>
      </w:pPr>
      <w:r>
        <w:rPr>
          <w:rFonts w:ascii="Arial" w:cs="Arial" w:eastAsia="Arial" w:hAnsi="Arial"/>
          <w:sz w:val="16"/>
          <w:szCs w:val="16"/>
          <w:color w:val="auto"/>
        </w:rPr>
        <w:t>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565150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095" w:right="6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15"/>
        </w:trPr>
        <w:tc>
          <w:tcPr>
            <w:tcW w:w="4500" w:type="dxa"/>
            <w:vAlign w:val="bottom"/>
            <w:gridSpan w:val="3"/>
          </w:tcPr>
          <w:p>
            <w:pPr>
              <w:spacing w:after="0"/>
              <w:rPr>
                <w:sz w:val="20"/>
                <w:szCs w:val="20"/>
                <w:color w:val="auto"/>
              </w:rPr>
            </w:pPr>
            <w:r>
              <w:rPr>
                <w:rFonts w:ascii="Arial" w:cs="Arial" w:eastAsia="Arial" w:hAnsi="Arial"/>
                <w:sz w:val="16"/>
                <w:szCs w:val="16"/>
                <w:color w:val="auto"/>
              </w:rPr>
              <w:t>Securities registered pursuant to Section 12(b) of the Act:</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r>
        <w:trPr>
          <w:trHeight w:val="339"/>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jc w:val="center"/>
              <w:spacing w:after="0"/>
              <w:rPr>
                <w:sz w:val="20"/>
                <w:szCs w:val="20"/>
                <w:color w:val="auto"/>
              </w:rPr>
            </w:pPr>
            <w:r>
              <w:rPr>
                <w:rFonts w:ascii="Arial" w:cs="Arial" w:eastAsia="Arial" w:hAnsi="Arial"/>
                <w:sz w:val="16"/>
                <w:szCs w:val="16"/>
                <w:b w:val="1"/>
                <w:bCs w:val="1"/>
                <w:color w:val="auto"/>
              </w:rPr>
              <w:t>Name of each exchange</w:t>
            </w:r>
          </w:p>
        </w:tc>
      </w:tr>
      <w:tr>
        <w:trPr>
          <w:trHeight w:val="226"/>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Title of each class</w:t>
            </w:r>
          </w:p>
        </w:tc>
        <w:tc>
          <w:tcPr>
            <w:tcW w:w="10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jc w:val="center"/>
              <w:ind w:right="659"/>
              <w:spacing w:after="0"/>
              <w:rPr>
                <w:sz w:val="20"/>
                <w:szCs w:val="20"/>
                <w:color w:val="auto"/>
              </w:rPr>
            </w:pPr>
            <w:r>
              <w:rPr>
                <w:rFonts w:ascii="Arial" w:cs="Arial" w:eastAsia="Arial" w:hAnsi="Arial"/>
                <w:sz w:val="16"/>
                <w:szCs w:val="16"/>
                <w:b w:val="1"/>
                <w:bCs w:val="1"/>
                <w:color w:val="auto"/>
              </w:rPr>
              <w:t>Trading Symbol(s)</w:t>
            </w:r>
          </w:p>
        </w:tc>
        <w:tc>
          <w:tcPr>
            <w:tcW w:w="100" w:type="dxa"/>
            <w:vAlign w:val="bottom"/>
          </w:tcPr>
          <w:p>
            <w:pPr>
              <w:spacing w:after="0"/>
              <w:rPr>
                <w:sz w:val="19"/>
                <w:szCs w:val="19"/>
                <w:color w:val="auto"/>
              </w:rPr>
            </w:pPr>
          </w:p>
        </w:tc>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on which registered</w:t>
            </w:r>
          </w:p>
        </w:tc>
      </w:tr>
      <w:tr>
        <w:trPr>
          <w:trHeight w:val="213"/>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Class A Common Stock,</w:t>
            </w:r>
          </w:p>
        </w:tc>
        <w:tc>
          <w:tcPr>
            <w:tcW w:w="3020" w:type="dxa"/>
            <w:vAlign w:val="bottom"/>
            <w:gridSpan w:val="2"/>
          </w:tcPr>
          <w:p>
            <w:pPr>
              <w:jc w:val="center"/>
              <w:ind w:right="840"/>
              <w:spacing w:after="0"/>
              <w:rPr>
                <w:sz w:val="20"/>
                <w:szCs w:val="20"/>
                <w:color w:val="auto"/>
              </w:rPr>
            </w:pPr>
            <w:r>
              <w:rPr>
                <w:rFonts w:ascii="Arial" w:cs="Arial" w:eastAsia="Arial" w:hAnsi="Arial"/>
                <w:sz w:val="16"/>
                <w:szCs w:val="16"/>
                <w:color w:val="auto"/>
              </w:rPr>
              <w:t>GOCO</w:t>
            </w:r>
          </w:p>
        </w:tc>
        <w:tc>
          <w:tcPr>
            <w:tcW w:w="3680" w:type="dxa"/>
            <w:vAlign w:val="bottom"/>
          </w:tcPr>
          <w:p>
            <w:pPr>
              <w:jc w:val="center"/>
              <w:spacing w:after="0"/>
              <w:rPr>
                <w:sz w:val="20"/>
                <w:szCs w:val="20"/>
                <w:color w:val="auto"/>
              </w:rPr>
            </w:pPr>
            <w:r>
              <w:rPr>
                <w:rFonts w:ascii="Arial" w:cs="Arial" w:eastAsia="Arial" w:hAnsi="Arial"/>
                <w:sz w:val="16"/>
                <w:szCs w:val="16"/>
                <w:color w:val="auto"/>
              </w:rPr>
              <w:t>The Nasdaq Global Market</w:t>
            </w:r>
          </w:p>
        </w:tc>
      </w:tr>
      <w:tr>
        <w:trPr>
          <w:trHeight w:val="215"/>
        </w:trPr>
        <w:tc>
          <w:tcPr>
            <w:tcW w:w="4500" w:type="dxa"/>
            <w:vAlign w:val="bottom"/>
            <w:gridSpan w:val="3"/>
          </w:tcPr>
          <w:p>
            <w:pPr>
              <w:jc w:val="center"/>
              <w:ind w:right="840"/>
              <w:spacing w:after="0"/>
              <w:rPr>
                <w:sz w:val="20"/>
                <w:szCs w:val="20"/>
                <w:color w:val="auto"/>
              </w:rPr>
            </w:pPr>
            <w:r>
              <w:rPr>
                <w:rFonts w:ascii="Arial" w:cs="Arial" w:eastAsia="Arial" w:hAnsi="Arial"/>
                <w:sz w:val="16"/>
                <w:szCs w:val="16"/>
                <w:color w:val="auto"/>
              </w:rPr>
              <w:t>$0.0001 par value per share</w:t>
            </w:r>
          </w:p>
        </w:tc>
        <w:tc>
          <w:tcPr>
            <w:tcW w:w="2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Pr>
          <w:p>
            <w:pPr>
              <w:spacing w:after="0"/>
              <w:rPr>
                <w:sz w:val="18"/>
                <w:szCs w:val="18"/>
                <w:color w:val="auto"/>
              </w:rPr>
            </w:pPr>
          </w:p>
        </w:tc>
      </w:tr>
    </w:tbl>
    <w:p>
      <w:pPr>
        <w:spacing w:after="0" w:line="204" w:lineRule="exact"/>
        <w:rPr>
          <w:sz w:val="20"/>
          <w:szCs w:val="20"/>
          <w:color w:val="auto"/>
        </w:rPr>
      </w:pPr>
    </w:p>
    <w:p>
      <w:pPr>
        <w:jc w:val="both"/>
        <w:ind w:right="44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61" w:lineRule="exact"/>
        <w:rPr>
          <w:sz w:val="20"/>
          <w:szCs w:val="20"/>
          <w:color w:val="auto"/>
        </w:rPr>
      </w:pPr>
    </w:p>
    <w:p>
      <w:pPr>
        <w:ind w:right="46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highlight w:val="black"/>
        </w:rPr>
        <w:t>☒</w:t>
      </w:r>
      <w:r>
        <w:rPr>
          <w:rFonts w:ascii="Arial" w:cs="Arial" w:eastAsia="Arial" w:hAnsi="Arial"/>
          <w:sz w:val="16"/>
          <w:szCs w:val="16"/>
          <w:color w:val="auto"/>
        </w:rPr>
        <w:t xml:space="preserve"> No </w:t>
      </w:r>
      <w:r>
        <w:rPr>
          <w:rFonts w:ascii="MS PGothic" w:cs="MS PGothic" w:eastAsia="MS PGothic" w:hAnsi="MS PGothic"/>
          <w:sz w:val="16"/>
          <w:szCs w:val="16"/>
          <w:color w:val="auto"/>
          <w:highlight w:val="black"/>
        </w:rPr>
        <w:t>☐</w:t>
      </w:r>
    </w:p>
    <w:p>
      <w:pPr>
        <w:spacing w:after="0" w:line="61"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33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2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680" w:type="dxa"/>
            <w:vAlign w:val="bottom"/>
          </w:tcPr>
          <w:p>
            <w:pPr>
              <w:ind w:left="160"/>
              <w:spacing w:after="0"/>
              <w:rPr>
                <w:sz w:val="20"/>
                <w:szCs w:val="20"/>
                <w:color w:val="auto"/>
              </w:rPr>
            </w:pPr>
            <w:r>
              <w:rPr>
                <w:rFonts w:ascii="Arial" w:cs="Arial" w:eastAsia="Arial" w:hAnsi="Arial"/>
                <w:sz w:val="16"/>
                <w:szCs w:val="16"/>
                <w:color w:val="auto"/>
              </w:rPr>
              <w:t>Accelerated filer</w:t>
            </w:r>
          </w:p>
        </w:tc>
        <w:tc>
          <w:tcPr>
            <w:tcW w:w="1720" w:type="dxa"/>
            <w:vAlign w:val="bottom"/>
          </w:tcPr>
          <w:p>
            <w:pPr>
              <w:ind w:left="15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43"/>
        </w:trPr>
        <w:tc>
          <w:tcPr>
            <w:tcW w:w="3340" w:type="dxa"/>
            <w:vAlign w:val="bottom"/>
          </w:tcPr>
          <w:p>
            <w:pPr>
              <w:spacing w:after="0"/>
              <w:rPr>
                <w:sz w:val="20"/>
                <w:szCs w:val="20"/>
                <w:color w:val="auto"/>
              </w:rPr>
            </w:pPr>
            <w:r>
              <w:rPr>
                <w:rFonts w:ascii="Arial" w:cs="Arial" w:eastAsia="Arial" w:hAnsi="Arial"/>
                <w:sz w:val="16"/>
                <w:szCs w:val="16"/>
                <w:color w:val="auto"/>
              </w:rPr>
              <w:t>Non-accelerated filer</w:t>
            </w:r>
          </w:p>
        </w:tc>
        <w:tc>
          <w:tcPr>
            <w:tcW w:w="2020" w:type="dxa"/>
            <w:vAlign w:val="bottom"/>
          </w:tcPr>
          <w:p>
            <w:pPr>
              <w:ind w:left="1720"/>
              <w:spacing w:after="0" w:line="161" w:lineRule="exact"/>
              <w:rPr>
                <w:sz w:val="20"/>
                <w:szCs w:val="20"/>
                <w:color w:val="auto"/>
              </w:rPr>
            </w:pPr>
            <w:r>
              <w:rPr>
                <w:rFonts w:ascii="MS PGothic" w:cs="MS PGothic" w:eastAsia="MS PGothic" w:hAnsi="MS PGothic"/>
                <w:sz w:val="16"/>
                <w:szCs w:val="16"/>
                <w:color w:val="auto"/>
                <w:highlight w:val="black"/>
              </w:rPr>
              <w:t>☒</w:t>
            </w:r>
          </w:p>
        </w:tc>
        <w:tc>
          <w:tcPr>
            <w:tcW w:w="3680" w:type="dxa"/>
            <w:vAlign w:val="bottom"/>
          </w:tcPr>
          <w:p>
            <w:pPr>
              <w:ind w:left="160"/>
              <w:spacing w:after="0"/>
              <w:rPr>
                <w:sz w:val="20"/>
                <w:szCs w:val="20"/>
                <w:color w:val="auto"/>
              </w:rPr>
            </w:pPr>
            <w:r>
              <w:rPr>
                <w:rFonts w:ascii="Arial" w:cs="Arial" w:eastAsia="Arial" w:hAnsi="Arial"/>
                <w:sz w:val="16"/>
                <w:szCs w:val="16"/>
                <w:color w:val="auto"/>
              </w:rPr>
              <w:t>Smaller reporting company</w:t>
            </w:r>
          </w:p>
        </w:tc>
        <w:tc>
          <w:tcPr>
            <w:tcW w:w="1720" w:type="dxa"/>
            <w:vAlign w:val="bottom"/>
          </w:tcPr>
          <w:p>
            <w:pPr>
              <w:ind w:left="15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r>
        <w:trPr>
          <w:trHeight w:val="272"/>
        </w:trPr>
        <w:tc>
          <w:tcPr>
            <w:tcW w:w="3340" w:type="dxa"/>
            <w:vAlign w:val="bottom"/>
          </w:tcPr>
          <w:p>
            <w:pPr>
              <w:spacing w:after="0"/>
              <w:rPr>
                <w:sz w:val="23"/>
                <w:szCs w:val="23"/>
                <w:color w:val="auto"/>
              </w:rPr>
            </w:pPr>
          </w:p>
        </w:tc>
        <w:tc>
          <w:tcPr>
            <w:tcW w:w="2020" w:type="dxa"/>
            <w:vAlign w:val="bottom"/>
          </w:tcPr>
          <w:p>
            <w:pPr>
              <w:spacing w:after="0"/>
              <w:rPr>
                <w:sz w:val="23"/>
                <w:szCs w:val="23"/>
                <w:color w:val="auto"/>
              </w:rPr>
            </w:pPr>
          </w:p>
        </w:tc>
        <w:tc>
          <w:tcPr>
            <w:tcW w:w="3680" w:type="dxa"/>
            <w:vAlign w:val="bottom"/>
          </w:tcPr>
          <w:p>
            <w:pPr>
              <w:ind w:left="160"/>
              <w:spacing w:after="0"/>
              <w:rPr>
                <w:sz w:val="20"/>
                <w:szCs w:val="20"/>
                <w:color w:val="auto"/>
              </w:rPr>
            </w:pPr>
            <w:r>
              <w:rPr>
                <w:rFonts w:ascii="Arial" w:cs="Arial" w:eastAsia="Arial" w:hAnsi="Arial"/>
                <w:sz w:val="16"/>
                <w:szCs w:val="16"/>
                <w:color w:val="auto"/>
              </w:rPr>
              <w:t>Emerging growth company</w:t>
            </w:r>
          </w:p>
        </w:tc>
        <w:tc>
          <w:tcPr>
            <w:tcW w:w="1720" w:type="dxa"/>
            <w:vAlign w:val="bottom"/>
          </w:tcPr>
          <w:p>
            <w:pPr>
              <w:ind w:left="1580"/>
              <w:spacing w:after="0" w:line="161" w:lineRule="exact"/>
              <w:rPr>
                <w:sz w:val="20"/>
                <w:szCs w:val="20"/>
                <w:color w:val="auto"/>
              </w:rPr>
            </w:pPr>
            <w:r>
              <w:rPr>
                <w:rFonts w:ascii="MS PGothic" w:cs="MS PGothic" w:eastAsia="MS PGothic" w:hAnsi="MS PGothic"/>
                <w:sz w:val="16"/>
                <w:szCs w:val="16"/>
                <w:color w:val="auto"/>
                <w:highlight w:val="black"/>
                <w:w w:val="74"/>
              </w:rPr>
              <w:t>☐</w:t>
            </w:r>
          </w:p>
        </w:tc>
      </w:tr>
    </w:tbl>
    <w:p>
      <w:pPr>
        <w:spacing w:after="0" w:line="168" w:lineRule="exact"/>
        <w:rPr>
          <w:sz w:val="20"/>
          <w:szCs w:val="20"/>
          <w:color w:val="auto"/>
        </w:rPr>
      </w:pPr>
    </w:p>
    <w:p>
      <w:pPr>
        <w:ind w:right="120"/>
        <w:spacing w:after="0" w:line="22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highlight w:val="black"/>
        </w:rPr>
        <w:t>☐</w:t>
      </w:r>
    </w:p>
    <w:p>
      <w:pPr>
        <w:spacing w:after="0" w:line="25" w:lineRule="exact"/>
        <w:rPr>
          <w:sz w:val="20"/>
          <w:szCs w:val="20"/>
          <w:color w:val="auto"/>
        </w:rPr>
      </w:pPr>
    </w:p>
    <w:p>
      <w:pPr>
        <w:spacing w:after="0" w:line="184" w:lineRule="exact"/>
        <w:tabs>
          <w:tab w:leader="none" w:pos="8260" w:val="left"/>
          <w:tab w:leader="none" w:pos="894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highlight w:val="black"/>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highlight w:val="black"/>
        </w:rPr>
        <w:t>☒</w:t>
      </w:r>
    </w:p>
    <w:p>
      <w:pPr>
        <w:spacing w:after="0" w:line="149" w:lineRule="exact"/>
        <w:rPr>
          <w:sz w:val="20"/>
          <w:szCs w:val="20"/>
          <w:color w:val="auto"/>
        </w:rPr>
      </w:pPr>
    </w:p>
    <w:p>
      <w:pPr>
        <w:ind w:right="400"/>
        <w:spacing w:after="0" w:line="304" w:lineRule="auto"/>
        <w:rPr>
          <w:sz w:val="20"/>
          <w:szCs w:val="20"/>
          <w:color w:val="auto"/>
        </w:rPr>
      </w:pPr>
      <w:r>
        <w:rPr>
          <w:rFonts w:ascii="Arial" w:cs="Arial" w:eastAsia="Arial" w:hAnsi="Arial"/>
          <w:sz w:val="16"/>
          <w:szCs w:val="16"/>
          <w:color w:val="auto"/>
        </w:rPr>
        <w:t>As of May 6, 2025, the registrant had 11,115,125 shares of Class A common stock, $0.0001 par value per share, outstanding and 12,623,288 shares of Class B common stock, $0.0001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506095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364490</wp:posOffset>
            </wp:positionV>
            <wp:extent cx="71151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390525</wp:posOffset>
            </wp:positionV>
            <wp:extent cx="71151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20"/>
          </w:cols>
          <w:pgMar w:left="320" w:top="1219"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3"/>
        </w:trPr>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700" w:type="dxa"/>
            <w:vAlign w:val="bottom"/>
            <w:gridSpan w:val="11"/>
          </w:tcPr>
          <w:p>
            <w:pPr>
              <w:jc w:val="center"/>
              <w:ind w:right="3040"/>
              <w:spacing w:after="0"/>
              <w:rPr>
                <w:sz w:val="20"/>
                <w:szCs w:val="20"/>
                <w:color w:val="auto"/>
              </w:rPr>
            </w:pPr>
            <w:r>
              <w:rPr>
                <w:rFonts w:ascii="Arial" w:cs="Arial" w:eastAsia="Arial" w:hAnsi="Arial"/>
                <w:sz w:val="16"/>
                <w:szCs w:val="16"/>
                <w:b w:val="1"/>
                <w:bCs w:val="1"/>
                <w:color w:val="auto"/>
              </w:rPr>
              <w:t>TABLE OF CONTENTS</w:t>
            </w: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gridSpan w:val="5"/>
          </w:tcPr>
          <w:p>
            <w:pPr>
              <w:ind w:left="380"/>
              <w:spacing w:after="0"/>
              <w:rPr>
                <w:sz w:val="20"/>
                <w:szCs w:val="20"/>
                <w:color w:val="auto"/>
              </w:rPr>
            </w:pPr>
            <w:r>
              <w:rPr>
                <w:rFonts w:ascii="Arial" w:cs="Arial" w:eastAsia="Arial" w:hAnsi="Arial"/>
                <w:sz w:val="16"/>
                <w:szCs w:val="16"/>
                <w:color w:val="auto"/>
              </w:rPr>
              <w:t>PAGE</w:t>
            </w:r>
          </w:p>
        </w:tc>
      </w:tr>
      <w:tr>
        <w:trPr>
          <w:trHeight w:val="217"/>
        </w:trPr>
        <w:tc>
          <w:tcPr>
            <w:tcW w:w="1240" w:type="dxa"/>
            <w:vAlign w:val="bottom"/>
            <w:shd w:val="clear" w:color="auto" w:fill="00497F"/>
          </w:tcPr>
          <w:p>
            <w:pPr>
              <w:spacing w:after="0"/>
              <w:rPr>
                <w:sz w:val="18"/>
                <w:szCs w:val="18"/>
                <w:color w:val="auto"/>
              </w:rPr>
            </w:pPr>
          </w:p>
        </w:tc>
        <w:tc>
          <w:tcPr>
            <w:tcW w:w="220" w:type="dxa"/>
            <w:vAlign w:val="bottom"/>
            <w:shd w:val="clear" w:color="auto" w:fill="00497F"/>
          </w:tcPr>
          <w:p>
            <w:pPr>
              <w:spacing w:after="0"/>
              <w:rPr>
                <w:sz w:val="18"/>
                <w:szCs w:val="18"/>
                <w:color w:val="auto"/>
              </w:rPr>
            </w:pPr>
          </w:p>
        </w:tc>
        <w:tc>
          <w:tcPr>
            <w:tcW w:w="560" w:type="dxa"/>
            <w:vAlign w:val="bottom"/>
            <w:shd w:val="clear" w:color="auto" w:fill="00497F"/>
          </w:tcPr>
          <w:p>
            <w:pPr>
              <w:spacing w:after="0"/>
              <w:rPr>
                <w:sz w:val="18"/>
                <w:szCs w:val="18"/>
                <w:color w:val="auto"/>
              </w:rPr>
            </w:pPr>
          </w:p>
        </w:tc>
        <w:tc>
          <w:tcPr>
            <w:tcW w:w="260" w:type="dxa"/>
            <w:vAlign w:val="bottom"/>
            <w:shd w:val="clear" w:color="auto" w:fill="00497F"/>
          </w:tcPr>
          <w:p>
            <w:pPr>
              <w:spacing w:after="0"/>
              <w:rPr>
                <w:sz w:val="18"/>
                <w:szCs w:val="18"/>
                <w:color w:val="auto"/>
              </w:rPr>
            </w:pPr>
          </w:p>
        </w:tc>
        <w:tc>
          <w:tcPr>
            <w:tcW w:w="200" w:type="dxa"/>
            <w:vAlign w:val="bottom"/>
            <w:shd w:val="clear" w:color="auto" w:fill="00497F"/>
          </w:tcPr>
          <w:p>
            <w:pPr>
              <w:spacing w:after="0"/>
              <w:rPr>
                <w:sz w:val="18"/>
                <w:szCs w:val="18"/>
                <w:color w:val="auto"/>
              </w:rPr>
            </w:pPr>
          </w:p>
        </w:tc>
        <w:tc>
          <w:tcPr>
            <w:tcW w:w="54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180" w:type="dxa"/>
            <w:vAlign w:val="bottom"/>
            <w:shd w:val="clear" w:color="auto" w:fill="00497F"/>
          </w:tcPr>
          <w:p>
            <w:pPr>
              <w:spacing w:after="0"/>
              <w:rPr>
                <w:sz w:val="18"/>
                <w:szCs w:val="18"/>
                <w:color w:val="auto"/>
              </w:rPr>
            </w:pPr>
          </w:p>
        </w:tc>
        <w:tc>
          <w:tcPr>
            <w:tcW w:w="340" w:type="dxa"/>
            <w:vAlign w:val="bottom"/>
            <w:shd w:val="clear" w:color="auto" w:fill="00497F"/>
          </w:tcPr>
          <w:p>
            <w:pPr>
              <w:spacing w:after="0"/>
              <w:rPr>
                <w:sz w:val="18"/>
                <w:szCs w:val="18"/>
                <w:color w:val="auto"/>
              </w:rPr>
            </w:pPr>
          </w:p>
        </w:tc>
        <w:tc>
          <w:tcPr>
            <w:tcW w:w="180" w:type="dxa"/>
            <w:vAlign w:val="bottom"/>
            <w:shd w:val="clear" w:color="auto" w:fill="00497F"/>
          </w:tcPr>
          <w:p>
            <w:pPr>
              <w:spacing w:after="0"/>
              <w:rPr>
                <w:sz w:val="18"/>
                <w:szCs w:val="18"/>
                <w:color w:val="auto"/>
              </w:rPr>
            </w:pPr>
          </w:p>
        </w:tc>
        <w:tc>
          <w:tcPr>
            <w:tcW w:w="6240" w:type="dxa"/>
            <w:vAlign w:val="bottom"/>
            <w:gridSpan w:val="12"/>
            <w:shd w:val="clear" w:color="auto" w:fill="00497F"/>
          </w:tcPr>
          <w:p>
            <w:pPr>
              <w:jc w:val="center"/>
              <w:ind w:right="2520"/>
              <w:spacing w:after="0"/>
              <w:rPr>
                <w:sz w:val="20"/>
                <w:szCs w:val="20"/>
                <w:color w:val="auto"/>
              </w:rPr>
            </w:pPr>
            <w:r>
              <w:rPr>
                <w:rFonts w:ascii="Arial" w:cs="Arial" w:eastAsia="Arial" w:hAnsi="Arial"/>
                <w:sz w:val="16"/>
                <w:szCs w:val="16"/>
                <w:b w:val="1"/>
                <w:bCs w:val="1"/>
                <w:color w:val="FFFFFF"/>
              </w:rPr>
              <w:t>PART I - FINANCIAL INFORMATION</w:t>
            </w:r>
          </w:p>
        </w:tc>
        <w:tc>
          <w:tcPr>
            <w:tcW w:w="50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10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560" w:type="dxa"/>
            <w:vAlign w:val="bottom"/>
            <w:shd w:val="clear" w:color="auto" w:fill="00497F"/>
          </w:tcPr>
          <w:p>
            <w:pPr>
              <w:spacing w:after="0"/>
              <w:rPr>
                <w:sz w:val="18"/>
                <w:szCs w:val="18"/>
                <w:color w:val="auto"/>
              </w:rPr>
            </w:pPr>
          </w:p>
        </w:tc>
      </w:tr>
      <w:tr>
        <w:trPr>
          <w:trHeight w:val="175"/>
        </w:trPr>
        <w:tc>
          <w:tcPr>
            <w:tcW w:w="1240" w:type="dxa"/>
            <w:vAlign w:val="bottom"/>
          </w:tcPr>
          <w:p>
            <w:pPr>
              <w:ind w:left="20"/>
              <w:spacing w:after="0" w:line="175" w:lineRule="exact"/>
              <w:rPr>
                <w:sz w:val="20"/>
                <w:szCs w:val="20"/>
                <w:color w:val="auto"/>
              </w:rPr>
            </w:pPr>
            <w:r>
              <w:rPr>
                <w:rFonts w:ascii="Arial" w:cs="Arial" w:eastAsia="Arial" w:hAnsi="Arial"/>
                <w:sz w:val="16"/>
                <w:szCs w:val="16"/>
                <w:color w:val="auto"/>
              </w:rPr>
              <w:t>ITEM 1.</w:t>
            </w:r>
          </w:p>
        </w:tc>
        <w:tc>
          <w:tcPr>
            <w:tcW w:w="8760" w:type="dxa"/>
            <w:vAlign w:val="bottom"/>
            <w:gridSpan w:val="21"/>
          </w:tcPr>
          <w:p>
            <w:pPr>
              <w:spacing w:after="0" w:line="175" w:lineRule="exact"/>
              <w:rPr>
                <w:sz w:val="20"/>
                <w:szCs w:val="20"/>
                <w:color w:val="auto"/>
              </w:rPr>
            </w:pPr>
            <w:r>
              <w:rPr>
                <w:rFonts w:ascii="Arial" w:cs="Arial" w:eastAsia="Arial" w:hAnsi="Arial"/>
                <w:sz w:val="16"/>
                <w:szCs w:val="16"/>
                <w:color w:val="0000FF"/>
              </w:rPr>
              <w:t>FINANCIAL STATEMENTS.</w:t>
            </w:r>
          </w:p>
        </w:tc>
        <w:tc>
          <w:tcPr>
            <w:tcW w:w="680" w:type="dxa"/>
            <w:vAlign w:val="bottom"/>
            <w:gridSpan w:val="4"/>
          </w:tcPr>
          <w:p>
            <w:pPr>
              <w:jc w:val="center"/>
              <w:ind w:left="419"/>
              <w:spacing w:after="0" w:line="175" w:lineRule="exact"/>
              <w:rPr>
                <w:sz w:val="20"/>
                <w:szCs w:val="20"/>
                <w:color w:val="auto"/>
              </w:rPr>
            </w:pPr>
            <w:r>
              <w:rPr>
                <w:rFonts w:ascii="Arial" w:cs="Arial" w:eastAsia="Arial" w:hAnsi="Arial"/>
                <w:sz w:val="16"/>
                <w:szCs w:val="16"/>
                <w:color w:val="0000FF"/>
              </w:rPr>
              <w:t>4</w:t>
            </w:r>
          </w:p>
        </w:tc>
        <w:tc>
          <w:tcPr>
            <w:tcW w:w="560" w:type="dxa"/>
            <w:vAlign w:val="bottom"/>
          </w:tcPr>
          <w:p>
            <w:pPr>
              <w:spacing w:after="0"/>
              <w:rPr>
                <w:sz w:val="15"/>
                <w:szCs w:val="15"/>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760" w:type="dxa"/>
            <w:vAlign w:val="bottom"/>
            <w:gridSpan w:val="21"/>
          </w:tcPr>
          <w:p>
            <w:pPr>
              <w:spacing w:after="0"/>
              <w:rPr>
                <w:sz w:val="20"/>
                <w:szCs w:val="20"/>
                <w:color w:val="auto"/>
              </w:rPr>
            </w:pPr>
            <w:r>
              <w:rPr>
                <w:rFonts w:ascii="Arial" w:cs="Arial" w:eastAsia="Arial" w:hAnsi="Arial"/>
                <w:sz w:val="16"/>
                <w:szCs w:val="16"/>
                <w:color w:val="0000FF"/>
              </w:rPr>
              <w:t>CONDENSED CONSOLIDATED FINANCIAL STATEMENTS</w:t>
            </w:r>
          </w:p>
        </w:tc>
        <w:tc>
          <w:tcPr>
            <w:tcW w:w="680" w:type="dxa"/>
            <w:vAlign w:val="bottom"/>
            <w:gridSpan w:val="4"/>
          </w:tcPr>
          <w:p>
            <w:pPr>
              <w:jc w:val="center"/>
              <w:ind w:left="419"/>
              <w:spacing w:after="0"/>
              <w:rPr>
                <w:sz w:val="20"/>
                <w:szCs w:val="20"/>
                <w:color w:val="auto"/>
              </w:rPr>
            </w:pPr>
            <w:r>
              <w:rPr>
                <w:rFonts w:ascii="Arial" w:cs="Arial" w:eastAsia="Arial" w:hAnsi="Arial"/>
                <w:sz w:val="16"/>
                <w:szCs w:val="16"/>
                <w:color w:val="0000FF"/>
              </w:rPr>
              <w:t>4</w:t>
            </w:r>
          </w:p>
        </w:tc>
        <w:tc>
          <w:tcPr>
            <w:tcW w:w="56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2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w w:val="99"/>
              </w:rPr>
              <w:t>CONDENSED CONSOLIDATED STATEMENTS OF OPERATIONS</w:t>
            </w:r>
          </w:p>
        </w:tc>
        <w:tc>
          <w:tcPr>
            <w:tcW w:w="3720" w:type="dxa"/>
            <w:vAlign w:val="bottom"/>
            <w:gridSpan w:val="8"/>
          </w:tcPr>
          <w:p>
            <w:pPr>
              <w:spacing w:after="0"/>
              <w:rPr>
                <w:sz w:val="17"/>
                <w:szCs w:val="17"/>
                <w:color w:val="auto"/>
              </w:rPr>
            </w:pPr>
          </w:p>
        </w:tc>
        <w:tc>
          <w:tcPr>
            <w:tcW w:w="54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6"/>
                <w:szCs w:val="16"/>
                <w:color w:val="0000FF"/>
              </w:rPr>
              <w:t>4</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gridSpan w:val="20"/>
          </w:tcPr>
          <w:p>
            <w:pPr>
              <w:spacing w:after="0"/>
              <w:rPr>
                <w:sz w:val="20"/>
                <w:szCs w:val="20"/>
                <w:color w:val="auto"/>
              </w:rPr>
            </w:pPr>
            <w:r>
              <w:rPr>
                <w:rFonts w:ascii="Arial" w:cs="Arial" w:eastAsia="Arial" w:hAnsi="Arial"/>
                <w:sz w:val="16"/>
                <w:szCs w:val="16"/>
                <w:color w:val="0000FF"/>
              </w:rPr>
              <w:t>CONDENSED CONSOLIDATED STATEMENTS OF COMPREHENSIVE INCOME (LOSS)</w:t>
            </w:r>
          </w:p>
        </w:tc>
        <w:tc>
          <w:tcPr>
            <w:tcW w:w="680" w:type="dxa"/>
            <w:vAlign w:val="bottom"/>
            <w:gridSpan w:val="4"/>
          </w:tcPr>
          <w:p>
            <w:pPr>
              <w:jc w:val="center"/>
              <w:ind w:left="419"/>
              <w:spacing w:after="0"/>
              <w:rPr>
                <w:sz w:val="20"/>
                <w:szCs w:val="20"/>
                <w:color w:val="auto"/>
              </w:rPr>
            </w:pPr>
            <w:r>
              <w:rPr>
                <w:rFonts w:ascii="Arial" w:cs="Arial" w:eastAsia="Arial" w:hAnsi="Arial"/>
                <w:sz w:val="16"/>
                <w:szCs w:val="16"/>
                <w:color w:val="0000FF"/>
              </w:rPr>
              <w:t>5</w:t>
            </w:r>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tcBorders>
              <w:top w:val="single" w:sz="8" w:color="0000FF"/>
              <w:bottom w:val="single" w:sz="8" w:color="0000FF"/>
            </w:tcBorders>
            <w:gridSpan w:val="10"/>
          </w:tcPr>
          <w:p>
            <w:pPr>
              <w:spacing w:after="0"/>
              <w:rPr>
                <w:sz w:val="20"/>
                <w:szCs w:val="20"/>
                <w:color w:val="auto"/>
              </w:rPr>
            </w:pPr>
            <w:r>
              <w:rPr>
                <w:rFonts w:ascii="Arial" w:cs="Arial" w:eastAsia="Arial" w:hAnsi="Arial"/>
                <w:sz w:val="16"/>
                <w:szCs w:val="16"/>
                <w:color w:val="0000FF"/>
              </w:rPr>
              <w:t>CONDENSED CONSOLIDATED BALANCE SHEETS</w:t>
            </w:r>
          </w:p>
        </w:tc>
        <w:tc>
          <w:tcPr>
            <w:tcW w:w="2620" w:type="dxa"/>
            <w:vAlign w:val="bottom"/>
            <w:tcBorders>
              <w:top w:val="single" w:sz="8" w:color="0000FF"/>
            </w:tcBorders>
            <w:gridSpan w:val="7"/>
          </w:tcPr>
          <w:p>
            <w:pPr>
              <w:spacing w:after="0"/>
              <w:rPr>
                <w:sz w:val="17"/>
                <w:szCs w:val="17"/>
                <w:color w:val="auto"/>
              </w:rPr>
            </w:pPr>
          </w:p>
        </w:tc>
        <w:tc>
          <w:tcPr>
            <w:tcW w:w="2080" w:type="dxa"/>
            <w:vAlign w:val="bottom"/>
            <w:gridSpan w:val="3"/>
          </w:tcPr>
          <w:p>
            <w:pPr>
              <w:spacing w:after="0"/>
              <w:rPr>
                <w:sz w:val="17"/>
                <w:szCs w:val="17"/>
                <w:color w:val="auto"/>
              </w:rPr>
            </w:pPr>
          </w:p>
        </w:tc>
        <w:tc>
          <w:tcPr>
            <w:tcW w:w="540" w:type="dxa"/>
            <w:vAlign w:val="bottom"/>
            <w:gridSpan w:val="2"/>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6"/>
                <w:szCs w:val="16"/>
                <w:color w:val="0000FF"/>
              </w:rPr>
              <w:t>6</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540" w:type="dxa"/>
            <w:vAlign w:val="bottom"/>
            <w:gridSpan w:val="20"/>
          </w:tcPr>
          <w:p>
            <w:pPr>
              <w:spacing w:after="0"/>
              <w:rPr>
                <w:sz w:val="20"/>
                <w:szCs w:val="20"/>
                <w:color w:val="auto"/>
              </w:rPr>
            </w:pPr>
            <w:r>
              <w:rPr>
                <w:rFonts w:ascii="Arial" w:cs="Arial" w:eastAsia="Arial" w:hAnsi="Arial"/>
                <w:sz w:val="16"/>
                <w:szCs w:val="16"/>
                <w:color w:val="0000FF"/>
              </w:rPr>
              <w:t>CONDENSED CONSOLIDATED STATEMENTS OF CHANGES IN STOCKHOLDERS’ EQUITY</w:t>
            </w:r>
          </w:p>
        </w:tc>
        <w:tc>
          <w:tcPr>
            <w:tcW w:w="680" w:type="dxa"/>
            <w:vAlign w:val="bottom"/>
            <w:gridSpan w:val="4"/>
          </w:tcPr>
          <w:p>
            <w:pPr>
              <w:jc w:val="center"/>
              <w:ind w:left="419"/>
              <w:spacing w:after="0"/>
              <w:rPr>
                <w:sz w:val="20"/>
                <w:szCs w:val="20"/>
                <w:color w:val="auto"/>
              </w:rPr>
            </w:pPr>
            <w:r>
              <w:rPr>
                <w:rFonts w:ascii="Arial" w:cs="Arial" w:eastAsia="Arial" w:hAnsi="Arial"/>
                <w:sz w:val="16"/>
                <w:szCs w:val="16"/>
                <w:color w:val="0000FF"/>
              </w:rPr>
              <w:t>7</w:t>
            </w:r>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top w:val="single" w:sz="8" w:color="0000FF"/>
              <w:bottom w:val="single" w:sz="8" w:color="0000FF"/>
            </w:tcBorders>
            <w:gridSpan w:val="13"/>
          </w:tcPr>
          <w:p>
            <w:pPr>
              <w:spacing w:after="0"/>
              <w:rPr>
                <w:sz w:val="20"/>
                <w:szCs w:val="20"/>
                <w:color w:val="auto"/>
              </w:rPr>
            </w:pPr>
            <w:r>
              <w:rPr>
                <w:rFonts w:ascii="Arial" w:cs="Arial" w:eastAsia="Arial" w:hAnsi="Arial"/>
                <w:sz w:val="16"/>
                <w:szCs w:val="16"/>
                <w:color w:val="0000FF"/>
              </w:rPr>
              <w:t>CONDENSED CONSOLIDATED STATEMENTS OF CASH FLOWS</w:t>
            </w:r>
          </w:p>
        </w:tc>
        <w:tc>
          <w:tcPr>
            <w:tcW w:w="2000" w:type="dxa"/>
            <w:vAlign w:val="bottom"/>
            <w:tcBorders>
              <w:top w:val="single" w:sz="8" w:color="0000FF"/>
            </w:tcBorders>
            <w:gridSpan w:val="5"/>
          </w:tcPr>
          <w:p>
            <w:pPr>
              <w:spacing w:after="0"/>
              <w:rPr>
                <w:sz w:val="17"/>
                <w:szCs w:val="17"/>
                <w:color w:val="auto"/>
              </w:rPr>
            </w:pPr>
          </w:p>
        </w:tc>
        <w:tc>
          <w:tcPr>
            <w:tcW w:w="1700" w:type="dxa"/>
            <w:vAlign w:val="bottom"/>
            <w:gridSpan w:val="2"/>
          </w:tcPr>
          <w:p>
            <w:pPr>
              <w:spacing w:after="0"/>
              <w:rPr>
                <w:sz w:val="17"/>
                <w:szCs w:val="17"/>
                <w:color w:val="auto"/>
              </w:rPr>
            </w:pPr>
          </w:p>
        </w:tc>
        <w:tc>
          <w:tcPr>
            <w:tcW w:w="540" w:type="dxa"/>
            <w:vAlign w:val="bottom"/>
            <w:gridSpan w:val="2"/>
          </w:tcPr>
          <w:p>
            <w:pPr>
              <w:spacing w:after="0"/>
              <w:rPr>
                <w:sz w:val="17"/>
                <w:szCs w:val="17"/>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Arial" w:cs="Arial" w:eastAsia="Arial" w:hAnsi="Arial"/>
                <w:sz w:val="16"/>
                <w:szCs w:val="16"/>
                <w:color w:val="0000FF"/>
              </w:rPr>
              <w:t>8</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220" w:type="dxa"/>
            <w:vAlign w:val="bottom"/>
            <w:tcBorders>
              <w:bottom w:val="single" w:sz="8" w:color="0000FF"/>
            </w:tcBorders>
            <w:gridSpan w:val="14"/>
          </w:tcPr>
          <w:p>
            <w:pPr>
              <w:spacing w:after="0"/>
              <w:rPr>
                <w:sz w:val="20"/>
                <w:szCs w:val="20"/>
                <w:color w:val="auto"/>
              </w:rPr>
            </w:pPr>
            <w:r>
              <w:rPr>
                <w:rFonts w:ascii="Arial" w:cs="Arial" w:eastAsia="Arial" w:hAnsi="Arial"/>
                <w:sz w:val="16"/>
                <w:szCs w:val="16"/>
                <w:color w:val="0000FF"/>
              </w:rPr>
              <w:t>NOTES TO CONDENSED CONSOLIDATED FINANCIAL STATEMENTS</w:t>
            </w:r>
          </w:p>
        </w:tc>
        <w:tc>
          <w:tcPr>
            <w:tcW w:w="3320" w:type="dxa"/>
            <w:vAlign w:val="bottom"/>
            <w:gridSpan w:val="6"/>
          </w:tcPr>
          <w:p>
            <w:pPr>
              <w:spacing w:after="0"/>
              <w:rPr>
                <w:sz w:val="17"/>
                <w:szCs w:val="17"/>
                <w:color w:val="auto"/>
              </w:rPr>
            </w:pPr>
          </w:p>
        </w:tc>
        <w:tc>
          <w:tcPr>
            <w:tcW w:w="54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6"/>
                <w:szCs w:val="16"/>
                <w:color w:val="0000FF"/>
              </w:rPr>
              <w:t>9</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2.</w:t>
            </w:r>
          </w:p>
        </w:tc>
        <w:tc>
          <w:tcPr>
            <w:tcW w:w="8380" w:type="dxa"/>
            <w:vAlign w:val="bottom"/>
            <w:tcBorders>
              <w:bottom w:val="single" w:sz="8" w:color="0000FF"/>
            </w:tcBorders>
            <w:gridSpan w:val="20"/>
          </w:tcPr>
          <w:p>
            <w:pPr>
              <w:spacing w:after="0"/>
              <w:rPr>
                <w:sz w:val="20"/>
                <w:szCs w:val="20"/>
                <w:color w:val="auto"/>
              </w:rPr>
            </w:pPr>
            <w:r>
              <w:rPr>
                <w:rFonts w:ascii="Arial" w:cs="Arial" w:eastAsia="Arial" w:hAnsi="Arial"/>
                <w:sz w:val="16"/>
                <w:szCs w:val="16"/>
                <w:color w:val="0000FF"/>
              </w:rPr>
              <w:t>MANAGEMENT’S DISCUSSION AND ANALYSIS OF FINANCIAL CONDITIONS AND RESULTS OF OPERATIONS.</w:t>
            </w: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rPr>
              <w:t>22</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3.</w:t>
            </w:r>
          </w:p>
        </w:tc>
        <w:tc>
          <w:tcPr>
            <w:tcW w:w="5620" w:type="dxa"/>
            <w:vAlign w:val="bottom"/>
            <w:tcBorders>
              <w:bottom w:val="single" w:sz="8" w:color="0000FF"/>
            </w:tcBorders>
            <w:gridSpan w:val="16"/>
          </w:tcPr>
          <w:p>
            <w:pPr>
              <w:spacing w:after="0"/>
              <w:rPr>
                <w:sz w:val="20"/>
                <w:szCs w:val="20"/>
                <w:color w:val="auto"/>
              </w:rPr>
            </w:pPr>
            <w:r>
              <w:rPr>
                <w:rFonts w:ascii="Arial" w:cs="Arial" w:eastAsia="Arial" w:hAnsi="Arial"/>
                <w:sz w:val="16"/>
                <w:szCs w:val="16"/>
                <w:color w:val="0000FF"/>
              </w:rPr>
              <w:t>QUANTITATIVE AND QUALITATIVE DISCLOSURES ABOUT MARKET RISK.</w:t>
            </w:r>
          </w:p>
        </w:tc>
        <w:tc>
          <w:tcPr>
            <w:tcW w:w="314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rPr>
              <w:t>31</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4.</w:t>
            </w:r>
          </w:p>
        </w:tc>
        <w:tc>
          <w:tcPr>
            <w:tcW w:w="8760" w:type="dxa"/>
            <w:vAlign w:val="bottom"/>
            <w:gridSpan w:val="21"/>
          </w:tcPr>
          <w:p>
            <w:pPr>
              <w:spacing w:after="0"/>
              <w:rPr>
                <w:sz w:val="20"/>
                <w:szCs w:val="20"/>
                <w:color w:val="auto"/>
              </w:rPr>
            </w:pPr>
            <w:r>
              <w:rPr>
                <w:rFonts w:ascii="Arial" w:cs="Arial" w:eastAsia="Arial" w:hAnsi="Arial"/>
                <w:sz w:val="16"/>
                <w:szCs w:val="16"/>
                <w:color w:val="0000FF"/>
              </w:rPr>
              <w:t>CONTROLS AND PROCEDURES.</w:t>
            </w:r>
          </w:p>
        </w:tc>
        <w:tc>
          <w:tcPr>
            <w:tcW w:w="680" w:type="dxa"/>
            <w:vAlign w:val="bottom"/>
            <w:gridSpan w:val="4"/>
          </w:tcPr>
          <w:p>
            <w:pPr>
              <w:jc w:val="center"/>
              <w:ind w:left="419"/>
              <w:spacing w:after="0"/>
              <w:rPr>
                <w:sz w:val="20"/>
                <w:szCs w:val="20"/>
                <w:color w:val="auto"/>
              </w:rPr>
            </w:pPr>
            <w:r>
              <w:rPr>
                <w:rFonts w:ascii="Arial" w:cs="Arial" w:eastAsia="Arial" w:hAnsi="Arial"/>
                <w:sz w:val="16"/>
                <w:szCs w:val="16"/>
                <w:color w:val="0000FF"/>
              </w:rPr>
              <w:t>32</w:t>
            </w:r>
          </w:p>
        </w:tc>
        <w:tc>
          <w:tcPr>
            <w:tcW w:w="560" w:type="dxa"/>
            <w:vAlign w:val="bottom"/>
          </w:tcPr>
          <w:p>
            <w:pPr>
              <w:spacing w:after="0"/>
              <w:rPr>
                <w:sz w:val="17"/>
                <w:szCs w:val="17"/>
                <w:color w:val="auto"/>
              </w:rPr>
            </w:pPr>
          </w:p>
        </w:tc>
      </w:tr>
      <w:tr>
        <w:trPr>
          <w:trHeight w:val="74"/>
        </w:trPr>
        <w:tc>
          <w:tcPr>
            <w:tcW w:w="1240" w:type="dxa"/>
            <w:vAlign w:val="bottom"/>
          </w:tcPr>
          <w:p>
            <w:pPr>
              <w:spacing w:after="0"/>
              <w:rPr>
                <w:sz w:val="6"/>
                <w:szCs w:val="6"/>
                <w:color w:val="auto"/>
              </w:rPr>
            </w:pPr>
          </w:p>
        </w:tc>
        <w:tc>
          <w:tcPr>
            <w:tcW w:w="220" w:type="dxa"/>
            <w:vAlign w:val="bottom"/>
            <w:tcBorders>
              <w:top w:val="single" w:sz="8" w:color="0000FF"/>
            </w:tcBorders>
          </w:tcPr>
          <w:p>
            <w:pPr>
              <w:spacing w:after="0"/>
              <w:rPr>
                <w:sz w:val="6"/>
                <w:szCs w:val="6"/>
                <w:color w:val="auto"/>
              </w:rPr>
            </w:pPr>
          </w:p>
        </w:tc>
        <w:tc>
          <w:tcPr>
            <w:tcW w:w="560" w:type="dxa"/>
            <w:vAlign w:val="bottom"/>
            <w:tcBorders>
              <w:top w:val="single" w:sz="8" w:color="0000FF"/>
            </w:tcBorders>
          </w:tcPr>
          <w:p>
            <w:pPr>
              <w:spacing w:after="0"/>
              <w:rPr>
                <w:sz w:val="6"/>
                <w:szCs w:val="6"/>
                <w:color w:val="auto"/>
              </w:rPr>
            </w:pPr>
          </w:p>
        </w:tc>
        <w:tc>
          <w:tcPr>
            <w:tcW w:w="260" w:type="dxa"/>
            <w:vAlign w:val="bottom"/>
            <w:tcBorders>
              <w:top w:val="single" w:sz="8" w:color="0000FF"/>
            </w:tcBorders>
          </w:tcPr>
          <w:p>
            <w:pPr>
              <w:spacing w:after="0"/>
              <w:rPr>
                <w:sz w:val="6"/>
                <w:szCs w:val="6"/>
                <w:color w:val="auto"/>
              </w:rPr>
            </w:pPr>
          </w:p>
        </w:tc>
        <w:tc>
          <w:tcPr>
            <w:tcW w:w="200" w:type="dxa"/>
            <w:vAlign w:val="bottom"/>
            <w:tcBorders>
              <w:top w:val="single" w:sz="8" w:color="0000FF"/>
            </w:tcBorders>
          </w:tcPr>
          <w:p>
            <w:pPr>
              <w:spacing w:after="0"/>
              <w:rPr>
                <w:sz w:val="6"/>
                <w:szCs w:val="6"/>
                <w:color w:val="auto"/>
              </w:rPr>
            </w:pPr>
          </w:p>
        </w:tc>
        <w:tc>
          <w:tcPr>
            <w:tcW w:w="54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340" w:type="dxa"/>
            <w:vAlign w:val="bottom"/>
            <w:tcBorders>
              <w:top w:val="single" w:sz="8" w:color="0000FF"/>
            </w:tcBorders>
          </w:tcPr>
          <w:p>
            <w:pPr>
              <w:spacing w:after="0"/>
              <w:rPr>
                <w:sz w:val="6"/>
                <w:szCs w:val="6"/>
                <w:color w:val="auto"/>
              </w:rPr>
            </w:pPr>
          </w:p>
        </w:tc>
        <w:tc>
          <w:tcPr>
            <w:tcW w:w="180" w:type="dxa"/>
            <w:vAlign w:val="bottom"/>
            <w:tcBorders>
              <w:top w:val="single" w:sz="8" w:color="0000FF"/>
            </w:tcBorders>
          </w:tcPr>
          <w:p>
            <w:pPr>
              <w:spacing w:after="0"/>
              <w:rPr>
                <w:sz w:val="6"/>
                <w:szCs w:val="6"/>
                <w:color w:val="auto"/>
              </w:rPr>
            </w:pPr>
          </w:p>
        </w:tc>
        <w:tc>
          <w:tcPr>
            <w:tcW w:w="5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380" w:type="dxa"/>
            <w:vAlign w:val="bottom"/>
          </w:tcPr>
          <w:p>
            <w:pPr>
              <w:spacing w:after="0"/>
              <w:rPr>
                <w:sz w:val="6"/>
                <w:szCs w:val="6"/>
                <w:color w:val="auto"/>
              </w:rPr>
            </w:pPr>
          </w:p>
        </w:tc>
        <w:tc>
          <w:tcPr>
            <w:tcW w:w="500" w:type="dxa"/>
            <w:vAlign w:val="bottom"/>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100" w:type="dxa"/>
            <w:vAlign w:val="bottom"/>
            <w:tcBorders>
              <w:top w:val="single" w:sz="8" w:color="0000FF"/>
            </w:tcBorders>
          </w:tcPr>
          <w:p>
            <w:pPr>
              <w:spacing w:after="0"/>
              <w:rPr>
                <w:sz w:val="6"/>
                <w:szCs w:val="6"/>
                <w:color w:val="auto"/>
              </w:rPr>
            </w:pPr>
          </w:p>
        </w:tc>
        <w:tc>
          <w:tcPr>
            <w:tcW w:w="40" w:type="dxa"/>
            <w:vAlign w:val="bottom"/>
            <w:tcBorders>
              <w:top w:val="single" w:sz="8" w:color="0000FF"/>
            </w:tcBorders>
          </w:tcPr>
          <w:p>
            <w:pPr>
              <w:spacing w:after="0"/>
              <w:rPr>
                <w:sz w:val="6"/>
                <w:szCs w:val="6"/>
                <w:color w:val="auto"/>
              </w:rPr>
            </w:pPr>
          </w:p>
        </w:tc>
        <w:tc>
          <w:tcPr>
            <w:tcW w:w="560" w:type="dxa"/>
            <w:vAlign w:val="bottom"/>
          </w:tcPr>
          <w:p>
            <w:pPr>
              <w:spacing w:after="0"/>
              <w:rPr>
                <w:sz w:val="6"/>
                <w:szCs w:val="6"/>
                <w:color w:val="auto"/>
              </w:rPr>
            </w:pPr>
          </w:p>
        </w:tc>
      </w:tr>
      <w:tr>
        <w:trPr>
          <w:trHeight w:val="216"/>
        </w:trPr>
        <w:tc>
          <w:tcPr>
            <w:tcW w:w="1240" w:type="dxa"/>
            <w:vAlign w:val="bottom"/>
            <w:shd w:val="clear" w:color="auto" w:fill="00497F"/>
          </w:tcPr>
          <w:p>
            <w:pPr>
              <w:spacing w:after="0"/>
              <w:rPr>
                <w:sz w:val="18"/>
                <w:szCs w:val="18"/>
                <w:color w:val="auto"/>
              </w:rPr>
            </w:pPr>
          </w:p>
        </w:tc>
        <w:tc>
          <w:tcPr>
            <w:tcW w:w="220" w:type="dxa"/>
            <w:vAlign w:val="bottom"/>
            <w:shd w:val="clear" w:color="auto" w:fill="00497F"/>
          </w:tcPr>
          <w:p>
            <w:pPr>
              <w:spacing w:after="0"/>
              <w:rPr>
                <w:sz w:val="18"/>
                <w:szCs w:val="18"/>
                <w:color w:val="auto"/>
              </w:rPr>
            </w:pPr>
          </w:p>
        </w:tc>
        <w:tc>
          <w:tcPr>
            <w:tcW w:w="560" w:type="dxa"/>
            <w:vAlign w:val="bottom"/>
            <w:shd w:val="clear" w:color="auto" w:fill="00497F"/>
          </w:tcPr>
          <w:p>
            <w:pPr>
              <w:spacing w:after="0"/>
              <w:rPr>
                <w:sz w:val="18"/>
                <w:szCs w:val="18"/>
                <w:color w:val="auto"/>
              </w:rPr>
            </w:pPr>
          </w:p>
        </w:tc>
        <w:tc>
          <w:tcPr>
            <w:tcW w:w="260" w:type="dxa"/>
            <w:vAlign w:val="bottom"/>
            <w:shd w:val="clear" w:color="auto" w:fill="00497F"/>
          </w:tcPr>
          <w:p>
            <w:pPr>
              <w:spacing w:after="0"/>
              <w:rPr>
                <w:sz w:val="18"/>
                <w:szCs w:val="18"/>
                <w:color w:val="auto"/>
              </w:rPr>
            </w:pPr>
          </w:p>
        </w:tc>
        <w:tc>
          <w:tcPr>
            <w:tcW w:w="200" w:type="dxa"/>
            <w:vAlign w:val="bottom"/>
            <w:shd w:val="clear" w:color="auto" w:fill="00497F"/>
          </w:tcPr>
          <w:p>
            <w:pPr>
              <w:spacing w:after="0"/>
              <w:rPr>
                <w:sz w:val="18"/>
                <w:szCs w:val="18"/>
                <w:color w:val="auto"/>
              </w:rPr>
            </w:pPr>
          </w:p>
        </w:tc>
        <w:tc>
          <w:tcPr>
            <w:tcW w:w="54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180" w:type="dxa"/>
            <w:vAlign w:val="bottom"/>
            <w:shd w:val="clear" w:color="auto" w:fill="00497F"/>
          </w:tcPr>
          <w:p>
            <w:pPr>
              <w:spacing w:after="0"/>
              <w:rPr>
                <w:sz w:val="18"/>
                <w:szCs w:val="18"/>
                <w:color w:val="auto"/>
              </w:rPr>
            </w:pPr>
          </w:p>
        </w:tc>
        <w:tc>
          <w:tcPr>
            <w:tcW w:w="340" w:type="dxa"/>
            <w:vAlign w:val="bottom"/>
            <w:shd w:val="clear" w:color="auto" w:fill="00497F"/>
          </w:tcPr>
          <w:p>
            <w:pPr>
              <w:spacing w:after="0"/>
              <w:rPr>
                <w:sz w:val="18"/>
                <w:szCs w:val="18"/>
                <w:color w:val="auto"/>
              </w:rPr>
            </w:pPr>
          </w:p>
        </w:tc>
        <w:tc>
          <w:tcPr>
            <w:tcW w:w="180" w:type="dxa"/>
            <w:vAlign w:val="bottom"/>
            <w:shd w:val="clear" w:color="auto" w:fill="00497F"/>
          </w:tcPr>
          <w:p>
            <w:pPr>
              <w:spacing w:after="0"/>
              <w:rPr>
                <w:sz w:val="18"/>
                <w:szCs w:val="18"/>
                <w:color w:val="auto"/>
              </w:rPr>
            </w:pPr>
          </w:p>
        </w:tc>
        <w:tc>
          <w:tcPr>
            <w:tcW w:w="540" w:type="dxa"/>
            <w:vAlign w:val="bottom"/>
            <w:shd w:val="clear" w:color="auto" w:fill="00497F"/>
          </w:tcPr>
          <w:p>
            <w:pPr>
              <w:spacing w:after="0"/>
              <w:rPr>
                <w:sz w:val="18"/>
                <w:szCs w:val="18"/>
                <w:color w:val="auto"/>
              </w:rPr>
            </w:pPr>
          </w:p>
        </w:tc>
        <w:tc>
          <w:tcPr>
            <w:tcW w:w="5700" w:type="dxa"/>
            <w:vAlign w:val="bottom"/>
            <w:gridSpan w:val="11"/>
            <w:shd w:val="clear" w:color="auto" w:fill="00497F"/>
          </w:tcPr>
          <w:p>
            <w:pPr>
              <w:jc w:val="center"/>
              <w:ind w:right="3060"/>
              <w:spacing w:after="0"/>
              <w:rPr>
                <w:sz w:val="20"/>
                <w:szCs w:val="20"/>
                <w:color w:val="auto"/>
              </w:rPr>
            </w:pPr>
            <w:r>
              <w:rPr>
                <w:rFonts w:ascii="Arial" w:cs="Arial" w:eastAsia="Arial" w:hAnsi="Arial"/>
                <w:sz w:val="16"/>
                <w:szCs w:val="16"/>
                <w:b w:val="1"/>
                <w:bCs w:val="1"/>
                <w:color w:val="FFFFFF"/>
                <w:w w:val="99"/>
              </w:rPr>
              <w:t>PART II - OTHER INFORMATION</w:t>
            </w:r>
          </w:p>
        </w:tc>
        <w:tc>
          <w:tcPr>
            <w:tcW w:w="50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100" w:type="dxa"/>
            <w:vAlign w:val="bottom"/>
            <w:shd w:val="clear" w:color="auto" w:fill="00497F"/>
          </w:tcPr>
          <w:p>
            <w:pPr>
              <w:spacing w:after="0"/>
              <w:rPr>
                <w:sz w:val="18"/>
                <w:szCs w:val="18"/>
                <w:color w:val="auto"/>
              </w:rPr>
            </w:pPr>
          </w:p>
        </w:tc>
        <w:tc>
          <w:tcPr>
            <w:tcW w:w="40" w:type="dxa"/>
            <w:vAlign w:val="bottom"/>
            <w:shd w:val="clear" w:color="auto" w:fill="00497F"/>
          </w:tcPr>
          <w:p>
            <w:pPr>
              <w:spacing w:after="0"/>
              <w:rPr>
                <w:sz w:val="18"/>
                <w:szCs w:val="18"/>
                <w:color w:val="auto"/>
              </w:rPr>
            </w:pPr>
          </w:p>
        </w:tc>
        <w:tc>
          <w:tcPr>
            <w:tcW w:w="560" w:type="dxa"/>
            <w:vAlign w:val="bottom"/>
            <w:shd w:val="clear" w:color="auto" w:fill="00497F"/>
          </w:tcPr>
          <w:p>
            <w:pPr>
              <w:spacing w:after="0"/>
              <w:rPr>
                <w:sz w:val="18"/>
                <w:szCs w:val="18"/>
                <w:color w:val="auto"/>
              </w:rPr>
            </w:pPr>
          </w:p>
        </w:tc>
      </w:tr>
      <w:tr>
        <w:trPr>
          <w:trHeight w:val="175"/>
        </w:trPr>
        <w:tc>
          <w:tcPr>
            <w:tcW w:w="1240" w:type="dxa"/>
            <w:vAlign w:val="bottom"/>
          </w:tcPr>
          <w:p>
            <w:pPr>
              <w:ind w:left="20"/>
              <w:spacing w:after="0" w:line="175" w:lineRule="exact"/>
              <w:rPr>
                <w:sz w:val="20"/>
                <w:szCs w:val="20"/>
                <w:color w:val="auto"/>
              </w:rPr>
            </w:pPr>
            <w:r>
              <w:rPr>
                <w:rFonts w:ascii="Arial" w:cs="Arial" w:eastAsia="Arial" w:hAnsi="Arial"/>
                <w:sz w:val="16"/>
                <w:szCs w:val="16"/>
                <w:color w:val="auto"/>
              </w:rPr>
              <w:t>ITEM 1.</w:t>
            </w:r>
          </w:p>
        </w:tc>
        <w:tc>
          <w:tcPr>
            <w:tcW w:w="1820" w:type="dxa"/>
            <w:vAlign w:val="bottom"/>
            <w:tcBorders>
              <w:bottom w:val="single" w:sz="8" w:color="0000FF"/>
            </w:tcBorders>
            <w:gridSpan w:val="6"/>
          </w:tcPr>
          <w:p>
            <w:pPr>
              <w:spacing w:after="0" w:line="175" w:lineRule="exact"/>
              <w:rPr>
                <w:sz w:val="20"/>
                <w:szCs w:val="20"/>
                <w:color w:val="auto"/>
              </w:rPr>
            </w:pPr>
            <w:r>
              <w:rPr>
                <w:rFonts w:ascii="Arial" w:cs="Arial" w:eastAsia="Arial" w:hAnsi="Arial"/>
                <w:sz w:val="16"/>
                <w:szCs w:val="16"/>
                <w:color w:val="0000FF"/>
              </w:rPr>
              <w:t>LEGAL PROCEEDINGS.</w:t>
            </w:r>
          </w:p>
        </w:tc>
        <w:tc>
          <w:tcPr>
            <w:tcW w:w="6940" w:type="dxa"/>
            <w:vAlign w:val="bottom"/>
            <w:gridSpan w:val="15"/>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Borders>
              <w:bottom w:val="single" w:sz="8" w:color="0000FF"/>
            </w:tcBorders>
            <w:gridSpan w:val="3"/>
          </w:tcPr>
          <w:p>
            <w:pPr>
              <w:jc w:val="center"/>
              <w:spacing w:after="0" w:line="175" w:lineRule="exact"/>
              <w:rPr>
                <w:sz w:val="20"/>
                <w:szCs w:val="20"/>
                <w:color w:val="auto"/>
              </w:rPr>
            </w:pPr>
            <w:r>
              <w:rPr>
                <w:rFonts w:ascii="Arial" w:cs="Arial" w:eastAsia="Arial" w:hAnsi="Arial"/>
                <w:sz w:val="16"/>
                <w:szCs w:val="16"/>
                <w:color w:val="0000FF"/>
              </w:rPr>
              <w:t>33</w:t>
            </w:r>
          </w:p>
        </w:tc>
        <w:tc>
          <w:tcPr>
            <w:tcW w:w="560" w:type="dxa"/>
            <w:vAlign w:val="bottom"/>
          </w:tcPr>
          <w:p>
            <w:pPr>
              <w:spacing w:after="0"/>
              <w:rPr>
                <w:sz w:val="15"/>
                <w:szCs w:val="15"/>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1A.</w:t>
            </w:r>
          </w:p>
        </w:tc>
        <w:tc>
          <w:tcPr>
            <w:tcW w:w="1240" w:type="dxa"/>
            <w:vAlign w:val="bottom"/>
            <w:tcBorders>
              <w:bottom w:val="single" w:sz="8" w:color="0000FF"/>
            </w:tcBorders>
            <w:gridSpan w:val="4"/>
          </w:tcPr>
          <w:p>
            <w:pPr>
              <w:spacing w:after="0"/>
              <w:rPr>
                <w:sz w:val="20"/>
                <w:szCs w:val="20"/>
                <w:color w:val="auto"/>
              </w:rPr>
            </w:pPr>
            <w:r>
              <w:rPr>
                <w:rFonts w:ascii="Arial" w:cs="Arial" w:eastAsia="Arial" w:hAnsi="Arial"/>
                <w:sz w:val="16"/>
                <w:szCs w:val="16"/>
                <w:color w:val="0000FF"/>
                <w:w w:val="99"/>
              </w:rPr>
              <w:t>RISK FACTORS.</w:t>
            </w:r>
          </w:p>
        </w:tc>
        <w:tc>
          <w:tcPr>
            <w:tcW w:w="7520" w:type="dxa"/>
            <w:vAlign w:val="bottom"/>
            <w:gridSpan w:val="17"/>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rPr>
              <w:t>33</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2.</w:t>
            </w:r>
          </w:p>
        </w:tc>
        <w:tc>
          <w:tcPr>
            <w:tcW w:w="8760" w:type="dxa"/>
            <w:vAlign w:val="bottom"/>
            <w:gridSpan w:val="21"/>
          </w:tcPr>
          <w:p>
            <w:pPr>
              <w:spacing w:after="0"/>
              <w:rPr>
                <w:sz w:val="20"/>
                <w:szCs w:val="20"/>
                <w:color w:val="auto"/>
              </w:rPr>
            </w:pPr>
            <w:r>
              <w:rPr>
                <w:rFonts w:ascii="Arial" w:cs="Arial" w:eastAsia="Arial" w:hAnsi="Arial"/>
                <w:sz w:val="16"/>
                <w:szCs w:val="16"/>
                <w:color w:val="0000FF"/>
              </w:rPr>
              <w:t>UNREGISTERED SALES OF EQUITY SECURITIES AND USE OF PROCEEDS.</w:t>
            </w:r>
          </w:p>
        </w:tc>
        <w:tc>
          <w:tcPr>
            <w:tcW w:w="680" w:type="dxa"/>
            <w:vAlign w:val="bottom"/>
            <w:gridSpan w:val="4"/>
          </w:tcPr>
          <w:p>
            <w:pPr>
              <w:jc w:val="center"/>
              <w:ind w:left="419"/>
              <w:spacing w:after="0"/>
              <w:rPr>
                <w:sz w:val="20"/>
                <w:szCs w:val="20"/>
                <w:color w:val="auto"/>
              </w:rPr>
            </w:pPr>
            <w:r>
              <w:rPr>
                <w:rFonts w:ascii="Arial" w:cs="Arial" w:eastAsia="Arial" w:hAnsi="Arial"/>
                <w:sz w:val="16"/>
                <w:szCs w:val="16"/>
                <w:color w:val="0000FF"/>
              </w:rPr>
              <w:t>33</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3.</w:t>
            </w:r>
          </w:p>
        </w:tc>
        <w:tc>
          <w:tcPr>
            <w:tcW w:w="5820" w:type="dxa"/>
            <w:vAlign w:val="bottom"/>
            <w:tcBorders>
              <w:top w:val="single" w:sz="8" w:color="0000FF"/>
            </w:tcBorders>
            <w:gridSpan w:val="17"/>
          </w:tcPr>
          <w:p>
            <w:pPr>
              <w:spacing w:after="0"/>
              <w:rPr>
                <w:sz w:val="20"/>
                <w:szCs w:val="20"/>
                <w:color w:val="auto"/>
              </w:rPr>
            </w:pPr>
            <w:r>
              <w:rPr>
                <w:rFonts w:ascii="Arial" w:cs="Arial" w:eastAsia="Arial" w:hAnsi="Arial"/>
                <w:sz w:val="16"/>
                <w:szCs w:val="16"/>
                <w:color w:val="0000FF"/>
              </w:rPr>
              <w:t>DEFAULTS UPON SENIOR SECURITIES.</w:t>
            </w:r>
          </w:p>
        </w:tc>
        <w:tc>
          <w:tcPr>
            <w:tcW w:w="294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FF"/>
            </w:tcBorders>
            <w:gridSpan w:val="3"/>
          </w:tcPr>
          <w:p>
            <w:pPr>
              <w:jc w:val="center"/>
              <w:spacing w:after="0"/>
              <w:rPr>
                <w:sz w:val="20"/>
                <w:szCs w:val="20"/>
                <w:color w:val="auto"/>
              </w:rPr>
            </w:pPr>
            <w:r>
              <w:rPr>
                <w:rFonts w:ascii="Arial" w:cs="Arial" w:eastAsia="Arial" w:hAnsi="Arial"/>
                <w:sz w:val="16"/>
                <w:szCs w:val="16"/>
                <w:color w:val="0000FF"/>
              </w:rPr>
              <w:t>33</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4.</w:t>
            </w:r>
          </w:p>
        </w:tc>
        <w:tc>
          <w:tcPr>
            <w:tcW w:w="2340" w:type="dxa"/>
            <w:vAlign w:val="bottom"/>
            <w:tcBorders>
              <w:top w:val="single" w:sz="8" w:color="0000FF"/>
              <w:bottom w:val="single" w:sz="8" w:color="0000FF"/>
            </w:tcBorders>
            <w:gridSpan w:val="8"/>
          </w:tcPr>
          <w:p>
            <w:pPr>
              <w:spacing w:after="0"/>
              <w:rPr>
                <w:sz w:val="20"/>
                <w:szCs w:val="20"/>
                <w:color w:val="auto"/>
              </w:rPr>
            </w:pPr>
            <w:r>
              <w:rPr>
                <w:rFonts w:ascii="Arial" w:cs="Arial" w:eastAsia="Arial" w:hAnsi="Arial"/>
                <w:sz w:val="16"/>
                <w:szCs w:val="16"/>
                <w:color w:val="0000FF"/>
              </w:rPr>
              <w:t>MINE SAFETY DISCLOSURES.</w:t>
            </w:r>
          </w:p>
        </w:tc>
        <w:tc>
          <w:tcPr>
            <w:tcW w:w="720" w:type="dxa"/>
            <w:vAlign w:val="bottom"/>
            <w:tcBorders>
              <w:top w:val="single" w:sz="8" w:color="0000FF"/>
            </w:tcBorders>
            <w:gridSpan w:val="2"/>
          </w:tcPr>
          <w:p>
            <w:pPr>
              <w:spacing w:after="0"/>
              <w:rPr>
                <w:sz w:val="17"/>
                <w:szCs w:val="17"/>
                <w:color w:val="auto"/>
              </w:rPr>
            </w:pPr>
          </w:p>
        </w:tc>
        <w:tc>
          <w:tcPr>
            <w:tcW w:w="5700" w:type="dxa"/>
            <w:vAlign w:val="bottom"/>
            <w:gridSpan w:val="11"/>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Arial" w:cs="Arial" w:eastAsia="Arial" w:hAnsi="Arial"/>
                <w:sz w:val="16"/>
                <w:szCs w:val="16"/>
                <w:color w:val="0000FF"/>
              </w:rPr>
              <w:t>33</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5.</w:t>
            </w:r>
          </w:p>
        </w:tc>
        <w:tc>
          <w:tcPr>
            <w:tcW w:w="1780" w:type="dxa"/>
            <w:vAlign w:val="bottom"/>
            <w:tcBorders>
              <w:bottom w:val="single" w:sz="8" w:color="0000FF"/>
            </w:tcBorders>
            <w:gridSpan w:val="5"/>
          </w:tcPr>
          <w:p>
            <w:pPr>
              <w:spacing w:after="0"/>
              <w:rPr>
                <w:sz w:val="20"/>
                <w:szCs w:val="20"/>
                <w:color w:val="auto"/>
              </w:rPr>
            </w:pPr>
            <w:r>
              <w:rPr>
                <w:rFonts w:ascii="Arial" w:cs="Arial" w:eastAsia="Arial" w:hAnsi="Arial"/>
                <w:sz w:val="16"/>
                <w:szCs w:val="16"/>
                <w:color w:val="0000FF"/>
                <w:w w:val="99"/>
              </w:rPr>
              <w:t>OTHER INFORMATION.</w:t>
            </w:r>
          </w:p>
        </w:tc>
        <w:tc>
          <w:tcPr>
            <w:tcW w:w="6980" w:type="dxa"/>
            <w:vAlign w:val="bottom"/>
            <w:gridSpan w:val="16"/>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Arial" w:cs="Arial" w:eastAsia="Arial" w:hAnsi="Arial"/>
                <w:sz w:val="16"/>
                <w:szCs w:val="16"/>
                <w:color w:val="0000FF"/>
              </w:rPr>
              <w:t>33</w:t>
            </w:r>
          </w:p>
        </w:tc>
        <w:tc>
          <w:tcPr>
            <w:tcW w:w="560" w:type="dxa"/>
            <w:vAlign w:val="bottom"/>
          </w:tcPr>
          <w:p>
            <w:pPr>
              <w:spacing w:after="0"/>
              <w:rPr>
                <w:sz w:val="17"/>
                <w:szCs w:val="17"/>
                <w:color w:val="auto"/>
              </w:rPr>
            </w:pPr>
          </w:p>
        </w:tc>
      </w:tr>
      <w:tr>
        <w:trPr>
          <w:trHeight w:val="196"/>
        </w:trPr>
        <w:tc>
          <w:tcPr>
            <w:tcW w:w="1240" w:type="dxa"/>
            <w:vAlign w:val="bottom"/>
          </w:tcPr>
          <w:p>
            <w:pPr>
              <w:ind w:left="20"/>
              <w:spacing w:after="0"/>
              <w:rPr>
                <w:sz w:val="20"/>
                <w:szCs w:val="20"/>
                <w:color w:val="auto"/>
              </w:rPr>
            </w:pPr>
            <w:r>
              <w:rPr>
                <w:rFonts w:ascii="Arial" w:cs="Arial" w:eastAsia="Arial" w:hAnsi="Arial"/>
                <w:sz w:val="16"/>
                <w:szCs w:val="16"/>
                <w:color w:val="auto"/>
              </w:rPr>
              <w:t>ITEM 6.</w:t>
            </w:r>
          </w:p>
        </w:tc>
        <w:tc>
          <w:tcPr>
            <w:tcW w:w="8760" w:type="dxa"/>
            <w:vAlign w:val="bottom"/>
            <w:gridSpan w:val="21"/>
          </w:tcPr>
          <w:p>
            <w:pPr>
              <w:spacing w:after="0"/>
              <w:rPr>
                <w:sz w:val="20"/>
                <w:szCs w:val="20"/>
                <w:color w:val="auto"/>
              </w:rPr>
            </w:pPr>
            <w:r>
              <w:rPr>
                <w:rFonts w:ascii="Arial" w:cs="Arial" w:eastAsia="Arial" w:hAnsi="Arial"/>
                <w:sz w:val="16"/>
                <w:szCs w:val="16"/>
                <w:color w:val="0000FF"/>
              </w:rPr>
              <w:t>EXHIBITS.</w:t>
            </w:r>
          </w:p>
        </w:tc>
        <w:tc>
          <w:tcPr>
            <w:tcW w:w="680" w:type="dxa"/>
            <w:vAlign w:val="bottom"/>
            <w:gridSpan w:val="4"/>
          </w:tcPr>
          <w:p>
            <w:pPr>
              <w:jc w:val="center"/>
              <w:ind w:left="419"/>
              <w:spacing w:after="0"/>
              <w:rPr>
                <w:sz w:val="20"/>
                <w:szCs w:val="20"/>
                <w:color w:val="auto"/>
              </w:rPr>
            </w:pPr>
            <w:r>
              <w:rPr>
                <w:rFonts w:ascii="Arial" w:cs="Arial" w:eastAsia="Arial" w:hAnsi="Arial"/>
                <w:sz w:val="16"/>
                <w:szCs w:val="16"/>
                <w:color w:val="0000FF"/>
              </w:rPr>
              <w:t>35</w:t>
            </w:r>
          </w:p>
        </w:tc>
        <w:tc>
          <w:tcPr>
            <w:tcW w:w="560" w:type="dxa"/>
            <w:vAlign w:val="bottom"/>
          </w:tcPr>
          <w:p>
            <w:pPr>
              <w:spacing w:after="0"/>
              <w:rPr>
                <w:sz w:val="17"/>
                <w:szCs w:val="17"/>
                <w:color w:val="auto"/>
              </w:rPr>
            </w:pPr>
          </w:p>
        </w:tc>
      </w:tr>
      <w:tr>
        <w:trPr>
          <w:trHeight w:val="20"/>
        </w:trPr>
        <w:tc>
          <w:tcPr>
            <w:tcW w:w="124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720" w:type="dxa"/>
            <w:vAlign w:val="bottom"/>
            <w:gridSpan w:val="1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240" w:type="dxa"/>
            <w:vAlign w:val="bottom"/>
          </w:tcPr>
          <w:p>
            <w:pPr>
              <w:spacing w:after="0"/>
              <w:rPr>
                <w:sz w:val="17"/>
                <w:szCs w:val="17"/>
                <w:color w:val="auto"/>
              </w:rPr>
            </w:pPr>
          </w:p>
        </w:tc>
        <w:tc>
          <w:tcPr>
            <w:tcW w:w="8760" w:type="dxa"/>
            <w:vAlign w:val="bottom"/>
            <w:gridSpan w:val="21"/>
          </w:tcPr>
          <w:p>
            <w:pPr>
              <w:spacing w:after="0"/>
              <w:rPr>
                <w:sz w:val="20"/>
                <w:szCs w:val="20"/>
                <w:color w:val="auto"/>
              </w:rPr>
            </w:pPr>
            <w:r>
              <w:rPr>
                <w:rFonts w:ascii="Arial" w:cs="Arial" w:eastAsia="Arial" w:hAnsi="Arial"/>
                <w:sz w:val="16"/>
                <w:szCs w:val="16"/>
                <w:color w:val="0000FF"/>
              </w:rPr>
              <w:t>SIGNATURES</w:t>
            </w:r>
          </w:p>
        </w:tc>
        <w:tc>
          <w:tcPr>
            <w:tcW w:w="680" w:type="dxa"/>
            <w:vAlign w:val="bottom"/>
            <w:gridSpan w:val="4"/>
          </w:tcPr>
          <w:p>
            <w:pPr>
              <w:jc w:val="center"/>
              <w:ind w:left="419"/>
              <w:spacing w:after="0"/>
              <w:rPr>
                <w:sz w:val="20"/>
                <w:szCs w:val="20"/>
                <w:color w:val="auto"/>
              </w:rPr>
            </w:pPr>
            <w:r>
              <w:rPr>
                <w:rFonts w:ascii="Arial" w:cs="Arial" w:eastAsia="Arial" w:hAnsi="Arial"/>
                <w:sz w:val="16"/>
                <w:szCs w:val="16"/>
                <w:color w:val="0000FF"/>
              </w:rPr>
              <w:t>36</w:t>
            </w:r>
          </w:p>
        </w:tc>
        <w:tc>
          <w:tcPr>
            <w:tcW w:w="560" w:type="dxa"/>
            <w:vAlign w:val="bottom"/>
          </w:tcPr>
          <w:p>
            <w:pPr>
              <w:spacing w:after="0"/>
              <w:rPr>
                <w:sz w:val="17"/>
                <w:szCs w:val="17"/>
                <w:color w:val="auto"/>
              </w:rPr>
            </w:pPr>
          </w:p>
        </w:tc>
      </w:tr>
      <w:tr>
        <w:trPr>
          <w:trHeight w:val="1000"/>
        </w:trPr>
        <w:tc>
          <w:tcPr>
            <w:tcW w:w="1240" w:type="dxa"/>
            <w:vAlign w:val="bottom"/>
            <w:tcBorders>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56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35" w:lineRule="exact"/>
        <w:rPr>
          <w:sz w:val="20"/>
          <w:szCs w:val="20"/>
          <w:color w:val="auto"/>
        </w:rPr>
      </w:pPr>
    </w:p>
    <w:p>
      <w:pPr>
        <w:ind w:right="20"/>
        <w:spacing w:after="0" w:line="242" w:lineRule="auto"/>
        <w:rPr>
          <w:sz w:val="20"/>
          <w:szCs w:val="20"/>
          <w:color w:val="auto"/>
        </w:rPr>
      </w:pPr>
      <w:r>
        <w:rPr>
          <w:rFonts w:ascii="Arial" w:cs="Arial" w:eastAsia="Arial" w:hAnsi="Arial"/>
          <w:sz w:val="16"/>
          <w:szCs w:val="16"/>
          <w:color w:val="auto"/>
        </w:rPr>
        <w:t>This Quarterly Report on Form 10-Q contains forward-looking statements within the meaning of Section 27A of the Securities Act of 1933, as amended (the “Securities Act”), and Section 21E of the Securities Exchange Act of 1934, as amended (the “Exchange Act”). These forward-looking statements are made in reliance upon the safe harbor provision of the Private Securities Litigation Reform Act of 1995. All statements other than statements of historical facts contained in this Quarterly Report on Form 10-Q may be forward-looking statements. Statements regarding our future results of operations and financial position, business strategy and plans and objectives of management for future operations, including, among others, statements regarding our expected growth, future capital expenditures, debt service obligations, ability to continue as a going concern, adoption and use of artificial intelligence technologies, the impact on our business from regulatory changes, the impact on our business from the acquisition of e-TeleQuote Insurance, Inc. (“e-TeleQuote”) and our ability to successfully integrate e-TeleQuote’s operations, technologies and employees into our business, are forward-looking statements.</w:t>
      </w:r>
    </w:p>
    <w:p>
      <w:pPr>
        <w:spacing w:after="0" w:line="230" w:lineRule="exact"/>
        <w:rPr>
          <w:sz w:val="20"/>
          <w:szCs w:val="20"/>
          <w:color w:val="auto"/>
        </w:rPr>
      </w:pPr>
    </w:p>
    <w:p>
      <w:pPr>
        <w:ind w:right="140"/>
        <w:spacing w:after="0" w:line="259" w:lineRule="auto"/>
        <w:rPr>
          <w:sz w:val="20"/>
          <w:szCs w:val="20"/>
          <w:color w:val="auto"/>
        </w:rPr>
      </w:pPr>
      <w:r>
        <w:rPr>
          <w:rFonts w:ascii="Arial" w:cs="Arial" w:eastAsia="Arial" w:hAnsi="Arial"/>
          <w:sz w:val="16"/>
          <w:szCs w:val="16"/>
          <w:color w:val="auto"/>
        </w:rPr>
        <w:t>In some cases, you can identify forward-looking statements by terms such as “may,” “will,” “should,” “aims,” “expects,” “plans,” “anticipates,” “could,” “intends,” “targets,” “projects,” “contemplates,” “believes,” “estimates,” “predicts,” “potential,” “likely,” “future” or “continue” or the negative of these terms or other similar expressions. The forward-looking statements in this Quarterly Report on Form 10-Q are only predictions, projections and other statements about future events that are based on current expectations and assumptions. Accordingly, we caution you that any such forward-looking statements are not guarantees of future performance and are subject to risks, assumptions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203" w:lineRule="exact"/>
        <w:rPr>
          <w:sz w:val="20"/>
          <w:szCs w:val="20"/>
          <w:color w:val="auto"/>
        </w:rPr>
      </w:pPr>
    </w:p>
    <w:p>
      <w:pPr>
        <w:ind w:right="160"/>
        <w:spacing w:after="0" w:line="243" w:lineRule="auto"/>
        <w:rPr>
          <w:sz w:val="20"/>
          <w:szCs w:val="20"/>
          <w:color w:val="auto"/>
        </w:rPr>
      </w:pPr>
      <w:r>
        <w:rPr>
          <w:rFonts w:ascii="Arial" w:cs="Arial" w:eastAsia="Arial" w:hAnsi="Arial"/>
          <w:sz w:val="16"/>
          <w:szCs w:val="16"/>
          <w:color w:val="auto"/>
        </w:rPr>
        <w:t>These forward-looking statements speak only as of the date of this Quarterly Report on Form 10-Q and are subject to a number of important factors that could cause actual results to differ materially from those in the forward-looking statements, including the factors described in the sections titled “Summary Risk Factors,” “Risk Factors” and “Management’s Discussion and Analysis of Financial Condition and Results of Operations” in our Annual Report on Form 10-K for the fiscal year ended December 31, 2024 (“2024 Annual Report on Form 10-K”), this Quarterly Report on Form 10-Q for the first quarter ended March 31, 2025 and in our other filings with the Securities and Exchange Commission.</w:t>
      </w:r>
    </w:p>
    <w:p>
      <w:pPr>
        <w:spacing w:after="0" w:line="203"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73" w:lineRule="exact"/>
        <w:rPr>
          <w:sz w:val="20"/>
          <w:szCs w:val="20"/>
          <w:color w:val="auto"/>
        </w:rPr>
      </w:pPr>
    </w:p>
    <w:p>
      <w:pPr>
        <w:ind w:left="4040"/>
        <w:spacing w:after="0"/>
        <w:rPr>
          <w:sz w:val="20"/>
          <w:szCs w:val="20"/>
          <w:color w:val="auto"/>
        </w:rPr>
      </w:pPr>
      <w:r>
        <w:rPr>
          <w:rFonts w:ascii="Arial" w:cs="Arial" w:eastAsia="Arial" w:hAnsi="Arial"/>
          <w:sz w:val="16"/>
          <w:szCs w:val="16"/>
          <w:b w:val="1"/>
          <w:bCs w:val="1"/>
          <w:color w:val="auto"/>
        </w:rPr>
        <w:t>CERTAIN DEFINITIONS AND KEY TERMS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As used in this Quarterly Report on Form 10-Q, unless the context otherwise requires:</w:t>
      </w:r>
    </w:p>
    <w:p>
      <w:pPr>
        <w:spacing w:after="0" w:line="221" w:lineRule="exact"/>
        <w:rPr>
          <w:sz w:val="20"/>
          <w:szCs w:val="20"/>
          <w:color w:val="auto"/>
        </w:rPr>
      </w:pPr>
    </w:p>
    <w:p>
      <w:pPr>
        <w:ind w:left="660" w:right="80" w:hanging="328"/>
        <w:spacing w:after="0" w:line="30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“We,” “us,” “our,” the “Company,” “GoHealth” </w:t>
      </w:r>
      <w:r>
        <w:rPr>
          <w:rFonts w:ascii="Arial" w:cs="Arial" w:eastAsia="Arial" w:hAnsi="Arial"/>
          <w:sz w:val="16"/>
          <w:szCs w:val="16"/>
          <w:color w:val="auto"/>
        </w:rPr>
        <w:t>and similar references refer to GoHealth, Inc., and unless otherwise stated, all of its direct and indirect</w:t>
      </w:r>
      <w:r>
        <w:rPr>
          <w:rFonts w:ascii="Arial" w:cs="Arial" w:eastAsia="Arial" w:hAnsi="Arial"/>
          <w:sz w:val="16"/>
          <w:szCs w:val="16"/>
          <w:i w:val="1"/>
          <w:iCs w:val="1"/>
          <w:color w:val="auto"/>
        </w:rPr>
        <w:t xml:space="preserve"> </w:t>
      </w:r>
      <w:r>
        <w:rPr>
          <w:rFonts w:ascii="Arial" w:cs="Arial" w:eastAsia="Arial" w:hAnsi="Arial"/>
          <w:sz w:val="16"/>
          <w:szCs w:val="16"/>
          <w:color w:val="auto"/>
        </w:rPr>
        <w:t>subsidiaries, including GoHealth Holdings, LLC (“GHH, LLC”).</w:t>
      </w:r>
    </w:p>
    <w:p>
      <w:pPr>
        <w:spacing w:after="0" w:line="141" w:lineRule="exact"/>
        <w:rPr>
          <w:rFonts w:ascii="Arial" w:cs="Arial" w:eastAsia="Arial" w:hAnsi="Arial"/>
          <w:sz w:val="16"/>
          <w:szCs w:val="16"/>
          <w:color w:val="auto"/>
        </w:rPr>
      </w:pPr>
    </w:p>
    <w:p>
      <w:pPr>
        <w:ind w:left="660" w:right="8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“Blocker Company” </w:t>
      </w:r>
      <w:r>
        <w:rPr>
          <w:rFonts w:ascii="Arial" w:cs="Arial" w:eastAsia="Arial" w:hAnsi="Arial"/>
          <w:sz w:val="16"/>
          <w:szCs w:val="16"/>
          <w:color w:val="auto"/>
        </w:rPr>
        <w:t>refers to an entity affiliated with Centerbridge that was an indirect owner of LLC Interests in GHH, LLC prior to the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and is taxable as a corporation for U.S. federal income tax purposes.</w:t>
      </w:r>
    </w:p>
    <w:p>
      <w:pPr>
        <w:spacing w:after="0" w:line="169" w:lineRule="exact"/>
        <w:rPr>
          <w:rFonts w:ascii="Arial" w:cs="Arial" w:eastAsia="Arial" w:hAnsi="Arial"/>
          <w:sz w:val="16"/>
          <w:szCs w:val="16"/>
          <w:color w:val="auto"/>
        </w:rPr>
      </w:pPr>
    </w:p>
    <w:p>
      <w:pPr>
        <w:ind w:left="660" w:right="60" w:hanging="328"/>
        <w:spacing w:after="0" w:line="28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Blocker Shareholders</w:t>
      </w:r>
      <w:r>
        <w:rPr>
          <w:rFonts w:ascii="Arial" w:cs="Arial" w:eastAsia="Arial" w:hAnsi="Arial"/>
          <w:sz w:val="16"/>
          <w:szCs w:val="16"/>
          <w:color w:val="auto"/>
        </w:rPr>
        <w:t>” refer to entities affiliated with Centerbridge, the owners of the Blocker Company prior to the Transactions, who exchanged their interests in the Blocker Company for shares of our Class A common stock and cash in connection with the consummation of the Transactions.</w:t>
      </w:r>
    </w:p>
    <w:p>
      <w:pPr>
        <w:spacing w:after="0" w:line="169" w:lineRule="exact"/>
        <w:rPr>
          <w:rFonts w:ascii="Arial" w:cs="Arial" w:eastAsia="Arial" w:hAnsi="Arial"/>
          <w:sz w:val="16"/>
          <w:szCs w:val="16"/>
          <w:color w:val="auto"/>
        </w:rPr>
      </w:pPr>
    </w:p>
    <w:p>
      <w:pPr>
        <w:ind w:left="660" w:right="180" w:hanging="328"/>
        <w:spacing w:after="0" w:line="266"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Centerbridge</w:t>
      </w:r>
      <w:r>
        <w:rPr>
          <w:rFonts w:ascii="Arial" w:cs="Arial" w:eastAsia="Arial" w:hAnsi="Arial"/>
          <w:sz w:val="16"/>
          <w:szCs w:val="16"/>
          <w:color w:val="auto"/>
        </w:rPr>
        <w:t>” refers to certain investment funds and other entities affiliated with CCP III Cayman GP Ltd., a Cayman Islands exempted company over which CCP III Cayman GP Ltd. has voting control (including any such fund or entity formed to hold shares of Class A common stock for the Blocker Shareholders).</w:t>
      </w:r>
    </w:p>
    <w:p>
      <w:pPr>
        <w:spacing w:after="0" w:line="184" w:lineRule="exact"/>
        <w:rPr>
          <w:rFonts w:ascii="Arial" w:cs="Arial" w:eastAsia="Arial" w:hAnsi="Arial"/>
          <w:sz w:val="16"/>
          <w:szCs w:val="16"/>
          <w:color w:val="auto"/>
        </w:rPr>
      </w:pPr>
    </w:p>
    <w:p>
      <w:pPr>
        <w:ind w:left="660" w:right="80" w:hanging="328"/>
        <w:spacing w:after="0" w:line="259"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Continuing Equity Owners</w:t>
      </w:r>
      <w:r>
        <w:rPr>
          <w:rFonts w:ascii="Arial" w:cs="Arial" w:eastAsia="Arial" w:hAnsi="Arial"/>
          <w:sz w:val="16"/>
          <w:szCs w:val="16"/>
          <w:color w:val="auto"/>
        </w:rPr>
        <w:t>” refer collectively to direct or indirect holders of LLC Interests and our Class B common stock immediately following consummation of the Transactions, including Centerbridge, NVX Holdings, our Founders, the Former Profits Unit Holders and certain executive officers, employees and other minority investors and their respective permitted transferees who may, following the consummation of our IPO, exchange at each of their respective options (subject in certain circumstances to time-based vesting requirements and certain other restrictions), in whole or in part from time to time, their LLC Interests (along with an equal number of shares of Class B common stock (and such shares shall be immediately cancelled)) for, at our election (determined solely by our independent directors (within the meaning of the listing rules of The Nasdaq Global Market (the “Nasdaq Rules”) who are disinterested)), cash or newly-issued shares of our Class A common stock.</w:t>
      </w:r>
    </w:p>
    <w:p>
      <w:pPr>
        <w:spacing w:after="0" w:line="176" w:lineRule="exact"/>
        <w:rPr>
          <w:rFonts w:ascii="Arial" w:cs="Arial" w:eastAsia="Arial" w:hAnsi="Arial"/>
          <w:sz w:val="16"/>
          <w:szCs w:val="16"/>
          <w:color w:val="auto"/>
        </w:rPr>
      </w:pPr>
    </w:p>
    <w:p>
      <w:pPr>
        <w:ind w:left="660" w:right="640" w:hanging="328"/>
        <w:spacing w:after="0" w:line="304" w:lineRule="auto"/>
        <w:tabs>
          <w:tab w:leader="none" w:pos="649" w:val="left"/>
        </w:tabs>
        <w:numPr>
          <w:ilvl w:val="0"/>
          <w:numId w:val="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Founders</w:t>
      </w:r>
      <w:r>
        <w:rPr>
          <w:rFonts w:ascii="Arial" w:cs="Arial" w:eastAsia="Arial" w:hAnsi="Arial"/>
          <w:sz w:val="16"/>
          <w:szCs w:val="16"/>
          <w:color w:val="auto"/>
        </w:rPr>
        <w:t>” refer to Brandon Cruz, our Co-Founder and Co-Chairman of the Board of Directors and Clinton Jones, our Co-Founder and Co-Chairman of the Board of Directors.</w:t>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1</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4" w:name="page5"/>
    <w:bookmarkEnd w:id="4"/>
    <w:p>
      <w:pPr>
        <w:ind w:left="660" w:right="120" w:hanging="328"/>
        <w:spacing w:after="0" w:line="261"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Former Profits Unit Holders</w:t>
      </w:r>
      <w:r>
        <w:rPr>
          <w:rFonts w:ascii="Arial" w:cs="Arial" w:eastAsia="Arial" w:hAnsi="Arial"/>
          <w:sz w:val="16"/>
          <w:szCs w:val="16"/>
          <w:color w:val="auto"/>
        </w:rPr>
        <w:t>” refer collectively to certain of our directors and certain current and former officers and employees, in each case, who directly or indirectly held existing vested and unvested profits units, which were comprised of profits units that have time-based vesting conditions and profits units that have performance-based vesting conditions, of GHH, LLC pursuant to GHH, LLC’s existing profits unit plan and who received LLC Interests in exchange for their profits units in connection with the Transactions. LLC Interests received in exchange for unvested profits units remain subject to their existing time-based vesting requirements. Profits units with performance-based vesting conditions fully vested as such conditions were met in connection with our IPO.</w:t>
      </w:r>
    </w:p>
    <w:p>
      <w:pPr>
        <w:spacing w:after="0" w:line="176" w:lineRule="exact"/>
        <w:rPr>
          <w:rFonts w:ascii="Arial" w:cs="Arial" w:eastAsia="Arial" w:hAnsi="Arial"/>
          <w:sz w:val="16"/>
          <w:szCs w:val="16"/>
          <w:color w:val="auto"/>
        </w:rPr>
      </w:pPr>
    </w:p>
    <w:p>
      <w:pPr>
        <w:ind w:left="660" w:right="500" w:hanging="328"/>
        <w:spacing w:after="0" w:line="304"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“GHH, LLC Agreement” </w:t>
      </w:r>
      <w:r>
        <w:rPr>
          <w:rFonts w:ascii="Arial" w:cs="Arial" w:eastAsia="Arial" w:hAnsi="Arial"/>
          <w:sz w:val="16"/>
          <w:szCs w:val="16"/>
          <w:color w:val="auto"/>
        </w:rPr>
        <w:t>refers to GHH, LLC’s amended and restated limited liability company agreement, as further amended, which became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substantially concurrently with or prior to the consummation of our IPO.</w:t>
      </w:r>
    </w:p>
    <w:p>
      <w:pPr>
        <w:spacing w:after="0" w:line="14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LLC Interests</w:t>
      </w:r>
      <w:r>
        <w:rPr>
          <w:rFonts w:ascii="Arial" w:cs="Arial" w:eastAsia="Arial" w:hAnsi="Arial"/>
          <w:sz w:val="16"/>
          <w:szCs w:val="16"/>
          <w:color w:val="auto"/>
        </w:rPr>
        <w:t>” refer to the common units of GHH, LLC, including those that we purchased with a portion of the net proceeds from our IPO.</w:t>
      </w:r>
    </w:p>
    <w:p>
      <w:pPr>
        <w:spacing w:after="0" w:line="234" w:lineRule="exact"/>
        <w:rPr>
          <w:rFonts w:ascii="Arial" w:cs="Arial" w:eastAsia="Arial" w:hAnsi="Arial"/>
          <w:sz w:val="16"/>
          <w:szCs w:val="16"/>
          <w:color w:val="auto"/>
        </w:rPr>
      </w:pPr>
    </w:p>
    <w:p>
      <w:pPr>
        <w:jc w:val="both"/>
        <w:ind w:left="660" w:right="140" w:hanging="328"/>
        <w:spacing w:after="0" w:line="266"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i w:val="1"/>
          <w:iCs w:val="1"/>
          <w:color w:val="auto"/>
        </w:rPr>
        <w:t xml:space="preserve">“LTV” </w:t>
      </w:r>
      <w:r>
        <w:rPr>
          <w:rFonts w:ascii="Arial" w:cs="Arial" w:eastAsia="Arial" w:hAnsi="Arial"/>
          <w:sz w:val="16"/>
          <w:szCs w:val="16"/>
          <w:color w:val="auto"/>
        </w:rPr>
        <w:t>refers to the Lifetime Value of Commissions, which we define as aggregate commissions estimated to be collected over the estimated life of</w:t>
      </w:r>
      <w:r>
        <w:rPr>
          <w:rFonts w:ascii="Arial" w:cs="Arial" w:eastAsia="Arial" w:hAnsi="Arial"/>
          <w:sz w:val="16"/>
          <w:szCs w:val="16"/>
          <w:i w:val="1"/>
          <w:iCs w:val="1"/>
          <w:color w:val="auto"/>
        </w:rPr>
        <w:t xml:space="preserve"> </w:t>
      </w:r>
      <w:r>
        <w:rPr>
          <w:rFonts w:ascii="Arial" w:cs="Arial" w:eastAsia="Arial" w:hAnsi="Arial"/>
          <w:sz w:val="16"/>
          <w:szCs w:val="16"/>
          <w:color w:val="auto"/>
        </w:rPr>
        <w:t>all commissionable Submissions for the relevant period based on multiple factors, including but not limited to, contracted commission rates, health plan partner mix and expected policy persistency with applied constraints.</w:t>
      </w:r>
    </w:p>
    <w:p>
      <w:pPr>
        <w:spacing w:after="0" w:line="184"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Norvax</w:t>
      </w:r>
      <w:r>
        <w:rPr>
          <w:rFonts w:ascii="Arial" w:cs="Arial" w:eastAsia="Arial" w:hAnsi="Arial"/>
          <w:sz w:val="16"/>
          <w:szCs w:val="16"/>
          <w:color w:val="auto"/>
        </w:rPr>
        <w:t>” refers to Norvax, LLC, a Delaware limited liability company and a subsidiary of GHH, LLC.</w:t>
      </w:r>
    </w:p>
    <w:p>
      <w:pPr>
        <w:spacing w:after="0" w:line="221" w:lineRule="exact"/>
        <w:rPr>
          <w:rFonts w:ascii="Arial" w:cs="Arial" w:eastAsia="Arial" w:hAnsi="Arial"/>
          <w:sz w:val="16"/>
          <w:szCs w:val="16"/>
          <w:color w:val="auto"/>
        </w:rPr>
      </w:pPr>
    </w:p>
    <w:p>
      <w:pPr>
        <w:ind w:left="640" w:hanging="308"/>
        <w:spacing w:after="0"/>
        <w:tabs>
          <w:tab w:leader="none" w:pos="6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NVX Holdings</w:t>
      </w:r>
      <w:r>
        <w:rPr>
          <w:rFonts w:ascii="Arial" w:cs="Arial" w:eastAsia="Arial" w:hAnsi="Arial"/>
          <w:sz w:val="16"/>
          <w:szCs w:val="16"/>
          <w:color w:val="auto"/>
        </w:rPr>
        <w:t>” refers to NVX Holdings, Inc., a Delaware corporation that is controlled by the Founders.</w:t>
      </w:r>
    </w:p>
    <w:p>
      <w:pPr>
        <w:spacing w:after="0" w:line="221" w:lineRule="exact"/>
        <w:rPr>
          <w:rFonts w:ascii="Arial" w:cs="Arial" w:eastAsia="Arial" w:hAnsi="Arial"/>
          <w:sz w:val="16"/>
          <w:szCs w:val="16"/>
          <w:color w:val="auto"/>
        </w:rPr>
      </w:pPr>
    </w:p>
    <w:p>
      <w:pPr>
        <w:ind w:left="660" w:right="160" w:hanging="328"/>
        <w:spacing w:after="0" w:line="304" w:lineRule="auto"/>
        <w:tabs>
          <w:tab w:leader="none" w:pos="649" w:val="left"/>
        </w:tabs>
        <w:numPr>
          <w:ilvl w:val="0"/>
          <w:numId w:val="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i w:val="1"/>
          <w:iCs w:val="1"/>
          <w:color w:val="auto"/>
        </w:rPr>
        <w:t>Transactions</w:t>
      </w:r>
      <w:r>
        <w:rPr>
          <w:rFonts w:ascii="Arial" w:cs="Arial" w:eastAsia="Arial" w:hAnsi="Arial"/>
          <w:sz w:val="16"/>
          <w:szCs w:val="16"/>
          <w:color w:val="auto"/>
        </w:rPr>
        <w:t>” refer to our IPO and certain organizational transactions that were effected in connection with our IPO, and the application of the net proceeds therefrom.</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color w:val="auto"/>
        </w:rPr>
        <w:t>GoHealth, Inc. is a holding company and the sole managing member of GHH, LLC, and its principal asset consists of LLC Interests.</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NON-GAAP FINANCIAL MEASURES</w:t>
      </w:r>
    </w:p>
    <w:p>
      <w:pPr>
        <w:spacing w:after="0" w:line="22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Throughout this Quarterly Report on Form 10-Q, we use a number of non-GAAP financial measures. Non-GAAP financial measures are supplemental measures of our performance that are derived from our consolidated financial information, but which are not presented in our Condensed Consolidated Financial Statements prepared in accordance with U.S. generally accepted accounting principles (“GAAP”). We define these non-GAAP financial measures as follows:</w:t>
      </w:r>
    </w:p>
    <w:p>
      <w:pPr>
        <w:spacing w:after="0" w:line="186" w:lineRule="exact"/>
        <w:rPr>
          <w:sz w:val="20"/>
          <w:szCs w:val="20"/>
          <w:color w:val="auto"/>
        </w:rPr>
      </w:pPr>
    </w:p>
    <w:p>
      <w:pPr>
        <w:ind w:left="660" w:right="480" w:hanging="328"/>
        <w:spacing w:after="0" w:line="286" w:lineRule="auto"/>
        <w:tabs>
          <w:tab w:leader="none" w:pos="649"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“Adjusted EBITDA” </w:t>
      </w:r>
      <w:r>
        <w:rPr>
          <w:rFonts w:ascii="Arial" w:cs="Arial" w:eastAsia="Arial" w:hAnsi="Arial"/>
          <w:sz w:val="16"/>
          <w:szCs w:val="16"/>
          <w:color w:val="auto"/>
        </w:rPr>
        <w:t>represents, as applicable for the period, EBITDA as further adjusted for certain items discussed in Item 2. “Management’s</w:t>
      </w:r>
      <w:r>
        <w:rPr>
          <w:rFonts w:ascii="Arial" w:cs="Arial" w:eastAsia="Arial" w:hAnsi="Arial"/>
          <w:sz w:val="16"/>
          <w:szCs w:val="16"/>
          <w:i w:val="1"/>
          <w:iCs w:val="1"/>
          <w:color w:val="auto"/>
        </w:rPr>
        <w:t xml:space="preserve"> </w:t>
      </w:r>
      <w:r>
        <w:rPr>
          <w:rFonts w:ascii="Arial" w:cs="Arial" w:eastAsia="Arial" w:hAnsi="Arial"/>
          <w:sz w:val="16"/>
          <w:szCs w:val="16"/>
          <w:color w:val="auto"/>
        </w:rPr>
        <w:t>Discussion and Analysis of Financial Condition and Results of Operations.”</w:t>
      </w:r>
    </w:p>
    <w:p>
      <w:pPr>
        <w:spacing w:after="0" w:line="155" w:lineRule="exact"/>
        <w:rPr>
          <w:rFonts w:ascii="Arial" w:cs="Arial" w:eastAsia="Arial" w:hAnsi="Arial"/>
          <w:sz w:val="16"/>
          <w:szCs w:val="16"/>
          <w:i w:val="1"/>
          <w:iCs w:val="1"/>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“Adjusted EBITDA Margin” </w:t>
      </w:r>
      <w:r>
        <w:rPr>
          <w:rFonts w:ascii="Arial" w:cs="Arial" w:eastAsia="Arial" w:hAnsi="Arial"/>
          <w:sz w:val="16"/>
          <w:szCs w:val="16"/>
          <w:color w:val="auto"/>
        </w:rPr>
        <w:t>refers to Adjusted EBITDA divided by net revenues.</w:t>
      </w:r>
    </w:p>
    <w:p>
      <w:pPr>
        <w:spacing w:after="0" w:line="234" w:lineRule="exact"/>
        <w:rPr>
          <w:rFonts w:ascii="Arial" w:cs="Arial" w:eastAsia="Arial" w:hAnsi="Arial"/>
          <w:sz w:val="16"/>
          <w:szCs w:val="16"/>
          <w:color w:val="auto"/>
        </w:rPr>
      </w:pPr>
    </w:p>
    <w:p>
      <w:pPr>
        <w:ind w:left="640" w:hanging="308"/>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represents net income (loss) before interest expense, income tax expense (benefit) and depreciation and amortization expense.</w:t>
      </w:r>
    </w:p>
    <w:p>
      <w:pPr>
        <w:spacing w:after="0" w:line="248"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the primary non-GAAP financial performance measure used by management to evaluate the business and monitor the results of operations, as well as a basis for certain compensation programs sponsored by the Company.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91"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the most directly comparable financial measures prepared in accordance with GAAP and should be read only in conjunction with financial information presented on a GAAP basis. Reconciliations of each of EBITDA, Adjusted EBITDA and Adjusted EBITDA Margin to its most directly comparable GAAP financial measure are presented in the tables within Item 2. “Management’s Discussion and Analysis of Financial Condition and Results of Operations” of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2</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6"/>
          <w:szCs w:val="16"/>
          <w:b w:val="1"/>
          <w:bCs w:val="1"/>
          <w:color w:val="auto"/>
        </w:rPr>
        <w:t>KEY BUSINESS PERFORMANCE AND OPERATING METRICS</w:t>
      </w:r>
    </w:p>
    <w:p>
      <w:pPr>
        <w:spacing w:after="0" w:line="23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Throughout this Quarterly Report on Form 10-Q, we use a number of business and operating metrics to evaluate our business performance and facilitate our operations. The most relevant business and operating metrics are as follows:</w:t>
      </w:r>
    </w:p>
    <w:p>
      <w:pPr>
        <w:spacing w:after="0" w:line="183" w:lineRule="exact"/>
        <w:rPr>
          <w:sz w:val="20"/>
          <w:szCs w:val="20"/>
          <w:color w:val="auto"/>
        </w:rPr>
      </w:pPr>
    </w:p>
    <w:p>
      <w:pPr>
        <w:ind w:left="660" w:right="40" w:hanging="328"/>
        <w:spacing w:after="0" w:line="26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“Direct Operating Cost of Submission” </w:t>
      </w:r>
      <w:r>
        <w:rPr>
          <w:rFonts w:ascii="Arial" w:cs="Arial" w:eastAsia="Arial" w:hAnsi="Arial"/>
          <w:sz w:val="16"/>
          <w:szCs w:val="16"/>
          <w:color w:val="auto"/>
        </w:rPr>
        <w:t>is an operating metric that represents costs directly attributable to Submissions generated during a reporting</w:t>
      </w:r>
      <w:r>
        <w:rPr>
          <w:rFonts w:ascii="Arial" w:cs="Arial" w:eastAsia="Arial" w:hAnsi="Arial"/>
          <w:sz w:val="16"/>
          <w:szCs w:val="16"/>
          <w:i w:val="1"/>
          <w:iCs w:val="1"/>
          <w:color w:val="auto"/>
        </w:rPr>
        <w:t xml:space="preserve"> </w:t>
      </w:r>
      <w:r>
        <w:rPr>
          <w:rFonts w:ascii="Arial" w:cs="Arial" w:eastAsia="Arial" w:hAnsi="Arial"/>
          <w:sz w:val="16"/>
          <w:szCs w:val="16"/>
          <w:color w:val="auto"/>
        </w:rPr>
        <w:t>period and excludes costs that are indirect or fixed. Direct Operating Cost of Submission is comprised of the portion of the respective operating expenses for revenue share, marketing and advertising and consumer care and enrollment that are directly related to the Submissions generated in the reporting period.</w:t>
      </w:r>
    </w:p>
    <w:p>
      <w:pPr>
        <w:spacing w:after="0" w:line="213" w:lineRule="exact"/>
        <w:rPr>
          <w:rFonts w:ascii="Arial" w:cs="Arial" w:eastAsia="Arial" w:hAnsi="Arial"/>
          <w:sz w:val="16"/>
          <w:szCs w:val="16"/>
          <w:color w:val="auto"/>
        </w:rPr>
      </w:pPr>
    </w:p>
    <w:p>
      <w:pPr>
        <w:ind w:left="660" w:right="28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“Direct Operating Cost per Submission” </w:t>
      </w:r>
      <w:r>
        <w:rPr>
          <w:rFonts w:ascii="Arial" w:cs="Arial" w:eastAsia="Arial" w:hAnsi="Arial"/>
          <w:sz w:val="16"/>
          <w:szCs w:val="16"/>
          <w:color w:val="auto"/>
        </w:rPr>
        <w:t>is an operating metric that represents the average performance of Submissions generated during a</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period. Direct Operating Cost per Submission refers to (x) Direct Operating Cost of Submission for a reporting period divided by (y) the number of Submissions generated for such period.</w:t>
      </w:r>
    </w:p>
    <w:p>
      <w:pPr>
        <w:spacing w:after="0" w:line="164" w:lineRule="exact"/>
        <w:rPr>
          <w:rFonts w:ascii="Arial" w:cs="Arial" w:eastAsia="Arial" w:hAnsi="Arial"/>
          <w:sz w:val="16"/>
          <w:szCs w:val="16"/>
          <w:color w:val="auto"/>
        </w:rPr>
      </w:pPr>
    </w:p>
    <w:p>
      <w:pPr>
        <w:ind w:left="660" w:right="700" w:hanging="328"/>
        <w:spacing w:after="0" w:line="286"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“Sales/Direct Operating Cost of Submission” </w:t>
      </w:r>
      <w:r>
        <w:rPr>
          <w:rFonts w:ascii="Arial" w:cs="Arial" w:eastAsia="Arial" w:hAnsi="Arial"/>
          <w:sz w:val="16"/>
          <w:szCs w:val="16"/>
          <w:color w:val="auto"/>
        </w:rPr>
        <w:t>represents (x) the numerator of Sales per Submission, as defined below, divided by (y) Direct</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Cost of Submission.</w:t>
      </w:r>
    </w:p>
    <w:p>
      <w:pPr>
        <w:spacing w:after="0" w:line="169" w:lineRule="exact"/>
        <w:rPr>
          <w:rFonts w:ascii="Arial" w:cs="Arial" w:eastAsia="Arial" w:hAnsi="Arial"/>
          <w:sz w:val="16"/>
          <w:szCs w:val="16"/>
          <w:color w:val="auto"/>
        </w:rPr>
      </w:pPr>
    </w:p>
    <w:p>
      <w:pPr>
        <w:ind w:left="660" w:right="20" w:hanging="328"/>
        <w:spacing w:after="0" w:line="259"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“Sales per Submission” </w:t>
      </w:r>
      <w:r>
        <w:rPr>
          <w:rFonts w:ascii="Arial" w:cs="Arial" w:eastAsia="Arial" w:hAnsi="Arial"/>
          <w:sz w:val="16"/>
          <w:szCs w:val="16"/>
          <w:color w:val="auto"/>
        </w:rPr>
        <w:t>is an operating metric that represents the average performance of Submissions generated during a reporting period. Sales</w:t>
      </w:r>
      <w:r>
        <w:rPr>
          <w:rFonts w:ascii="Arial" w:cs="Arial" w:eastAsia="Arial" w:hAnsi="Arial"/>
          <w:sz w:val="16"/>
          <w:szCs w:val="16"/>
          <w:i w:val="1"/>
          <w:iCs w:val="1"/>
          <w:color w:val="auto"/>
        </w:rPr>
        <w:t xml:space="preserve"> </w:t>
      </w:r>
      <w:r>
        <w:rPr>
          <w:rFonts w:ascii="Arial" w:cs="Arial" w:eastAsia="Arial" w:hAnsi="Arial"/>
          <w:sz w:val="16"/>
          <w:szCs w:val="16"/>
          <w:color w:val="auto"/>
        </w:rPr>
        <w:t>per Submission measures revenues only from the Submissions generated in the period and excludes items that are unrelated to such Submissions, including any impact of revenue adjustments recorded in the period, but relating to performance obligations satisfied in prior periods. Sales per Submission equals (x) the sum of (i) agency revenues, comprised of the expected amount of initial commission revenue and any renewal commissions to be paid from the health plan partners on such placement as long as the policyholder remains with the same insurance product, as well as partner marketing and other revenue and (ii) non-agency revenues, comprised of the enrollment and engagement services for which cash is collected in advance or in close proximity to the point in time revenue is recognized, divided by (y) the number of Submissions generated for such period.</w:t>
      </w:r>
    </w:p>
    <w:p>
      <w:pPr>
        <w:spacing w:after="0" w:line="180" w:lineRule="exact"/>
        <w:rPr>
          <w:rFonts w:ascii="Arial" w:cs="Arial" w:eastAsia="Arial" w:hAnsi="Arial"/>
          <w:sz w:val="16"/>
          <w:szCs w:val="16"/>
          <w:color w:val="auto"/>
        </w:rPr>
      </w:pPr>
    </w:p>
    <w:p>
      <w:pPr>
        <w:ind w:left="660" w:right="380" w:hanging="328"/>
        <w:spacing w:after="0" w:line="275" w:lineRule="auto"/>
        <w:tabs>
          <w:tab w:leader="none" w:pos="649"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“Submission” </w:t>
      </w:r>
      <w:r>
        <w:rPr>
          <w:rFonts w:ascii="Arial" w:cs="Arial" w:eastAsia="Arial" w:hAnsi="Arial"/>
          <w:sz w:val="16"/>
          <w:szCs w:val="16"/>
          <w:color w:val="auto"/>
        </w:rPr>
        <w:t>refers to either (i) a completed application with our licensed agent that is submitted to the health plan partner and subsequently</w:t>
      </w:r>
      <w:r>
        <w:rPr>
          <w:rFonts w:ascii="Arial" w:cs="Arial" w:eastAsia="Arial" w:hAnsi="Arial"/>
          <w:sz w:val="16"/>
          <w:szCs w:val="16"/>
          <w:i w:val="1"/>
          <w:iCs w:val="1"/>
          <w:color w:val="auto"/>
        </w:rPr>
        <w:t xml:space="preserve"> </w:t>
      </w:r>
      <w:r>
        <w:rPr>
          <w:rFonts w:ascii="Arial" w:cs="Arial" w:eastAsia="Arial" w:hAnsi="Arial"/>
          <w:sz w:val="16"/>
          <w:szCs w:val="16"/>
          <w:color w:val="auto"/>
        </w:rPr>
        <w:t>approved by the health plan partner during the indicated period or (ii) a transfer by our agent to the health plan partner through the Encompass operating model during the indicated period.</w:t>
      </w:r>
    </w:p>
    <w:p>
      <w:pPr>
        <w:spacing w:after="0" w:line="191" w:lineRule="exact"/>
        <w:rPr>
          <w:sz w:val="20"/>
          <w:szCs w:val="20"/>
          <w:color w:val="auto"/>
        </w:rPr>
      </w:pPr>
    </w:p>
    <w:p>
      <w:pPr>
        <w:ind w:right="160"/>
        <w:spacing w:after="0" w:line="275" w:lineRule="auto"/>
        <w:rPr>
          <w:sz w:val="20"/>
          <w:szCs w:val="20"/>
          <w:color w:val="auto"/>
        </w:rPr>
      </w:pPr>
      <w:r>
        <w:rPr>
          <w:rFonts w:ascii="Arial" w:cs="Arial" w:eastAsia="Arial" w:hAnsi="Arial"/>
          <w:sz w:val="16"/>
          <w:szCs w:val="16"/>
          <w:color w:val="auto"/>
        </w:rPr>
        <w:t>Sales per Submission and Direct Operating Cost per Submission are key operating metrics used by management to understand the Company’s underlying financial performance and trends. For further discussion, see Item 2. “Management’s Discussion and Analysis of Financial Condition and Results of Operations.”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3</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0A2299"/>
        </w:rPr>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t>PART I - Financial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1.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FINANCIAL STATEMENTS</w:t>
      </w:r>
    </w:p>
    <w:p>
      <w:pPr>
        <w:spacing w:after="0" w:line="235"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ind w:left="3200"/>
        <w:spacing w:after="0"/>
        <w:rPr>
          <w:sz w:val="20"/>
          <w:szCs w:val="20"/>
          <w:color w:val="auto"/>
        </w:rPr>
      </w:pPr>
      <w:r>
        <w:rPr>
          <w:rFonts w:ascii="Arial" w:cs="Arial" w:eastAsia="Arial" w:hAnsi="Arial"/>
          <w:sz w:val="16"/>
          <w:szCs w:val="16"/>
          <w:b w:val="1"/>
          <w:bCs w:val="1"/>
          <w:color w:val="00497F"/>
        </w:rPr>
        <w:t>CONDENSED CONSOLIDATED STATEMENTS OF OPERATIONS</w:t>
      </w:r>
    </w:p>
    <w:p>
      <w:pPr>
        <w:spacing w:after="0" w:line="61" w:lineRule="exact"/>
        <w:rPr>
          <w:sz w:val="20"/>
          <w:szCs w:val="20"/>
          <w:color w:val="auto"/>
        </w:rPr>
      </w:pPr>
    </w:p>
    <w:p>
      <w:pPr>
        <w:ind w:left="3720"/>
        <w:spacing w:after="0"/>
        <w:rPr>
          <w:sz w:val="20"/>
          <w:szCs w:val="20"/>
          <w:color w:val="auto"/>
        </w:rPr>
      </w:pPr>
      <w:r>
        <w:rPr>
          <w:rFonts w:ascii="Arial" w:cs="Arial" w:eastAsia="Arial" w:hAnsi="Arial"/>
          <w:sz w:val="16"/>
          <w:szCs w:val="16"/>
          <w:i w:val="1"/>
          <w:iCs w:val="1"/>
          <w:color w:val="00497F"/>
        </w:rPr>
        <w:t>(in thousands, except per share amounts, unaudited)</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tcPr>
          <w:p>
            <w:pPr>
              <w:spacing w:after="0"/>
              <w:rPr>
                <w:sz w:val="17"/>
                <w:szCs w:val="17"/>
                <w:color w:val="auto"/>
              </w:rPr>
            </w:pPr>
          </w:p>
        </w:tc>
        <w:tc>
          <w:tcPr>
            <w:tcW w:w="27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 31,</w:t>
            </w:r>
          </w:p>
        </w:tc>
        <w:tc>
          <w:tcPr>
            <w:tcW w:w="620" w:type="dxa"/>
            <w:vAlign w:val="bottom"/>
            <w:tcBorders>
              <w:bottom w:val="single" w:sz="8" w:color="auto"/>
            </w:tcBorders>
          </w:tcPr>
          <w:p>
            <w:pPr>
              <w:spacing w:after="0"/>
              <w:rPr>
                <w:sz w:val="17"/>
                <w:szCs w:val="17"/>
                <w:color w:val="auto"/>
              </w:rPr>
            </w:pPr>
          </w:p>
        </w:tc>
      </w:tr>
      <w:tr>
        <w:trPr>
          <w:trHeight w:val="196"/>
        </w:trPr>
        <w:tc>
          <w:tcPr>
            <w:tcW w:w="786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revenues</w:t>
            </w: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220,972</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185,600</w:t>
            </w:r>
          </w:p>
        </w:tc>
      </w:tr>
      <w:tr>
        <w:trPr>
          <w:trHeight w:val="178"/>
        </w:trPr>
        <w:tc>
          <w:tcPr>
            <w:tcW w:w="786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207"/>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Revenue share</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39,272</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38,013</w:t>
            </w:r>
          </w:p>
        </w:tc>
      </w:tr>
      <w:tr>
        <w:trPr>
          <w:trHeight w:val="198"/>
        </w:trPr>
        <w:tc>
          <w:tcPr>
            <w:tcW w:w="7860" w:type="dxa"/>
            <w:vAlign w:val="bottom"/>
          </w:tcPr>
          <w:p>
            <w:pPr>
              <w:ind w:left="240"/>
              <w:spacing w:after="0"/>
              <w:rPr>
                <w:sz w:val="20"/>
                <w:szCs w:val="20"/>
                <w:color w:val="auto"/>
              </w:rPr>
            </w:pPr>
            <w:r>
              <w:rPr>
                <w:rFonts w:ascii="Arial" w:cs="Arial" w:eastAsia="Arial" w:hAnsi="Arial"/>
                <w:sz w:val="14"/>
                <w:szCs w:val="14"/>
                <w:color w:val="auto"/>
              </w:rPr>
              <w:t>Marketing and advertising</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67,415</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52,775</w:t>
            </w:r>
          </w:p>
        </w:tc>
      </w:tr>
      <w:tr>
        <w:trPr>
          <w:trHeight w:val="207"/>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Consumer care and enrollment</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51,698</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47,861</w:t>
            </w:r>
          </w:p>
        </w:tc>
      </w:tr>
      <w:tr>
        <w:trPr>
          <w:trHeight w:val="198"/>
        </w:trPr>
        <w:tc>
          <w:tcPr>
            <w:tcW w:w="7860" w:type="dxa"/>
            <w:vAlign w:val="bottom"/>
          </w:tcPr>
          <w:p>
            <w:pPr>
              <w:ind w:left="240"/>
              <w:spacing w:after="0"/>
              <w:rPr>
                <w:sz w:val="20"/>
                <w:szCs w:val="20"/>
                <w:color w:val="auto"/>
              </w:rPr>
            </w:pPr>
            <w:r>
              <w:rPr>
                <w:rFonts w:ascii="Arial" w:cs="Arial" w:eastAsia="Arial" w:hAnsi="Arial"/>
                <w:sz w:val="14"/>
                <w:szCs w:val="14"/>
                <w:color w:val="auto"/>
              </w:rPr>
              <w:t>Technology</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9,038</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10,550</w:t>
            </w:r>
          </w:p>
        </w:tc>
      </w:tr>
      <w:tr>
        <w:trPr>
          <w:trHeight w:val="207"/>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General and administrative</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22,656</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16,919</w:t>
            </w:r>
          </w:p>
        </w:tc>
      </w:tr>
      <w:tr>
        <w:trPr>
          <w:trHeight w:val="198"/>
        </w:trPr>
        <w:tc>
          <w:tcPr>
            <w:tcW w:w="786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23,514</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23,514</w:t>
            </w:r>
          </w:p>
        </w:tc>
      </w:tr>
      <w:tr>
        <w:trPr>
          <w:trHeight w:val="207"/>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 impairment charges</w:t>
            </w: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operating expenses</w:t>
            </w: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214,303</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189,632</w:t>
            </w:r>
          </w:p>
        </w:tc>
      </w:tr>
      <w:tr>
        <w:trPr>
          <w:trHeight w:val="20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(loss) from operations</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6,669</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(4,032)</w:t>
            </w:r>
          </w:p>
        </w:tc>
      </w:tr>
      <w:tr>
        <w:trPr>
          <w:trHeight w:val="198"/>
        </w:trPr>
        <w:tc>
          <w:tcPr>
            <w:tcW w:w="78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15,954</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17,951</w:t>
            </w:r>
          </w:p>
        </w:tc>
      </w:tr>
      <w:tr>
        <w:trPr>
          <w:trHeight w:val="20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expense, net</w:t>
            </w: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(566)</w:t>
            </w:r>
          </w:p>
        </w:tc>
      </w:tr>
      <w:tr>
        <w:trPr>
          <w:trHeight w:val="19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(loss) before income taxes</w:t>
            </w: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(8,684)</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(21,417)</w:t>
            </w:r>
          </w:p>
        </w:tc>
      </w:tr>
      <w:tr>
        <w:trPr>
          <w:trHeight w:val="20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(benefit) expense</w:t>
            </w: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1,102</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r>
      <w:tr>
        <w:trPr>
          <w:trHeight w:val="19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w:t>
            </w: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(9,786)</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(21,346)</w:t>
            </w:r>
          </w:p>
        </w:tc>
      </w:tr>
      <w:tr>
        <w:trPr>
          <w:trHeight w:val="19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(5,378)</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(12,130)</w:t>
            </w:r>
          </w:p>
        </w:tc>
      </w:tr>
      <w:tr>
        <w:trPr>
          <w:trHeight w:val="200"/>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1020" w:type="dxa"/>
            <w:vAlign w:val="bottom"/>
            <w:tcBorders>
              <w:bottom w:val="single" w:sz="8" w:color="auto"/>
            </w:tcBorders>
          </w:tcPr>
          <w:p>
            <w:pPr>
              <w:jc w:val="right"/>
              <w:ind w:right="868"/>
              <w:spacing w:after="0"/>
              <w:rPr>
                <w:sz w:val="20"/>
                <w:szCs w:val="20"/>
                <w:color w:val="auto"/>
              </w:rPr>
            </w:pPr>
            <w:r>
              <w:rPr>
                <w:rFonts w:ascii="Arial" w:cs="Arial" w:eastAsia="Arial" w:hAnsi="Arial"/>
                <w:sz w:val="14"/>
                <w:szCs w:val="14"/>
                <w:b w:val="1"/>
                <w:bCs w:val="1"/>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(4,408)</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(9,216)</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r>
        <w:trPr>
          <w:trHeight w:val="17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Net income (loss) per share (Note 7):</w:t>
            </w:r>
          </w:p>
        </w:tc>
        <w:tc>
          <w:tcPr>
            <w:tcW w:w="10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r>
      <w:tr>
        <w:trPr>
          <w:trHeight w:val="198"/>
        </w:trPr>
        <w:tc>
          <w:tcPr>
            <w:tcW w:w="7860" w:type="dxa"/>
            <w:vAlign w:val="bottom"/>
          </w:tcPr>
          <w:p>
            <w:pPr>
              <w:ind w:left="20"/>
              <w:spacing w:after="0"/>
              <w:rPr>
                <w:sz w:val="20"/>
                <w:szCs w:val="20"/>
                <w:color w:val="auto"/>
              </w:rPr>
            </w:pPr>
            <w:r>
              <w:rPr>
                <w:rFonts w:ascii="Arial" w:cs="Arial" w:eastAsia="Arial" w:hAnsi="Arial"/>
                <w:sz w:val="14"/>
                <w:szCs w:val="14"/>
                <w:color w:val="auto"/>
              </w:rPr>
              <w:t>Net income (loss) per share of Class A common stock — basic and diluted</w:t>
            </w: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(0.52)</w:t>
            </w:r>
          </w:p>
        </w:tc>
        <w:tc>
          <w:tcPr>
            <w:tcW w:w="100" w:type="dxa"/>
            <w:vAlign w:val="bottom"/>
          </w:tcPr>
          <w:p>
            <w:pPr>
              <w:spacing w:after="0"/>
              <w:rPr>
                <w:sz w:val="17"/>
                <w:szCs w:val="17"/>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(1.04)</w:t>
            </w:r>
          </w:p>
        </w:tc>
      </w:tr>
      <w:tr>
        <w:trPr>
          <w:trHeight w:val="20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Weighted-average shares of Class A common stock outstanding — basic and diluted</w:t>
            </w: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10,373</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9,715</w:t>
            </w: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4</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STATEMENTS OF COMPREHENSIVE INCOME (LOSS)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unaudited)</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tcPr>
          <w:p>
            <w:pPr>
              <w:spacing w:after="0"/>
              <w:rPr>
                <w:sz w:val="17"/>
                <w:szCs w:val="17"/>
                <w:color w:val="auto"/>
              </w:rPr>
            </w:pPr>
          </w:p>
        </w:tc>
        <w:tc>
          <w:tcPr>
            <w:tcW w:w="276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Three months ended Mar. 31,</w:t>
            </w:r>
          </w:p>
        </w:tc>
        <w:tc>
          <w:tcPr>
            <w:tcW w:w="620" w:type="dxa"/>
            <w:vAlign w:val="bottom"/>
            <w:tcBorders>
              <w:bottom w:val="single" w:sz="8" w:color="auto"/>
            </w:tcBorders>
          </w:tcPr>
          <w:p>
            <w:pPr>
              <w:spacing w:after="0"/>
              <w:rPr>
                <w:sz w:val="17"/>
                <w:szCs w:val="17"/>
                <w:color w:val="auto"/>
              </w:rPr>
            </w:pPr>
          </w:p>
        </w:tc>
      </w:tr>
      <w:tr>
        <w:trPr>
          <w:trHeight w:val="196"/>
        </w:trPr>
        <w:tc>
          <w:tcPr>
            <w:tcW w:w="786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620" w:type="dxa"/>
            <w:vAlign w:val="bottom"/>
            <w:tcBorders>
              <w:bottom w:val="single" w:sz="8" w:color="auto"/>
            </w:tcBorders>
          </w:tcPr>
          <w:p>
            <w:pPr>
              <w:spacing w:after="0"/>
              <w:rPr>
                <w:sz w:val="17"/>
                <w:szCs w:val="17"/>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1060" w:type="dxa"/>
            <w:vAlign w:val="bottom"/>
            <w:shd w:val="clear" w:color="auto" w:fill="CCEEFF"/>
          </w:tcPr>
          <w:p>
            <w:pPr>
              <w:jc w:val="right"/>
              <w:ind w:right="908"/>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(9,786)</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(21,346)</w:t>
            </w:r>
          </w:p>
        </w:tc>
      </w:tr>
      <w:tr>
        <w:trPr>
          <w:trHeight w:val="198"/>
        </w:trPr>
        <w:tc>
          <w:tcPr>
            <w:tcW w:w="7860" w:type="dxa"/>
            <w:vAlign w:val="bottom"/>
          </w:tcPr>
          <w:p>
            <w:pPr>
              <w:ind w:left="20"/>
              <w:spacing w:after="0"/>
              <w:rPr>
                <w:sz w:val="20"/>
                <w:szCs w:val="20"/>
                <w:color w:val="auto"/>
              </w:rPr>
            </w:pPr>
            <w:r>
              <w:rPr>
                <w:rFonts w:ascii="Arial" w:cs="Arial" w:eastAsia="Arial" w:hAnsi="Arial"/>
                <w:sz w:val="14"/>
                <w:szCs w:val="14"/>
                <w:i w:val="1"/>
                <w:iCs w:val="1"/>
                <w:color w:val="auto"/>
              </w:rPr>
              <w:t>Other comprehensive income (loss):</w:t>
            </w:r>
          </w:p>
        </w:tc>
        <w:tc>
          <w:tcPr>
            <w:tcW w:w="10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7"/>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Foreign currency translation adjustments</w:t>
            </w:r>
          </w:p>
        </w:tc>
        <w:tc>
          <w:tcPr>
            <w:tcW w:w="10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(119)</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w:t>
            </w:r>
          </w:p>
        </w:tc>
      </w:tr>
      <w:tr>
        <w:trPr>
          <w:trHeight w:val="19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Comprehensive income (loss)</w:t>
            </w:r>
          </w:p>
        </w:tc>
        <w:tc>
          <w:tcPr>
            <w:tcW w:w="10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(9,905)</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(21,351)</w:t>
            </w:r>
          </w:p>
        </w:tc>
      </w:tr>
      <w:tr>
        <w:trPr>
          <w:trHeight w:val="196"/>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Comprehensive income (loss) attributable to non-controlling interests</w:t>
            </w:r>
          </w:p>
        </w:tc>
        <w:tc>
          <w:tcPr>
            <w:tcW w:w="106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(5,443)</w:t>
            </w:r>
          </w:p>
        </w:tc>
        <w:tc>
          <w:tcPr>
            <w:tcW w:w="100" w:type="dxa"/>
            <w:vAlign w:val="bottom"/>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(12,133)</w:t>
            </w:r>
          </w:p>
        </w:tc>
      </w:tr>
      <w:tr>
        <w:trPr>
          <w:trHeight w:val="200"/>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Comprehensive income (loss) attributable to GoHealth, Inc.</w:t>
            </w:r>
          </w:p>
        </w:tc>
        <w:tc>
          <w:tcPr>
            <w:tcW w:w="1060" w:type="dxa"/>
            <w:vAlign w:val="bottom"/>
            <w:tcBorders>
              <w:bottom w:val="single" w:sz="8" w:color="auto"/>
            </w:tcBorders>
          </w:tcPr>
          <w:p>
            <w:pPr>
              <w:jc w:val="right"/>
              <w:ind w:right="908"/>
              <w:spacing w:after="0"/>
              <w:rPr>
                <w:sz w:val="20"/>
                <w:szCs w:val="20"/>
                <w:color w:val="auto"/>
              </w:rPr>
            </w:pPr>
            <w:r>
              <w:rPr>
                <w:rFonts w:ascii="Arial" w:cs="Arial" w:eastAsia="Arial" w:hAnsi="Arial"/>
                <w:sz w:val="14"/>
                <w:szCs w:val="14"/>
                <w:b w:val="1"/>
                <w:bCs w:val="1"/>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(4,462)</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right"/>
              <w:ind w:right="848"/>
              <w:spacing w:after="0"/>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(9,218)</w:t>
            </w:r>
          </w:p>
        </w:tc>
      </w:tr>
      <w:tr>
        <w:trPr>
          <w:trHeight w:val="20"/>
        </w:trPr>
        <w:tc>
          <w:tcPr>
            <w:tcW w:w="7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5</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ind w:left="3680"/>
        <w:spacing w:after="0"/>
        <w:rPr>
          <w:sz w:val="20"/>
          <w:szCs w:val="20"/>
          <w:color w:val="auto"/>
        </w:rPr>
      </w:pPr>
      <w:r>
        <w:rPr>
          <w:rFonts w:ascii="Arial" w:cs="Arial" w:eastAsia="Arial" w:hAnsi="Arial"/>
          <w:sz w:val="16"/>
          <w:szCs w:val="16"/>
          <w:b w:val="1"/>
          <w:bCs w:val="1"/>
          <w:color w:val="00497F"/>
        </w:rPr>
        <w:t>CONDENSED CONSOLIDATED BALANCE SHEETS</w:t>
      </w:r>
    </w:p>
    <w:p>
      <w:pPr>
        <w:spacing w:after="0" w:line="75" w:lineRule="exact"/>
        <w:rPr>
          <w:sz w:val="20"/>
          <w:szCs w:val="20"/>
          <w:color w:val="auto"/>
        </w:rPr>
      </w:pPr>
    </w:p>
    <w:p>
      <w:pPr>
        <w:ind w:left="3720"/>
        <w:spacing w:after="0"/>
        <w:rPr>
          <w:sz w:val="20"/>
          <w:szCs w:val="20"/>
          <w:color w:val="auto"/>
        </w:rPr>
      </w:pPr>
      <w:r>
        <w:rPr>
          <w:rFonts w:ascii="Arial" w:cs="Arial" w:eastAsia="Arial" w:hAnsi="Arial"/>
          <w:sz w:val="16"/>
          <w:szCs w:val="16"/>
          <w:i w:val="1"/>
          <w:iCs w:val="1"/>
          <w:color w:val="00497F"/>
        </w:rPr>
        <w:t>(in thousands, except per share amounts, unaudited)</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80" w:type="dxa"/>
            <w:vAlign w:val="bottom"/>
            <w:gridSpan w:val="2"/>
          </w:tcPr>
          <w:p>
            <w:pPr>
              <w:ind w:left="160"/>
              <w:spacing w:after="0"/>
              <w:rPr>
                <w:sz w:val="20"/>
                <w:szCs w:val="20"/>
                <w:color w:val="auto"/>
              </w:rPr>
            </w:pPr>
            <w:r>
              <w:rPr>
                <w:rFonts w:ascii="Arial" w:cs="Arial" w:eastAsia="Arial" w:hAnsi="Arial"/>
                <w:sz w:val="13"/>
                <w:szCs w:val="13"/>
                <w:b w:val="1"/>
                <w:bCs w:val="1"/>
                <w:color w:val="auto"/>
              </w:rPr>
              <w:t>Mar. 31, 2025</w:t>
            </w:r>
          </w:p>
        </w:tc>
        <w:tc>
          <w:tcPr>
            <w:tcW w:w="260" w:type="dxa"/>
            <w:vAlign w:val="bottom"/>
          </w:tcPr>
          <w:p>
            <w:pPr>
              <w:spacing w:after="0"/>
              <w:rPr>
                <w:sz w:val="15"/>
                <w:szCs w:val="15"/>
                <w:color w:val="auto"/>
              </w:rPr>
            </w:pPr>
          </w:p>
        </w:tc>
        <w:tc>
          <w:tcPr>
            <w:tcW w:w="1380" w:type="dxa"/>
            <w:vAlign w:val="bottom"/>
          </w:tcPr>
          <w:p>
            <w:pPr>
              <w:jc w:val="right"/>
              <w:ind w:right="357"/>
              <w:spacing w:after="0"/>
              <w:rPr>
                <w:sz w:val="20"/>
                <w:szCs w:val="20"/>
                <w:color w:val="auto"/>
              </w:rPr>
            </w:pPr>
            <w:r>
              <w:rPr>
                <w:rFonts w:ascii="Arial" w:cs="Arial" w:eastAsia="Arial" w:hAnsi="Arial"/>
                <w:sz w:val="13"/>
                <w:szCs w:val="13"/>
                <w:b w:val="1"/>
                <w:bCs w:val="1"/>
                <w:color w:val="auto"/>
              </w:rPr>
              <w:t>Dec. 31, 2024</w:t>
            </w:r>
          </w:p>
        </w:tc>
        <w:tc>
          <w:tcPr>
            <w:tcW w:w="0" w:type="dxa"/>
            <w:vAlign w:val="bottom"/>
          </w:tcPr>
          <w:p>
            <w:pPr>
              <w:spacing w:after="0"/>
              <w:rPr>
                <w:sz w:val="1"/>
                <w:szCs w:val="1"/>
                <w:color w:val="auto"/>
              </w:rPr>
            </w:pPr>
          </w:p>
        </w:tc>
      </w:tr>
      <w:tr>
        <w:trPr>
          <w:trHeight w:val="160"/>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Assets</w:t>
            </w:r>
          </w:p>
        </w:tc>
        <w:tc>
          <w:tcPr>
            <w:tcW w:w="26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38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7860" w:type="dxa"/>
            <w:vAlign w:val="bottom"/>
          </w:tcPr>
          <w:p>
            <w:pPr>
              <w:ind w:left="20"/>
              <w:spacing w:after="0"/>
              <w:rPr>
                <w:sz w:val="20"/>
                <w:szCs w:val="20"/>
                <w:color w:val="auto"/>
              </w:rPr>
            </w:pPr>
            <w:r>
              <w:rPr>
                <w:rFonts w:ascii="Arial" w:cs="Arial" w:eastAsia="Arial" w:hAnsi="Arial"/>
                <w:sz w:val="13"/>
                <w:szCs w:val="13"/>
                <w:i w:val="1"/>
                <w:iCs w:val="1"/>
                <w:color w:val="auto"/>
              </w:rPr>
              <w:t>Current assets:</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Cash and cash equivalents</w:t>
            </w: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22,153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w w:val="82"/>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40,921</w:t>
            </w:r>
          </w:p>
        </w:tc>
        <w:tc>
          <w:tcPr>
            <w:tcW w:w="0" w:type="dxa"/>
            <w:vAlign w:val="bottom"/>
          </w:tcPr>
          <w:p>
            <w:pPr>
              <w:spacing w:after="0"/>
              <w:rPr>
                <w:sz w:val="1"/>
                <w:szCs w:val="1"/>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Accounts receivable, net</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5,896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4,452</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receivable - current</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207,443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320,399</w:t>
            </w:r>
          </w:p>
        </w:tc>
        <w:tc>
          <w:tcPr>
            <w:tcW w:w="0" w:type="dxa"/>
            <w:vAlign w:val="bottom"/>
          </w:tcPr>
          <w:p>
            <w:pPr>
              <w:spacing w:after="0"/>
              <w:rPr>
                <w:sz w:val="1"/>
                <w:szCs w:val="1"/>
                <w:color w:val="auto"/>
              </w:rPr>
            </w:pPr>
          </w:p>
        </w:tc>
      </w:tr>
      <w:tr>
        <w:trPr>
          <w:trHeight w:val="171"/>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Prepaid expense and other current assets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25,422</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34,639</w:t>
            </w:r>
          </w:p>
        </w:tc>
        <w:tc>
          <w:tcPr>
            <w:tcW w:w="0" w:type="dxa"/>
            <w:vAlign w:val="bottom"/>
          </w:tcPr>
          <w:p>
            <w:pPr>
              <w:spacing w:after="0"/>
              <w:rPr>
                <w:sz w:val="1"/>
                <w:szCs w:val="1"/>
                <w:color w:val="auto"/>
              </w:rPr>
            </w:pPr>
          </w:p>
        </w:tc>
      </w:tr>
      <w:tr>
        <w:trPr>
          <w:trHeight w:val="174"/>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assets</w:t>
            </w: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260,914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400,411</w:t>
            </w:r>
          </w:p>
        </w:tc>
        <w:tc>
          <w:tcPr>
            <w:tcW w:w="0" w:type="dxa"/>
            <w:vAlign w:val="bottom"/>
          </w:tcPr>
          <w:p>
            <w:pPr>
              <w:spacing w:after="0"/>
              <w:rPr>
                <w:sz w:val="1"/>
                <w:szCs w:val="1"/>
                <w:color w:val="auto"/>
              </w:rPr>
            </w:pPr>
          </w:p>
        </w:tc>
      </w:tr>
      <w:tr>
        <w:trPr>
          <w:trHeight w:val="164"/>
        </w:trPr>
        <w:tc>
          <w:tcPr>
            <w:tcW w:w="7860" w:type="dxa"/>
            <w:vAlign w:val="bottom"/>
          </w:tcPr>
          <w:p>
            <w:pPr>
              <w:ind w:left="20"/>
              <w:spacing w:after="0" w:line="146" w:lineRule="exact"/>
              <w:rPr>
                <w:sz w:val="20"/>
                <w:szCs w:val="20"/>
                <w:color w:val="auto"/>
              </w:rPr>
            </w:pPr>
            <w:r>
              <w:rPr>
                <w:rFonts w:ascii="Arial" w:cs="Arial" w:eastAsia="Arial" w:hAnsi="Arial"/>
                <w:sz w:val="13"/>
                <w:szCs w:val="13"/>
                <w:color w:val="auto"/>
              </w:rPr>
              <w:t>Commissions receivable - non-current</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793,174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733,161</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Operating lease ROU asset</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16,401</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19,317</w:t>
            </w:r>
          </w:p>
        </w:tc>
        <w:tc>
          <w:tcPr>
            <w:tcW w:w="0" w:type="dxa"/>
            <w:vAlign w:val="bottom"/>
          </w:tcPr>
          <w:p>
            <w:pPr>
              <w:spacing w:after="0"/>
              <w:rPr>
                <w:sz w:val="1"/>
                <w:szCs w:val="1"/>
                <w:color w:val="auto"/>
              </w:rPr>
            </w:pPr>
          </w:p>
        </w:tc>
      </w:tr>
      <w:tr>
        <w:trPr>
          <w:trHeight w:val="171"/>
        </w:trPr>
        <w:tc>
          <w:tcPr>
            <w:tcW w:w="7860" w:type="dxa"/>
            <w:vAlign w:val="bottom"/>
          </w:tcPr>
          <w:p>
            <w:pPr>
              <w:ind w:left="20"/>
              <w:spacing w:after="0"/>
              <w:rPr>
                <w:sz w:val="20"/>
                <w:szCs w:val="20"/>
                <w:color w:val="auto"/>
              </w:rPr>
            </w:pPr>
            <w:r>
              <w:rPr>
                <w:rFonts w:ascii="Arial" w:cs="Arial" w:eastAsia="Arial" w:hAnsi="Arial"/>
                <w:sz w:val="13"/>
                <w:szCs w:val="13"/>
                <w:color w:val="auto"/>
              </w:rPr>
              <w:t>Property, equipment, and capitalized software, net</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29,306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29,320</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Intangible assets, net</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278,983</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302,497</w:t>
            </w:r>
          </w:p>
        </w:tc>
        <w:tc>
          <w:tcPr>
            <w:tcW w:w="0" w:type="dxa"/>
            <w:vAlign w:val="bottom"/>
          </w:tcPr>
          <w:p>
            <w:pPr>
              <w:spacing w:after="0"/>
              <w:rPr>
                <w:sz w:val="1"/>
                <w:szCs w:val="1"/>
                <w:color w:val="auto"/>
              </w:rPr>
            </w:pPr>
          </w:p>
        </w:tc>
      </w:tr>
      <w:tr>
        <w:trPr>
          <w:trHeight w:val="171"/>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Other long-term assets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3,717</w:t>
            </w:r>
          </w:p>
        </w:tc>
        <w:tc>
          <w:tcPr>
            <w:tcW w:w="0" w:type="dxa"/>
            <w:vAlign w:val="bottom"/>
          </w:tcPr>
          <w:p>
            <w:pPr>
              <w:spacing w:after="0"/>
              <w:rPr>
                <w:sz w:val="1"/>
                <w:szCs w:val="1"/>
                <w:color w:val="auto"/>
              </w:rPr>
            </w:pPr>
          </w:p>
        </w:tc>
      </w:tr>
      <w:tr>
        <w:trPr>
          <w:trHeight w:val="19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assets</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1,382,067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1,488,423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b w:val="1"/>
                <w:bCs w:val="1"/>
                <w:color w:val="auto"/>
              </w:rPr>
              <w:t>Liabilities, Redeemable Convertible Preferred Stock and Stockholders’ Equity</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860" w:type="dxa"/>
            <w:vAlign w:val="bottom"/>
            <w:vMerge w:val="continue"/>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Current liabilities:</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Accounts payable</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20,297</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14,591</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Accrued liabilities</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82,240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121,346</w:t>
            </w:r>
          </w:p>
        </w:tc>
        <w:tc>
          <w:tcPr>
            <w:tcW w:w="0" w:type="dxa"/>
            <w:vAlign w:val="bottom"/>
          </w:tcPr>
          <w:p>
            <w:pPr>
              <w:spacing w:after="0"/>
              <w:rPr>
                <w:sz w:val="1"/>
                <w:szCs w:val="1"/>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Commissions payable - current</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58,894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98,771</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Short-term operating lease liability</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4,649</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5,705</w:t>
            </w:r>
          </w:p>
        </w:tc>
        <w:tc>
          <w:tcPr>
            <w:tcW w:w="0" w:type="dxa"/>
            <w:vAlign w:val="bottom"/>
          </w:tcPr>
          <w:p>
            <w:pPr>
              <w:spacing w:after="0"/>
              <w:rPr>
                <w:sz w:val="1"/>
                <w:szCs w:val="1"/>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Deferred revenue</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23,670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53,720</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Current portion of long-term debt</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39,500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39,500</w:t>
            </w:r>
          </w:p>
        </w:tc>
        <w:tc>
          <w:tcPr>
            <w:tcW w:w="0" w:type="dxa"/>
            <w:vAlign w:val="bottom"/>
          </w:tcPr>
          <w:p>
            <w:pPr>
              <w:spacing w:after="0"/>
              <w:rPr>
                <w:sz w:val="1"/>
                <w:szCs w:val="1"/>
                <w:color w:val="auto"/>
              </w:rPr>
            </w:pPr>
          </w:p>
        </w:tc>
      </w:tr>
      <w:tr>
        <w:trPr>
          <w:trHeight w:val="171"/>
        </w:trPr>
        <w:tc>
          <w:tcPr>
            <w:tcW w:w="7860" w:type="dxa"/>
            <w:vAlign w:val="bottom"/>
            <w:tcBorders>
              <w:bottom w:val="single" w:sz="8" w:color="CCEEFF"/>
            </w:tcBorders>
          </w:tcPr>
          <w:p>
            <w:pPr>
              <w:ind w:left="240"/>
              <w:spacing w:after="0"/>
              <w:rPr>
                <w:sz w:val="20"/>
                <w:szCs w:val="20"/>
                <w:color w:val="auto"/>
              </w:rPr>
            </w:pPr>
            <w:r>
              <w:rPr>
                <w:rFonts w:ascii="Arial" w:cs="Arial" w:eastAsia="Arial" w:hAnsi="Arial"/>
                <w:sz w:val="13"/>
                <w:szCs w:val="13"/>
                <w:color w:val="auto"/>
              </w:rPr>
              <w:t>Other current liabilities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4,419</w:t>
            </w:r>
          </w:p>
        </w:tc>
        <w:tc>
          <w:tcPr>
            <w:tcW w:w="0" w:type="dxa"/>
            <w:vAlign w:val="bottom"/>
          </w:tcPr>
          <w:p>
            <w:pPr>
              <w:spacing w:after="0"/>
              <w:rPr>
                <w:sz w:val="1"/>
                <w:szCs w:val="1"/>
                <w:color w:val="auto"/>
              </w:rPr>
            </w:pPr>
          </w:p>
        </w:tc>
      </w:tr>
      <w:tr>
        <w:trPr>
          <w:trHeight w:val="174"/>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233,399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338,052</w:t>
            </w:r>
          </w:p>
        </w:tc>
        <w:tc>
          <w:tcPr>
            <w:tcW w:w="0" w:type="dxa"/>
            <w:vAlign w:val="bottom"/>
          </w:tcPr>
          <w:p>
            <w:pPr>
              <w:spacing w:after="0"/>
              <w:rPr>
                <w:sz w:val="1"/>
                <w:szCs w:val="1"/>
                <w:color w:val="auto"/>
              </w:rPr>
            </w:pPr>
          </w:p>
        </w:tc>
      </w:tr>
      <w:tr>
        <w:trPr>
          <w:trHeight w:val="150"/>
        </w:trPr>
        <w:tc>
          <w:tcPr>
            <w:tcW w:w="7860" w:type="dxa"/>
            <w:vAlign w:val="bottom"/>
          </w:tcPr>
          <w:p>
            <w:pPr>
              <w:ind w:left="20"/>
              <w:spacing w:after="0" w:line="144" w:lineRule="exact"/>
              <w:rPr>
                <w:sz w:val="20"/>
                <w:szCs w:val="20"/>
                <w:color w:val="auto"/>
              </w:rPr>
            </w:pPr>
            <w:r>
              <w:rPr>
                <w:rFonts w:ascii="Arial" w:cs="Arial" w:eastAsia="Arial" w:hAnsi="Arial"/>
                <w:sz w:val="13"/>
                <w:szCs w:val="13"/>
                <w:i w:val="1"/>
                <w:iCs w:val="1"/>
                <w:color w:val="auto"/>
              </w:rPr>
              <w:t>Non-current liabilities:</w:t>
            </w: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Commissions payable - non-current</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188,477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177,656</w:t>
            </w:r>
          </w:p>
        </w:tc>
        <w:tc>
          <w:tcPr>
            <w:tcW w:w="0" w:type="dxa"/>
            <w:vAlign w:val="bottom"/>
          </w:tcPr>
          <w:p>
            <w:pPr>
              <w:spacing w:after="0"/>
              <w:rPr>
                <w:sz w:val="1"/>
                <w:szCs w:val="1"/>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Long-term operating lease liability</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33,056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34,900</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Deferred tax liability</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23,407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22,350</w:t>
            </w:r>
          </w:p>
        </w:tc>
        <w:tc>
          <w:tcPr>
            <w:tcW w:w="0" w:type="dxa"/>
            <w:vAlign w:val="bottom"/>
          </w:tcPr>
          <w:p>
            <w:pPr>
              <w:spacing w:after="0"/>
              <w:rPr>
                <w:sz w:val="1"/>
                <w:szCs w:val="1"/>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Long-term debt, net of current portion</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446,400</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447,865</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non-current liabilities</w:t>
            </w: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6,324</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9,200</w:t>
            </w:r>
          </w:p>
        </w:tc>
        <w:tc>
          <w:tcPr>
            <w:tcW w:w="0" w:type="dxa"/>
            <w:vAlign w:val="bottom"/>
          </w:tcPr>
          <w:p>
            <w:pPr>
              <w:spacing w:after="0"/>
              <w:rPr>
                <w:sz w:val="1"/>
                <w:szCs w:val="1"/>
                <w:color w:val="auto"/>
              </w:rPr>
            </w:pPr>
          </w:p>
        </w:tc>
      </w:tr>
      <w:tr>
        <w:trPr>
          <w:trHeight w:val="164"/>
        </w:trPr>
        <w:tc>
          <w:tcPr>
            <w:tcW w:w="786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Total non-current liabilities</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697,664</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691,971</w:t>
            </w:r>
          </w:p>
        </w:tc>
        <w:tc>
          <w:tcPr>
            <w:tcW w:w="0" w:type="dxa"/>
            <w:vAlign w:val="bottom"/>
          </w:tcPr>
          <w:p>
            <w:pPr>
              <w:spacing w:after="0"/>
              <w:rPr>
                <w:sz w:val="1"/>
                <w:szCs w:val="1"/>
                <w:color w:val="auto"/>
              </w:rPr>
            </w:pPr>
          </w:p>
        </w:tc>
      </w:tr>
      <w:tr>
        <w:trPr>
          <w:trHeight w:val="160"/>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Commitments and Contingencies (Note 11)</w:t>
            </w: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3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7860" w:type="dxa"/>
            <w:vAlign w:val="bottom"/>
          </w:tcPr>
          <w:p>
            <w:pPr>
              <w:ind w:left="240"/>
              <w:spacing w:after="0" w:line="131" w:lineRule="exact"/>
              <w:rPr>
                <w:sz w:val="20"/>
                <w:szCs w:val="20"/>
                <w:color w:val="auto"/>
              </w:rPr>
            </w:pPr>
            <w:r>
              <w:rPr>
                <w:rFonts w:ascii="Arial" w:cs="Arial" w:eastAsia="Arial" w:hAnsi="Arial"/>
                <w:sz w:val="13"/>
                <w:szCs w:val="13"/>
                <w:color w:val="auto"/>
                <w:w w:val="99"/>
              </w:rPr>
              <w:t>Series A redeemable convertible preferred stock — $0.0001 par value; 50 shares authorized; 50 shares issued and outstanding as of</w:t>
            </w:r>
          </w:p>
        </w:tc>
        <w:tc>
          <w:tcPr>
            <w:tcW w:w="260" w:type="dxa"/>
            <w:vAlign w:val="bottom"/>
          </w:tcPr>
          <w:p>
            <w:pPr>
              <w:spacing w:after="0"/>
              <w:rPr>
                <w:sz w:val="11"/>
                <w:szCs w:val="11"/>
                <w:color w:val="auto"/>
              </w:rPr>
            </w:pPr>
          </w:p>
        </w:tc>
        <w:tc>
          <w:tcPr>
            <w:tcW w:w="1380" w:type="dxa"/>
            <w:vAlign w:val="bottom"/>
          </w:tcPr>
          <w:p>
            <w:pPr>
              <w:jc w:val="right"/>
              <w:spacing w:after="0" w:line="131" w:lineRule="exact"/>
              <w:rPr>
                <w:sz w:val="20"/>
                <w:szCs w:val="20"/>
                <w:color w:val="auto"/>
              </w:rPr>
            </w:pPr>
            <w:r>
              <w:rPr>
                <w:rFonts w:ascii="Arial" w:cs="Arial" w:eastAsia="Arial" w:hAnsi="Arial"/>
                <w:sz w:val="13"/>
                <w:szCs w:val="13"/>
                <w:color w:val="auto"/>
              </w:rPr>
              <w:t>53,918</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right"/>
              <w:spacing w:after="0" w:line="131" w:lineRule="exact"/>
              <w:rPr>
                <w:sz w:val="20"/>
                <w:szCs w:val="20"/>
                <w:color w:val="auto"/>
              </w:rPr>
            </w:pPr>
            <w:r>
              <w:rPr>
                <w:rFonts w:ascii="Arial" w:cs="Arial" w:eastAsia="Arial" w:hAnsi="Arial"/>
                <w:sz w:val="13"/>
                <w:szCs w:val="13"/>
                <w:color w:val="auto"/>
              </w:rPr>
              <w:t>52,962</w:t>
            </w:r>
          </w:p>
        </w:tc>
        <w:tc>
          <w:tcPr>
            <w:tcW w:w="0" w:type="dxa"/>
            <w:vAlign w:val="bottom"/>
          </w:tcPr>
          <w:p>
            <w:pPr>
              <w:spacing w:after="0"/>
              <w:rPr>
                <w:sz w:val="1"/>
                <w:szCs w:val="1"/>
                <w:color w:val="auto"/>
              </w:rPr>
            </w:pPr>
          </w:p>
        </w:tc>
      </w:tr>
      <w:tr>
        <w:trPr>
          <w:trHeight w:val="126"/>
        </w:trPr>
        <w:tc>
          <w:tcPr>
            <w:tcW w:w="7860" w:type="dxa"/>
            <w:vAlign w:val="bottom"/>
          </w:tcPr>
          <w:p>
            <w:pPr>
              <w:ind w:left="240"/>
              <w:spacing w:after="0" w:line="126" w:lineRule="exact"/>
              <w:rPr>
                <w:sz w:val="20"/>
                <w:szCs w:val="20"/>
                <w:color w:val="auto"/>
              </w:rPr>
            </w:pPr>
            <w:r>
              <w:rPr>
                <w:rFonts w:ascii="Arial" w:cs="Arial" w:eastAsia="Arial" w:hAnsi="Arial"/>
                <w:sz w:val="13"/>
                <w:szCs w:val="13"/>
                <w:color w:val="auto"/>
              </w:rPr>
              <w:t>both March 31, 2025 and December 31, 2024. Liquidation preference of $55.6 million and $54.6 million as of March 31, 2025 and</w:t>
            </w:r>
          </w:p>
        </w:tc>
        <w:tc>
          <w:tcPr>
            <w:tcW w:w="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December 31, 2024, respectively.</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Stockholders’ equity:</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7860" w:type="dxa"/>
            <w:vAlign w:val="bottom"/>
          </w:tcPr>
          <w:p>
            <w:pPr>
              <w:ind w:left="240"/>
              <w:spacing w:after="0" w:line="131" w:lineRule="exact"/>
              <w:rPr>
                <w:sz w:val="20"/>
                <w:szCs w:val="20"/>
                <w:color w:val="auto"/>
              </w:rPr>
            </w:pPr>
            <w:r>
              <w:rPr>
                <w:rFonts w:ascii="Arial" w:cs="Arial" w:eastAsia="Arial" w:hAnsi="Arial"/>
                <w:sz w:val="13"/>
                <w:szCs w:val="13"/>
                <w:color w:val="auto"/>
              </w:rPr>
              <w:t>Class A common stock – $0.0001 par value; 1,100,000 shares authorized; 10,930 and 10,614 shares issued; 10,546 and 10,292</w:t>
            </w:r>
          </w:p>
        </w:tc>
        <w:tc>
          <w:tcPr>
            <w:tcW w:w="260" w:type="dxa"/>
            <w:vAlign w:val="bottom"/>
          </w:tcPr>
          <w:p>
            <w:pPr>
              <w:spacing w:after="0"/>
              <w:rPr>
                <w:sz w:val="11"/>
                <w:szCs w:val="11"/>
                <w:color w:val="auto"/>
              </w:rPr>
            </w:pPr>
          </w:p>
        </w:tc>
        <w:tc>
          <w:tcPr>
            <w:tcW w:w="1380" w:type="dxa"/>
            <w:vAlign w:val="bottom"/>
          </w:tcPr>
          <w:p>
            <w:pPr>
              <w:jc w:val="right"/>
              <w:spacing w:after="0" w:line="131" w:lineRule="exact"/>
              <w:rPr>
                <w:sz w:val="20"/>
                <w:szCs w:val="20"/>
                <w:color w:val="auto"/>
              </w:rPr>
            </w:pPr>
            <w:r>
              <w:rPr>
                <w:rFonts w:ascii="Arial" w:cs="Arial" w:eastAsia="Arial" w:hAnsi="Arial"/>
                <w:sz w:val="13"/>
                <w:szCs w:val="13"/>
                <w:color w:val="auto"/>
              </w:rPr>
              <w:t>1</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380" w:type="dxa"/>
            <w:vAlign w:val="bottom"/>
          </w:tcPr>
          <w:p>
            <w:pPr>
              <w:jc w:val="right"/>
              <w:spacing w:after="0" w:line="131"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73"/>
        </w:trPr>
        <w:tc>
          <w:tcPr>
            <w:tcW w:w="7860" w:type="dxa"/>
            <w:vAlign w:val="bottom"/>
          </w:tcPr>
          <w:p>
            <w:pPr>
              <w:ind w:left="240"/>
              <w:spacing w:after="0"/>
              <w:rPr>
                <w:sz w:val="20"/>
                <w:szCs w:val="20"/>
                <w:color w:val="auto"/>
              </w:rPr>
            </w:pPr>
            <w:r>
              <w:rPr>
                <w:rFonts w:ascii="Arial" w:cs="Arial" w:eastAsia="Arial" w:hAnsi="Arial"/>
                <w:sz w:val="13"/>
                <w:szCs w:val="13"/>
                <w:color w:val="auto"/>
              </w:rPr>
              <w:t>shares outstanding as of March 31, 2025 and December 31, 2023, respectively.</w:t>
            </w: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860" w:type="dxa"/>
            <w:vAlign w:val="bottom"/>
            <w:shd w:val="clear" w:color="auto" w:fill="CCEEFF"/>
          </w:tcPr>
          <w:p>
            <w:pPr>
              <w:ind w:left="240"/>
              <w:spacing w:after="0" w:line="138" w:lineRule="exact"/>
              <w:rPr>
                <w:sz w:val="20"/>
                <w:szCs w:val="20"/>
                <w:color w:val="auto"/>
              </w:rPr>
            </w:pPr>
            <w:r>
              <w:rPr>
                <w:rFonts w:ascii="Arial" w:cs="Arial" w:eastAsia="Arial" w:hAnsi="Arial"/>
                <w:sz w:val="13"/>
                <w:szCs w:val="13"/>
                <w:color w:val="auto"/>
              </w:rPr>
              <w:t>Class B common stock – $0.0001 par value; 615,830 and 615,917 shares authorized; 12,623 and 12,711 shares issued and</w:t>
            </w:r>
          </w:p>
        </w:tc>
        <w:tc>
          <w:tcPr>
            <w:tcW w:w="260" w:type="dxa"/>
            <w:vAlign w:val="bottom"/>
            <w:shd w:val="clear" w:color="auto" w:fill="CCEEFF"/>
          </w:tcPr>
          <w:p>
            <w:pPr>
              <w:spacing w:after="0"/>
              <w:rPr>
                <w:sz w:val="11"/>
                <w:szCs w:val="11"/>
                <w:color w:val="auto"/>
              </w:rPr>
            </w:pPr>
          </w:p>
        </w:tc>
        <w:tc>
          <w:tcPr>
            <w:tcW w:w="13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380" w:type="dxa"/>
            <w:vAlign w:val="bottom"/>
            <w:shd w:val="clear" w:color="auto" w:fill="CCEEFF"/>
          </w:tcPr>
          <w:p>
            <w:pPr>
              <w:jc w:val="right"/>
              <w:spacing w:after="0" w:line="138" w:lineRule="exact"/>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outstanding as of March 31, 2025 and December 31, 2024, respectively.</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1"/>
        </w:trPr>
        <w:tc>
          <w:tcPr>
            <w:tcW w:w="7860" w:type="dxa"/>
            <w:vAlign w:val="bottom"/>
          </w:tcPr>
          <w:p>
            <w:pPr>
              <w:ind w:left="240"/>
              <w:spacing w:after="0" w:line="131" w:lineRule="exact"/>
              <w:rPr>
                <w:sz w:val="20"/>
                <w:szCs w:val="20"/>
                <w:color w:val="auto"/>
              </w:rPr>
            </w:pPr>
            <w:r>
              <w:rPr>
                <w:rFonts w:ascii="Arial" w:cs="Arial" w:eastAsia="Arial" w:hAnsi="Arial"/>
                <w:sz w:val="13"/>
                <w:szCs w:val="13"/>
                <w:color w:val="auto"/>
              </w:rPr>
              <w:t>Preferred stock – $0.0001 par value; 20,000 shares authorized (including 50 shares of Series A redeemable convertible preferred</w:t>
            </w:r>
          </w:p>
        </w:tc>
        <w:tc>
          <w:tcPr>
            <w:tcW w:w="260" w:type="dxa"/>
            <w:vAlign w:val="bottom"/>
          </w:tcPr>
          <w:p>
            <w:pPr>
              <w:spacing w:after="0"/>
              <w:rPr>
                <w:sz w:val="11"/>
                <w:szCs w:val="11"/>
                <w:color w:val="auto"/>
              </w:rPr>
            </w:pPr>
          </w:p>
        </w:tc>
        <w:tc>
          <w:tcPr>
            <w:tcW w:w="1480" w:type="dxa"/>
            <w:vAlign w:val="bottom"/>
            <w:gridSpan w:val="2"/>
          </w:tcPr>
          <w:p>
            <w:pPr>
              <w:jc w:val="right"/>
              <w:ind w:right="160"/>
              <w:spacing w:after="0" w:line="131" w:lineRule="exact"/>
              <w:rPr>
                <w:sz w:val="20"/>
                <w:szCs w:val="20"/>
                <w:color w:val="auto"/>
              </w:rPr>
            </w:pPr>
            <w:r>
              <w:rPr>
                <w:rFonts w:ascii="Arial" w:cs="Arial" w:eastAsia="Arial" w:hAnsi="Arial"/>
                <w:sz w:val="13"/>
                <w:szCs w:val="13"/>
                <w:color w:val="auto"/>
              </w:rPr>
              <w:t>—</w:t>
            </w:r>
          </w:p>
        </w:tc>
        <w:tc>
          <w:tcPr>
            <w:tcW w:w="260" w:type="dxa"/>
            <w:vAlign w:val="bottom"/>
          </w:tcPr>
          <w:p>
            <w:pPr>
              <w:spacing w:after="0"/>
              <w:rPr>
                <w:sz w:val="11"/>
                <w:szCs w:val="11"/>
                <w:color w:val="auto"/>
              </w:rPr>
            </w:pPr>
          </w:p>
        </w:tc>
        <w:tc>
          <w:tcPr>
            <w:tcW w:w="1380" w:type="dxa"/>
            <w:vAlign w:val="bottom"/>
          </w:tcPr>
          <w:p>
            <w:pPr>
              <w:jc w:val="right"/>
              <w:spacing w:after="0" w:line="131"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26"/>
        </w:trPr>
        <w:tc>
          <w:tcPr>
            <w:tcW w:w="7860" w:type="dxa"/>
            <w:vAlign w:val="bottom"/>
          </w:tcPr>
          <w:p>
            <w:pPr>
              <w:ind w:left="240"/>
              <w:spacing w:after="0" w:line="126" w:lineRule="exact"/>
              <w:rPr>
                <w:sz w:val="20"/>
                <w:szCs w:val="20"/>
                <w:color w:val="auto"/>
              </w:rPr>
            </w:pPr>
            <w:r>
              <w:rPr>
                <w:rFonts w:ascii="Arial" w:cs="Arial" w:eastAsia="Arial" w:hAnsi="Arial"/>
                <w:sz w:val="13"/>
                <w:szCs w:val="13"/>
                <w:color w:val="auto"/>
              </w:rPr>
              <w:t>stock authorized and 200 shares of Series A-1 convertible preferred stock authorized); 50 shares issued and outstanding as of both</w:t>
            </w:r>
          </w:p>
        </w:tc>
        <w:tc>
          <w:tcPr>
            <w:tcW w:w="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March 31, 2025 and December 31, 2024.</w:t>
            </w: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860" w:type="dxa"/>
            <w:vAlign w:val="bottom"/>
            <w:shd w:val="clear" w:color="auto" w:fill="CCEEFF"/>
          </w:tcPr>
          <w:p>
            <w:pPr>
              <w:ind w:left="240"/>
              <w:spacing w:after="0" w:line="136" w:lineRule="exact"/>
              <w:rPr>
                <w:sz w:val="20"/>
                <w:szCs w:val="20"/>
                <w:color w:val="auto"/>
              </w:rPr>
            </w:pPr>
            <w:r>
              <w:rPr>
                <w:rFonts w:ascii="Arial" w:cs="Arial" w:eastAsia="Arial" w:hAnsi="Arial"/>
                <w:sz w:val="13"/>
                <w:szCs w:val="13"/>
                <w:color w:val="auto"/>
              </w:rPr>
              <w:t>Series A-1 convertible preferred stock— $0.0001 par value; 200 shares authorized; no shares issued and outstanding as of both</w:t>
            </w:r>
          </w:p>
        </w:tc>
        <w:tc>
          <w:tcPr>
            <w:tcW w:w="260" w:type="dxa"/>
            <w:vAlign w:val="bottom"/>
            <w:shd w:val="clear" w:color="auto" w:fill="CCEEFF"/>
          </w:tcPr>
          <w:p>
            <w:pPr>
              <w:spacing w:after="0"/>
              <w:rPr>
                <w:sz w:val="11"/>
                <w:szCs w:val="11"/>
                <w:color w:val="auto"/>
              </w:rPr>
            </w:pPr>
          </w:p>
        </w:tc>
        <w:tc>
          <w:tcPr>
            <w:tcW w:w="1480" w:type="dxa"/>
            <w:vAlign w:val="bottom"/>
            <w:gridSpan w:val="2"/>
            <w:shd w:val="clear" w:color="auto" w:fill="CCEEFF"/>
          </w:tcPr>
          <w:p>
            <w:pPr>
              <w:jc w:val="right"/>
              <w:ind w:right="160"/>
              <w:spacing w:after="0" w:line="136" w:lineRule="exact"/>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1"/>
                <w:szCs w:val="11"/>
                <w:color w:val="auto"/>
              </w:rPr>
            </w:pPr>
          </w:p>
        </w:tc>
        <w:tc>
          <w:tcPr>
            <w:tcW w:w="1380" w:type="dxa"/>
            <w:vAlign w:val="bottom"/>
            <w:shd w:val="clear" w:color="auto" w:fill="CCEEFF"/>
          </w:tcPr>
          <w:p>
            <w:pPr>
              <w:jc w:val="right"/>
              <w:spacing w:after="0" w:line="136"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March 31, 2025 and December 31, 2024.</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Treasury stock – at cost; 384 and 322 shares of Class A common stock as of March 31, 2025 and December 31, 2024, respectively.</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(4,972)</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(4,150)</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Additional paid-in capital</w:t>
            </w: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674,420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669,346</w:t>
            </w:r>
          </w:p>
        </w:tc>
        <w:tc>
          <w:tcPr>
            <w:tcW w:w="0" w:type="dxa"/>
            <w:vAlign w:val="bottom"/>
          </w:tcPr>
          <w:p>
            <w:pPr>
              <w:spacing w:after="0"/>
              <w:rPr>
                <w:sz w:val="1"/>
                <w:szCs w:val="1"/>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Accumulated other comprehensive income (loss)</w:t>
            </w: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(205)</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3"/>
                <w:szCs w:val="13"/>
                <w:color w:val="auto"/>
              </w:rPr>
              <w:t>(151)</w:t>
            </w:r>
          </w:p>
        </w:tc>
        <w:tc>
          <w:tcPr>
            <w:tcW w:w="0" w:type="dxa"/>
            <w:vAlign w:val="bottom"/>
          </w:tcPr>
          <w:p>
            <w:pPr>
              <w:spacing w:after="0"/>
              <w:rPr>
                <w:sz w:val="1"/>
                <w:szCs w:val="1"/>
                <w:color w:val="auto"/>
              </w:rPr>
            </w:pP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Accumulated deficit</w:t>
            </w: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(427,616)</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(423,208)</w:t>
            </w:r>
          </w:p>
        </w:tc>
        <w:tc>
          <w:tcPr>
            <w:tcW w:w="0" w:type="dxa"/>
            <w:vAlign w:val="bottom"/>
          </w:tcPr>
          <w:p>
            <w:pPr>
              <w:spacing w:after="0"/>
              <w:rPr>
                <w:sz w:val="1"/>
                <w:szCs w:val="1"/>
                <w:color w:val="auto"/>
              </w:rPr>
            </w:pPr>
          </w:p>
        </w:tc>
      </w:tr>
      <w:tr>
        <w:trPr>
          <w:trHeight w:val="164"/>
        </w:trPr>
        <w:tc>
          <w:tcPr>
            <w:tcW w:w="786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Total stockholders’ equity attributable to GoHealth, Inc.</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241,629</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241,839</w:t>
            </w:r>
          </w:p>
        </w:tc>
        <w:tc>
          <w:tcPr>
            <w:tcW w:w="0" w:type="dxa"/>
            <w:vAlign w:val="bottom"/>
          </w:tcPr>
          <w:p>
            <w:pPr>
              <w:spacing w:after="0"/>
              <w:rPr>
                <w:sz w:val="1"/>
                <w:szCs w:val="1"/>
                <w:color w:val="auto"/>
              </w:rPr>
            </w:pPr>
          </w:p>
        </w:tc>
      </w:tr>
      <w:tr>
        <w:trPr>
          <w:trHeight w:val="174"/>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Non-controlling interests</w:t>
            </w: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155,457</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163,599</w:t>
            </w:r>
          </w:p>
        </w:tc>
        <w:tc>
          <w:tcPr>
            <w:tcW w:w="0" w:type="dxa"/>
            <w:vAlign w:val="bottom"/>
          </w:tcPr>
          <w:p>
            <w:pPr>
              <w:spacing w:after="0"/>
              <w:rPr>
                <w:sz w:val="1"/>
                <w:szCs w:val="1"/>
                <w:color w:val="auto"/>
              </w:rPr>
            </w:pPr>
          </w:p>
        </w:tc>
      </w:tr>
      <w:tr>
        <w:trPr>
          <w:trHeight w:val="164"/>
        </w:trPr>
        <w:tc>
          <w:tcPr>
            <w:tcW w:w="786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Total stockholders’ equity</w:t>
            </w: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397,086</w:t>
            </w:r>
          </w:p>
        </w:tc>
        <w:tc>
          <w:tcPr>
            <w:tcW w:w="10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405,438</w:t>
            </w:r>
          </w:p>
        </w:tc>
        <w:tc>
          <w:tcPr>
            <w:tcW w:w="0" w:type="dxa"/>
            <w:vAlign w:val="bottom"/>
          </w:tcPr>
          <w:p>
            <w:pPr>
              <w:spacing w:after="0"/>
              <w:rPr>
                <w:sz w:val="1"/>
                <w:szCs w:val="1"/>
                <w:color w:val="auto"/>
              </w:rPr>
            </w:pPr>
          </w:p>
        </w:tc>
      </w:tr>
      <w:tr>
        <w:trPr>
          <w:trHeight w:val="197"/>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Total liabilities, redeemable convertible preferred stock and stockholders’ equity</w:t>
            </w: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1,382,067</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3"/>
                <w:szCs w:val="13"/>
                <w:b w:val="1"/>
                <w:bCs w:val="1"/>
                <w:color w:val="auto"/>
                <w:w w:val="82"/>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1,488,423</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6</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right="260"/>
        <w:spacing w:after="0" w:line="333" w:lineRule="auto"/>
        <w:rPr>
          <w:sz w:val="20"/>
          <w:szCs w:val="20"/>
          <w:color w:val="auto"/>
        </w:rPr>
      </w:pPr>
      <w:r>
        <w:rPr>
          <w:rFonts w:ascii="Arial" w:cs="Arial" w:eastAsia="Arial" w:hAnsi="Arial"/>
          <w:sz w:val="11"/>
          <w:szCs w:val="11"/>
          <w:b w:val="1"/>
          <w:bCs w:val="1"/>
          <w:color w:val="auto"/>
        </w:rPr>
        <w:t xml:space="preserve">Balance at Jan. 1, 2025 </w:t>
      </w:r>
      <w:r>
        <w:rPr>
          <w:rFonts w:ascii="Arial" w:cs="Arial" w:eastAsia="Arial" w:hAnsi="Arial"/>
          <w:sz w:val="11"/>
          <w:szCs w:val="11"/>
          <w:color w:val="auto"/>
        </w:rPr>
        <w:t>Net income (loss)</w:t>
      </w:r>
    </w:p>
    <w:p>
      <w:pPr>
        <w:jc w:val="both"/>
        <w:ind w:left="20"/>
        <w:spacing w:after="0" w:line="226" w:lineRule="auto"/>
        <w:rPr>
          <w:sz w:val="20"/>
          <w:szCs w:val="20"/>
          <w:color w:val="auto"/>
        </w:rPr>
      </w:pPr>
      <w:r>
        <w:rPr>
          <w:rFonts w:ascii="Arial" w:cs="Arial" w:eastAsia="Arial" w:hAnsi="Arial"/>
          <w:sz w:val="11"/>
          <w:szCs w:val="11"/>
          <w:color w:val="auto"/>
        </w:rPr>
        <w:t>Issuance of Class A common shares related to share-based compensation plans</w:t>
      </w:r>
    </w:p>
    <w:p>
      <w:pPr>
        <w:spacing w:after="0" w:line="21" w:lineRule="exact"/>
        <w:rPr>
          <w:sz w:val="20"/>
          <w:szCs w:val="20"/>
          <w:color w:val="auto"/>
        </w:rPr>
      </w:pPr>
    </w:p>
    <w:p>
      <w:pPr>
        <w:ind w:left="20" w:right="120"/>
        <w:spacing w:after="0" w:line="236" w:lineRule="auto"/>
        <w:rPr>
          <w:sz w:val="20"/>
          <w:szCs w:val="20"/>
          <w:color w:val="auto"/>
        </w:rPr>
      </w:pPr>
      <w:r>
        <w:rPr>
          <w:rFonts w:ascii="Arial" w:cs="Arial" w:eastAsia="Arial" w:hAnsi="Arial"/>
          <w:sz w:val="11"/>
          <w:szCs w:val="11"/>
          <w:color w:val="auto"/>
        </w:rPr>
        <w:t>Share-based compensation expense</w:t>
      </w:r>
    </w:p>
    <w:p>
      <w:pPr>
        <w:spacing w:after="0" w:line="21" w:lineRule="exact"/>
        <w:rPr>
          <w:sz w:val="20"/>
          <w:szCs w:val="20"/>
          <w:color w:val="auto"/>
        </w:rPr>
      </w:pPr>
    </w:p>
    <w:p>
      <w:pPr>
        <w:ind w:left="20" w:right="100"/>
        <w:spacing w:after="0" w:line="236" w:lineRule="auto"/>
        <w:rPr>
          <w:sz w:val="20"/>
          <w:szCs w:val="20"/>
          <w:color w:val="auto"/>
        </w:rPr>
      </w:pPr>
      <w:r>
        <w:rPr>
          <w:rFonts w:ascii="Arial" w:cs="Arial" w:eastAsia="Arial" w:hAnsi="Arial"/>
          <w:sz w:val="11"/>
          <w:szCs w:val="11"/>
          <w:color w:val="auto"/>
        </w:rPr>
        <w:t>Foreign currency translation adjustments</w:t>
      </w:r>
    </w:p>
    <w:p>
      <w:pPr>
        <w:spacing w:after="0" w:line="21" w:lineRule="exact"/>
        <w:rPr>
          <w:sz w:val="20"/>
          <w:szCs w:val="20"/>
          <w:color w:val="auto"/>
        </w:rPr>
      </w:pPr>
    </w:p>
    <w:p>
      <w:pPr>
        <w:ind w:left="20"/>
        <w:spacing w:after="0" w:line="226" w:lineRule="auto"/>
        <w:rPr>
          <w:sz w:val="20"/>
          <w:szCs w:val="20"/>
          <w:color w:val="auto"/>
        </w:rPr>
      </w:pPr>
      <w:r>
        <w:rPr>
          <w:rFonts w:ascii="Arial" w:cs="Arial" w:eastAsia="Arial" w:hAnsi="Arial"/>
          <w:sz w:val="11"/>
          <w:szCs w:val="11"/>
          <w:color w:val="auto"/>
        </w:rPr>
        <w:t>Class A common shares repurchased for employee tax withholdings</w:t>
      </w:r>
    </w:p>
    <w:p>
      <w:pPr>
        <w:spacing w:after="0" w:line="21" w:lineRule="exact"/>
        <w:rPr>
          <w:sz w:val="20"/>
          <w:szCs w:val="20"/>
          <w:color w:val="auto"/>
        </w:rPr>
      </w:pPr>
    </w:p>
    <w:p>
      <w:pPr>
        <w:ind w:left="20" w:right="160"/>
        <w:spacing w:after="0" w:line="253" w:lineRule="auto"/>
        <w:rPr>
          <w:sz w:val="20"/>
          <w:szCs w:val="20"/>
          <w:color w:val="auto"/>
        </w:rPr>
      </w:pPr>
      <w:r>
        <w:rPr>
          <w:rFonts w:ascii="Arial" w:cs="Arial" w:eastAsia="Arial" w:hAnsi="Arial"/>
          <w:sz w:val="10"/>
          <w:szCs w:val="10"/>
          <w:color w:val="auto"/>
        </w:rPr>
        <w:t>Dividends accumulated on Series A redeemable convertible preferred stock</w:t>
      </w:r>
    </w:p>
    <w:p>
      <w:pPr>
        <w:spacing w:after="0" w:line="14" w:lineRule="exact"/>
        <w:rPr>
          <w:sz w:val="20"/>
          <w:szCs w:val="20"/>
          <w:color w:val="auto"/>
        </w:rPr>
      </w:pPr>
    </w:p>
    <w:p>
      <w:pPr>
        <w:ind w:left="20" w:right="60"/>
        <w:spacing w:after="0" w:line="406" w:lineRule="auto"/>
        <w:rPr>
          <w:sz w:val="20"/>
          <w:szCs w:val="20"/>
          <w:color w:val="auto"/>
        </w:rPr>
      </w:pPr>
      <w:r>
        <w:rPr>
          <w:rFonts w:ascii="Arial" w:cs="Arial" w:eastAsia="Arial" w:hAnsi="Arial"/>
          <w:sz w:val="10"/>
          <w:szCs w:val="10"/>
          <w:color w:val="auto"/>
        </w:rPr>
        <w:t xml:space="preserve">Redemption of LLC Interests </w:t>
      </w:r>
      <w:r>
        <w:rPr>
          <w:rFonts w:ascii="Arial" w:cs="Arial" w:eastAsia="Arial" w:hAnsi="Arial"/>
          <w:sz w:val="10"/>
          <w:szCs w:val="10"/>
          <w:b w:val="1"/>
          <w:bCs w:val="1"/>
          <w:color w:val="auto"/>
        </w:rPr>
        <w:t>Balance at Mar. 31, 2025</w:t>
      </w:r>
    </w:p>
    <w:p>
      <w:pPr>
        <w:spacing w:after="0" w:line="20" w:lineRule="exact"/>
        <w:rPr>
          <w:sz w:val="20"/>
          <w:szCs w:val="20"/>
          <w:color w:val="auto"/>
        </w:rPr>
      </w:pPr>
      <w:r>
        <w:rPr>
          <w:sz w:val="20"/>
          <w:szCs w:val="20"/>
          <w:color w:val="auto"/>
        </w:rPr>
        <w:br w:type="column"/>
      </w:r>
    </w:p>
    <w:p>
      <w:pPr>
        <w:jc w:val="center"/>
        <w:ind w:right="1640"/>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ind w:right="1640"/>
        <w:spacing w:after="0"/>
        <w:rPr>
          <w:sz w:val="20"/>
          <w:szCs w:val="20"/>
          <w:color w:val="auto"/>
        </w:rPr>
      </w:pPr>
      <w:r>
        <w:rPr>
          <w:rFonts w:ascii="Arial" w:cs="Arial" w:eastAsia="Arial" w:hAnsi="Arial"/>
          <w:sz w:val="16"/>
          <w:szCs w:val="16"/>
          <w:b w:val="1"/>
          <w:bCs w:val="1"/>
          <w:color w:val="00497F"/>
        </w:rPr>
        <w:t>CONDENSED CONSOLIDATED STATEMENTS OF CHANGES IN STOCKHOLDERS’ EQUITY</w:t>
      </w:r>
    </w:p>
    <w:p>
      <w:pPr>
        <w:spacing w:after="0" w:line="75" w:lineRule="exact"/>
        <w:rPr>
          <w:sz w:val="20"/>
          <w:szCs w:val="20"/>
          <w:color w:val="auto"/>
        </w:rPr>
      </w:pPr>
    </w:p>
    <w:p>
      <w:pPr>
        <w:ind w:left="3060"/>
        <w:spacing w:after="0"/>
        <w:rPr>
          <w:sz w:val="20"/>
          <w:szCs w:val="20"/>
          <w:color w:val="auto"/>
        </w:rPr>
      </w:pPr>
      <w:r>
        <w:rPr>
          <w:rFonts w:ascii="Arial" w:cs="Arial" w:eastAsia="Arial" w:hAnsi="Arial"/>
          <w:sz w:val="16"/>
          <w:szCs w:val="16"/>
          <w:i w:val="1"/>
          <w:iCs w:val="1"/>
          <w:color w:val="00497F"/>
        </w:rPr>
        <w:t>(in thousands, unaudited)</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Three months ended Mar. 31, 2025</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360" w:type="dxa"/>
            <w:vAlign w:val="bottom"/>
            <w:tcBorders>
              <w:top w:val="single" w:sz="8" w:color="auto"/>
              <w:bottom w:val="single" w:sz="8" w:color="auto"/>
            </w:tcBorders>
            <w:gridSpan w:val="4"/>
          </w:tcPr>
          <w:p>
            <w:pPr>
              <w:jc w:val="right"/>
              <w:ind w:right="26"/>
              <w:spacing w:after="0"/>
              <w:rPr>
                <w:sz w:val="20"/>
                <w:szCs w:val="20"/>
                <w:color w:val="auto"/>
              </w:rPr>
            </w:pPr>
            <w:r>
              <w:rPr>
                <w:rFonts w:ascii="Arial" w:cs="Arial" w:eastAsia="Arial" w:hAnsi="Arial"/>
                <w:sz w:val="11"/>
                <w:szCs w:val="11"/>
                <w:b w:val="1"/>
                <w:bCs w:val="1"/>
                <w:color w:val="auto"/>
              </w:rPr>
              <w:t>Class A Common Stock</w:t>
            </w:r>
          </w:p>
        </w:tc>
        <w:tc>
          <w:tcPr>
            <w:tcW w:w="80" w:type="dxa"/>
            <w:vAlign w:val="bottom"/>
            <w:tcBorders>
              <w:top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4"/>
          </w:tcPr>
          <w:p>
            <w:pPr>
              <w:jc w:val="right"/>
              <w:ind w:right="6"/>
              <w:spacing w:after="0"/>
              <w:rPr>
                <w:sz w:val="20"/>
                <w:szCs w:val="20"/>
                <w:color w:val="auto"/>
              </w:rPr>
            </w:pPr>
            <w:r>
              <w:rPr>
                <w:rFonts w:ascii="Arial" w:cs="Arial" w:eastAsia="Arial" w:hAnsi="Arial"/>
                <w:sz w:val="11"/>
                <w:szCs w:val="11"/>
                <w:b w:val="1"/>
                <w:bCs w:val="1"/>
                <w:color w:val="auto"/>
              </w:rPr>
              <w:t>Class B Common Stock</w:t>
            </w: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4"/>
          </w:tcPr>
          <w:p>
            <w:pPr>
              <w:jc w:val="right"/>
              <w:ind w:right="246"/>
              <w:spacing w:after="0"/>
              <w:rPr>
                <w:sz w:val="20"/>
                <w:szCs w:val="20"/>
                <w:color w:val="auto"/>
              </w:rPr>
            </w:pPr>
            <w:r>
              <w:rPr>
                <w:rFonts w:ascii="Arial" w:cs="Arial" w:eastAsia="Arial" w:hAnsi="Arial"/>
                <w:sz w:val="11"/>
                <w:szCs w:val="11"/>
                <w:b w:val="1"/>
                <w:bCs w:val="1"/>
                <w:color w:val="auto"/>
              </w:rPr>
              <w:t>Treasury Stock</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r>
        <w:trPr>
          <w:trHeight w:val="108"/>
        </w:trPr>
        <w:tc>
          <w:tcPr>
            <w:tcW w:w="720" w:type="dxa"/>
            <w:vAlign w:val="bottom"/>
            <w:gridSpan w:val="2"/>
          </w:tcPr>
          <w:p>
            <w:pPr>
              <w:ind w:left="140"/>
              <w:spacing w:after="0" w:line="108" w:lineRule="exact"/>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62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Amount</w:t>
            </w:r>
          </w:p>
        </w:tc>
        <w:tc>
          <w:tcPr>
            <w:tcW w:w="720" w:type="dxa"/>
            <w:vAlign w:val="bottom"/>
            <w:gridSpan w:val="2"/>
          </w:tcPr>
          <w:p>
            <w:pPr>
              <w:ind w:left="140"/>
              <w:spacing w:after="0" w:line="108" w:lineRule="exact"/>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64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Amount</w:t>
            </w:r>
          </w:p>
        </w:tc>
        <w:tc>
          <w:tcPr>
            <w:tcW w:w="720" w:type="dxa"/>
            <w:vAlign w:val="bottom"/>
            <w:gridSpan w:val="2"/>
          </w:tcPr>
          <w:p>
            <w:pPr>
              <w:ind w:left="120"/>
              <w:spacing w:after="0" w:line="108" w:lineRule="exact"/>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62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Amount</w:t>
            </w:r>
          </w:p>
        </w:tc>
        <w:tc>
          <w:tcPr>
            <w:tcW w:w="1040" w:type="dxa"/>
            <w:vAlign w:val="bottom"/>
            <w:gridSpan w:val="3"/>
          </w:tcPr>
          <w:p>
            <w:pPr>
              <w:jc w:val="center"/>
              <w:ind w:right="60"/>
              <w:spacing w:after="0" w:line="108" w:lineRule="exact"/>
              <w:rPr>
                <w:sz w:val="20"/>
                <w:szCs w:val="20"/>
                <w:color w:val="auto"/>
              </w:rPr>
            </w:pPr>
            <w:r>
              <w:rPr>
                <w:rFonts w:ascii="Arial" w:cs="Arial" w:eastAsia="Arial" w:hAnsi="Arial"/>
                <w:sz w:val="11"/>
                <w:szCs w:val="11"/>
                <w:b w:val="1"/>
                <w:bCs w:val="1"/>
                <w:color w:val="auto"/>
                <w:w w:val="97"/>
              </w:rPr>
              <w:t>Additional Paid-</w:t>
            </w:r>
          </w:p>
        </w:tc>
        <w:tc>
          <w:tcPr>
            <w:tcW w:w="120" w:type="dxa"/>
            <w:vAlign w:val="bottom"/>
          </w:tcPr>
          <w:p>
            <w:pPr>
              <w:spacing w:after="0"/>
              <w:rPr>
                <w:sz w:val="9"/>
                <w:szCs w:val="9"/>
                <w:color w:val="auto"/>
              </w:rPr>
            </w:pPr>
          </w:p>
        </w:tc>
        <w:tc>
          <w:tcPr>
            <w:tcW w:w="960" w:type="dxa"/>
            <w:vAlign w:val="bottom"/>
            <w:gridSpan w:val="2"/>
          </w:tcPr>
          <w:p>
            <w:pPr>
              <w:jc w:val="center"/>
              <w:ind w:right="200"/>
              <w:spacing w:after="0" w:line="108" w:lineRule="exact"/>
              <w:rPr>
                <w:sz w:val="20"/>
                <w:szCs w:val="20"/>
                <w:color w:val="auto"/>
              </w:rPr>
            </w:pPr>
            <w:r>
              <w:rPr>
                <w:rFonts w:ascii="Arial" w:cs="Arial" w:eastAsia="Arial" w:hAnsi="Arial"/>
                <w:sz w:val="11"/>
                <w:szCs w:val="11"/>
                <w:b w:val="1"/>
                <w:bCs w:val="1"/>
                <w:color w:val="auto"/>
                <w:w w:val="98"/>
              </w:rPr>
              <w:t>Accumulated</w:t>
            </w:r>
          </w:p>
        </w:tc>
        <w:tc>
          <w:tcPr>
            <w:tcW w:w="1160" w:type="dxa"/>
            <w:vAlign w:val="bottom"/>
            <w:gridSpan w:val="3"/>
          </w:tcPr>
          <w:p>
            <w:pPr>
              <w:jc w:val="center"/>
              <w:ind w:right="80"/>
              <w:spacing w:after="0" w:line="108" w:lineRule="exact"/>
              <w:rPr>
                <w:sz w:val="20"/>
                <w:szCs w:val="20"/>
                <w:color w:val="auto"/>
              </w:rPr>
            </w:pPr>
            <w:r>
              <w:rPr>
                <w:rFonts w:ascii="Arial" w:cs="Arial" w:eastAsia="Arial" w:hAnsi="Arial"/>
                <w:sz w:val="11"/>
                <w:szCs w:val="11"/>
                <w:b w:val="1"/>
                <w:bCs w:val="1"/>
                <w:color w:val="auto"/>
                <w:w w:val="98"/>
              </w:rPr>
              <w:t>Accumulated Other</w:t>
            </w:r>
          </w:p>
        </w:tc>
        <w:tc>
          <w:tcPr>
            <w:tcW w:w="1000" w:type="dxa"/>
            <w:vAlign w:val="bottom"/>
            <w:gridSpan w:val="3"/>
          </w:tcPr>
          <w:p>
            <w:pPr>
              <w:jc w:val="center"/>
              <w:ind w:right="60"/>
              <w:spacing w:after="0" w:line="108" w:lineRule="exact"/>
              <w:rPr>
                <w:sz w:val="20"/>
                <w:szCs w:val="20"/>
                <w:color w:val="auto"/>
              </w:rPr>
            </w:pPr>
            <w:r>
              <w:rPr>
                <w:rFonts w:ascii="Arial" w:cs="Arial" w:eastAsia="Arial" w:hAnsi="Arial"/>
                <w:sz w:val="11"/>
                <w:szCs w:val="11"/>
                <w:b w:val="1"/>
                <w:bCs w:val="1"/>
                <w:color w:val="auto"/>
                <w:w w:val="97"/>
              </w:rPr>
              <w:t>Non-Controlling</w:t>
            </w:r>
          </w:p>
        </w:tc>
        <w:tc>
          <w:tcPr>
            <w:tcW w:w="120" w:type="dxa"/>
            <w:vAlign w:val="bottom"/>
          </w:tcPr>
          <w:p>
            <w:pPr>
              <w:spacing w:after="0"/>
              <w:rPr>
                <w:sz w:val="9"/>
                <w:szCs w:val="9"/>
                <w:color w:val="auto"/>
              </w:rPr>
            </w:pPr>
          </w:p>
        </w:tc>
        <w:tc>
          <w:tcPr>
            <w:tcW w:w="860" w:type="dxa"/>
            <w:vAlign w:val="bottom"/>
          </w:tcPr>
          <w:p>
            <w:pPr>
              <w:jc w:val="right"/>
              <w:ind w:right="66"/>
              <w:spacing w:after="0" w:line="108" w:lineRule="exact"/>
              <w:rPr>
                <w:sz w:val="20"/>
                <w:szCs w:val="20"/>
                <w:color w:val="auto"/>
              </w:rPr>
            </w:pPr>
            <w:r>
              <w:rPr>
                <w:rFonts w:ascii="Arial" w:cs="Arial" w:eastAsia="Arial" w:hAnsi="Arial"/>
                <w:sz w:val="11"/>
                <w:szCs w:val="11"/>
                <w:b w:val="1"/>
                <w:bCs w:val="1"/>
                <w:color w:val="auto"/>
                <w:w w:val="98"/>
              </w:rPr>
              <w:t>Stockholders’</w:t>
            </w:r>
          </w:p>
        </w:tc>
      </w:tr>
      <w:tr>
        <w:trPr>
          <w:trHeight w:val="95"/>
        </w:trPr>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gridSpan w:val="2"/>
          </w:tcPr>
          <w:p>
            <w:pPr>
              <w:jc w:val="center"/>
              <w:ind w:right="240"/>
              <w:spacing w:after="0" w:line="95" w:lineRule="exact"/>
              <w:rPr>
                <w:sz w:val="20"/>
                <w:szCs w:val="20"/>
                <w:color w:val="auto"/>
              </w:rPr>
            </w:pPr>
            <w:r>
              <w:rPr>
                <w:rFonts w:ascii="Arial" w:cs="Arial" w:eastAsia="Arial" w:hAnsi="Arial"/>
                <w:sz w:val="10"/>
                <w:szCs w:val="10"/>
                <w:b w:val="1"/>
                <w:bCs w:val="1"/>
                <w:color w:val="auto"/>
              </w:rPr>
              <w:t>In Capital</w:t>
            </w:r>
          </w:p>
        </w:tc>
        <w:tc>
          <w:tcPr>
            <w:tcW w:w="120" w:type="dxa"/>
            <w:vAlign w:val="bottom"/>
          </w:tcPr>
          <w:p>
            <w:pPr>
              <w:spacing w:after="0"/>
              <w:rPr>
                <w:sz w:val="8"/>
                <w:szCs w:val="8"/>
                <w:color w:val="auto"/>
              </w:rPr>
            </w:pPr>
          </w:p>
        </w:tc>
        <w:tc>
          <w:tcPr>
            <w:tcW w:w="960" w:type="dxa"/>
            <w:vAlign w:val="bottom"/>
            <w:gridSpan w:val="2"/>
          </w:tcPr>
          <w:p>
            <w:pPr>
              <w:jc w:val="center"/>
              <w:ind w:right="220"/>
              <w:spacing w:after="0" w:line="95" w:lineRule="exact"/>
              <w:rPr>
                <w:sz w:val="20"/>
                <w:szCs w:val="20"/>
                <w:color w:val="auto"/>
              </w:rPr>
            </w:pPr>
            <w:r>
              <w:rPr>
                <w:rFonts w:ascii="Arial" w:cs="Arial" w:eastAsia="Arial" w:hAnsi="Arial"/>
                <w:sz w:val="10"/>
                <w:szCs w:val="10"/>
                <w:b w:val="1"/>
                <w:bCs w:val="1"/>
                <w:color w:val="auto"/>
              </w:rPr>
              <w:t>Deficit</w:t>
            </w:r>
          </w:p>
        </w:tc>
        <w:tc>
          <w:tcPr>
            <w:tcW w:w="100" w:type="dxa"/>
            <w:vAlign w:val="bottom"/>
          </w:tcPr>
          <w:p>
            <w:pPr>
              <w:spacing w:after="0"/>
              <w:rPr>
                <w:sz w:val="8"/>
                <w:szCs w:val="8"/>
                <w:color w:val="auto"/>
              </w:rPr>
            </w:pPr>
          </w:p>
        </w:tc>
        <w:tc>
          <w:tcPr>
            <w:tcW w:w="10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180" w:type="dxa"/>
            <w:vAlign w:val="bottom"/>
          </w:tcPr>
          <w:p>
            <w:pPr>
              <w:spacing w:after="0"/>
              <w:rPr>
                <w:sz w:val="8"/>
                <w:szCs w:val="8"/>
                <w:color w:val="auto"/>
              </w:rPr>
            </w:pPr>
          </w:p>
        </w:tc>
        <w:tc>
          <w:tcPr>
            <w:tcW w:w="820" w:type="dxa"/>
            <w:vAlign w:val="bottom"/>
            <w:gridSpan w:val="2"/>
          </w:tcPr>
          <w:p>
            <w:pPr>
              <w:jc w:val="center"/>
              <w:ind w:right="260"/>
              <w:spacing w:after="0" w:line="95" w:lineRule="exact"/>
              <w:rPr>
                <w:sz w:val="20"/>
                <w:szCs w:val="20"/>
                <w:color w:val="auto"/>
              </w:rPr>
            </w:pPr>
            <w:r>
              <w:rPr>
                <w:rFonts w:ascii="Arial" w:cs="Arial" w:eastAsia="Arial" w:hAnsi="Arial"/>
                <w:sz w:val="10"/>
                <w:szCs w:val="10"/>
                <w:b w:val="1"/>
                <w:bCs w:val="1"/>
                <w:color w:val="auto"/>
              </w:rPr>
              <w:t>Interest</w:t>
            </w:r>
          </w:p>
        </w:tc>
        <w:tc>
          <w:tcPr>
            <w:tcW w:w="120" w:type="dxa"/>
            <w:vAlign w:val="bottom"/>
          </w:tcPr>
          <w:p>
            <w:pPr>
              <w:spacing w:after="0"/>
              <w:rPr>
                <w:sz w:val="8"/>
                <w:szCs w:val="8"/>
                <w:color w:val="auto"/>
              </w:rPr>
            </w:pPr>
          </w:p>
        </w:tc>
        <w:tc>
          <w:tcPr>
            <w:tcW w:w="860" w:type="dxa"/>
            <w:vAlign w:val="bottom"/>
          </w:tcPr>
          <w:p>
            <w:pPr>
              <w:jc w:val="right"/>
              <w:ind w:right="266"/>
              <w:spacing w:after="0" w:line="95" w:lineRule="exact"/>
              <w:rPr>
                <w:sz w:val="20"/>
                <w:szCs w:val="20"/>
                <w:color w:val="auto"/>
              </w:rPr>
            </w:pPr>
            <w:r>
              <w:rPr>
                <w:rFonts w:ascii="Arial" w:cs="Arial" w:eastAsia="Arial" w:hAnsi="Arial"/>
                <w:sz w:val="10"/>
                <w:szCs w:val="10"/>
                <w:b w:val="1"/>
                <w:bCs w:val="1"/>
                <w:color w:val="auto"/>
              </w:rPr>
              <w:t>Equity</w:t>
            </w:r>
          </w:p>
        </w:tc>
      </w:tr>
      <w:tr>
        <w:trPr>
          <w:trHeight w:val="155"/>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1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5"/>
        </w:trPr>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10,614</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12,711</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(322)</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(4,150)</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669,346</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(423,208)</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(151)</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163,599</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405,438</w:t>
            </w:r>
          </w:p>
        </w:tc>
      </w:tr>
      <w:tr>
        <w:trPr>
          <w:trHeight w:val="142"/>
        </w:trPr>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(4,408)</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(5,378)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(9,786)</w:t>
            </w:r>
          </w:p>
        </w:tc>
      </w:tr>
      <w:tr>
        <w:trPr>
          <w:trHeight w:val="162"/>
        </w:trPr>
        <w:tc>
          <w:tcPr>
            <w:tcW w:w="620" w:type="dxa"/>
            <w:vAlign w:val="bottom"/>
          </w:tcPr>
          <w:p>
            <w:pPr>
              <w:jc w:val="right"/>
              <w:ind w:right="6"/>
              <w:spacing w:after="0"/>
              <w:rPr>
                <w:sz w:val="20"/>
                <w:szCs w:val="20"/>
                <w:color w:val="auto"/>
              </w:rPr>
            </w:pPr>
            <w:r>
              <w:rPr>
                <w:rFonts w:ascii="Arial" w:cs="Arial" w:eastAsia="Arial" w:hAnsi="Arial"/>
                <w:sz w:val="11"/>
                <w:szCs w:val="11"/>
                <w:color w:val="auto"/>
              </w:rPr>
              <w:t>228</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1</w:t>
            </w:r>
          </w:p>
        </w:tc>
      </w:tr>
      <w:tr>
        <w:trPr>
          <w:trHeight w:val="378"/>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3,330</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3,330</w:t>
            </w:r>
          </w:p>
        </w:tc>
      </w:tr>
      <w:tr>
        <w:trPr>
          <w:trHeight w:val="270"/>
        </w:trPr>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1"/>
                <w:szCs w:val="11"/>
                <w:color w:val="auto"/>
              </w:rPr>
              <w:t>(54)</w:t>
            </w: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(65)</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(119)</w:t>
            </w:r>
          </w:p>
        </w:tc>
      </w:tr>
      <w:tr>
        <w:trPr>
          <w:trHeight w:val="270"/>
        </w:trPr>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(62)</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(822)</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(822)</w:t>
            </w:r>
          </w:p>
        </w:tc>
      </w:tr>
      <w:tr>
        <w:trPr>
          <w:trHeight w:val="378"/>
        </w:trPr>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1"/>
                <w:szCs w:val="11"/>
                <w:color w:val="auto"/>
              </w:rPr>
              <w:t>(956)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(956)</w:t>
            </w:r>
          </w:p>
        </w:tc>
      </w:tr>
      <w:tr>
        <w:trPr>
          <w:trHeight w:val="392"/>
        </w:trPr>
        <w:tc>
          <w:tcPr>
            <w:tcW w:w="620" w:type="dxa"/>
            <w:vAlign w:val="bottom"/>
          </w:tcPr>
          <w:p>
            <w:pPr>
              <w:jc w:val="right"/>
              <w:ind w:right="6"/>
              <w:spacing w:after="0"/>
              <w:rPr>
                <w:sz w:val="20"/>
                <w:szCs w:val="20"/>
                <w:color w:val="auto"/>
              </w:rPr>
            </w:pPr>
            <w:r>
              <w:rPr>
                <w:rFonts w:ascii="Arial" w:cs="Arial" w:eastAsia="Arial" w:hAnsi="Arial"/>
                <w:sz w:val="11"/>
                <w:szCs w:val="11"/>
                <w:color w:val="auto"/>
              </w:rPr>
              <w:t>88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(88)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jc w:val="right"/>
              <w:ind w:right="7"/>
              <w:spacing w:after="0"/>
              <w:rPr>
                <w:sz w:val="20"/>
                <w:szCs w:val="20"/>
                <w:color w:val="auto"/>
              </w:rPr>
            </w:pPr>
            <w:r>
              <w:rPr>
                <w:rFonts w:ascii="Arial" w:cs="Arial" w:eastAsia="Arial" w:hAnsi="Arial"/>
                <w:sz w:val="11"/>
                <w:szCs w:val="11"/>
                <w:color w:val="auto"/>
              </w:rPr>
              <w:t>2,699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(2,699)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56"/>
        </w:trPr>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10,930</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8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12,623</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(384)</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(4,972)</w:t>
            </w:r>
          </w:p>
        </w:tc>
        <w:tc>
          <w:tcPr>
            <w:tcW w:w="8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1"/>
                <w:szCs w:val="11"/>
                <w:b w:val="1"/>
                <w:bCs w:val="1"/>
                <w:color w:val="auto"/>
                <w:w w:val="97"/>
              </w:rPr>
              <w:t>$</w:t>
            </w:r>
          </w:p>
        </w:tc>
        <w:tc>
          <w:tcPr>
            <w:tcW w:w="80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674,420</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(427,616)</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(205)</w:t>
            </w:r>
          </w:p>
        </w:tc>
        <w:tc>
          <w:tcPr>
            <w:tcW w:w="8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74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155,457</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397,086</w:t>
            </w:r>
          </w:p>
        </w:tc>
      </w:tr>
      <w:tr>
        <w:trPr>
          <w:trHeight w:val="27"/>
        </w:trPr>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-1035685</wp:posOffset>
            </wp:positionH>
            <wp:positionV relativeFrom="paragraph">
              <wp:posOffset>-1533525</wp:posOffset>
            </wp:positionV>
            <wp:extent cx="7132320" cy="1111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-1310640</wp:posOffset>
            </wp:positionV>
            <wp:extent cx="7132320" cy="24003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-899795</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-487680</wp:posOffset>
            </wp:positionV>
            <wp:extent cx="7132320" cy="2400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-1035685</wp:posOffset>
            </wp:positionH>
            <wp:positionV relativeFrom="paragraph">
              <wp:posOffset>-144780</wp:posOffset>
            </wp:positionV>
            <wp:extent cx="713232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60" w:space="180"/>
            <w:col w:w="9600"/>
          </w:cols>
          <w:pgMar w:left="320" w:top="132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20" w:right="260"/>
        <w:spacing w:after="0" w:line="333" w:lineRule="auto"/>
        <w:rPr>
          <w:sz w:val="20"/>
          <w:szCs w:val="20"/>
          <w:color w:val="auto"/>
        </w:rPr>
      </w:pPr>
      <w:r>
        <w:rPr>
          <w:rFonts w:ascii="Arial" w:cs="Arial" w:eastAsia="Arial" w:hAnsi="Arial"/>
          <w:sz w:val="11"/>
          <w:szCs w:val="11"/>
          <w:b w:val="1"/>
          <w:bCs w:val="1"/>
          <w:color w:val="auto"/>
        </w:rPr>
        <w:t xml:space="preserve">Balance at Jan. 1, 2024 </w:t>
      </w:r>
      <w:r>
        <w:rPr>
          <w:rFonts w:ascii="Arial" w:cs="Arial" w:eastAsia="Arial" w:hAnsi="Arial"/>
          <w:sz w:val="11"/>
          <w:szCs w:val="11"/>
          <w:color w:val="auto"/>
        </w:rPr>
        <w:t>Net income (loss)</w:t>
      </w:r>
    </w:p>
    <w:p>
      <w:pPr>
        <w:jc w:val="both"/>
        <w:ind w:left="20"/>
        <w:spacing w:after="0" w:line="226" w:lineRule="auto"/>
        <w:rPr>
          <w:sz w:val="20"/>
          <w:szCs w:val="20"/>
          <w:color w:val="auto"/>
        </w:rPr>
      </w:pPr>
      <w:r>
        <w:rPr>
          <w:rFonts w:ascii="Arial" w:cs="Arial" w:eastAsia="Arial" w:hAnsi="Arial"/>
          <w:sz w:val="11"/>
          <w:szCs w:val="11"/>
          <w:color w:val="auto"/>
        </w:rPr>
        <w:t>Issuance of Class A common shares related to share-based compensation plans</w:t>
      </w:r>
    </w:p>
    <w:p>
      <w:pPr>
        <w:spacing w:after="0" w:line="21" w:lineRule="exact"/>
        <w:rPr>
          <w:sz w:val="20"/>
          <w:szCs w:val="20"/>
          <w:color w:val="auto"/>
        </w:rPr>
      </w:pPr>
    </w:p>
    <w:p>
      <w:pPr>
        <w:ind w:left="20" w:right="120"/>
        <w:spacing w:after="0" w:line="236" w:lineRule="auto"/>
        <w:rPr>
          <w:sz w:val="20"/>
          <w:szCs w:val="20"/>
          <w:color w:val="auto"/>
        </w:rPr>
      </w:pPr>
      <w:r>
        <w:rPr>
          <w:rFonts w:ascii="Arial" w:cs="Arial" w:eastAsia="Arial" w:hAnsi="Arial"/>
          <w:sz w:val="11"/>
          <w:szCs w:val="11"/>
          <w:color w:val="auto"/>
        </w:rPr>
        <w:t>Share-based compensation expense</w:t>
      </w:r>
    </w:p>
    <w:p>
      <w:pPr>
        <w:spacing w:after="0" w:line="21" w:lineRule="exact"/>
        <w:rPr>
          <w:sz w:val="20"/>
          <w:szCs w:val="20"/>
          <w:color w:val="auto"/>
        </w:rPr>
      </w:pPr>
    </w:p>
    <w:p>
      <w:pPr>
        <w:ind w:left="20" w:right="100"/>
        <w:spacing w:after="0" w:line="236" w:lineRule="auto"/>
        <w:rPr>
          <w:sz w:val="20"/>
          <w:szCs w:val="20"/>
          <w:color w:val="auto"/>
        </w:rPr>
      </w:pPr>
      <w:r>
        <w:rPr>
          <w:rFonts w:ascii="Arial" w:cs="Arial" w:eastAsia="Arial" w:hAnsi="Arial"/>
          <w:sz w:val="11"/>
          <w:szCs w:val="11"/>
          <w:color w:val="auto"/>
        </w:rPr>
        <w:t>Foreign currency translation adjustments</w:t>
      </w:r>
    </w:p>
    <w:p>
      <w:pPr>
        <w:spacing w:after="0" w:line="21" w:lineRule="exact"/>
        <w:rPr>
          <w:sz w:val="20"/>
          <w:szCs w:val="20"/>
          <w:color w:val="auto"/>
        </w:rPr>
      </w:pPr>
    </w:p>
    <w:p>
      <w:pPr>
        <w:ind w:left="20"/>
        <w:spacing w:after="0" w:line="226" w:lineRule="auto"/>
        <w:rPr>
          <w:sz w:val="20"/>
          <w:szCs w:val="20"/>
          <w:color w:val="auto"/>
        </w:rPr>
      </w:pPr>
      <w:r>
        <w:rPr>
          <w:rFonts w:ascii="Arial" w:cs="Arial" w:eastAsia="Arial" w:hAnsi="Arial"/>
          <w:sz w:val="11"/>
          <w:szCs w:val="11"/>
          <w:color w:val="auto"/>
        </w:rPr>
        <w:t>Class A common shares repurchased for employee tax withholdings</w:t>
      </w:r>
    </w:p>
    <w:p>
      <w:pPr>
        <w:spacing w:after="0" w:line="21" w:lineRule="exact"/>
        <w:rPr>
          <w:sz w:val="20"/>
          <w:szCs w:val="20"/>
          <w:color w:val="auto"/>
        </w:rPr>
      </w:pPr>
    </w:p>
    <w:p>
      <w:pPr>
        <w:ind w:left="20" w:right="160"/>
        <w:spacing w:after="0" w:line="253" w:lineRule="auto"/>
        <w:rPr>
          <w:sz w:val="20"/>
          <w:szCs w:val="20"/>
          <w:color w:val="auto"/>
        </w:rPr>
      </w:pPr>
      <w:r>
        <w:rPr>
          <w:rFonts w:ascii="Arial" w:cs="Arial" w:eastAsia="Arial" w:hAnsi="Arial"/>
          <w:sz w:val="10"/>
          <w:szCs w:val="10"/>
          <w:color w:val="auto"/>
        </w:rPr>
        <w:t>Dividends accumulated on Series A redeemable convertible preferred stock</w:t>
      </w:r>
    </w:p>
    <w:p>
      <w:pPr>
        <w:spacing w:after="0" w:line="14" w:lineRule="exact"/>
        <w:rPr>
          <w:sz w:val="20"/>
          <w:szCs w:val="20"/>
          <w:color w:val="auto"/>
        </w:rPr>
      </w:pPr>
    </w:p>
    <w:p>
      <w:pPr>
        <w:ind w:left="20" w:right="140"/>
        <w:spacing w:after="0" w:line="236" w:lineRule="auto"/>
        <w:rPr>
          <w:sz w:val="20"/>
          <w:szCs w:val="20"/>
          <w:color w:val="auto"/>
        </w:rPr>
      </w:pPr>
      <w:r>
        <w:rPr>
          <w:rFonts w:ascii="Arial" w:cs="Arial" w:eastAsia="Arial" w:hAnsi="Arial"/>
          <w:sz w:val="11"/>
          <w:szCs w:val="11"/>
          <w:color w:val="auto"/>
        </w:rPr>
        <w:t>Forfeitures of Time-Vesting Units</w:t>
      </w:r>
    </w:p>
    <w:p>
      <w:pPr>
        <w:spacing w:after="0" w:line="21" w:lineRule="exact"/>
        <w:rPr>
          <w:sz w:val="20"/>
          <w:szCs w:val="20"/>
          <w:color w:val="auto"/>
        </w:rPr>
      </w:pPr>
    </w:p>
    <w:p>
      <w:pPr>
        <w:ind w:left="20" w:right="60"/>
        <w:spacing w:after="0" w:line="406" w:lineRule="auto"/>
        <w:rPr>
          <w:sz w:val="20"/>
          <w:szCs w:val="20"/>
          <w:color w:val="auto"/>
        </w:rPr>
      </w:pPr>
      <w:r>
        <w:rPr>
          <w:rFonts w:ascii="Arial" w:cs="Arial" w:eastAsia="Arial" w:hAnsi="Arial"/>
          <w:sz w:val="10"/>
          <w:szCs w:val="10"/>
          <w:color w:val="auto"/>
        </w:rPr>
        <w:t xml:space="preserve">Redemption of LLC Interests </w:t>
      </w:r>
      <w:r>
        <w:rPr>
          <w:rFonts w:ascii="Arial" w:cs="Arial" w:eastAsia="Arial" w:hAnsi="Arial"/>
          <w:sz w:val="10"/>
          <w:szCs w:val="10"/>
          <w:b w:val="1"/>
          <w:bCs w:val="1"/>
          <w:color w:val="auto"/>
        </w:rPr>
        <w:t>Balance at Mar.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Three months ended Mar. 31, 2024</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bottom w:val="single" w:sz="8" w:color="auto"/>
            </w:tcBorders>
            <w:gridSpan w:val="4"/>
          </w:tcPr>
          <w:p>
            <w:pPr>
              <w:jc w:val="right"/>
              <w:ind w:right="6"/>
              <w:spacing w:after="0"/>
              <w:rPr>
                <w:sz w:val="20"/>
                <w:szCs w:val="20"/>
                <w:color w:val="auto"/>
              </w:rPr>
            </w:pPr>
            <w:r>
              <w:rPr>
                <w:rFonts w:ascii="Arial" w:cs="Arial" w:eastAsia="Arial" w:hAnsi="Arial"/>
                <w:sz w:val="11"/>
                <w:szCs w:val="11"/>
                <w:b w:val="1"/>
                <w:bCs w:val="1"/>
                <w:color w:val="auto"/>
              </w:rPr>
              <w:t>Class A Common Stock</w:t>
            </w:r>
          </w:p>
        </w:tc>
        <w:tc>
          <w:tcPr>
            <w:tcW w:w="100" w:type="dxa"/>
            <w:vAlign w:val="bottom"/>
            <w:tcBorders>
              <w:top w:val="single" w:sz="8" w:color="auto"/>
            </w:tcBorders>
          </w:tcPr>
          <w:p>
            <w:pPr>
              <w:spacing w:after="0"/>
              <w:rPr>
                <w:sz w:val="14"/>
                <w:szCs w:val="14"/>
                <w:color w:val="auto"/>
              </w:rPr>
            </w:pPr>
          </w:p>
        </w:tc>
        <w:tc>
          <w:tcPr>
            <w:tcW w:w="1340" w:type="dxa"/>
            <w:vAlign w:val="bottom"/>
            <w:tcBorders>
              <w:top w:val="single" w:sz="8" w:color="auto"/>
              <w:bottom w:val="single" w:sz="8" w:color="auto"/>
            </w:tcBorders>
            <w:gridSpan w:val="4"/>
          </w:tcPr>
          <w:p>
            <w:pPr>
              <w:jc w:val="right"/>
              <w:ind w:right="6"/>
              <w:spacing w:after="0"/>
              <w:rPr>
                <w:sz w:val="20"/>
                <w:szCs w:val="20"/>
                <w:color w:val="auto"/>
              </w:rPr>
            </w:pPr>
            <w:r>
              <w:rPr>
                <w:rFonts w:ascii="Arial" w:cs="Arial" w:eastAsia="Arial" w:hAnsi="Arial"/>
                <w:sz w:val="11"/>
                <w:szCs w:val="11"/>
                <w:b w:val="1"/>
                <w:bCs w:val="1"/>
                <w:color w:val="auto"/>
              </w:rPr>
              <w:t>Class B Common Stock</w:t>
            </w:r>
          </w:p>
        </w:tc>
        <w:tc>
          <w:tcPr>
            <w:tcW w:w="100" w:type="dxa"/>
            <w:vAlign w:val="bottom"/>
            <w:tcBorders>
              <w:top w:val="single" w:sz="8" w:color="auto"/>
            </w:tcBorders>
          </w:tcPr>
          <w:p>
            <w:pPr>
              <w:spacing w:after="0"/>
              <w:rPr>
                <w:sz w:val="14"/>
                <w:szCs w:val="14"/>
                <w:color w:val="auto"/>
              </w:rPr>
            </w:pPr>
          </w:p>
        </w:tc>
        <w:tc>
          <w:tcPr>
            <w:tcW w:w="1360" w:type="dxa"/>
            <w:vAlign w:val="bottom"/>
            <w:tcBorders>
              <w:top w:val="single" w:sz="8" w:color="auto"/>
              <w:bottom w:val="single" w:sz="8" w:color="auto"/>
            </w:tcBorders>
            <w:gridSpan w:val="4"/>
          </w:tcPr>
          <w:p>
            <w:pPr>
              <w:jc w:val="right"/>
              <w:ind w:right="226"/>
              <w:spacing w:after="0"/>
              <w:rPr>
                <w:sz w:val="20"/>
                <w:szCs w:val="20"/>
                <w:color w:val="auto"/>
              </w:rPr>
            </w:pPr>
            <w:r>
              <w:rPr>
                <w:rFonts w:ascii="Arial" w:cs="Arial" w:eastAsia="Arial" w:hAnsi="Arial"/>
                <w:sz w:val="11"/>
                <w:szCs w:val="11"/>
                <w:b w:val="1"/>
                <w:bCs w:val="1"/>
                <w:color w:val="auto"/>
              </w:rPr>
              <w:t>Treasury Stock</w:t>
            </w:r>
          </w:p>
        </w:tc>
        <w:tc>
          <w:tcPr>
            <w:tcW w:w="100" w:type="dxa"/>
            <w:vAlign w:val="bottom"/>
            <w:tcBorders>
              <w:top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r>
        <w:trPr>
          <w:trHeight w:val="108"/>
        </w:trPr>
        <w:tc>
          <w:tcPr>
            <w:tcW w:w="100" w:type="dxa"/>
            <w:vAlign w:val="bottom"/>
          </w:tcPr>
          <w:p>
            <w:pPr>
              <w:spacing w:after="0"/>
              <w:rPr>
                <w:sz w:val="9"/>
                <w:szCs w:val="9"/>
                <w:color w:val="auto"/>
              </w:rPr>
            </w:pPr>
          </w:p>
        </w:tc>
        <w:tc>
          <w:tcPr>
            <w:tcW w:w="700" w:type="dxa"/>
            <w:vAlign w:val="bottom"/>
            <w:gridSpan w:val="2"/>
          </w:tcPr>
          <w:p>
            <w:pPr>
              <w:ind w:left="120"/>
              <w:spacing w:after="0" w:line="108" w:lineRule="exact"/>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64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Amount</w:t>
            </w:r>
          </w:p>
        </w:tc>
        <w:tc>
          <w:tcPr>
            <w:tcW w:w="720" w:type="dxa"/>
            <w:vAlign w:val="bottom"/>
            <w:gridSpan w:val="2"/>
          </w:tcPr>
          <w:p>
            <w:pPr>
              <w:ind w:left="120"/>
              <w:spacing w:after="0" w:line="108" w:lineRule="exact"/>
              <w:rPr>
                <w:sz w:val="20"/>
                <w:szCs w:val="20"/>
                <w:color w:val="auto"/>
              </w:rPr>
            </w:pPr>
            <w:r>
              <w:rPr>
                <w:rFonts w:ascii="Arial" w:cs="Arial" w:eastAsia="Arial" w:hAnsi="Arial"/>
                <w:sz w:val="11"/>
                <w:szCs w:val="11"/>
                <w:b w:val="1"/>
                <w:bCs w:val="1"/>
                <w:color w:val="auto"/>
              </w:rPr>
              <w:t>Shares</w:t>
            </w:r>
          </w:p>
        </w:tc>
        <w:tc>
          <w:tcPr>
            <w:tcW w:w="100" w:type="dxa"/>
            <w:vAlign w:val="bottom"/>
          </w:tcPr>
          <w:p>
            <w:pPr>
              <w:spacing w:after="0"/>
              <w:rPr>
                <w:sz w:val="9"/>
                <w:szCs w:val="9"/>
                <w:color w:val="auto"/>
              </w:rPr>
            </w:pPr>
          </w:p>
        </w:tc>
        <w:tc>
          <w:tcPr>
            <w:tcW w:w="620" w:type="dxa"/>
            <w:vAlign w:val="bottom"/>
            <w:gridSpan w:val="2"/>
          </w:tcPr>
          <w:p>
            <w:pPr>
              <w:spacing w:after="0" w:line="108" w:lineRule="exact"/>
              <w:rPr>
                <w:sz w:val="20"/>
                <w:szCs w:val="20"/>
                <w:color w:val="auto"/>
              </w:rPr>
            </w:pPr>
            <w:r>
              <w:rPr>
                <w:rFonts w:ascii="Arial" w:cs="Arial" w:eastAsia="Arial" w:hAnsi="Arial"/>
                <w:sz w:val="11"/>
                <w:szCs w:val="11"/>
                <w:b w:val="1"/>
                <w:bCs w:val="1"/>
                <w:color w:val="auto"/>
              </w:rPr>
              <w:t>Amount</w:t>
            </w:r>
          </w:p>
        </w:tc>
        <w:tc>
          <w:tcPr>
            <w:tcW w:w="740" w:type="dxa"/>
            <w:vAlign w:val="bottom"/>
            <w:gridSpan w:val="2"/>
          </w:tcPr>
          <w:p>
            <w:pPr>
              <w:ind w:left="140"/>
              <w:spacing w:after="0" w:line="108" w:lineRule="exact"/>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9"/>
                <w:szCs w:val="9"/>
                <w:color w:val="auto"/>
              </w:rPr>
            </w:pPr>
          </w:p>
        </w:tc>
        <w:tc>
          <w:tcPr>
            <w:tcW w:w="640" w:type="dxa"/>
            <w:vAlign w:val="bottom"/>
            <w:gridSpan w:val="2"/>
          </w:tcPr>
          <w:p>
            <w:pPr>
              <w:ind w:left="20"/>
              <w:spacing w:after="0" w:line="108" w:lineRule="exact"/>
              <w:rPr>
                <w:sz w:val="20"/>
                <w:szCs w:val="20"/>
                <w:color w:val="auto"/>
              </w:rPr>
            </w:pPr>
            <w:r>
              <w:rPr>
                <w:rFonts w:ascii="Arial" w:cs="Arial" w:eastAsia="Arial" w:hAnsi="Arial"/>
                <w:sz w:val="11"/>
                <w:szCs w:val="11"/>
                <w:b w:val="1"/>
                <w:bCs w:val="1"/>
                <w:color w:val="auto"/>
              </w:rPr>
              <w:t>Amount</w:t>
            </w:r>
          </w:p>
        </w:tc>
        <w:tc>
          <w:tcPr>
            <w:tcW w:w="1060" w:type="dxa"/>
            <w:vAlign w:val="bottom"/>
            <w:gridSpan w:val="3"/>
          </w:tcPr>
          <w:p>
            <w:pPr>
              <w:ind w:left="20"/>
              <w:spacing w:after="0" w:line="108" w:lineRule="exact"/>
              <w:rPr>
                <w:sz w:val="20"/>
                <w:szCs w:val="20"/>
                <w:color w:val="auto"/>
              </w:rPr>
            </w:pPr>
            <w:r>
              <w:rPr>
                <w:rFonts w:ascii="Arial" w:cs="Arial" w:eastAsia="Arial" w:hAnsi="Arial"/>
                <w:sz w:val="11"/>
                <w:szCs w:val="11"/>
                <w:b w:val="1"/>
                <w:bCs w:val="1"/>
                <w:color w:val="auto"/>
              </w:rPr>
              <w:t>Additional Paid-In</w:t>
            </w:r>
          </w:p>
        </w:tc>
        <w:tc>
          <w:tcPr>
            <w:tcW w:w="100" w:type="dxa"/>
            <w:vAlign w:val="bottom"/>
          </w:tcPr>
          <w:p>
            <w:pPr>
              <w:spacing w:after="0"/>
              <w:rPr>
                <w:sz w:val="9"/>
                <w:szCs w:val="9"/>
                <w:color w:val="auto"/>
              </w:rPr>
            </w:pPr>
          </w:p>
        </w:tc>
        <w:tc>
          <w:tcPr>
            <w:tcW w:w="940" w:type="dxa"/>
            <w:vAlign w:val="bottom"/>
            <w:gridSpan w:val="2"/>
          </w:tcPr>
          <w:p>
            <w:pPr>
              <w:jc w:val="center"/>
              <w:ind w:right="180"/>
              <w:spacing w:after="0" w:line="108" w:lineRule="exact"/>
              <w:rPr>
                <w:sz w:val="20"/>
                <w:szCs w:val="20"/>
                <w:color w:val="auto"/>
              </w:rPr>
            </w:pPr>
            <w:r>
              <w:rPr>
                <w:rFonts w:ascii="Arial" w:cs="Arial" w:eastAsia="Arial" w:hAnsi="Arial"/>
                <w:sz w:val="11"/>
                <w:szCs w:val="11"/>
                <w:b w:val="1"/>
                <w:bCs w:val="1"/>
                <w:color w:val="auto"/>
                <w:w w:val="98"/>
              </w:rPr>
              <w:t>Accumulated</w:t>
            </w:r>
          </w:p>
        </w:tc>
        <w:tc>
          <w:tcPr>
            <w:tcW w:w="1160" w:type="dxa"/>
            <w:vAlign w:val="bottom"/>
            <w:gridSpan w:val="3"/>
          </w:tcPr>
          <w:p>
            <w:pPr>
              <w:ind w:left="40"/>
              <w:spacing w:after="0" w:line="108" w:lineRule="exact"/>
              <w:rPr>
                <w:sz w:val="20"/>
                <w:szCs w:val="20"/>
                <w:color w:val="auto"/>
              </w:rPr>
            </w:pPr>
            <w:r>
              <w:rPr>
                <w:rFonts w:ascii="Arial" w:cs="Arial" w:eastAsia="Arial" w:hAnsi="Arial"/>
                <w:sz w:val="11"/>
                <w:szCs w:val="11"/>
                <w:b w:val="1"/>
                <w:bCs w:val="1"/>
                <w:color w:val="auto"/>
              </w:rPr>
              <w:t>Accumulated Other</w:t>
            </w:r>
          </w:p>
        </w:tc>
        <w:tc>
          <w:tcPr>
            <w:tcW w:w="1040" w:type="dxa"/>
            <w:vAlign w:val="bottom"/>
            <w:gridSpan w:val="3"/>
          </w:tcPr>
          <w:p>
            <w:pPr>
              <w:jc w:val="center"/>
              <w:ind w:right="100"/>
              <w:spacing w:after="0" w:line="108" w:lineRule="exact"/>
              <w:rPr>
                <w:sz w:val="20"/>
                <w:szCs w:val="20"/>
                <w:color w:val="auto"/>
              </w:rPr>
            </w:pPr>
            <w:r>
              <w:rPr>
                <w:rFonts w:ascii="Arial" w:cs="Arial" w:eastAsia="Arial" w:hAnsi="Arial"/>
                <w:sz w:val="11"/>
                <w:szCs w:val="11"/>
                <w:b w:val="1"/>
                <w:bCs w:val="1"/>
                <w:color w:val="auto"/>
                <w:w w:val="97"/>
              </w:rPr>
              <w:t>Non-Controlling</w:t>
            </w:r>
          </w:p>
        </w:tc>
        <w:tc>
          <w:tcPr>
            <w:tcW w:w="120" w:type="dxa"/>
            <w:vAlign w:val="bottom"/>
          </w:tcPr>
          <w:p>
            <w:pPr>
              <w:spacing w:after="0"/>
              <w:rPr>
                <w:sz w:val="9"/>
                <w:szCs w:val="9"/>
                <w:color w:val="auto"/>
              </w:rPr>
            </w:pPr>
          </w:p>
        </w:tc>
        <w:tc>
          <w:tcPr>
            <w:tcW w:w="860" w:type="dxa"/>
            <w:vAlign w:val="bottom"/>
          </w:tcPr>
          <w:p>
            <w:pPr>
              <w:jc w:val="right"/>
              <w:ind w:right="66"/>
              <w:spacing w:after="0" w:line="108" w:lineRule="exact"/>
              <w:rPr>
                <w:sz w:val="20"/>
                <w:szCs w:val="20"/>
                <w:color w:val="auto"/>
              </w:rPr>
            </w:pPr>
            <w:r>
              <w:rPr>
                <w:rFonts w:ascii="Arial" w:cs="Arial" w:eastAsia="Arial" w:hAnsi="Arial"/>
                <w:sz w:val="11"/>
                <w:szCs w:val="11"/>
                <w:b w:val="1"/>
                <w:bCs w:val="1"/>
                <w:color w:val="auto"/>
                <w:w w:val="98"/>
              </w:rPr>
              <w:t>Stockholders’</w:t>
            </w:r>
          </w:p>
        </w:tc>
      </w:tr>
      <w:tr>
        <w:trPr>
          <w:trHeight w:val="95"/>
        </w:trPr>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gridSpan w:val="2"/>
          </w:tcPr>
          <w:p>
            <w:pPr>
              <w:ind w:left="100"/>
              <w:spacing w:after="0" w:line="95" w:lineRule="exact"/>
              <w:rPr>
                <w:sz w:val="20"/>
                <w:szCs w:val="20"/>
                <w:color w:val="auto"/>
              </w:rPr>
            </w:pPr>
            <w:r>
              <w:rPr>
                <w:rFonts w:ascii="Arial" w:cs="Arial" w:eastAsia="Arial" w:hAnsi="Arial"/>
                <w:sz w:val="10"/>
                <w:szCs w:val="10"/>
                <w:b w:val="1"/>
                <w:bCs w:val="1"/>
                <w:color w:val="auto"/>
              </w:rPr>
              <w:t>Capital</w:t>
            </w:r>
          </w:p>
        </w:tc>
        <w:tc>
          <w:tcPr>
            <w:tcW w:w="100" w:type="dxa"/>
            <w:vAlign w:val="bottom"/>
          </w:tcPr>
          <w:p>
            <w:pPr>
              <w:spacing w:after="0"/>
              <w:rPr>
                <w:sz w:val="8"/>
                <w:szCs w:val="8"/>
                <w:color w:val="auto"/>
              </w:rPr>
            </w:pPr>
          </w:p>
        </w:tc>
        <w:tc>
          <w:tcPr>
            <w:tcW w:w="94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Deficit</w:t>
            </w:r>
          </w:p>
        </w:tc>
        <w:tc>
          <w:tcPr>
            <w:tcW w:w="100" w:type="dxa"/>
            <w:vAlign w:val="bottom"/>
          </w:tcPr>
          <w:p>
            <w:pPr>
              <w:spacing w:after="0"/>
              <w:rPr>
                <w:sz w:val="8"/>
                <w:szCs w:val="8"/>
                <w:color w:val="auto"/>
              </w:rPr>
            </w:pPr>
          </w:p>
        </w:tc>
        <w:tc>
          <w:tcPr>
            <w:tcW w:w="1060" w:type="dxa"/>
            <w:vAlign w:val="bottom"/>
            <w:gridSpan w:val="2"/>
          </w:tcPr>
          <w:p>
            <w:pPr>
              <w:jc w:val="center"/>
              <w:ind w:right="200"/>
              <w:spacing w:after="0" w:line="95" w:lineRule="exact"/>
              <w:rPr>
                <w:sz w:val="20"/>
                <w:szCs w:val="20"/>
                <w:color w:val="auto"/>
              </w:rPr>
            </w:pPr>
            <w:r>
              <w:rPr>
                <w:rFonts w:ascii="Arial" w:cs="Arial" w:eastAsia="Arial" w:hAnsi="Arial"/>
                <w:sz w:val="10"/>
                <w:szCs w:val="10"/>
                <w:b w:val="1"/>
                <w:bCs w:val="1"/>
                <w:color w:val="auto"/>
              </w:rPr>
              <w:t>Comprehensive</w:t>
            </w:r>
          </w:p>
        </w:tc>
        <w:tc>
          <w:tcPr>
            <w:tcW w:w="180" w:type="dxa"/>
            <w:vAlign w:val="bottom"/>
          </w:tcPr>
          <w:p>
            <w:pPr>
              <w:spacing w:after="0"/>
              <w:rPr>
                <w:sz w:val="8"/>
                <w:szCs w:val="8"/>
                <w:color w:val="auto"/>
              </w:rPr>
            </w:pPr>
          </w:p>
        </w:tc>
        <w:tc>
          <w:tcPr>
            <w:tcW w:w="860" w:type="dxa"/>
            <w:vAlign w:val="bottom"/>
            <w:gridSpan w:val="2"/>
          </w:tcPr>
          <w:p>
            <w:pPr>
              <w:jc w:val="center"/>
              <w:ind w:right="280"/>
              <w:spacing w:after="0" w:line="95" w:lineRule="exact"/>
              <w:rPr>
                <w:sz w:val="20"/>
                <w:szCs w:val="20"/>
                <w:color w:val="auto"/>
              </w:rPr>
            </w:pPr>
            <w:r>
              <w:rPr>
                <w:rFonts w:ascii="Arial" w:cs="Arial" w:eastAsia="Arial" w:hAnsi="Arial"/>
                <w:sz w:val="10"/>
                <w:szCs w:val="10"/>
                <w:b w:val="1"/>
                <w:bCs w:val="1"/>
                <w:color w:val="auto"/>
              </w:rPr>
              <w:t>Interest</w:t>
            </w:r>
          </w:p>
        </w:tc>
        <w:tc>
          <w:tcPr>
            <w:tcW w:w="120" w:type="dxa"/>
            <w:vAlign w:val="bottom"/>
          </w:tcPr>
          <w:p>
            <w:pPr>
              <w:spacing w:after="0"/>
              <w:rPr>
                <w:sz w:val="8"/>
                <w:szCs w:val="8"/>
                <w:color w:val="auto"/>
              </w:rPr>
            </w:pPr>
          </w:p>
        </w:tc>
        <w:tc>
          <w:tcPr>
            <w:tcW w:w="860" w:type="dxa"/>
            <w:vAlign w:val="bottom"/>
          </w:tcPr>
          <w:p>
            <w:pPr>
              <w:jc w:val="right"/>
              <w:ind w:right="266"/>
              <w:spacing w:after="0" w:line="95" w:lineRule="exact"/>
              <w:rPr>
                <w:sz w:val="20"/>
                <w:szCs w:val="20"/>
                <w:color w:val="auto"/>
              </w:rPr>
            </w:pPr>
            <w:r>
              <w:rPr>
                <w:rFonts w:ascii="Arial" w:cs="Arial" w:eastAsia="Arial" w:hAnsi="Arial"/>
                <w:sz w:val="10"/>
                <w:szCs w:val="10"/>
                <w:b w:val="1"/>
                <w:bCs w:val="1"/>
                <w:color w:val="auto"/>
              </w:rPr>
              <w:t>Equity</w:t>
            </w:r>
          </w:p>
        </w:tc>
      </w:tr>
      <w:tr>
        <w:trPr>
          <w:trHeight w:val="155"/>
        </w:trPr>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9"/>
              </w:rPr>
              <w:t>Income (Loss)</w:t>
            </w:r>
          </w:p>
        </w:tc>
        <w:tc>
          <w:tcPr>
            <w:tcW w:w="1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155"/>
        </w:trPr>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9,823</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12,814</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(173)</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(2,640)</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w:t>
            </w:r>
          </w:p>
        </w:tc>
        <w:tc>
          <w:tcPr>
            <w:tcW w:w="7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654,059</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(420,280)</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(127)</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174,639</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405,653</w:t>
            </w:r>
          </w:p>
        </w:tc>
      </w:tr>
      <w:tr>
        <w:trPr>
          <w:trHeight w:val="142"/>
        </w:trPr>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(9,216)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(12,130)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(21,346)</w:t>
            </w:r>
          </w:p>
        </w:tc>
      </w:tr>
      <w:tr>
        <w:trPr>
          <w:trHeight w:val="162"/>
        </w:trPr>
        <w:tc>
          <w:tcPr>
            <w:tcW w:w="100" w:type="dxa"/>
            <w:vAlign w:val="bottom"/>
          </w:tcPr>
          <w:p>
            <w:pPr>
              <w:spacing w:after="0"/>
              <w:rPr>
                <w:sz w:val="14"/>
                <w:szCs w:val="1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307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378"/>
        </w:trPr>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3,172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3,172</w:t>
            </w:r>
          </w:p>
        </w:tc>
      </w:tr>
      <w:tr>
        <w:trPr>
          <w:trHeight w:val="270"/>
        </w:trPr>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(5)</w:t>
            </w:r>
          </w:p>
        </w:tc>
      </w:tr>
      <w:tr>
        <w:trPr>
          <w:trHeight w:val="270"/>
        </w:trPr>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1"/>
                <w:szCs w:val="11"/>
                <w:color w:val="auto"/>
              </w:rPr>
              <w:t>(89)</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jc w:val="right"/>
              <w:spacing w:after="0"/>
              <w:rPr>
                <w:sz w:val="20"/>
                <w:szCs w:val="20"/>
                <w:color w:val="auto"/>
              </w:rPr>
            </w:pPr>
            <w:r>
              <w:rPr>
                <w:rFonts w:ascii="Arial" w:cs="Arial" w:eastAsia="Arial" w:hAnsi="Arial"/>
                <w:sz w:val="11"/>
                <w:szCs w:val="11"/>
                <w:color w:val="auto"/>
              </w:rPr>
              <w:t>(942)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(942)</w:t>
            </w:r>
          </w:p>
        </w:tc>
      </w:tr>
      <w:tr>
        <w:trPr>
          <w:trHeight w:val="378"/>
        </w:trPr>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1"/>
                <w:szCs w:val="11"/>
                <w:color w:val="auto"/>
              </w:rPr>
              <w:t>(892)</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1"/>
                <w:szCs w:val="11"/>
                <w:color w:val="auto"/>
              </w:rPr>
              <w:t>(892)</w:t>
            </w:r>
          </w:p>
        </w:tc>
      </w:tr>
      <w:tr>
        <w:trPr>
          <w:trHeight w:val="378"/>
        </w:trPr>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283"/>
        </w:trPr>
        <w:tc>
          <w:tcPr>
            <w:tcW w:w="100" w:type="dxa"/>
            <w:vAlign w:val="bottom"/>
          </w:tcPr>
          <w:p>
            <w:pPr>
              <w:spacing w:after="0"/>
              <w:rPr>
                <w:sz w:val="24"/>
                <w:szCs w:val="24"/>
                <w:color w:val="auto"/>
              </w:rPr>
            </w:pPr>
          </w:p>
        </w:tc>
        <w:tc>
          <w:tcPr>
            <w:tcW w:w="620" w:type="dxa"/>
            <w:vAlign w:val="bottom"/>
          </w:tcPr>
          <w:p>
            <w:pPr>
              <w:jc w:val="right"/>
              <w:ind w:right="6"/>
              <w:spacing w:after="0"/>
              <w:rPr>
                <w:sz w:val="20"/>
                <w:szCs w:val="20"/>
                <w:color w:val="auto"/>
              </w:rPr>
            </w:pPr>
            <w:r>
              <w:rPr>
                <w:rFonts w:ascii="Arial" w:cs="Arial" w:eastAsia="Arial" w:hAnsi="Arial"/>
                <w:sz w:val="11"/>
                <w:szCs w:val="11"/>
                <w:color w:val="auto"/>
              </w:rPr>
              <w:t>30</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1"/>
                <w:szCs w:val="11"/>
                <w:color w:val="auto"/>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(30)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ind w:right="7"/>
              <w:spacing w:after="0"/>
              <w:rPr>
                <w:sz w:val="20"/>
                <w:szCs w:val="20"/>
                <w:color w:val="auto"/>
              </w:rPr>
            </w:pPr>
            <w:r>
              <w:rPr>
                <w:rFonts w:ascii="Arial" w:cs="Arial" w:eastAsia="Arial" w:hAnsi="Arial"/>
                <w:sz w:val="11"/>
                <w:szCs w:val="11"/>
                <w:color w:val="auto"/>
              </w:rPr>
              <w:t>2,741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1"/>
                <w:szCs w:val="11"/>
                <w:color w:val="auto"/>
              </w:rPr>
              <w:t>(2,741)</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6"/>
              <w:spacing w:after="0"/>
              <w:rPr>
                <w:sz w:val="20"/>
                <w:szCs w:val="20"/>
                <w:color w:val="auto"/>
              </w:rPr>
            </w:pPr>
            <w:r>
              <w:rPr>
                <w:rFonts w:ascii="Arial" w:cs="Arial" w:eastAsia="Arial" w:hAnsi="Arial"/>
                <w:sz w:val="11"/>
                <w:szCs w:val="11"/>
                <w:color w:val="auto"/>
              </w:rPr>
              <w:t>—</w:t>
            </w:r>
          </w:p>
        </w:tc>
      </w:tr>
      <w:tr>
        <w:trPr>
          <w:trHeight w:val="156"/>
        </w:trPr>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10,160</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3"/>
                <w:szCs w:val="13"/>
                <w:color w:val="auto"/>
              </w:rPr>
            </w:pPr>
          </w:p>
        </w:tc>
        <w:tc>
          <w:tcPr>
            <w:tcW w:w="62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12,783</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w:t>
            </w:r>
          </w:p>
        </w:tc>
        <w:tc>
          <w:tcPr>
            <w:tcW w:w="10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(262)</w:t>
            </w:r>
          </w:p>
        </w:tc>
        <w:tc>
          <w:tcPr>
            <w:tcW w:w="10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(3,582)</w:t>
            </w: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659,080</w:t>
            </w:r>
          </w:p>
        </w:tc>
        <w:tc>
          <w:tcPr>
            <w:tcW w:w="10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(429,496)</w:t>
            </w:r>
          </w:p>
        </w:tc>
        <w:tc>
          <w:tcPr>
            <w:tcW w:w="8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w w:val="97"/>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rPr>
              <w:t>(129)</w:t>
            </w:r>
          </w:p>
        </w:tc>
        <w:tc>
          <w:tcPr>
            <w:tcW w:w="100" w:type="dxa"/>
            <w:vAlign w:val="bottom"/>
          </w:tcPr>
          <w:p>
            <w:pPr>
              <w:spacing w:after="0"/>
              <w:rPr>
                <w:sz w:val="13"/>
                <w:szCs w:val="13"/>
                <w:color w:val="auto"/>
              </w:rPr>
            </w:pPr>
          </w:p>
        </w:tc>
        <w:tc>
          <w:tcPr>
            <w:tcW w:w="18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1"/>
                <w:szCs w:val="11"/>
                <w:b w:val="1"/>
                <w:bCs w:val="1"/>
                <w:color w:val="auto"/>
                <w:w w:val="97"/>
              </w:rPr>
              <w:t>$</w:t>
            </w:r>
          </w:p>
        </w:tc>
        <w:tc>
          <w:tcPr>
            <w:tcW w:w="78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1"/>
                <w:szCs w:val="11"/>
                <w:b w:val="1"/>
                <w:bCs w:val="1"/>
                <w:color w:val="auto"/>
              </w:rPr>
              <w:t>159,765</w:t>
            </w:r>
          </w:p>
        </w:tc>
        <w:tc>
          <w:tcPr>
            <w:tcW w:w="80" w:type="dxa"/>
            <w:vAlign w:val="bottom"/>
          </w:tcPr>
          <w:p>
            <w:pPr>
              <w:spacing w:after="0"/>
              <w:rPr>
                <w:sz w:val="13"/>
                <w:szCs w:val="13"/>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b w:val="1"/>
                <w:bCs w:val="1"/>
                <w:color w:val="auto"/>
                <w:w w:val="97"/>
              </w:rPr>
              <w:t>$</w:t>
            </w:r>
          </w:p>
        </w:tc>
        <w:tc>
          <w:tcPr>
            <w:tcW w:w="8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1"/>
                <w:szCs w:val="11"/>
                <w:b w:val="1"/>
                <w:bCs w:val="1"/>
                <w:color w:val="auto"/>
              </w:rPr>
              <w:t>385,640</w:t>
            </w:r>
          </w:p>
        </w:tc>
      </w:tr>
      <w:tr>
        <w:trPr>
          <w:trHeight w:val="27"/>
        </w:trPr>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-959485</wp:posOffset>
            </wp:positionH>
            <wp:positionV relativeFrom="paragraph">
              <wp:posOffset>-1704975</wp:posOffset>
            </wp:positionV>
            <wp:extent cx="7132320" cy="1111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-1482090</wp:posOffset>
            </wp:positionV>
            <wp:extent cx="713232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-1071245</wp:posOffset>
            </wp:positionV>
            <wp:extent cx="71323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-659765</wp:posOffset>
            </wp:positionV>
            <wp:extent cx="7132320" cy="2400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240030"/>
                    </a:xfrm>
                    <a:prstGeom prst="rect">
                      <a:avLst/>
                    </a:prstGeom>
                    <a:noFill/>
                  </pic:spPr>
                </pic:pic>
              </a:graphicData>
            </a:graphic>
          </wp:anchor>
        </w:drawing>
        <w:drawing>
          <wp:anchor simplePos="0" relativeHeight="251657728" behindDoc="1" locked="0" layoutInCell="0" allowOverlap="1">
            <wp:simplePos x="0" y="0"/>
            <wp:positionH relativeFrom="column">
              <wp:posOffset>-959485</wp:posOffset>
            </wp:positionH>
            <wp:positionV relativeFrom="paragraph">
              <wp:posOffset>-248285</wp:posOffset>
            </wp:positionV>
            <wp:extent cx="713232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028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60" w:space="60"/>
            <w:col w:w="9720"/>
          </w:cols>
          <w:pgMar w:left="320" w:top="1327" w:right="339"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7</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CONDENSED CONSOLIDATED STATEMENTS OF CASH FLOWS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unaudited)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860" w:type="dxa"/>
            <w:vAlign w:val="bottom"/>
          </w:tcPr>
          <w:p>
            <w:pPr>
              <w:spacing w:after="0"/>
              <w:rPr>
                <w:sz w:val="15"/>
                <w:szCs w:val="15"/>
                <w:color w:val="auto"/>
              </w:rPr>
            </w:pPr>
          </w:p>
        </w:tc>
        <w:tc>
          <w:tcPr>
            <w:tcW w:w="2800" w:type="dxa"/>
            <w:vAlign w:val="bottom"/>
            <w:tcBorders>
              <w:bottom w:val="single" w:sz="8" w:color="auto"/>
            </w:tcBorders>
            <w:gridSpan w:val="4"/>
          </w:tcPr>
          <w:p>
            <w:pPr>
              <w:jc w:val="right"/>
              <w:ind w:right="177"/>
              <w:spacing w:after="0"/>
              <w:rPr>
                <w:sz w:val="20"/>
                <w:szCs w:val="20"/>
                <w:color w:val="auto"/>
              </w:rPr>
            </w:pPr>
            <w:r>
              <w:rPr>
                <w:rFonts w:ascii="Arial" w:cs="Arial" w:eastAsia="Arial" w:hAnsi="Arial"/>
                <w:sz w:val="13"/>
                <w:szCs w:val="13"/>
                <w:b w:val="1"/>
                <w:bCs w:val="1"/>
                <w:color w:val="auto"/>
              </w:rPr>
              <w:t>Three months ended Mar. 31,</w:t>
            </w:r>
          </w:p>
        </w:tc>
        <w:tc>
          <w:tcPr>
            <w:tcW w:w="580" w:type="dxa"/>
            <w:vAlign w:val="bottom"/>
            <w:tcBorders>
              <w:bottom w:val="single" w:sz="8" w:color="auto"/>
            </w:tcBorders>
          </w:tcPr>
          <w:p>
            <w:pPr>
              <w:spacing w:after="0"/>
              <w:rPr>
                <w:sz w:val="15"/>
                <w:szCs w:val="15"/>
                <w:color w:val="auto"/>
              </w:rPr>
            </w:pPr>
          </w:p>
        </w:tc>
      </w:tr>
      <w:tr>
        <w:trPr>
          <w:trHeight w:val="171"/>
        </w:trPr>
        <w:tc>
          <w:tcPr>
            <w:tcW w:w="7860" w:type="dxa"/>
            <w:vAlign w:val="bottom"/>
            <w:tcBorders>
              <w:bottom w:val="single" w:sz="8" w:color="CCEEFF"/>
            </w:tcBorders>
          </w:tcPr>
          <w:p>
            <w:pPr>
              <w:spacing w:after="0"/>
              <w:rPr>
                <w:sz w:val="14"/>
                <w:szCs w:val="14"/>
                <w:color w:val="auto"/>
              </w:rPr>
            </w:pPr>
          </w:p>
        </w:tc>
        <w:tc>
          <w:tcPr>
            <w:tcW w:w="10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2025</w:t>
            </w: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2024</w:t>
            </w:r>
          </w:p>
        </w:tc>
        <w:tc>
          <w:tcPr>
            <w:tcW w:w="580" w:type="dxa"/>
            <w:vAlign w:val="bottom"/>
            <w:tcBorders>
              <w:bottom w:val="single" w:sz="8" w:color="auto"/>
            </w:tcBorders>
          </w:tcPr>
          <w:p>
            <w:pPr>
              <w:spacing w:after="0"/>
              <w:rPr>
                <w:sz w:val="14"/>
                <w:szCs w:val="14"/>
                <w:color w:val="auto"/>
              </w:rPr>
            </w:pPr>
          </w:p>
        </w:tc>
      </w:tr>
      <w:tr>
        <w:trPr>
          <w:trHeight w:val="157"/>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Operating Activities</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71"/>
        </w:trPr>
        <w:tc>
          <w:tcPr>
            <w:tcW w:w="786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1040" w:type="dxa"/>
            <w:vAlign w:val="bottom"/>
          </w:tcPr>
          <w:p>
            <w:pPr>
              <w:jc w:val="right"/>
              <w:ind w:right="897"/>
              <w:spacing w:after="0"/>
              <w:rPr>
                <w:sz w:val="20"/>
                <w:szCs w:val="20"/>
                <w:color w:val="auto"/>
              </w:rPr>
            </w:pPr>
            <w:r>
              <w:rPr>
                <w:rFonts w:ascii="Arial" w:cs="Arial" w:eastAsia="Arial" w:hAnsi="Arial"/>
                <w:sz w:val="13"/>
                <w:szCs w:val="13"/>
                <w:color w:val="auto"/>
                <w:w w:val="82"/>
              </w:rPr>
              <w:t>$</w:t>
            </w:r>
          </w:p>
        </w:tc>
        <w:tc>
          <w:tcPr>
            <w:tcW w:w="600" w:type="dxa"/>
            <w:vAlign w:val="bottom"/>
          </w:tcPr>
          <w:p>
            <w:pPr>
              <w:jc w:val="right"/>
              <w:spacing w:after="0"/>
              <w:rPr>
                <w:sz w:val="20"/>
                <w:szCs w:val="20"/>
                <w:color w:val="auto"/>
              </w:rPr>
            </w:pPr>
            <w:r>
              <w:rPr>
                <w:rFonts w:ascii="Arial" w:cs="Arial" w:eastAsia="Arial" w:hAnsi="Arial"/>
                <w:sz w:val="13"/>
                <w:szCs w:val="13"/>
                <w:color w:val="auto"/>
              </w:rPr>
              <w:t>(9,786)</w:t>
            </w:r>
          </w:p>
        </w:tc>
        <w:tc>
          <w:tcPr>
            <w:tcW w:w="100" w:type="dxa"/>
            <w:vAlign w:val="bottom"/>
          </w:tcPr>
          <w:p>
            <w:pPr>
              <w:spacing w:after="0"/>
              <w:rPr>
                <w:sz w:val="14"/>
                <w:szCs w:val="14"/>
                <w:color w:val="auto"/>
              </w:rPr>
            </w:pPr>
          </w:p>
        </w:tc>
        <w:tc>
          <w:tcPr>
            <w:tcW w:w="1060" w:type="dxa"/>
            <w:vAlign w:val="bottom"/>
          </w:tcPr>
          <w:p>
            <w:pPr>
              <w:jc w:val="right"/>
              <w:ind w:right="917"/>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(21,346)</w:t>
            </w: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i w:val="1"/>
                <w:iCs w:val="1"/>
                <w:color w:val="auto"/>
              </w:rPr>
              <w:t>Adjustments to reconcile net income (loss) to net cash provided by (used in) operating activities: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Share-based compensation</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2,803</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1,783</w:t>
            </w: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Depreciation and amortization</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2,963</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2,732</w:t>
            </w: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Amortization of intangible assets</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23,514</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23,514</w:t>
            </w: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Amortization of debt discount and issuance costs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998</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1,262</w:t>
            </w: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Deferred tax liability</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1,057</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Non-cash lease expense</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988</w:t>
            </w:r>
          </w:p>
        </w:tc>
      </w:tr>
      <w:tr>
        <w:trPr>
          <w:trHeight w:val="171"/>
        </w:trPr>
        <w:tc>
          <w:tcPr>
            <w:tcW w:w="7860" w:type="dxa"/>
            <w:vAlign w:val="bottom"/>
          </w:tcPr>
          <w:p>
            <w:pPr>
              <w:ind w:left="240"/>
              <w:spacing w:after="0"/>
              <w:rPr>
                <w:sz w:val="20"/>
                <w:szCs w:val="20"/>
                <w:color w:val="auto"/>
              </w:rPr>
            </w:pPr>
            <w:r>
              <w:rPr>
                <w:rFonts w:ascii="Arial" w:cs="Arial" w:eastAsia="Arial" w:hAnsi="Arial"/>
                <w:sz w:val="13"/>
                <w:szCs w:val="13"/>
                <w:color w:val="auto"/>
              </w:rPr>
              <w:t>Operating lease impairment charges</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710</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80"/>
        </w:trPr>
        <w:tc>
          <w:tcPr>
            <w:tcW w:w="7860" w:type="dxa"/>
            <w:vAlign w:val="bottom"/>
            <w:shd w:val="clear" w:color="auto" w:fill="CCEEFF"/>
          </w:tcPr>
          <w:p>
            <w:pPr>
              <w:ind w:left="240"/>
              <w:spacing w:after="0"/>
              <w:rPr>
                <w:sz w:val="20"/>
                <w:szCs w:val="20"/>
                <w:color w:val="auto"/>
              </w:rPr>
            </w:pPr>
            <w:r>
              <w:rPr>
                <w:rFonts w:ascii="Arial" w:cs="Arial" w:eastAsia="Arial" w:hAnsi="Arial"/>
                <w:sz w:val="13"/>
                <w:szCs w:val="13"/>
                <w:color w:val="auto"/>
              </w:rPr>
              <w:t>Other non-cash items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w:t>
            </w:r>
          </w:p>
        </w:tc>
      </w:tr>
      <w:tr>
        <w:trPr>
          <w:trHeight w:val="170"/>
        </w:trPr>
        <w:tc>
          <w:tcPr>
            <w:tcW w:w="7860" w:type="dxa"/>
            <w:vAlign w:val="bottom"/>
          </w:tcPr>
          <w:p>
            <w:pPr>
              <w:ind w:left="240"/>
              <w:spacing w:after="0"/>
              <w:rPr>
                <w:sz w:val="20"/>
                <w:szCs w:val="20"/>
                <w:color w:val="auto"/>
              </w:rPr>
            </w:pPr>
            <w:r>
              <w:rPr>
                <w:rFonts w:ascii="Arial" w:cs="Arial" w:eastAsia="Arial" w:hAnsi="Arial"/>
                <w:sz w:val="13"/>
                <w:szCs w:val="13"/>
                <w:i w:val="1"/>
                <w:iCs w:val="1"/>
                <w:color w:val="auto"/>
              </w:rPr>
              <w:t>Changes in assets and liabilities:</w:t>
            </w:r>
          </w:p>
        </w:tc>
        <w:tc>
          <w:tcPr>
            <w:tcW w:w="10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81"/>
        </w:trPr>
        <w:tc>
          <w:tcPr>
            <w:tcW w:w="78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Accounts receivable</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(1,444)</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(8,955)</w:t>
            </w:r>
          </w:p>
        </w:tc>
      </w:tr>
      <w:tr>
        <w:trPr>
          <w:trHeight w:val="171"/>
        </w:trPr>
        <w:tc>
          <w:tcPr>
            <w:tcW w:w="7860" w:type="dxa"/>
            <w:vAlign w:val="bottom"/>
          </w:tcPr>
          <w:p>
            <w:pPr>
              <w:ind w:left="460"/>
              <w:spacing w:after="0"/>
              <w:rPr>
                <w:sz w:val="20"/>
                <w:szCs w:val="20"/>
                <w:color w:val="auto"/>
              </w:rPr>
            </w:pPr>
            <w:r>
              <w:rPr>
                <w:rFonts w:ascii="Arial" w:cs="Arial" w:eastAsia="Arial" w:hAnsi="Arial"/>
                <w:sz w:val="13"/>
                <w:szCs w:val="13"/>
                <w:color w:val="auto"/>
              </w:rPr>
              <w:t>Commissions receivable</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52,979</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68,616</w:t>
            </w:r>
          </w:p>
        </w:tc>
      </w:tr>
      <w:tr>
        <w:trPr>
          <w:trHeight w:val="180"/>
        </w:trPr>
        <w:tc>
          <w:tcPr>
            <w:tcW w:w="78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Prepaid expenses and other assets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9,557</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28,992</w:t>
            </w:r>
          </w:p>
        </w:tc>
      </w:tr>
      <w:tr>
        <w:trPr>
          <w:trHeight w:val="171"/>
        </w:trPr>
        <w:tc>
          <w:tcPr>
            <w:tcW w:w="7860" w:type="dxa"/>
            <w:vAlign w:val="bottom"/>
          </w:tcPr>
          <w:p>
            <w:pPr>
              <w:ind w:left="460"/>
              <w:spacing w:after="0"/>
              <w:rPr>
                <w:sz w:val="20"/>
                <w:szCs w:val="20"/>
                <w:color w:val="auto"/>
              </w:rPr>
            </w:pPr>
            <w:r>
              <w:rPr>
                <w:rFonts w:ascii="Arial" w:cs="Arial" w:eastAsia="Arial" w:hAnsi="Arial"/>
                <w:sz w:val="13"/>
                <w:szCs w:val="13"/>
                <w:color w:val="auto"/>
              </w:rPr>
              <w:t>Accounts payable</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5,705</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(11,932)</w:t>
            </w:r>
          </w:p>
        </w:tc>
      </w:tr>
      <w:tr>
        <w:trPr>
          <w:trHeight w:val="180"/>
        </w:trPr>
        <w:tc>
          <w:tcPr>
            <w:tcW w:w="78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Accrued liabilities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(39,105)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(33,242)</w:t>
            </w:r>
          </w:p>
        </w:tc>
      </w:tr>
      <w:tr>
        <w:trPr>
          <w:trHeight w:val="171"/>
        </w:trPr>
        <w:tc>
          <w:tcPr>
            <w:tcW w:w="7860" w:type="dxa"/>
            <w:vAlign w:val="bottom"/>
          </w:tcPr>
          <w:p>
            <w:pPr>
              <w:ind w:left="460"/>
              <w:spacing w:after="0"/>
              <w:rPr>
                <w:sz w:val="20"/>
                <w:szCs w:val="20"/>
                <w:color w:val="auto"/>
              </w:rPr>
            </w:pPr>
            <w:r>
              <w:rPr>
                <w:rFonts w:ascii="Arial" w:cs="Arial" w:eastAsia="Arial" w:hAnsi="Arial"/>
                <w:sz w:val="13"/>
                <w:szCs w:val="13"/>
                <w:color w:val="auto"/>
              </w:rPr>
              <w:t>Deferred revenue</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(30,051)</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(13,680)</w:t>
            </w:r>
          </w:p>
        </w:tc>
      </w:tr>
      <w:tr>
        <w:trPr>
          <w:trHeight w:val="180"/>
        </w:trPr>
        <w:tc>
          <w:tcPr>
            <w:tcW w:w="78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Commissions payable</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(29,057)</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(16,936)</w:t>
            </w:r>
          </w:p>
        </w:tc>
      </w:tr>
      <w:tr>
        <w:trPr>
          <w:trHeight w:val="171"/>
        </w:trPr>
        <w:tc>
          <w:tcPr>
            <w:tcW w:w="7860" w:type="dxa"/>
            <w:vAlign w:val="bottom"/>
          </w:tcPr>
          <w:p>
            <w:pPr>
              <w:ind w:left="460"/>
              <w:spacing w:after="0"/>
              <w:rPr>
                <w:sz w:val="20"/>
                <w:szCs w:val="20"/>
                <w:color w:val="auto"/>
              </w:rPr>
            </w:pPr>
            <w:r>
              <w:rPr>
                <w:rFonts w:ascii="Arial" w:cs="Arial" w:eastAsia="Arial" w:hAnsi="Arial"/>
                <w:sz w:val="13"/>
                <w:szCs w:val="13"/>
                <w:color w:val="auto"/>
              </w:rPr>
              <w:t>Operating lease liabilities</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(1,385)</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(1,838)</w:t>
            </w:r>
          </w:p>
        </w:tc>
      </w:tr>
      <w:tr>
        <w:trPr>
          <w:trHeight w:val="180"/>
        </w:trPr>
        <w:tc>
          <w:tcPr>
            <w:tcW w:w="7860" w:type="dxa"/>
            <w:vAlign w:val="bottom"/>
            <w:shd w:val="clear" w:color="auto" w:fill="CCEEFF"/>
          </w:tcPr>
          <w:p>
            <w:pPr>
              <w:ind w:left="460"/>
              <w:spacing w:after="0"/>
              <w:rPr>
                <w:sz w:val="20"/>
                <w:szCs w:val="20"/>
                <w:color w:val="auto"/>
              </w:rPr>
            </w:pPr>
            <w:r>
              <w:rPr>
                <w:rFonts w:ascii="Arial" w:cs="Arial" w:eastAsia="Arial" w:hAnsi="Arial"/>
                <w:sz w:val="13"/>
                <w:szCs w:val="13"/>
                <w:color w:val="auto"/>
              </w:rPr>
              <w:t>Other liabilities</w:t>
            </w:r>
          </w:p>
        </w:tc>
        <w:tc>
          <w:tcPr>
            <w:tcW w:w="10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(2,617)</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(7,379)</w:t>
            </w:r>
          </w:p>
        </w:tc>
      </w:tr>
      <w:tr>
        <w:trPr>
          <w:trHeight w:val="164"/>
        </w:trPr>
        <w:tc>
          <w:tcPr>
            <w:tcW w:w="786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Net cash provided by (used in) operating activities</w:t>
            </w: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(12,405)</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12,512</w:t>
            </w:r>
          </w:p>
        </w:tc>
      </w:tr>
      <w:tr>
        <w:trPr>
          <w:trHeight w:val="160"/>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Investing Activities</w:t>
            </w:r>
          </w:p>
        </w:tc>
        <w:tc>
          <w:tcPr>
            <w:tcW w:w="10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r>
      <w:tr>
        <w:trPr>
          <w:trHeight w:val="171"/>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Purchases of property, equipment and software</w:t>
            </w: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(3,048)</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(4,556)</w:t>
            </w:r>
          </w:p>
        </w:tc>
      </w:tr>
      <w:tr>
        <w:trPr>
          <w:trHeight w:val="174"/>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cash provided by (used in) investing activities</w:t>
            </w:r>
          </w:p>
        </w:tc>
        <w:tc>
          <w:tcPr>
            <w:tcW w:w="10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(3,048)</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(4,556)</w:t>
            </w:r>
          </w:p>
        </w:tc>
      </w:tr>
      <w:tr>
        <w:trPr>
          <w:trHeight w:val="154"/>
        </w:trPr>
        <w:tc>
          <w:tcPr>
            <w:tcW w:w="7860" w:type="dxa"/>
            <w:vAlign w:val="bottom"/>
          </w:tcPr>
          <w:p>
            <w:pPr>
              <w:ind w:left="20"/>
              <w:spacing w:after="0"/>
              <w:rPr>
                <w:sz w:val="20"/>
                <w:szCs w:val="20"/>
                <w:color w:val="auto"/>
              </w:rPr>
            </w:pPr>
            <w:r>
              <w:rPr>
                <w:rFonts w:ascii="Arial" w:cs="Arial" w:eastAsia="Arial" w:hAnsi="Arial"/>
                <w:sz w:val="13"/>
                <w:szCs w:val="13"/>
                <w:b w:val="1"/>
                <w:bCs w:val="1"/>
                <w:color w:val="auto"/>
              </w:rPr>
              <w:t>Financing Activities</w:t>
            </w: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77"/>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Repayment of borrowings</w:t>
            </w:r>
          </w:p>
        </w:tc>
        <w:tc>
          <w:tcPr>
            <w:tcW w:w="104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(2,375)</w:t>
            </w:r>
          </w:p>
        </w:tc>
        <w:tc>
          <w:tcPr>
            <w:tcW w:w="10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7860" w:type="dxa"/>
            <w:vAlign w:val="bottom"/>
          </w:tcPr>
          <w:p>
            <w:pPr>
              <w:ind w:left="20"/>
              <w:spacing w:after="0"/>
              <w:rPr>
                <w:sz w:val="20"/>
                <w:szCs w:val="20"/>
                <w:color w:val="auto"/>
              </w:rPr>
            </w:pPr>
            <w:r>
              <w:rPr>
                <w:rFonts w:ascii="Arial" w:cs="Arial" w:eastAsia="Arial" w:hAnsi="Arial"/>
                <w:sz w:val="13"/>
                <w:szCs w:val="13"/>
                <w:color w:val="auto"/>
              </w:rPr>
              <w:t>Repurchase of shares to satisfy employee tax withholding obligations</w:t>
            </w:r>
          </w:p>
        </w:tc>
        <w:tc>
          <w:tcPr>
            <w:tcW w:w="10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(822)</w:t>
            </w:r>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(942)</w:t>
            </w:r>
          </w:p>
        </w:tc>
      </w:tr>
      <w:tr>
        <w:trPr>
          <w:trHeight w:val="180"/>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Proceeds from stock option exercises</w:t>
            </w:r>
          </w:p>
        </w:tc>
        <w:tc>
          <w:tcPr>
            <w:tcW w:w="10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r>
      <w:tr>
        <w:trPr>
          <w:trHeight w:val="164"/>
        </w:trPr>
        <w:tc>
          <w:tcPr>
            <w:tcW w:w="786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Net cash provided by (used in) financing activities</w:t>
            </w: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(3,196)</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(942)</w:t>
            </w:r>
          </w:p>
        </w:tc>
      </w:tr>
      <w:tr>
        <w:trPr>
          <w:trHeight w:val="174"/>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Effect of exchange rate changes on cash and cash equivalents</w:t>
            </w:r>
          </w:p>
        </w:tc>
        <w:tc>
          <w:tcPr>
            <w:tcW w:w="10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r>
      <w:tr>
        <w:trPr>
          <w:trHeight w:val="164"/>
        </w:trPr>
        <w:tc>
          <w:tcPr>
            <w:tcW w:w="7860" w:type="dxa"/>
            <w:vAlign w:val="bottom"/>
            <w:tcBorders>
              <w:bottom w:val="single" w:sz="8" w:color="CCEEFF"/>
            </w:tcBorders>
          </w:tcPr>
          <w:p>
            <w:pPr>
              <w:ind w:left="20"/>
              <w:spacing w:after="0" w:line="146" w:lineRule="exact"/>
              <w:rPr>
                <w:sz w:val="20"/>
                <w:szCs w:val="20"/>
                <w:color w:val="auto"/>
              </w:rPr>
            </w:pPr>
            <w:r>
              <w:rPr>
                <w:rFonts w:ascii="Arial" w:cs="Arial" w:eastAsia="Arial" w:hAnsi="Arial"/>
                <w:sz w:val="13"/>
                <w:szCs w:val="13"/>
                <w:color w:val="auto"/>
              </w:rPr>
              <w:t>Increase (decrease) in cash and cash equivalents</w:t>
            </w:r>
          </w:p>
        </w:tc>
        <w:tc>
          <w:tcPr>
            <w:tcW w:w="10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(18,768)</w:t>
            </w: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7,009</w:t>
            </w:r>
          </w:p>
        </w:tc>
      </w:tr>
      <w:tr>
        <w:trPr>
          <w:trHeight w:val="174"/>
        </w:trPr>
        <w:tc>
          <w:tcPr>
            <w:tcW w:w="786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and cash equivalents at beginning of period</w:t>
            </w:r>
          </w:p>
        </w:tc>
        <w:tc>
          <w:tcPr>
            <w:tcW w:w="104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40,921</w:t>
            </w:r>
          </w:p>
        </w:tc>
        <w:tc>
          <w:tcPr>
            <w:tcW w:w="100" w:type="dxa"/>
            <w:vAlign w:val="bottom"/>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90,809</w:t>
            </w:r>
          </w:p>
        </w:tc>
      </w:tr>
      <w:tr>
        <w:trPr>
          <w:trHeight w:val="167"/>
        </w:trPr>
        <w:tc>
          <w:tcPr>
            <w:tcW w:w="7860" w:type="dxa"/>
            <w:vAlign w:val="bottom"/>
          </w:tcPr>
          <w:p>
            <w:pPr>
              <w:ind w:left="20"/>
              <w:spacing w:after="0"/>
              <w:rPr>
                <w:sz w:val="20"/>
                <w:szCs w:val="20"/>
                <w:color w:val="auto"/>
              </w:rPr>
            </w:pPr>
            <w:r>
              <w:rPr>
                <w:rFonts w:ascii="Arial" w:cs="Arial" w:eastAsia="Arial" w:hAnsi="Arial"/>
                <w:sz w:val="13"/>
                <w:szCs w:val="13"/>
                <w:b w:val="1"/>
                <w:bCs w:val="1"/>
                <w:color w:val="auto"/>
              </w:rPr>
              <w:t>Cash and cash equivalents at end of period</w:t>
            </w:r>
          </w:p>
        </w:tc>
        <w:tc>
          <w:tcPr>
            <w:tcW w:w="1040" w:type="dxa"/>
            <w:vAlign w:val="bottom"/>
            <w:tcBorders>
              <w:bottom w:val="single" w:sz="8" w:color="auto"/>
            </w:tcBorders>
          </w:tcPr>
          <w:p>
            <w:pPr>
              <w:jc w:val="right"/>
              <w:ind w:right="897"/>
              <w:spacing w:after="0"/>
              <w:rPr>
                <w:sz w:val="20"/>
                <w:szCs w:val="20"/>
                <w:color w:val="auto"/>
              </w:rPr>
            </w:pPr>
            <w:r>
              <w:rPr>
                <w:rFonts w:ascii="Arial" w:cs="Arial" w:eastAsia="Arial" w:hAnsi="Arial"/>
                <w:sz w:val="13"/>
                <w:szCs w:val="13"/>
                <w:b w:val="1"/>
                <w:bCs w:val="1"/>
                <w:color w:val="auto"/>
                <w:w w:val="82"/>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22,153</w:t>
            </w:r>
          </w:p>
        </w:tc>
        <w:tc>
          <w:tcPr>
            <w:tcW w:w="100" w:type="dxa"/>
            <w:vAlign w:val="bottom"/>
          </w:tcPr>
          <w:p>
            <w:pPr>
              <w:spacing w:after="0"/>
              <w:rPr>
                <w:sz w:val="14"/>
                <w:szCs w:val="14"/>
                <w:color w:val="auto"/>
              </w:rPr>
            </w:pPr>
          </w:p>
        </w:tc>
        <w:tc>
          <w:tcPr>
            <w:tcW w:w="1060" w:type="dxa"/>
            <w:vAlign w:val="bottom"/>
            <w:tcBorders>
              <w:bottom w:val="single" w:sz="8" w:color="auto"/>
            </w:tcBorders>
          </w:tcPr>
          <w:p>
            <w:pPr>
              <w:jc w:val="right"/>
              <w:ind w:right="917"/>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97,818</w:t>
            </w:r>
          </w:p>
        </w:tc>
      </w:tr>
      <w:tr>
        <w:trPr>
          <w:trHeight w:val="22"/>
        </w:trPr>
        <w:tc>
          <w:tcPr>
            <w:tcW w:w="7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98"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8</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6"/>
          <w:szCs w:val="16"/>
          <w:b w:val="1"/>
          <w:bCs w:val="1"/>
          <w:color w:val="00497F"/>
        </w:rPr>
        <w:t>GOHEALTH, INC.</w:t>
      </w:r>
    </w:p>
    <w:p>
      <w:pPr>
        <w:spacing w:after="0" w:line="5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00497F"/>
        </w:rPr>
        <w:t>NOTES TO CONDENSED CONSOLIDATED FINANCIAL STATEMENTS</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00497F"/>
        </w:rPr>
        <w:t>(In thousands, except per share amounts, unaudited)</w:t>
      </w:r>
    </w:p>
    <w:p>
      <w:pPr>
        <w:spacing w:after="0" w:line="219" w:lineRule="exact"/>
        <w:rPr>
          <w:sz w:val="20"/>
          <w:szCs w:val="20"/>
          <w:color w:val="auto"/>
        </w:rPr>
      </w:pPr>
    </w:p>
    <w:p>
      <w:pPr>
        <w:ind w:right="5380" w:firstLine="8"/>
        <w:spacing w:after="0" w:line="554" w:lineRule="auto"/>
        <w:tabs>
          <w:tab w:leader="none" w:pos="180" w:val="left"/>
        </w:tabs>
        <w:numPr>
          <w:ilvl w:val="0"/>
          <w:numId w:val="7"/>
        </w:numPr>
        <w:rPr>
          <w:rFonts w:ascii="Arial" w:cs="Arial" w:eastAsia="Arial" w:hAnsi="Arial"/>
          <w:sz w:val="16"/>
          <w:szCs w:val="16"/>
          <w:b w:val="1"/>
          <w:bCs w:val="1"/>
          <w:color w:val="00497F"/>
        </w:rPr>
      </w:pPr>
      <w:r>
        <w:rPr>
          <w:rFonts w:ascii="Arial" w:cs="Arial" w:eastAsia="Arial" w:hAnsi="Arial"/>
          <w:sz w:val="16"/>
          <w:szCs w:val="16"/>
          <w:b w:val="1"/>
          <w:bCs w:val="1"/>
          <w:color w:val="00497F"/>
        </w:rPr>
        <w:t xml:space="preserve">DESCRIPTION OF BUSINESS AND SIGNIFICANT ACCOUNTING POLICIES </w:t>
      </w:r>
      <w:r>
        <w:rPr>
          <w:rFonts w:ascii="Arial" w:cs="Arial" w:eastAsia="Arial" w:hAnsi="Arial"/>
          <w:sz w:val="16"/>
          <w:szCs w:val="16"/>
          <w:b w:val="1"/>
          <w:bCs w:val="1"/>
          <w:color w:val="000000"/>
        </w:rPr>
        <w:t>Description of Business</w:t>
      </w:r>
    </w:p>
    <w:p>
      <w:pPr>
        <w:spacing w:after="0" w:line="1"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GoHealth (the “Company”) is a leading health insurance marketplace and Medicare-focused digital health company whose purpose is to compassionately ensure consumers’ peace of mind when making healthcare decisions so they can focus on living life. With a widely scalable end-to-end platform and substantial presence in the Medicare landscape, GoHealth believes it is uniquely positioned as a trusted partner to the 67.0 million Medicare-eligible Americans, as well as the 11,000 Americans becoming eligible each day, as they navigate one of life's most important purchasing decisions. For many of these consumers, enrolling in a health insurance plan is confusing and difficult, and seemingly small differences between health plans may lead to significant out-of-pocket costs or lack of access to critical providers and medicines. GoHealth aims to simplify the process by offering education, comparison guidance, transparency and choice. This includes providing a large selection of leading health plan choices, advice informed by consumers’ specific needs, transparency of health plan benefits and fit, assistance accessing available government subsidies and a high-touch consumer care team. GoHealth partners with health plans that provide access to high-quality health plans across all 50 states and the District of Columbia.</w:t>
      </w:r>
    </w:p>
    <w:p>
      <w:pPr>
        <w:spacing w:after="0" w:line="204" w:lineRule="exact"/>
        <w:rPr>
          <w:sz w:val="20"/>
          <w:szCs w:val="20"/>
          <w:color w:val="auto"/>
        </w:rPr>
      </w:pPr>
    </w:p>
    <w:p>
      <w:pPr>
        <w:ind w:right="100"/>
        <w:spacing w:after="0" w:line="262" w:lineRule="auto"/>
        <w:rPr>
          <w:sz w:val="20"/>
          <w:szCs w:val="20"/>
          <w:color w:val="auto"/>
        </w:rPr>
      </w:pPr>
      <w:r>
        <w:rPr>
          <w:rFonts w:ascii="Arial" w:cs="Arial" w:eastAsia="Arial" w:hAnsi="Arial"/>
          <w:sz w:val="16"/>
          <w:szCs w:val="16"/>
          <w:color w:val="auto"/>
        </w:rPr>
        <w:t>GoHealth primarily offers Medicare plans, including, but not limited to, Medicare Advantage, Medicare Supplement and prescription drug plans. Its proprietary technology platform leverages modern machine-learning algorithms, powered by over two decades of insurance purchasing behavior, to reimagine the process of matching a health plan to a consumer’s specific needs. GoHealth’s unbiased, technology-driven marketplace coupled with highly-skilled licensed agents has facilitated the enrollment of millions of consumers in Medicare plans since its inception. Health plan partners benefit from the GoHealth platform by gaining access to the large and rapidly growing Medicare-eligible population. GoHealth believes health plan partners utilize its large-scale data, technology and efficient marketing processes to maximize scale and reduce their cost of submission, compared to health plan partner-employed agent workforces.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GoHealth believes its streamlined, consumer-centric Encompass operating model drives both high-quality enrollments and a strong consumer experience.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 Company strives to be a trusted, high-quality enrollment partner for both consumers and health plan partners.</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Basis of Presentation and Significant Accounting Policies</w:t>
      </w:r>
    </w:p>
    <w:p>
      <w:pPr>
        <w:spacing w:after="0" w:line="221" w:lineRule="exact"/>
        <w:rPr>
          <w:sz w:val="20"/>
          <w:szCs w:val="20"/>
          <w:color w:val="auto"/>
        </w:rPr>
      </w:pPr>
    </w:p>
    <w:p>
      <w:pPr>
        <w:ind w:right="240"/>
        <w:spacing w:after="0" w:line="262" w:lineRule="auto"/>
        <w:rPr>
          <w:sz w:val="20"/>
          <w:szCs w:val="20"/>
          <w:color w:val="auto"/>
        </w:rPr>
      </w:pPr>
      <w:r>
        <w:rPr>
          <w:rFonts w:ascii="Arial" w:cs="Arial" w:eastAsia="Arial" w:hAnsi="Arial"/>
          <w:sz w:val="16"/>
          <w:szCs w:val="16"/>
          <w:color w:val="auto"/>
        </w:rPr>
        <w:t>The Company was incorporated in Delaware on March 27, 2020 for the purpose of facilitating an initial public offering (the “IPO”) and other related transactions in order to carry on the business of GHH, LLC, a Delaware limited liability company, and its controlled subsidiaries (collectively, “GHH, LLC”). Following the IPO and pursuant to a reorganization into a holding company structure, the Company is a holding company and its principal asset is a controlling equity interest in GHH, LLC. As the sole managing member of GHH, LLC, the Company operates and controls all of the business and affairs of GHH, LLC, and through GHH, LLC and its subsidiaries, conducts its business. As a result, the Company consolidates GHH, LLC’s financial results in its Condensed Consolidated Financial Statements and reports non-controlling interests for the economic interest in GHH, LLC held by the Continuing Equity Owners.</w:t>
      </w:r>
    </w:p>
    <w:p>
      <w:pPr>
        <w:spacing w:after="0" w:line="174"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(“GAAP”) for interim financial information, but do not include all information and footnote disclosures required under GAAP for annual financial statements. The accompanying Condensed Consolidated Financial Statements and related notes should be read in conjunction with the audited Consolidated Financial Statements and related notes included in the Company’s 2024 Annual Report on Form 10-K, which was filed with the Securities and Exchange Commission on February 27, 2025. In the opinion of management, the interim Condensed Consolidated Financial Statements include all adjustments, consisting only of normal recurring adjustments, necessary for the fair presentation of the Company’s financial position, results of operations and cash flows as of the dates and for the periods presented. All intercompany transactions and balances are eliminated in consolidation.</w:t>
      </w:r>
    </w:p>
    <w:p>
      <w:pPr>
        <w:spacing w:after="0" w:line="190" w:lineRule="exact"/>
        <w:rPr>
          <w:sz w:val="20"/>
          <w:szCs w:val="20"/>
          <w:color w:val="auto"/>
        </w:rPr>
      </w:pPr>
    </w:p>
    <w:p>
      <w:pPr>
        <w:jc w:val="both"/>
        <w:ind w:right="40"/>
        <w:spacing w:after="0" w:line="275" w:lineRule="auto"/>
        <w:rPr>
          <w:sz w:val="20"/>
          <w:szCs w:val="20"/>
          <w:color w:val="auto"/>
        </w:rPr>
      </w:pPr>
      <w:r>
        <w:rPr>
          <w:rFonts w:ascii="Arial" w:cs="Arial" w:eastAsia="Arial" w:hAnsi="Arial"/>
          <w:sz w:val="16"/>
          <w:szCs w:val="16"/>
          <w:color w:val="auto"/>
        </w:rPr>
        <w:t>Certain prior period amounts have been reclassified to conform with the current period presentation. The Company reclassified $8.5 million related to certain commissions payable to external agents from other current liabilities to commissions payable - current on the Condensed Consolidated Statements of Cash Flows for the period ended March 31, 2024 to conform to current period presentation.</w:t>
      </w:r>
    </w:p>
    <w:p>
      <w:pPr>
        <w:spacing w:after="0" w:line="164"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There have been no material changes to the Company’s significant accounting policies from those disclosed in the notes to the Company’s audited Consolidated Financial Statements as of and for the year ended December 31, 2024, which were included in the Company’s 2024 Annual Report on Form 10-K.</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Going Concern</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568"/>
              <w:spacing w:after="0"/>
              <w:rPr>
                <w:sz w:val="20"/>
                <w:szCs w:val="20"/>
                <w:color w:val="auto"/>
              </w:rPr>
            </w:pPr>
            <w:r>
              <w:rPr>
                <w:rFonts w:ascii="Arial" w:cs="Arial" w:eastAsia="Arial" w:hAnsi="Arial"/>
                <w:sz w:val="14"/>
                <w:szCs w:val="14"/>
                <w:color w:val="auto"/>
              </w:rPr>
              <w:t>9</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12" w:name="page13"/>
    <w:bookmarkEnd w:id="12"/>
    <w:p>
      <w:pPr>
        <w:ind w:right="40"/>
        <w:spacing w:after="0" w:line="275" w:lineRule="auto"/>
        <w:rPr>
          <w:sz w:val="20"/>
          <w:szCs w:val="20"/>
          <w:color w:val="auto"/>
        </w:rPr>
      </w:pPr>
      <w:r>
        <w:rPr>
          <w:rFonts w:ascii="Arial" w:cs="Arial" w:eastAsia="Arial" w:hAnsi="Arial"/>
          <w:sz w:val="16"/>
          <w:szCs w:val="16"/>
          <w:color w:val="auto"/>
        </w:rPr>
        <w:t>These Condensed Consolidated Financial Statements have been prepared in accordance with GAAP applicable to a going concern, which contemplates the realization of assets and satisfaction of liabilities in the normal course of business within twelve months after the date that these Condensed Consolidated Financial Statements are issued.</w:t>
      </w:r>
    </w:p>
    <w:p>
      <w:pPr>
        <w:spacing w:after="0" w:line="178" w:lineRule="exact"/>
        <w:rPr>
          <w:sz w:val="20"/>
          <w:szCs w:val="20"/>
          <w:color w:val="auto"/>
        </w:rPr>
      </w:pPr>
    </w:p>
    <w:p>
      <w:pPr>
        <w:ind w:right="40"/>
        <w:spacing w:after="0" w:line="241" w:lineRule="auto"/>
        <w:rPr>
          <w:sz w:val="20"/>
          <w:szCs w:val="20"/>
          <w:color w:val="auto"/>
        </w:rPr>
      </w:pPr>
      <w:r>
        <w:rPr>
          <w:rFonts w:ascii="Arial" w:cs="Arial" w:eastAsia="Arial" w:hAnsi="Arial"/>
          <w:sz w:val="16"/>
          <w:szCs w:val="16"/>
          <w:color w:val="auto"/>
        </w:rPr>
        <w:t>Under the Company’s Credit Agreement (as defined and described further in in Note 4, “Long-Term Debt”), the Company is required to meet certain financial covenants and make scheduled principal and interest payments. As of March 31, 2025, the Company is in compliance with all of its financial covenants; however, management’s current financial projections indicate that, based on the Company’s current business plan, there is a significant likelihood that the Company will be unable to maintain compliance with its covenants and make scheduled principal and interest payments, including amounts due under the Class A Revolving Facility expiring on June 30, 2025 within the twelve months after these Condensed Consolidated Financial Statements are issued, unless the mitigating plans described below are implemented successfully. If the Company is unable to meet its covenants or make scheduled principal and interest payments, the Company’s lenders could declare the Company in default and accelerate all amounts owing under the Credit Agreement. The Company does not expect it would have sufficient liquidity to repay such amounts. Management has developed mitigating plans to address the potential liquidity constraints, including cost control measures and renegotiation of the terms of its existing debt arrangements. However, the Company cannot provide assurance that it will be successful in implementing these mitigating plans on acceptable terms, if at all. As a result, there is substantial doubt about the Company’s ability to continue as a going concern.</w:t>
      </w:r>
    </w:p>
    <w:p>
      <w:pPr>
        <w:spacing w:after="0" w:line="209" w:lineRule="exact"/>
        <w:rPr>
          <w:sz w:val="20"/>
          <w:szCs w:val="20"/>
          <w:color w:val="auto"/>
        </w:rPr>
      </w:pPr>
    </w:p>
    <w:p>
      <w:pPr>
        <w:ind w:right="480"/>
        <w:spacing w:after="0" w:line="268" w:lineRule="auto"/>
        <w:rPr>
          <w:sz w:val="20"/>
          <w:szCs w:val="20"/>
          <w:color w:val="auto"/>
        </w:rPr>
      </w:pPr>
      <w:r>
        <w:rPr>
          <w:rFonts w:ascii="Arial" w:cs="Arial" w:eastAsia="Arial" w:hAnsi="Arial"/>
          <w:sz w:val="16"/>
          <w:szCs w:val="16"/>
          <w:color w:val="auto"/>
        </w:rPr>
        <w:t>The Condensed Consolidated Financial Statements do not include any adjustments to the carrying amounts and classification of assets, liabilities, and reported expenses that may be necessary if the Company were unable to continue as a going concern.</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221"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preparation of the Condensed Consolidated Financial Statements in conformity with GAAP requires management to make certain estimates, judgments and assumptions that affect the reported amounts of assets and liabilities at the date of the Condensed Consolidated Financial Statements and the reported amounts of revenues and expenses during the reporting periods. The Company bases its estimates on historical experience and various other assumptions that management believes are reasonable under the circumstances, the results of which form the basis for making judgments about carrying values of assets and liabilities that are not readily apparent from other sources. Actual results could differ from those estimates.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Seasonality</w:t>
      </w:r>
    </w:p>
    <w:p>
      <w:pPr>
        <w:spacing w:after="0" w:line="235"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Medicare annual enrollment period (“AEP”) occurs from October 15th to December 7th. As a result, and in general, the Company experiences an increase in the number of Submissions during the fourth quarter and an increase in expense related to the Submissions during the third and fourth quarters. Additionally, as a result of the annual Medicare Advantage open enrollment period that occurs from January 1st to March 31st, Submissions are typically second-highest in the first quarter. The second and third quarters are known as special election periods, during which Submissions are typically lowest. A significant portion of the Company’s marketing and advertising expenses is driven by the number of health insurance applications submitted through the Company. Marketing and advertising expenses are generally higher in the fourth quarter during AEP, but because commissions from approved consumers are paid to the Company over time, the Company’s operating cash flows could be adversely impacted by a substantial increase in marketing and advertising expenses as a result of a higher volume of Submissions during the fourth quarter or positively impacted by a substantial decline in marketing and advertising expenses as a result of lower volume of Submissions during the fourth quarter.</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Recent Accounting Pronouncements Not Yet Adopted</w:t>
      </w:r>
    </w:p>
    <w:p>
      <w:pPr>
        <w:spacing w:after="0" w:line="219"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 xml:space="preserve">In December 2023, the FASB issued ASU 2023-09, </w:t>
      </w:r>
      <w:r>
        <w:rPr>
          <w:rFonts w:ascii="Arial" w:cs="Arial" w:eastAsia="Arial" w:hAnsi="Arial"/>
          <w:sz w:val="16"/>
          <w:szCs w:val="16"/>
          <w:i w:val="1"/>
          <w:iCs w:val="1"/>
          <w:color w:val="auto"/>
        </w:rPr>
        <w:t>Income Taxes (Topic 740): Improvements to Income Tax Disclosures</w:t>
      </w:r>
      <w:r>
        <w:rPr>
          <w:rFonts w:ascii="Arial" w:cs="Arial" w:eastAsia="Arial" w:hAnsi="Arial"/>
          <w:sz w:val="16"/>
          <w:szCs w:val="16"/>
          <w:color w:val="auto"/>
        </w:rPr>
        <w:t xml:space="preserve"> ("ASU 2023-09"). ASU 2023-09 enhanced annual disclosures regarding the income tax rate reconciliation and income taxes paid information. ASU 2023-09 is effective for annual periods beginning after December 15, 2024 for public business entities and annual periods beginning after December 15, 2025 for all other entities. The Company is currently assessing the impact on its related disclosures.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 November 2024, the FASB issued ASU 2024-03, </w:t>
      </w:r>
      <w:r>
        <w:rPr>
          <w:rFonts w:ascii="Arial" w:cs="Arial" w:eastAsia="Arial" w:hAnsi="Arial"/>
          <w:sz w:val="16"/>
          <w:szCs w:val="16"/>
          <w:i w:val="1"/>
          <w:iCs w:val="1"/>
          <w:color w:val="auto"/>
        </w:rPr>
        <w:t>Income Statement: Reporting Comprehensive Income-Expense Disaggregation Disclosures (Subtopic</w:t>
      </w:r>
    </w:p>
    <w:p>
      <w:pPr>
        <w:spacing w:after="0" w:line="31" w:lineRule="exact"/>
        <w:rPr>
          <w:sz w:val="20"/>
          <w:szCs w:val="20"/>
          <w:color w:val="auto"/>
        </w:rPr>
      </w:pPr>
    </w:p>
    <w:p>
      <w:pPr>
        <w:ind w:right="60"/>
        <w:spacing w:after="0" w:line="260" w:lineRule="auto"/>
        <w:rPr>
          <w:sz w:val="20"/>
          <w:szCs w:val="20"/>
          <w:color w:val="auto"/>
        </w:rPr>
      </w:pPr>
      <w:r>
        <w:rPr>
          <w:rFonts w:ascii="Arial" w:cs="Arial" w:eastAsia="Arial" w:hAnsi="Arial"/>
          <w:sz w:val="16"/>
          <w:szCs w:val="16"/>
          <w:i w:val="1"/>
          <w:iCs w:val="1"/>
          <w:color w:val="auto"/>
        </w:rPr>
        <w:t xml:space="preserve">220-40): Disaggregation of Income Statement Expenses </w:t>
      </w:r>
      <w:r>
        <w:rPr>
          <w:rFonts w:ascii="Arial" w:cs="Arial" w:eastAsia="Arial" w:hAnsi="Arial"/>
          <w:sz w:val="16"/>
          <w:szCs w:val="16"/>
          <w:color w:val="auto"/>
        </w:rPr>
        <w:t>(“ASU 2024-03”), which requires disclosure about the types of costs and expenses included in</w:t>
      </w:r>
      <w:r>
        <w:rPr>
          <w:rFonts w:ascii="Arial" w:cs="Arial" w:eastAsia="Arial" w:hAnsi="Arial"/>
          <w:sz w:val="16"/>
          <w:szCs w:val="16"/>
          <w:i w:val="1"/>
          <w:iCs w:val="1"/>
          <w:color w:val="auto"/>
        </w:rPr>
        <w:t xml:space="preserve"> </w:t>
      </w:r>
      <w:r>
        <w:rPr>
          <w:rFonts w:ascii="Arial" w:cs="Arial" w:eastAsia="Arial" w:hAnsi="Arial"/>
          <w:sz w:val="16"/>
          <w:szCs w:val="16"/>
          <w:color w:val="auto"/>
        </w:rPr>
        <w:t>certain expense captions presented on the income statement. The new disclosure requirements are effective for the Company’s annual periods beginning after December 15, 2026, and interim periods beginning after December 15, 2027, with early adoption permitted. The Company is currently in the process of evaluating the impact of this pronouncement on our related disclosures.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2. FAIR VALUE MEASUREMENTS</w:t>
      </w:r>
    </w:p>
    <w:p>
      <w:pPr>
        <w:spacing w:after="0" w:line="262" w:lineRule="exact"/>
        <w:rPr>
          <w:sz w:val="20"/>
          <w:szCs w:val="20"/>
          <w:color w:val="auto"/>
        </w:rPr>
      </w:pPr>
    </w:p>
    <w:p>
      <w:pPr>
        <w:ind w:right="820"/>
        <w:spacing w:after="0" w:line="286" w:lineRule="auto"/>
        <w:rPr>
          <w:sz w:val="20"/>
          <w:szCs w:val="20"/>
          <w:color w:val="auto"/>
        </w:rPr>
      </w:pPr>
      <w:r>
        <w:rPr>
          <w:rFonts w:ascii="Arial" w:cs="Arial" w:eastAsia="Arial" w:hAnsi="Arial"/>
          <w:sz w:val="16"/>
          <w:szCs w:val="16"/>
          <w:color w:val="auto"/>
        </w:rPr>
        <w:t>The Company defines fair value as the price that would be received for an asset or paid to transfer a liability (an exit price) in the principal or most advantageous market for the asset or liability in an orderly transaction between market participants on the</w:t>
      </w: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10</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13" w:name="page14"/>
    <w:bookmarkEnd w:id="13"/>
    <w:p>
      <w:pPr>
        <w:ind w:right="220"/>
        <w:spacing w:after="0" w:line="275" w:lineRule="auto"/>
        <w:rPr>
          <w:sz w:val="20"/>
          <w:szCs w:val="20"/>
          <w:color w:val="auto"/>
        </w:rPr>
      </w:pPr>
      <w:r>
        <w:rPr>
          <w:rFonts w:ascii="Arial" w:cs="Arial" w:eastAsia="Arial" w:hAnsi="Arial"/>
          <w:sz w:val="16"/>
          <w:szCs w:val="16"/>
          <w:color w:val="auto"/>
        </w:rPr>
        <w:t>measurement date. Valuation techniques the Company uses to measure fair value maximize the use of observable inputs and minimize the use of unobservable inputs. The Company has applied the provisions of fair value accounting for purposes of computing the fair value of financial instruments for disclosure purposes as presented below.</w:t>
      </w:r>
    </w:p>
    <w:p>
      <w:pPr>
        <w:sectPr>
          <w:pgSz w:w="11900" w:h="16838" w:orient="portrait"/>
          <w:cols w:equalWidth="0" w:num="1">
            <w:col w:w="11240"/>
          </w:cols>
          <w:pgMar w:left="320" w:top="1111" w:right="339" w:bottom="1440" w:gutter="0" w:footer="0" w:header="0"/>
        </w:sectPr>
      </w:pPr>
    </w:p>
    <w:p>
      <w:pPr>
        <w:spacing w:after="0" w:line="205"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1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13716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2 Inputs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13716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71600" cy="8255"/>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color w:val="auto"/>
        </w:rPr>
        <w:t>Level 3 Inputs</w:t>
      </w:r>
    </w:p>
    <w:p>
      <w:pPr>
        <w:spacing w:after="0" w:line="3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Fair Value Measurements</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Unadjusted quoted prices in active markets for identical assets or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570039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6"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Unadjusted quoted prices in active markets for similar assets or liabilities; unadjusted quoted prices for identical or similar assets or liabilities in markets that are not active; inputs other than quoted prices that are observable for the asset or liability.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-3175</wp:posOffset>
            </wp:positionV>
            <wp:extent cx="570039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Unobservable inputs for the asset or liability.</w:t>
      </w:r>
    </w:p>
    <w:p>
      <w:pPr>
        <w:spacing w:after="0" w:line="712" w:lineRule="exact"/>
        <w:rPr>
          <w:sz w:val="20"/>
          <w:szCs w:val="20"/>
          <w:color w:val="auto"/>
        </w:rPr>
      </w:pPr>
    </w:p>
    <w:p>
      <w:pPr>
        <w:sectPr>
          <w:pgSz w:w="11900" w:h="16838" w:orient="portrait"/>
          <w:cols w:equalWidth="0" w:num="2">
            <w:col w:w="1960" w:space="320"/>
            <w:col w:w="8960"/>
          </w:cols>
          <w:pgMar w:left="320" w:top="1111" w:right="339" w:bottom="1440" w:gutter="0" w:footer="0" w:header="0"/>
          <w:type w:val="continuous"/>
        </w:sectPr>
      </w:pPr>
    </w:p>
    <w:p>
      <w:pPr>
        <w:spacing w:after="0" w:line="2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carrying amount of certain financial instruments, including cash and cash equivalents, accounts receivable, unbilled receivables, accounts payable and accrued expenses approximate fair value due to the short maturity of these instruments. The carrying value of debt approximates fair value due to the variable nature of interest rates.</w:t>
      </w:r>
    </w:p>
    <w:p>
      <w:pPr>
        <w:spacing w:after="0" w:line="164"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As part of the Company’s continued cost savings initiatives, the Company is actively looking to terminate or sublease certain office spaces and call centers. These actions resulted in operating lease impairment charges of $0.7 million for the three months ended March 31, 2025. There were no operating lease impairment charges for the three months ended March 31, 2024. The operating lease impairment charges reduce the carrying value of the associated ROU assets and leasehold improvements to their estimated fair values. The fair values are estimated using a discounted cash flows approach based on forecasted future cash flows expected to be derived from the property based on current sublease market rent, which is considered a level 3 input in the fair value hierarchy, and other key assumptions such as future sublease market conditions and the discount rate.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3. INTANGIBLE ASSETS, NET</w:t>
      </w:r>
    </w:p>
    <w:p>
      <w:pPr>
        <w:spacing w:after="0" w:line="221"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The gross carrying amounts, accumulated amortization and net carrying amounts of the Company’s definite-lived amortizable intangible assets, as well as its indefinite-lived intangible trade names,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Mar. 31, 2025</w:t>
            </w: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61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5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2"/>
                <w:szCs w:val="12"/>
                <w:color w:val="auto"/>
              </w:rPr>
            </w:pPr>
          </w:p>
        </w:tc>
        <w:tc>
          <w:tcPr>
            <w:tcW w:w="1520" w:type="dxa"/>
            <w:vAlign w:val="bottom"/>
            <w:gridSpan w:val="2"/>
          </w:tcPr>
          <w:p>
            <w:pPr>
              <w:ind w:left="140"/>
              <w:spacing w:after="0" w:line="147"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5"/>
        </w:trPr>
        <w:tc>
          <w:tcPr>
            <w:tcW w:w="6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496,000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393,257</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102,743</w:t>
            </w:r>
          </w:p>
        </w:tc>
        <w:tc>
          <w:tcPr>
            <w:tcW w:w="0" w:type="dxa"/>
            <w:vAlign w:val="bottom"/>
          </w:tcPr>
          <w:p>
            <w:pPr>
              <w:spacing w:after="0"/>
              <w:rPr>
                <w:sz w:val="1"/>
                <w:szCs w:val="1"/>
                <w:color w:val="auto"/>
              </w:rPr>
            </w:pPr>
          </w:p>
        </w:tc>
      </w:tr>
      <w:tr>
        <w:trPr>
          <w:trHeight w:val="198"/>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232,000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128,760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103,240</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 subject to amortization</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728,000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522,017</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205,983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Indefinite-lived trade names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12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73,000</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w:t>
            </w:r>
          </w:p>
        </w:tc>
        <w:tc>
          <w:tcPr>
            <w:tcW w:w="2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278,983</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gridSpan w:val="2"/>
            <w:vMerge w:val="restart"/>
          </w:tcPr>
          <w:p>
            <w:pPr>
              <w:ind w:left="160"/>
              <w:spacing w:after="0"/>
              <w:rPr>
                <w:sz w:val="20"/>
                <w:szCs w:val="20"/>
                <w:color w:val="auto"/>
              </w:rPr>
            </w:pPr>
            <w:r>
              <w:rPr>
                <w:rFonts w:ascii="Arial" w:cs="Arial" w:eastAsia="Arial" w:hAnsi="Arial"/>
                <w:sz w:val="14"/>
                <w:szCs w:val="14"/>
                <w:b w:val="1"/>
                <w:bCs w:val="1"/>
                <w:color w:val="auto"/>
              </w:rPr>
              <w:t>Dec. 31, 2024</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6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2"/>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61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200" w:type="dxa"/>
            <w:vAlign w:val="bottom"/>
          </w:tcPr>
          <w:p>
            <w:pPr>
              <w:spacing w:after="0"/>
              <w:rPr>
                <w:sz w:val="12"/>
                <w:szCs w:val="12"/>
                <w:color w:val="auto"/>
              </w:rPr>
            </w:pPr>
          </w:p>
        </w:tc>
        <w:tc>
          <w:tcPr>
            <w:tcW w:w="1540" w:type="dxa"/>
            <w:vAlign w:val="bottom"/>
            <w:gridSpan w:val="2"/>
          </w:tcPr>
          <w:p>
            <w:pPr>
              <w:jc w:val="center"/>
              <w:ind w:right="300"/>
              <w:spacing w:after="0" w:line="143" w:lineRule="exact"/>
              <w:rPr>
                <w:sz w:val="20"/>
                <w:szCs w:val="20"/>
                <w:color w:val="auto"/>
              </w:rPr>
            </w:pPr>
            <w:r>
              <w:rPr>
                <w:rFonts w:ascii="Arial" w:cs="Arial" w:eastAsia="Arial" w:hAnsi="Arial"/>
                <w:sz w:val="14"/>
                <w:szCs w:val="14"/>
                <w:b w:val="1"/>
                <w:bCs w:val="1"/>
                <w:color w:val="auto"/>
              </w:rPr>
              <w:t>Gross Carrying</w:t>
            </w:r>
          </w:p>
        </w:tc>
        <w:tc>
          <w:tcPr>
            <w:tcW w:w="220" w:type="dxa"/>
            <w:vAlign w:val="bottom"/>
          </w:tcPr>
          <w:p>
            <w:pPr>
              <w:spacing w:after="0"/>
              <w:rPr>
                <w:sz w:val="12"/>
                <w:szCs w:val="12"/>
                <w:color w:val="auto"/>
              </w:rPr>
            </w:pPr>
          </w:p>
        </w:tc>
        <w:tc>
          <w:tcPr>
            <w:tcW w:w="1520" w:type="dxa"/>
            <w:vAlign w:val="bottom"/>
            <w:gridSpan w:val="2"/>
          </w:tcPr>
          <w:p>
            <w:pPr>
              <w:ind w:left="140"/>
              <w:spacing w:after="0" w:line="143"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15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Net Carrying Amount</w:t>
            </w:r>
          </w:p>
        </w:tc>
        <w:tc>
          <w:tcPr>
            <w:tcW w:w="0" w:type="dxa"/>
            <w:vAlign w:val="bottom"/>
          </w:tcPr>
          <w:p>
            <w:pPr>
              <w:spacing w:after="0"/>
              <w:rPr>
                <w:sz w:val="1"/>
                <w:szCs w:val="1"/>
                <w:color w:val="auto"/>
              </w:rPr>
            </w:pPr>
          </w:p>
        </w:tc>
      </w:tr>
      <w:tr>
        <w:trPr>
          <w:trHeight w:val="189"/>
        </w:trPr>
        <w:tc>
          <w:tcPr>
            <w:tcW w:w="612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Amount</w:t>
            </w:r>
          </w:p>
        </w:tc>
        <w:tc>
          <w:tcPr>
            <w:tcW w:w="220" w:type="dxa"/>
            <w:vAlign w:val="bottom"/>
          </w:tcPr>
          <w:p>
            <w:pPr>
              <w:spacing w:after="0"/>
              <w:rPr>
                <w:sz w:val="16"/>
                <w:szCs w:val="16"/>
                <w:color w:val="auto"/>
              </w:rPr>
            </w:pPr>
          </w:p>
        </w:tc>
        <w:tc>
          <w:tcPr>
            <w:tcW w:w="152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Amortization</w:t>
            </w:r>
          </w:p>
        </w:tc>
        <w:tc>
          <w:tcPr>
            <w:tcW w:w="10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496,000</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375,543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120,457</w:t>
            </w:r>
          </w:p>
        </w:tc>
        <w:tc>
          <w:tcPr>
            <w:tcW w:w="0" w:type="dxa"/>
            <w:vAlign w:val="bottom"/>
          </w:tcPr>
          <w:p>
            <w:pPr>
              <w:spacing w:after="0"/>
              <w:rPr>
                <w:sz w:val="1"/>
                <w:szCs w:val="1"/>
                <w:color w:val="auto"/>
              </w:rPr>
            </w:pPr>
          </w:p>
        </w:tc>
      </w:tr>
      <w:tr>
        <w:trPr>
          <w:trHeight w:val="198"/>
        </w:trPr>
        <w:tc>
          <w:tcPr>
            <w:tcW w:w="61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20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232,000</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122,960</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109,040</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 subject to amortization</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728,000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498,503</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229,497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Indefinite-lived trade names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6120" w:type="dxa"/>
            <w:vAlign w:val="bottom"/>
            <w:tcBorders>
              <w:bottom w:val="single" w:sz="8" w:color="CCEEFF"/>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44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4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73,000</w:t>
            </w:r>
          </w:p>
        </w:tc>
        <w:tc>
          <w:tcPr>
            <w:tcW w:w="0" w:type="dxa"/>
            <w:vAlign w:val="bottom"/>
          </w:tcPr>
          <w:p>
            <w:pPr>
              <w:spacing w:after="0"/>
              <w:rPr>
                <w:sz w:val="1"/>
                <w:szCs w:val="1"/>
                <w:color w:val="auto"/>
              </w:rPr>
            </w:pPr>
          </w:p>
        </w:tc>
      </w:tr>
      <w:tr>
        <w:trPr>
          <w:trHeight w:val="225"/>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intangible assets</w:t>
            </w:r>
          </w:p>
        </w:tc>
        <w:tc>
          <w:tcPr>
            <w:tcW w:w="200" w:type="dxa"/>
            <w:vAlign w:val="bottom"/>
            <w:tcBorders>
              <w:bottom w:val="single" w:sz="8" w:color="CCEEFF"/>
            </w:tcBorders>
            <w:shd w:val="clear" w:color="auto" w:fill="CCEEFF"/>
          </w:tcPr>
          <w:p>
            <w:pPr>
              <w:spacing w:after="0"/>
              <w:rPr>
                <w:sz w:val="19"/>
                <w:szCs w:val="19"/>
                <w:color w:val="auto"/>
              </w:rPr>
            </w:pPr>
          </w:p>
        </w:tc>
        <w:tc>
          <w:tcPr>
            <w:tcW w:w="14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302,497</w:t>
            </w:r>
          </w:p>
        </w:tc>
        <w:tc>
          <w:tcPr>
            <w:tcW w:w="0" w:type="dxa"/>
            <w:vAlign w:val="bottom"/>
          </w:tcPr>
          <w:p>
            <w:pPr>
              <w:spacing w:after="0"/>
              <w:rPr>
                <w:sz w:val="1"/>
                <w:szCs w:val="1"/>
                <w:color w:val="auto"/>
              </w:rPr>
            </w:pP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2025, expected amortization expense related to intangible assets for each of the five succeeding years is as follows: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7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Developed Technology</w:t>
            </w:r>
          </w:p>
        </w:tc>
        <w:tc>
          <w:tcPr>
            <w:tcW w:w="220" w:type="dxa"/>
            <w:vAlign w:val="bottom"/>
          </w:tcPr>
          <w:p>
            <w:pPr>
              <w:spacing w:after="0"/>
              <w:rPr>
                <w:sz w:val="14"/>
                <w:szCs w:val="14"/>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Customer</w:t>
            </w:r>
          </w:p>
        </w:tc>
        <w:tc>
          <w:tcPr>
            <w:tcW w:w="380" w:type="dxa"/>
            <w:vAlign w:val="bottom"/>
          </w:tcPr>
          <w:p>
            <w:pPr>
              <w:spacing w:after="0"/>
              <w:rPr>
                <w:sz w:val="14"/>
                <w:szCs w:val="14"/>
                <w:color w:val="auto"/>
              </w:rPr>
            </w:pPr>
          </w:p>
        </w:tc>
        <w:tc>
          <w:tcPr>
            <w:tcW w:w="1260" w:type="dxa"/>
            <w:vAlign w:val="bottom"/>
            <w:vMerge w:val="restart"/>
          </w:tcPr>
          <w:p>
            <w:pPr>
              <w:jc w:val="right"/>
              <w:ind w:right="5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6100" w:type="dxa"/>
            <w:vAlign w:val="bottom"/>
            <w:vMerge w:val="continue"/>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220" w:type="dxa"/>
            <w:vAlign w:val="bottom"/>
          </w:tcPr>
          <w:p>
            <w:pPr>
              <w:spacing w:after="0"/>
              <w:rPr>
                <w:sz w:val="16"/>
                <w:szCs w:val="16"/>
                <w:color w:val="auto"/>
              </w:rPr>
            </w:pPr>
          </w:p>
        </w:tc>
        <w:tc>
          <w:tcPr>
            <w:tcW w:w="15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Relationships</w:t>
            </w:r>
          </w:p>
        </w:tc>
        <w:tc>
          <w:tcPr>
            <w:tcW w:w="380" w:type="dxa"/>
            <w:vAlign w:val="bottom"/>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Remainder of 2025</w:t>
            </w:r>
          </w:p>
        </w:tc>
        <w:tc>
          <w:tcPr>
            <w:tcW w:w="580" w:type="dxa"/>
            <w:vAlign w:val="bottom"/>
            <w:tcBorders>
              <w:top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53,143</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17,400</w:t>
            </w:r>
          </w:p>
        </w:tc>
        <w:tc>
          <w:tcPr>
            <w:tcW w:w="10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70,543</w:t>
            </w:r>
          </w:p>
        </w:tc>
        <w:tc>
          <w:tcPr>
            <w:tcW w:w="0" w:type="dxa"/>
            <w:vAlign w:val="bottom"/>
          </w:tcPr>
          <w:p>
            <w:pPr>
              <w:spacing w:after="0"/>
              <w:rPr>
                <w:sz w:val="1"/>
                <w:szCs w:val="1"/>
                <w:color w:val="auto"/>
              </w:rPr>
            </w:pPr>
          </w:p>
        </w:tc>
      </w:tr>
      <w:tr>
        <w:trPr>
          <w:trHeight w:val="199"/>
        </w:trPr>
        <w:tc>
          <w:tcPr>
            <w:tcW w:w="6100" w:type="dxa"/>
            <w:vAlign w:val="bottom"/>
          </w:tcPr>
          <w:p>
            <w:pPr>
              <w:ind w:left="20"/>
              <w:spacing w:after="0"/>
              <w:rPr>
                <w:sz w:val="20"/>
                <w:szCs w:val="20"/>
                <w:color w:val="auto"/>
              </w:rPr>
            </w:pPr>
            <w:r>
              <w:rPr>
                <w:rFonts w:ascii="Arial" w:cs="Arial" w:eastAsia="Arial" w:hAnsi="Arial"/>
                <w:sz w:val="14"/>
                <w:szCs w:val="14"/>
                <w:color w:val="auto"/>
              </w:rPr>
              <w:t>2026</w:t>
            </w:r>
          </w:p>
        </w:tc>
        <w:tc>
          <w:tcPr>
            <w:tcW w:w="5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49,600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72,800</w:t>
            </w:r>
          </w:p>
        </w:tc>
        <w:tc>
          <w:tcPr>
            <w:tcW w:w="0" w:type="dxa"/>
            <w:vAlign w:val="bottom"/>
          </w:tcPr>
          <w:p>
            <w:pPr>
              <w:spacing w:after="0"/>
              <w:rPr>
                <w:sz w:val="1"/>
                <w:szCs w:val="1"/>
                <w:color w:val="auto"/>
              </w:rPr>
            </w:pPr>
          </w:p>
        </w:tc>
      </w:tr>
      <w:tr>
        <w:trPr>
          <w:trHeight w:val="206"/>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5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23,200</w:t>
            </w:r>
          </w:p>
        </w:tc>
        <w:tc>
          <w:tcPr>
            <w:tcW w:w="0" w:type="dxa"/>
            <w:vAlign w:val="bottom"/>
          </w:tcPr>
          <w:p>
            <w:pPr>
              <w:spacing w:after="0"/>
              <w:rPr>
                <w:sz w:val="1"/>
                <w:szCs w:val="1"/>
                <w:color w:val="auto"/>
              </w:rPr>
            </w:pPr>
          </w:p>
        </w:tc>
      </w:tr>
      <w:tr>
        <w:trPr>
          <w:trHeight w:val="199"/>
        </w:trPr>
        <w:tc>
          <w:tcPr>
            <w:tcW w:w="6100" w:type="dxa"/>
            <w:vAlign w:val="bottom"/>
          </w:tcPr>
          <w:p>
            <w:pPr>
              <w:ind w:left="20"/>
              <w:spacing w:after="0"/>
              <w:rPr>
                <w:sz w:val="20"/>
                <w:szCs w:val="20"/>
                <w:color w:val="auto"/>
              </w:rPr>
            </w:pPr>
            <w:r>
              <w:rPr>
                <w:rFonts w:ascii="Arial" w:cs="Arial" w:eastAsia="Arial" w:hAnsi="Arial"/>
                <w:sz w:val="14"/>
                <w:szCs w:val="14"/>
                <w:color w:val="auto"/>
              </w:rPr>
              <w:t>2028</w:t>
            </w:r>
          </w:p>
        </w:tc>
        <w:tc>
          <w:tcPr>
            <w:tcW w:w="5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23,200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23,200</w:t>
            </w:r>
          </w:p>
        </w:tc>
        <w:tc>
          <w:tcPr>
            <w:tcW w:w="0" w:type="dxa"/>
            <w:vAlign w:val="bottom"/>
          </w:tcPr>
          <w:p>
            <w:pPr>
              <w:spacing w:after="0"/>
              <w:rPr>
                <w:sz w:val="1"/>
                <w:szCs w:val="1"/>
                <w:color w:val="auto"/>
              </w:rPr>
            </w:pPr>
          </w:p>
        </w:tc>
      </w:tr>
      <w:tr>
        <w:trPr>
          <w:trHeight w:val="206"/>
        </w:trPr>
        <w:tc>
          <w:tcPr>
            <w:tcW w:w="6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2029</w:t>
            </w:r>
          </w:p>
        </w:tc>
        <w:tc>
          <w:tcPr>
            <w:tcW w:w="58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16,240</w:t>
            </w:r>
          </w:p>
        </w:tc>
        <w:tc>
          <w:tcPr>
            <w:tcW w:w="0" w:type="dxa"/>
            <w:vAlign w:val="bottom"/>
          </w:tcPr>
          <w:p>
            <w:pPr>
              <w:spacing w:after="0"/>
              <w:rPr>
                <w:sz w:val="1"/>
                <w:szCs w:val="1"/>
                <w:color w:val="auto"/>
              </w:rPr>
            </w:pPr>
          </w:p>
        </w:tc>
      </w:tr>
      <w:tr>
        <w:trPr>
          <w:trHeight w:val="198"/>
        </w:trPr>
        <w:tc>
          <w:tcPr>
            <w:tcW w:w="610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580" w:type="dxa"/>
            <w:vAlign w:val="bottom"/>
          </w:tcPr>
          <w:p>
            <w:pPr>
              <w:spacing w:after="0"/>
              <w:rPr>
                <w:sz w:val="17"/>
                <w:szCs w:val="17"/>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7"/>
                <w:szCs w:val="17"/>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5"/>
        </w:trPr>
        <w:tc>
          <w:tcPr>
            <w:tcW w:w="6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580" w:type="dxa"/>
            <w:vAlign w:val="bottom"/>
            <w:tcBorders>
              <w:top w:val="single" w:sz="8" w:color="auto"/>
              <w:bottom w:val="single" w:sz="8" w:color="auto"/>
            </w:tcBorders>
            <w:shd w:val="clear" w:color="auto" w:fill="CCEEFF"/>
          </w:tcPr>
          <w:p>
            <w:pPr>
              <w:jc w:val="right"/>
              <w:ind w:right="40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102,743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103,240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205,983</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360045</wp:posOffset>
            </wp:positionV>
            <wp:extent cx="8255" cy="1289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360045</wp:posOffset>
            </wp:positionV>
            <wp:extent cx="8890" cy="12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p>
      <w:pPr>
        <w:spacing w:after="0" w:line="200" w:lineRule="exact"/>
        <w:rPr>
          <w:sz w:val="20"/>
          <w:szCs w:val="20"/>
          <w:color w:val="auto"/>
        </w:rPr>
      </w:pPr>
    </w:p>
    <w:p>
      <w:pPr>
        <w:spacing w:after="0" w:line="371"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2025 Form 10-Q</w:t>
      </w:r>
      <w:r>
        <w:rPr>
          <w:sz w:val="20"/>
          <w:szCs w:val="20"/>
          <w:color w:val="auto"/>
        </w:rPr>
        <w:tab/>
      </w: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b w:val="1"/>
          <w:bCs w:val="1"/>
          <w:color w:val="00497F"/>
        </w:rPr>
        <w:t>4. LONG-TERM DEBT</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Company’s long-term debt consisted of the following: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40" w:type="dxa"/>
            <w:vAlign w:val="bottom"/>
          </w:tcPr>
          <w:p>
            <w:pPr>
              <w:spacing w:after="0"/>
              <w:rPr>
                <w:sz w:val="17"/>
                <w:szCs w:val="17"/>
                <w:color w:val="auto"/>
              </w:rPr>
            </w:pPr>
          </w:p>
        </w:tc>
        <w:tc>
          <w:tcPr>
            <w:tcW w:w="15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 31, 2025</w:t>
            </w:r>
          </w:p>
        </w:tc>
        <w:tc>
          <w:tcPr>
            <w:tcW w:w="220" w:type="dxa"/>
            <w:vAlign w:val="bottom"/>
          </w:tcPr>
          <w:p>
            <w:pPr>
              <w:spacing w:after="0"/>
              <w:rPr>
                <w:sz w:val="17"/>
                <w:szCs w:val="17"/>
                <w:color w:val="auto"/>
              </w:rPr>
            </w:pPr>
          </w:p>
        </w:tc>
        <w:tc>
          <w:tcPr>
            <w:tcW w:w="1420" w:type="dxa"/>
            <w:vAlign w:val="bottom"/>
          </w:tcPr>
          <w:p>
            <w:pPr>
              <w:jc w:val="right"/>
              <w:ind w:right="308"/>
              <w:spacing w:after="0"/>
              <w:rPr>
                <w:sz w:val="20"/>
                <w:szCs w:val="20"/>
                <w:color w:val="auto"/>
              </w:rPr>
            </w:pPr>
            <w:r>
              <w:rPr>
                <w:rFonts w:ascii="Arial" w:cs="Arial" w:eastAsia="Arial" w:hAnsi="Arial"/>
                <w:sz w:val="14"/>
                <w:szCs w:val="14"/>
                <w:b w:val="1"/>
                <w:bCs w:val="1"/>
                <w:color w:val="auto"/>
              </w:rPr>
              <w:t>Dec. 31, 2024</w:t>
            </w:r>
          </w:p>
        </w:tc>
      </w:tr>
      <w:tr>
        <w:trPr>
          <w:trHeight w:val="197"/>
        </w:trPr>
        <w:tc>
          <w:tcPr>
            <w:tcW w:w="7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Term Loan Facilities</w:t>
            </w:r>
          </w:p>
        </w:tc>
        <w:tc>
          <w:tcPr>
            <w:tcW w:w="240" w:type="dxa"/>
            <w:vAlign w:val="bottom"/>
            <w:tcBorders>
              <w:top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472,625</w:t>
            </w: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475,000</w:t>
            </w:r>
          </w:p>
        </w:tc>
      </w:tr>
      <w:tr>
        <w:trPr>
          <w:trHeight w:val="198"/>
        </w:trPr>
        <w:tc>
          <w:tcPr>
            <w:tcW w:w="7860" w:type="dxa"/>
            <w:vAlign w:val="bottom"/>
          </w:tcPr>
          <w:p>
            <w:pPr>
              <w:ind w:left="20"/>
              <w:spacing w:after="0"/>
              <w:rPr>
                <w:sz w:val="20"/>
                <w:szCs w:val="20"/>
                <w:color w:val="auto"/>
              </w:rPr>
            </w:pPr>
            <w:r>
              <w:rPr>
                <w:rFonts w:ascii="Arial" w:cs="Arial" w:eastAsia="Arial" w:hAnsi="Arial"/>
                <w:sz w:val="14"/>
                <w:szCs w:val="14"/>
                <w:color w:val="auto"/>
              </w:rPr>
              <w:t>Revolving Credit Facilities</w:t>
            </w:r>
          </w:p>
        </w:tc>
        <w:tc>
          <w:tcPr>
            <w:tcW w:w="2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30,000</w:t>
            </w: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Unamortized debt discount and issuance costs</w:t>
            </w:r>
          </w:p>
        </w:tc>
        <w:tc>
          <w:tcPr>
            <w:tcW w:w="240" w:type="dxa"/>
            <w:vAlign w:val="bottom"/>
            <w:tcBorders>
              <w:bottom w:val="single" w:sz="8" w:color="auto"/>
            </w:tcBorders>
            <w:shd w:val="clear" w:color="auto" w:fill="CCEEFF"/>
          </w:tcPr>
          <w:p>
            <w:pPr>
              <w:spacing w:after="0"/>
              <w:rPr>
                <w:sz w:val="17"/>
                <w:szCs w:val="17"/>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(16,725)</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(17,635)</w:t>
            </w:r>
          </w:p>
        </w:tc>
      </w:tr>
      <w:tr>
        <w:trPr>
          <w:trHeight w:val="200"/>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Total debt</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485,900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487,365</w:t>
            </w:r>
          </w:p>
        </w:tc>
      </w:tr>
      <w:tr>
        <w:trPr>
          <w:trHeight w:val="20"/>
        </w:trPr>
        <w:tc>
          <w:tcPr>
            <w:tcW w:w="78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Less: Current portion of long-term debt</w:t>
            </w:r>
          </w:p>
        </w:tc>
        <w:tc>
          <w:tcPr>
            <w:tcW w:w="240" w:type="dxa"/>
            <w:vAlign w:val="bottom"/>
            <w:tcBorders>
              <w:bottom w:val="single" w:sz="8" w:color="auto"/>
            </w:tcBorders>
            <w:shd w:val="clear" w:color="auto" w:fill="CCEEFF"/>
          </w:tcPr>
          <w:p>
            <w:pPr>
              <w:spacing w:after="0"/>
              <w:rPr>
                <w:sz w:val="16"/>
                <w:szCs w:val="16"/>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(39,500)</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(39,500)</w:t>
            </w:r>
          </w:p>
        </w:tc>
      </w:tr>
      <w:tr>
        <w:trPr>
          <w:trHeight w:val="200"/>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Total long-term debt</w:t>
            </w: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446,400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447,865</w:t>
            </w:r>
          </w:p>
        </w:tc>
      </w:tr>
      <w:tr>
        <w:trPr>
          <w:trHeight w:val="21"/>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Maturities of long-term debt for each of the next five years is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0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8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07"/>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2025</w:t>
            </w:r>
          </w:p>
        </w:tc>
        <w:tc>
          <w:tcPr>
            <w:tcW w:w="88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37,125</w:t>
            </w:r>
          </w:p>
        </w:tc>
      </w:tr>
      <w:tr>
        <w:trPr>
          <w:trHeight w:val="198"/>
        </w:trPr>
        <w:tc>
          <w:tcPr>
            <w:tcW w:w="9000" w:type="dxa"/>
            <w:vAlign w:val="bottom"/>
          </w:tcPr>
          <w:p>
            <w:pPr>
              <w:ind w:left="20"/>
              <w:spacing w:after="0"/>
              <w:rPr>
                <w:sz w:val="20"/>
                <w:szCs w:val="20"/>
                <w:color w:val="auto"/>
              </w:rPr>
            </w:pPr>
            <w:r>
              <w:rPr>
                <w:rFonts w:ascii="Arial" w:cs="Arial" w:eastAsia="Arial" w:hAnsi="Arial"/>
                <w:sz w:val="14"/>
                <w:szCs w:val="14"/>
                <w:color w:val="auto"/>
              </w:rPr>
              <w:t>2026</w:t>
            </w:r>
          </w:p>
        </w:tc>
        <w:tc>
          <w:tcPr>
            <w:tcW w:w="8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9,500</w:t>
            </w:r>
          </w:p>
        </w:tc>
      </w:tr>
      <w:tr>
        <w:trPr>
          <w:trHeight w:val="207"/>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8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9,500</w:t>
            </w:r>
          </w:p>
        </w:tc>
      </w:tr>
      <w:tr>
        <w:trPr>
          <w:trHeight w:val="198"/>
        </w:trPr>
        <w:tc>
          <w:tcPr>
            <w:tcW w:w="9000" w:type="dxa"/>
            <w:vAlign w:val="bottom"/>
          </w:tcPr>
          <w:p>
            <w:pPr>
              <w:ind w:left="20"/>
              <w:spacing w:after="0"/>
              <w:rPr>
                <w:sz w:val="20"/>
                <w:szCs w:val="20"/>
                <w:color w:val="auto"/>
              </w:rPr>
            </w:pPr>
            <w:r>
              <w:rPr>
                <w:rFonts w:ascii="Arial" w:cs="Arial" w:eastAsia="Arial" w:hAnsi="Arial"/>
                <w:sz w:val="14"/>
                <w:szCs w:val="14"/>
                <w:color w:val="auto"/>
              </w:rPr>
              <w:t>2028</w:t>
            </w:r>
          </w:p>
        </w:tc>
        <w:tc>
          <w:tcPr>
            <w:tcW w:w="880" w:type="dxa"/>
            <w:vAlign w:val="bottom"/>
          </w:tcPr>
          <w:p>
            <w:pPr>
              <w:spacing w:after="0"/>
              <w:rPr>
                <w:sz w:val="17"/>
                <w:szCs w:val="17"/>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9,500</w:t>
            </w:r>
          </w:p>
        </w:tc>
      </w:tr>
      <w:tr>
        <w:trPr>
          <w:trHeight w:val="207"/>
        </w:trPr>
        <w:tc>
          <w:tcPr>
            <w:tcW w:w="9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2029</w:t>
            </w:r>
          </w:p>
        </w:tc>
        <w:tc>
          <w:tcPr>
            <w:tcW w:w="8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437,000</w:t>
            </w:r>
          </w:p>
        </w:tc>
      </w:tr>
      <w:tr>
        <w:trPr>
          <w:trHeight w:val="198"/>
        </w:trPr>
        <w:tc>
          <w:tcPr>
            <w:tcW w:w="9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8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225"/>
        </w:trPr>
        <w:tc>
          <w:tcPr>
            <w:tcW w:w="9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w:t>
            </w:r>
          </w:p>
        </w:tc>
        <w:tc>
          <w:tcPr>
            <w:tcW w:w="880" w:type="dxa"/>
            <w:vAlign w:val="bottom"/>
            <w:tcBorders>
              <w:bottom w:val="single" w:sz="8" w:color="auto"/>
            </w:tcBorders>
            <w:shd w:val="clear" w:color="auto" w:fill="CCEEFF"/>
          </w:tcPr>
          <w:p>
            <w:pPr>
              <w:jc w:val="right"/>
              <w:ind w:right="708"/>
              <w:spacing w:after="0"/>
              <w:rPr>
                <w:sz w:val="20"/>
                <w:szCs w:val="20"/>
                <w:color w:val="auto"/>
              </w:rPr>
            </w:pPr>
            <w:r>
              <w:rPr>
                <w:rFonts w:ascii="Arial" w:cs="Arial" w:eastAsia="Arial" w:hAnsi="Arial"/>
                <w:sz w:val="14"/>
                <w:szCs w:val="14"/>
                <w:b w:val="1"/>
                <w:bCs w:val="1"/>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502,625</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 Loan Facility</w:t>
      </w:r>
    </w:p>
    <w:p>
      <w:pPr>
        <w:spacing w:after="0" w:line="235"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On November 4, 2024, Norvax (the “Borrower”) entered into the Amendment and Restatement Agreement (“Credit Agreement”) to provide for, among other items as further described below, a class of term loan facilities (the “Term Loan Facility”) in an aggregate principal amount equal to $475.0 million. Beginning on March 31, 2025, principal payments equal to 2.00% of the outstanding principal balance per annum of the Term Loan Facility will be paid in equal quarterly installments. To the extent not previously paid, the Term Loan Facility, together with all accrued and unpaid interest thereon, is due and payable on November 4, 2029. At the option of the Borrower and prior to the Class A Revolving Facility Termination Date, as defined below, the Term Loan Facility bears interest at either (i) ABR plus 6.50% per annum or (ii) SOFR plus 7.50% per annum. After the Class A Revolving Facility Termination Date, which is on or prior to June 30, 2025, the Term Loan Facility will bear interest at either (i) ABR plus 6.25% per annum or (ii) SOFR plus 7.25% per annum. Pursuant to the Credit Agreement, the Borrower repaid $2.4 million in borrowings under the Term Loan Facility in March 2025.</w:t>
      </w:r>
    </w:p>
    <w:p>
      <w:pPr>
        <w:spacing w:after="0" w:line="180"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As of March 31, 2025 and December 31, 2024, the Borrower had a principal amount of $472.6 million and $475.0 million outstanding under the Term Loan Facility, respectively. The effective interest rate of the Term Loan Facility was 11.82% as of March 31, 2025 and 12.06% as of December 31, 2024.</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Credit Facilities</w:t>
      </w:r>
    </w:p>
    <w:p>
      <w:pPr>
        <w:spacing w:after="0" w:line="248"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In addition to the Term Loan Facility, the Credit Agreement provides for a revolving credit facility with a commitment amount of $88.5 million (the “Class A Revolving Credit Facility”) and a revolving credit facility with a commitment amount of $35.0 million (the “Class A-1 Revolving Credit Facility"). The Class A Revolving Credit Facility matures on June 30, 2025 and bears interest at either (i) ABR plus 5.50% per annum or (ii) SOFR plus 6.50% per annum. The Borrower is required to pay a commitment fee of 0.50% per annum on undrawn amounts under the Class A Revolving Credit Facility. The Class A-1 Revolving Credit Facility will be made available to the Borrower upon the termination of the Class A Revolving Credit Facility on or prior to June 30, 2025 (the “Class A Revolving Facility Termination Date”). Outstanding borrowings under the Class A-1 Revolving Credit Facility are due and payable on November 4, 2029. At the option of the Borrower and prior to the Class A Revolving Facility Termination Date, the Class A-1 Revolving Credit Facility will bear interest at either (i) ABR plus 6.50% per annum or (ii) SOFR plus 7.50% per annum. After the New Class A Revolving Facility Termination Date, the Class A-1 Revolving Credit Facility will bear interest at either (i) ABR plus 6.25% per annum or (ii) SOFR plus 7.25% per annum. The Borrower is required to pay a commitment fee of 1.0% per annum on undrawn amounts under the Class A-1 Revolving Credit Facility.</w:t>
      </w:r>
    </w:p>
    <w:p>
      <w:pPr>
        <w:spacing w:after="0" w:line="209"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As of both March 31, 2025 and December 31, 2024, the Company had $30.0 million outstanding under the Class A Revolving Credit Facility and no amounts outstanding under the Class A-1 Revolving Credit Facility. The Class A Revolving Credit Facility and Class A-1 Revolving Credit Facility had a remaining capacity of $58.5 million and $35.0 million, respectively, as of both March 31, 2025 and December 31, 2024.</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Company collectively refers to the Class A Revolving Credit Facility and the Class A-1 Revolving Credit Facility as the “Revolving Credit Facilities.”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320675</wp:posOffset>
            </wp:positionV>
            <wp:extent cx="8255"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320675</wp:posOffset>
            </wp:positionV>
            <wp:extent cx="8890" cy="1289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2025 Form 10-Q</w:t>
      </w:r>
      <w:r>
        <w:rPr>
          <w:sz w:val="20"/>
          <w:szCs w:val="20"/>
          <w:color w:val="auto"/>
        </w:rPr>
        <w:tab/>
      </w: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6"/>
          <w:szCs w:val="16"/>
          <w:b w:val="1"/>
          <w:bCs w:val="1"/>
          <w:color w:val="auto"/>
        </w:rPr>
        <w:t>Guarantees and Security</w:t>
      </w:r>
    </w:p>
    <w:p>
      <w:pPr>
        <w:spacing w:after="0" w:line="248"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Blizzard Midco, LLC, the Borrower and certain other subsidiaries of the Company are guarantors of the Borrower’s obligations under the Credit Agreement. In addition, the obligations of the Borrower are secured by a first priority lien on substantially all of such guarantors’ assets, including a pledge of all of the equity interests of each of their respective subsidiaries, in each case, subject to customary exceptions and limitations.</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Covenants and Other Matters</w:t>
      </w:r>
    </w:p>
    <w:p>
      <w:pPr>
        <w:spacing w:after="0" w:line="24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Credit Agreement contains a number of covenants that, among other things and subject to certain exceptions, restrict the Borrower’s and its restricted subsidiaries’ ability to incur indebtedness; incur certain liens; consolidate, merge or sell or otherwise dispose of assets; make investments, loans, advances, guarantees and acquisitions; pay dividends or make other distributions on equity interests, or redeem, repurchase or retire equity interests; enter into transactions with affiliates; alter the business conducted by the Company and its subsidiaries; change their fiscal year; and amend or modify governing documents. In addition, the Credit Agreement contains certain financial and non-financial covenants. The Company is in compliance with all covenants as of March 31, 2025.</w:t>
      </w:r>
    </w:p>
    <w:p>
      <w:pPr>
        <w:spacing w:after="0" w:line="203" w:lineRule="exact"/>
        <w:rPr>
          <w:sz w:val="20"/>
          <w:szCs w:val="20"/>
          <w:color w:val="auto"/>
        </w:rPr>
      </w:pPr>
    </w:p>
    <w:p>
      <w:pPr>
        <w:ind w:right="440"/>
        <w:spacing w:after="0" w:line="261" w:lineRule="auto"/>
        <w:rPr>
          <w:sz w:val="20"/>
          <w:szCs w:val="20"/>
          <w:color w:val="auto"/>
        </w:rPr>
      </w:pPr>
      <w:r>
        <w:rPr>
          <w:rFonts w:ascii="Arial" w:cs="Arial" w:eastAsia="Arial" w:hAnsi="Arial"/>
          <w:sz w:val="16"/>
          <w:szCs w:val="16"/>
          <w:color w:val="auto"/>
        </w:rPr>
        <w:t>The Credit Agreement also contains certain customary representations and warranties and affirmative covenants, and certain reporting obligations. In addition, the lenders under the Credit Facilities will be permitted to accelerate all outstanding borrowings and other obligations, terminate outstanding commitments and exercise other specified remedies upon the occurrence of certain events of default (subject to certain grace periods and exceptions), which include, among other things, payment defaults, breaches of representations and warranties, covenant defaults, certain cross-defaults and cross-accelerations to other indebtedness, certain events of bankruptcy and insolvency, certain judgments and changes of control. Subject to certain limited exceptions, substantially all of the Company’s assets are restricted from distribution.</w:t>
      </w:r>
    </w:p>
    <w:p>
      <w:pPr>
        <w:spacing w:after="0" w:line="217"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Subsequent to March 31, 2025, the Company has requested to borrow the remaining available balance of the Class A Revolving Credit Facility, up to the maximum capacity of $88.5 million.</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5. STOCKHOLDERS' EQUITY</w:t>
      </w:r>
    </w:p>
    <w:p>
      <w:pPr>
        <w:spacing w:after="0" w:line="235"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connection with the Company’s IPO in July 2020, the Company’s board of directors (the “Board of Directors”) approved an amended and restated certificate of incorporation and amended and restated bylaws. The amended and restated certificate of incorporation authorizes the issuance of up to 1,100,000,000 shares of Class A common stock, 690,000,000 shares of Class B common stock and 20,000,000 shares of preferred stock, each having a par value of $0.0001 per share. The number of shares of Class B common stock authorized is reduced for redemptions and forfeitures as they occur.</w:t>
      </w:r>
    </w:p>
    <w:p>
      <w:pPr>
        <w:spacing w:after="0" w:line="17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Company’s amended and restated certificate of incorporation and the GHH, LLC Agreement require the Company and GHH, LLC at all times to maintain a one-to-one ratio between the number of shares of Class A common stock issued by the Company and the number of LLC Interests owned by the Company, except as otherwise determined by the Company. Additionally, the Company’s amended and restated certificate of incorporation and the GHH, LLC Agreement require that the Company and GHH, LLC at all times maintain a one-to-one ratio between the number of shares of Class B common stock owned by the Continuing Equity Owners and their respective permitted transferees and the number of LLC Interests owned by the Continuing Equity Owners and their respective permitted transferees, except as otherwise determined by the Company. Only the Continuing Equity Owners and the permitted transferees of Class B common stock are permitted to hold shares of Class B common stock. Shares of Class B common stock are transferable for shares of Class A common stock only together with an equal number of LLC Interests.</w:t>
      </w:r>
    </w:p>
    <w:p>
      <w:pPr>
        <w:spacing w:after="0" w:line="194" w:lineRule="exact"/>
        <w:rPr>
          <w:sz w:val="20"/>
          <w:szCs w:val="20"/>
          <w:color w:val="auto"/>
        </w:rPr>
      </w:pPr>
    </w:p>
    <w:p>
      <w:pPr>
        <w:ind w:right="160"/>
        <w:spacing w:after="0" w:line="258" w:lineRule="auto"/>
        <w:rPr>
          <w:sz w:val="20"/>
          <w:szCs w:val="20"/>
          <w:color w:val="auto"/>
        </w:rPr>
      </w:pPr>
      <w:r>
        <w:rPr>
          <w:rFonts w:ascii="Arial" w:cs="Arial" w:eastAsia="Arial" w:hAnsi="Arial"/>
          <w:sz w:val="16"/>
          <w:szCs w:val="16"/>
          <w:color w:val="auto"/>
        </w:rPr>
        <w:t>Holders of shares of the Company’s Class A common stock are entitled to one vote for each share held of record on all matters submitted to a vote of stockholders. Each share of Class B common stock entitles its holders to one vote per share on all matters presented to the Company’s stockholders generally. Holders of shares of Class B common stock will vote together with holders of the Company’s Class A common stock as a single class on all matters presented to the Company’s stockholders for their vote or approval, except for certain amendments to the Company’s amended and restated certificate of incorporation or as otherwise required by applicable law or the amended and restated certificate of incorporation. Holders of the Class B common stock are not entitled to participate in any dividends declared by the Board of Directors. Under the terms of the Company’s amended and restated certificate of incorporation, the Board of Directors is authorized to direct the Company to issue shares of preferred stock in one or more series without stockholder approval. The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77" w:lineRule="exact"/>
        <w:rPr>
          <w:sz w:val="20"/>
          <w:szCs w:val="20"/>
          <w:color w:val="auto"/>
        </w:rPr>
      </w:pPr>
    </w:p>
    <w:p>
      <w:pPr>
        <w:jc w:val="both"/>
        <w:ind w:right="220"/>
        <w:spacing w:after="0" w:line="265" w:lineRule="auto"/>
        <w:rPr>
          <w:sz w:val="20"/>
          <w:szCs w:val="20"/>
          <w:color w:val="auto"/>
        </w:rPr>
      </w:pPr>
      <w:r>
        <w:rPr>
          <w:rFonts w:ascii="Arial" w:cs="Arial" w:eastAsia="Arial" w:hAnsi="Arial"/>
          <w:sz w:val="16"/>
          <w:szCs w:val="16"/>
          <w:color w:val="auto"/>
        </w:rPr>
        <w:t>The Continuing Equity Owners may, subject to certain exceptions, from time to time at each of their options require GHH, LLC to redeem all or a portion of their LLC Interests in exchange for, at the Company’s election (determined by at least two of the Company’s independent directors who are disinterested), newly-issued shares of Class A common stock on a one-for-one basis, or to the extent there is cash available from a secondary offering, a cash payment equal to a volume weighted average market</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13</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4" w:right="339" w:bottom="1440" w:gutter="0" w:footer="0" w:header="0"/>
        </w:sectPr>
      </w:pPr>
    </w:p>
    <w:bookmarkStart w:id="16" w:name="page17"/>
    <w:bookmarkEnd w:id="16"/>
    <w:p>
      <w:pPr>
        <w:ind w:right="340"/>
        <w:spacing w:after="0" w:line="286" w:lineRule="auto"/>
        <w:rPr>
          <w:sz w:val="20"/>
          <w:szCs w:val="20"/>
          <w:color w:val="auto"/>
        </w:rPr>
      </w:pPr>
      <w:r>
        <w:rPr>
          <w:rFonts w:ascii="Arial" w:cs="Arial" w:eastAsia="Arial" w:hAnsi="Arial"/>
          <w:sz w:val="16"/>
          <w:szCs w:val="16"/>
          <w:color w:val="auto"/>
        </w:rPr>
        <w:t>price of one share of the Company’s Class A common stock for each LLC Interest so redeemed, in each case, in accordance with the terms of the GHH, LLC Agreement.</w:t>
      </w:r>
    </w:p>
    <w:p>
      <w:pPr>
        <w:spacing w:after="0" w:line="169"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weighted average ownership percentages for the applicable reporting periods are used to attribute net income (loss) and other comprehensive income (loss) to the Company and the non-controlling interest holders. Non-controlling interest represents the economic interest in GHH, LLC held directly or indirectly by the Continuing Equity Owners. The non-controlling interest holders' weighted average ownership percentages for the three months ended March 31, 2025 and 2024 were 55.0% and 56.8%, respectively.</w:t>
      </w:r>
    </w:p>
    <w:p>
      <w:pPr>
        <w:spacing w:after="0" w:line="17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Upon the Company’s dissolution or liquidation, after payment in full of all amounts required to be paid to creditors and to the holders of preferred stock having liquidation preferences, if any, holders of Class A common stock and Class B common stock will be entitled to receive ratable portions of the Company’s remaining assets available for distribution; provided, that the holders of Class B common stock shall not be entitled to receive more than $0.0001 per share of Class B common stock and upon receiving such amount, shall not be entitled to receive any of the Company’s other assets or funds with respect to such shares of Class B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Redeemable Convertible Preferred Stock</w:t>
      </w:r>
    </w:p>
    <w:p>
      <w:pPr>
        <w:spacing w:after="0" w:line="235" w:lineRule="exact"/>
        <w:rPr>
          <w:sz w:val="20"/>
          <w:szCs w:val="20"/>
          <w:color w:val="auto"/>
        </w:rPr>
      </w:pPr>
    </w:p>
    <w:p>
      <w:pPr>
        <w:ind w:right="340"/>
        <w:spacing w:after="0" w:line="265" w:lineRule="auto"/>
        <w:rPr>
          <w:sz w:val="20"/>
          <w:szCs w:val="20"/>
          <w:color w:val="auto"/>
        </w:rPr>
      </w:pPr>
      <w:r>
        <w:rPr>
          <w:rFonts w:ascii="Arial" w:cs="Arial" w:eastAsia="Arial" w:hAnsi="Arial"/>
          <w:sz w:val="16"/>
          <w:szCs w:val="16"/>
          <w:color w:val="auto"/>
        </w:rPr>
        <w:t>On September 23, 2022 (the “Closing Date”), the Company issued 50,000 shares of the Company’s Series A Convertible Perpetual Preferred Stock (the “Issuance”), par value $0.0001 per share (the “Series A redeemable convertible preferred stock”), to Anthem Insurance Companies, Inc. and GH 22 Holdings, Inc. (the “Purchasers”) for an aggregate purchase price of $50.0 million, at $1,000 per share of the Series A redeemable convertible preferred stock.</w:t>
      </w:r>
    </w:p>
    <w:p>
      <w:pPr>
        <w:spacing w:after="0" w:line="173"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Company is authorized to issue 20,000,000 shares of preferred stock with a par value of $0.0001 per share as of both March 31, 2025 and December 31, 2024, which had not been designated to any specific classes of preferred stock prior to the Closing Date. On the Closing Date, the Company designated and authorized the issuance of 50,000 shares under the Series A redeemable convertible preferred stock and 200,000 shares under the Series A-1 Convertible Non-Voting Perpetual Preferred Stock (the “Series A-1 convertible preferred stock”).</w:t>
      </w:r>
    </w:p>
    <w:p>
      <w:pPr>
        <w:spacing w:after="0" w:line="186"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The Series A redeemable convertible preferred stock ranks senior to the shares of the Company’s Class A common stock and Class B common stock with respect to dividend rights and rights on the distribution of assets on any voluntary or involuntary liquidation, dissolution or winding up of the affairs of the Company. The Series A redeemable convertible preferred stock has an initial liquidation preference of $1,000 per share, which shall increase by accumulated quarterly dividends that are not paid in cash (“compounded dividends”). Dividends on each share of Series A redeemable convertible preferred stock shall accrue at an annual rate equal to 7.0%. Holders of Series A-1 convertible preferred stock are only entitled to dividends if the Company declares such dividends. For the three months ended March 31, 2025 and 2024, the Company accrued $1.0 million and $0.9 million, respectively, of dividends relating to the Series A redeemable convertible preferred stock that were not paid in cash. The accrued dividends are included in temporary equity on the Condensed Consolidated Balance Sheets.</w:t>
      </w:r>
    </w:p>
    <w:p>
      <w:pPr>
        <w:spacing w:after="0" w:line="180"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Series A redeemable convertible preferred stock is convertible in full at the option of the holders into the number of shares of Class A common stock equal to the quotient of (a) the sum of (i) the liquidation preference (reflecting increases for compounded dividends) plus (ii) the accrued dividends with respect to each share of convertible preferred stock as of the applicable conversion date divided by (b) the conversion price ($9.60 as of March 31, 2025 and subject to adjustment based on certain changes to the Company’s Class A common stock) as of the applicable conversion date. Notwithstanding the foregoing, a holder of Series A redeemable convertible preferred stock may elect to receive upon conversion, in lieu of the shares of Class A common stock otherwise deliverable, one share of Series A-1 convertible preferred stock for every 1,000 shares of Class A common stock otherwise deliverable upon conversion. The Series A-1 convertible preferred stock will be essentially a substitute for the Class A common stock in the form of non-voting preferred stock.</w:t>
      </w:r>
    </w:p>
    <w:p>
      <w:pPr>
        <w:spacing w:after="0" w:line="37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terms of the Series A redeemable convertible preferred stock and Series A-1 convertible preferred stock contain certain anti-dilution adjustments. Subject to certain conditions, at any time after the third anniversary of the Closing Date, if the volume weighted average price per share of Class A common stock on The Nasdaq Global Market is equal to or greater than 150.0% of the then-applicable conversion price for each of at least twenty (20) trading days, whether or not consecutive, in any period of thirty (30) consecutive trading days ending on and including the trading day immediately before the Company provides the holders with notice of its election to convert all or a portion of the Series A redeemable convertible preferred stock into the relevant number of shares of Class A common stock or Series A-1 convertible preferred stock (at the election of the holder), the Company may elect to convert all or a portion of the Series A redeemable convertible preferred stock into the relevant number of shares of Class A common stock or Series A-1 convertible preferred stock.</w:t>
      </w:r>
    </w:p>
    <w:p>
      <w:pPr>
        <w:spacing w:after="0" w:line="190" w:lineRule="exact"/>
        <w:rPr>
          <w:sz w:val="20"/>
          <w:szCs w:val="20"/>
          <w:color w:val="auto"/>
        </w:rPr>
      </w:pPr>
    </w:p>
    <w:p>
      <w:pPr>
        <w:spacing w:after="0" w:line="262" w:lineRule="auto"/>
        <w:rPr>
          <w:sz w:val="20"/>
          <w:szCs w:val="20"/>
          <w:color w:val="auto"/>
        </w:rPr>
      </w:pPr>
      <w:r>
        <w:rPr>
          <w:rFonts w:ascii="Arial" w:cs="Arial" w:eastAsia="Arial" w:hAnsi="Arial"/>
          <w:sz w:val="16"/>
          <w:szCs w:val="16"/>
          <w:color w:val="auto"/>
        </w:rPr>
        <w:t>In the event of any voluntary or involuntary liquidation, dissolution or winding up of the affairs of the Company, the holders of shares of Series A-1 convertible preferred stock (if issued upon conversion of the Series A redeemable convertible preferred stock) will be entitled, out of assets legally available therefor, and subject to the rights of the holders of any senior stock (including the Series A redeemable convertible preferred stock) or parity stock (including the Class A and Class B common stock) and the rights of the Company’s existing and future creditors, to receive an aggregate amount per share equal to 1,000 (as may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14</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17" w:name="page18"/>
    <w:bookmarkEnd w:id="17"/>
    <w:p>
      <w:pPr>
        <w:ind w:right="40"/>
        <w:spacing w:after="0" w:line="258" w:lineRule="auto"/>
        <w:rPr>
          <w:sz w:val="20"/>
          <w:szCs w:val="20"/>
          <w:color w:val="auto"/>
        </w:rPr>
      </w:pPr>
      <w:r>
        <w:rPr>
          <w:rFonts w:ascii="Arial" w:cs="Arial" w:eastAsia="Arial" w:hAnsi="Arial"/>
          <w:sz w:val="16"/>
          <w:szCs w:val="16"/>
          <w:color w:val="auto"/>
        </w:rPr>
        <w:t>be adjusted) times the aggregate amount to be distributed per share to holders of shares of Class A common stock. Each holder of a whole share of Series A-1 convertible preferred stock (if issued upon conversion of the Series A redeemable convertible preferred stock) shall be entitled to receive when, as and if declared by the Board of Directors out of funds legally available for the purpose, an amount per share equal to 1,000 (as may be adjusted) times the aggregate per share amount of all cash dividends, and 1,000 (as may be adjusted) times the aggregate per share amount (payable in kind) of all non-cash dividends or other distributions other than a dividend payable in shares of Class A common stock or a subdivision of the outstanding shares of Class A common stock (by reclassification or otherwise), declared on each share of Class A common stock since the first issuance of any share of Series A-1 convertible preferred stock. Each holder of Series A-1 convertible preferred stock (if issued upon conversion of the Series A redeemable convertible preferred stock) will have the right, at such holder’s option, to convert in full each share of such holder’s Series A-1 convertible preferred stock at such time into the number of shares of Class A common stock based upon a conversion ratio of 1,000 shares of Class A common stock for each share of Series A-1 convertible preferred stock (such ratio being subject to adjustment).</w:t>
      </w:r>
    </w:p>
    <w:p>
      <w:pPr>
        <w:spacing w:after="0" w:line="182"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Under the Certificate of Designations, holders of the Series A redeemable convertible preferred stock are entitled to vote with the holders of the Class A common stock on an as-converted basis on all matters submitted to a vote of the holders of the Class A common stock. Notwithstanding the foregoing: (1) the lead Purchaser’s voting rights shall not exceed 9.99% of the voting rights associated with the issued and outstanding shares of capital stock of the Company at any time; and (2) the voting rights of the Purchasers holding Series A redeemable convertible preferred stock, voting on an as-converted basis with the holders of the Class A common stock and the holders of any other class or series of capital stock of the Company then entitled to vote, shall be capped at the maximum amount that would not result in requiring stockholder approval for the exercise of such voting rights pursuant to the listing rules of The Nasdaq Global Market. The Series A-1 convertible preferred stock is not entitled to vote with the Class A common stock on matters submitted to a vote of the holders of the Class A common stock and will have no voting rights except as required by applicable law.</w:t>
      </w:r>
    </w:p>
    <w:p>
      <w:pPr>
        <w:spacing w:after="0" w:line="180" w:lineRule="exact"/>
        <w:rPr>
          <w:sz w:val="20"/>
          <w:szCs w:val="20"/>
          <w:color w:val="auto"/>
        </w:rPr>
      </w:pPr>
    </w:p>
    <w:p>
      <w:pPr>
        <w:ind w:right="220"/>
        <w:spacing w:after="0" w:line="261" w:lineRule="auto"/>
        <w:rPr>
          <w:sz w:val="20"/>
          <w:szCs w:val="20"/>
          <w:color w:val="auto"/>
        </w:rPr>
      </w:pPr>
      <w:r>
        <w:rPr>
          <w:rFonts w:ascii="Arial" w:cs="Arial" w:eastAsia="Arial" w:hAnsi="Arial"/>
          <w:sz w:val="16"/>
          <w:szCs w:val="16"/>
          <w:color w:val="auto"/>
        </w:rPr>
        <w:t>In addition, holders of the preferred stock are entitled to a separate class vote with respect to, among other things, amendments to the Company’s organizational documents that materially, adversely and disproportionately affect the Series A redeemable convertible preferred stock, authorizations or issuances by the Company of securities that are senior to or pari passu with the Series A redeemable convertible preferred stock and issuing any debt security (for the avoidance of doubt, excluding any draws under the Company’s Existing Credit Agreement referenced in the Certificate of Designations), if the Company’s Consolidated Total Net Debt (as defined in the Certificate of Designations) following such action would exceed four times the Company’s Consolidated EBITDA (as defined in the Certificate of Designations) for the Company’s most recently completed four consecutive fiscal quarters.</w:t>
      </w:r>
    </w:p>
    <w:p>
      <w:pPr>
        <w:spacing w:after="0" w:line="176" w:lineRule="exact"/>
        <w:rPr>
          <w:sz w:val="20"/>
          <w:szCs w:val="20"/>
          <w:color w:val="auto"/>
        </w:rPr>
      </w:pPr>
    </w:p>
    <w:p>
      <w:pPr>
        <w:ind w:right="20"/>
        <w:spacing w:after="0" w:line="258" w:lineRule="auto"/>
        <w:rPr>
          <w:sz w:val="20"/>
          <w:szCs w:val="20"/>
          <w:color w:val="auto"/>
        </w:rPr>
      </w:pPr>
      <w:r>
        <w:rPr>
          <w:rFonts w:ascii="Arial" w:cs="Arial" w:eastAsia="Arial" w:hAnsi="Arial"/>
          <w:sz w:val="16"/>
          <w:szCs w:val="16"/>
          <w:color w:val="auto"/>
        </w:rPr>
        <w:t>At any time following the fifth anniversary of the Closing Date, the Company may redeem the Series A redeemable convertible preferred stock, in whole or in part, for a per share amount in cash equal to the liquidation preference (reflecting increases for compounded dividends) thereof plus all accrued dividends as of the applicable redemption date. Upon certain change of control events involving the Company, (i) a holder of the Series A redeemable convertible preferred stock may, so long as such payment would not otherwise result in a breach of, or event of default under, then-existing credit agreements, indentures or other financing arrangements, require the Company to purchase and (ii) subject to a holder’s right to convert its shares of Series A redeemable convertible preferred stock into Class A common stock or Series A-1 convertible preferred stock at the then-current conversion price, the Company may elect to purchase, all or a portion of such holder’s shares of Series A redeemable convertible preferred stock that have not been so converted, in each case at a purchase price per share of Series A redeemable convertible preferred stock, payable in cash, equal to (i) if the change of control effective date occurs at any time prior to the fifth anniversary of the Closing Date, 160.0% of a Purchaser’s original investment amount and (ii) if the change of control effective date occurs on or after the fifth anniversary of the Closing Date, the liquidation preference (reflecting increases for compounded dividends) of such share of Series A redeemable convertible preferred stock plus the accrued dividends in respect of such share of Series A redeemable convertible preferred stock as of the change of control purchase date.</w:t>
      </w:r>
    </w:p>
    <w:p>
      <w:pPr>
        <w:spacing w:after="0" w:line="178"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The Purchasers have entered into a customary registration rights agreement with respect to shares of Class A common stock held by the Purchasers issued upon any future conversion of the Series A redeemable convertible preferred stock or Series A-1 convertible preferred stock.</w:t>
      </w:r>
    </w:p>
    <w:p>
      <w:pPr>
        <w:spacing w:after="0" w:line="16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In connection with the Issuance, the Company, as the managing member of GHH, LLC, caused GHH, LLC (i) to issue to the Company, in exchange for the proceeds from the Issuance, Series A preferred units and (ii) to authorize another series of preferred units, in each case having an aggregate liquidation preference and having terms substantially economically equivalent to the aggregate liquidation preference and the economic terms of the Series A redeemable convertible preferred stock and the Series A-1 convertible preferred stock, respectively, and entered into Amendment No. 2 to the GHH, LLC Agreement to effectuate the same.</w:t>
      </w:r>
    </w:p>
    <w:p>
      <w:pPr>
        <w:spacing w:after="0" w:line="218"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The Company classifies the Series A redeemable convertible preferred stock and Series A-1 convertible preferred stock outside of permanent equity as temporary equity since the redemption of such shares is not solely within the Company’s control. The Company does not remeasure the redeemable convertible preferred stock because it is not currently redeemable and not probable of becoming redeemable. The redeemable convertible preferred stock was recorded at fair value upon issuance, net of issuance costs of $1.6 million.</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15</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18" w:name="page19"/>
    <w:bookmarkEnd w:id="18"/>
    <w:p>
      <w:pPr>
        <w:spacing w:after="0"/>
        <w:rPr>
          <w:sz w:val="20"/>
          <w:szCs w:val="20"/>
          <w:color w:val="auto"/>
        </w:rPr>
      </w:pPr>
      <w:r>
        <w:rPr>
          <w:rFonts w:ascii="Arial" w:cs="Arial" w:eastAsia="Arial" w:hAnsi="Arial"/>
          <w:sz w:val="16"/>
          <w:szCs w:val="16"/>
          <w:b w:val="1"/>
          <w:bCs w:val="1"/>
          <w:color w:val="00497F"/>
        </w:rPr>
        <w:t>6. SHARE-BASED COMPENSATION PLANS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share-based compensation expense by operating function for the periods presented:</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 Mar. 31,</w:t>
            </w:r>
          </w:p>
        </w:tc>
      </w:tr>
      <w:tr>
        <w:trPr>
          <w:trHeight w:val="19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Marketing and advertising</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w:t>
            </w:r>
          </w:p>
        </w:tc>
      </w:tr>
      <w:tr>
        <w:trPr>
          <w:trHeight w:val="198"/>
        </w:trPr>
        <w:tc>
          <w:tcPr>
            <w:tcW w:w="7860" w:type="dxa"/>
            <w:vAlign w:val="bottom"/>
          </w:tcPr>
          <w:p>
            <w:pPr>
              <w:ind w:left="20"/>
              <w:spacing w:after="0"/>
              <w:rPr>
                <w:sz w:val="20"/>
                <w:szCs w:val="20"/>
                <w:color w:val="auto"/>
              </w:rPr>
            </w:pPr>
            <w:r>
              <w:rPr>
                <w:rFonts w:ascii="Arial" w:cs="Arial" w:eastAsia="Arial" w:hAnsi="Arial"/>
                <w:sz w:val="14"/>
                <w:szCs w:val="14"/>
                <w:color w:val="auto"/>
              </w:rPr>
              <w:t>Consumer care and enrollment</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324</w:t>
            </w:r>
          </w:p>
        </w:tc>
      </w:tr>
      <w:tr>
        <w:trPr>
          <w:trHeight w:val="20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Technology</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w:t>
            </w:r>
          </w:p>
        </w:tc>
      </w:tr>
      <w:tr>
        <w:trPr>
          <w:trHeight w:val="203"/>
        </w:trPr>
        <w:tc>
          <w:tcPr>
            <w:tcW w:w="78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4"/>
                <w:szCs w:val="14"/>
                <w:color w:val="auto"/>
              </w:rPr>
              <w:t>General and administrative</w:t>
            </w:r>
            <w:r>
              <w:rPr>
                <w:rFonts w:ascii="Arial" w:cs="Arial" w:eastAsia="Arial" w:hAnsi="Arial"/>
                <w:sz w:val="18"/>
                <w:szCs w:val="18"/>
                <w:color w:val="auto"/>
                <w:vertAlign w:val="superscript"/>
              </w:rPr>
              <w:t>(1)</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1,144</w:t>
            </w:r>
          </w:p>
        </w:tc>
      </w:tr>
      <w:tr>
        <w:trPr>
          <w:trHeight w:val="221"/>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share-based compensation expense</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2,803</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1,783</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340" w:right="140" w:hanging="332"/>
        <w:spacing w:after="0" w:line="302" w:lineRule="auto"/>
        <w:tabs>
          <w:tab w:leader="none" w:pos="327" w:val="left"/>
        </w:tabs>
        <w:numPr>
          <w:ilvl w:val="0"/>
          <w:numId w:val="8"/>
        </w:numPr>
        <w:rPr>
          <w:rFonts w:ascii="Arial" w:cs="Arial" w:eastAsia="Arial" w:hAnsi="Arial"/>
          <w:sz w:val="14"/>
          <w:szCs w:val="14"/>
          <w:i w:val="1"/>
          <w:iCs w:val="1"/>
          <w:color w:val="auto"/>
        </w:rPr>
      </w:pPr>
      <w:r>
        <w:rPr>
          <w:rFonts w:ascii="Arial" w:cs="Arial" w:eastAsia="Arial" w:hAnsi="Arial"/>
          <w:sz w:val="14"/>
          <w:szCs w:val="14"/>
          <w:i w:val="1"/>
          <w:iCs w:val="1"/>
          <w:color w:val="auto"/>
        </w:rPr>
        <w:t>For the three months ended March 31, 2025 and 2024, share-based compensation expense includes expense related to the stock appreciation rights (“SARs”), which are liability classified awards.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7. NET INCOME (LOSS) PER SHARE</w:t>
      </w:r>
    </w:p>
    <w:p>
      <w:pPr>
        <w:spacing w:after="0" w:line="221"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Basic loss per share is computed by dividing net loss attributable to common stockholders by the weighted-average number of shares of Class A common stock outstanding during the period. Diluted loss per share is computed giving effect to all potentially dilutive shares. Diluted loss per share for all periods presented is the same as basic loss per share as the inclusion of potentially issuable shares would be antidilutive.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 reconciliation of the numerator and denominator used in the calculation of basic and diluted net loss per share of Class A common stock is as follows: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 Mar. 31,</w:t>
            </w:r>
          </w:p>
        </w:tc>
      </w:tr>
      <w:tr>
        <w:trPr>
          <w:trHeight w:val="19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Numerator:</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9"/>
        </w:trPr>
        <w:tc>
          <w:tcPr>
            <w:tcW w:w="7860" w:type="dxa"/>
            <w:vAlign w:val="bottom"/>
          </w:tcPr>
          <w:p>
            <w:pPr>
              <w:ind w:left="240"/>
              <w:spacing w:after="0"/>
              <w:rPr>
                <w:sz w:val="20"/>
                <w:szCs w:val="20"/>
                <w:color w:val="auto"/>
              </w:rPr>
            </w:pPr>
            <w:r>
              <w:rPr>
                <w:rFonts w:ascii="Arial" w:cs="Arial" w:eastAsia="Arial" w:hAnsi="Arial"/>
                <w:sz w:val="14"/>
                <w:szCs w:val="14"/>
                <w:color w:val="auto"/>
              </w:rPr>
              <w:t>Net loss</w:t>
            </w:r>
          </w:p>
        </w:tc>
        <w:tc>
          <w:tcPr>
            <w:tcW w:w="380" w:type="dxa"/>
            <w:vAlign w:val="bottom"/>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(9,786)</w:t>
            </w:r>
          </w:p>
        </w:tc>
        <w:tc>
          <w:tcPr>
            <w:tcW w:w="10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(21,346)</w:t>
            </w:r>
          </w:p>
        </w:tc>
      </w:tr>
      <w:tr>
        <w:trPr>
          <w:trHeight w:val="206"/>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Net loss attributable to non-controlling interests</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(5,378)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(12,130)</w:t>
            </w:r>
          </w:p>
        </w:tc>
      </w:tr>
      <w:tr>
        <w:trPr>
          <w:trHeight w:val="19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 attributable to GoHealth, Inc.</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(9,216)</w:t>
            </w:r>
          </w:p>
        </w:tc>
      </w:tr>
      <w:tr>
        <w:trPr>
          <w:trHeight w:val="200"/>
        </w:trPr>
        <w:tc>
          <w:tcPr>
            <w:tcW w:w="78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Less: Dividends accumulated on redeemable convertible preferred stock</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956</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892</w:t>
            </w:r>
          </w:p>
        </w:tc>
      </w:tr>
      <w:tr>
        <w:trPr>
          <w:trHeight w:val="19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loss attributable to common stockholders - basic and diluted</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(5,364)</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(10,108)</w:t>
            </w:r>
          </w:p>
        </w:tc>
      </w:tr>
      <w:tr>
        <w:trPr>
          <w:trHeight w:val="18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Denominator:</w:t>
            </w: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spacing w:after="0"/>
              <w:rPr>
                <w:sz w:val="16"/>
                <w:szCs w:val="16"/>
                <w:color w:val="auto"/>
              </w:rPr>
            </w:pPr>
          </w:p>
        </w:tc>
      </w:tr>
      <w:tr>
        <w:trPr>
          <w:trHeight w:val="19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Weighted-average shares of Class A common stock outstanding—basic and diluted</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10,373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9,715</w:t>
            </w:r>
          </w:p>
        </w:tc>
      </w:tr>
      <w:tr>
        <w:trPr>
          <w:trHeight w:val="224"/>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loss per share of Class A common stock—basic and dilutive</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(0.52)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(1.04)</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69"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number of shares were excluded from the calculation of diluted loss per share of Class A common stock because the effect of including such potentially dilutive shares would have been antidilutive:</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360" w:type="dxa"/>
            <w:vAlign w:val="bottom"/>
          </w:tcPr>
          <w:p>
            <w:pPr>
              <w:spacing w:after="0"/>
              <w:rPr>
                <w:sz w:val="17"/>
                <w:szCs w:val="17"/>
                <w:color w:val="auto"/>
              </w:rPr>
            </w:pPr>
          </w:p>
        </w:tc>
        <w:tc>
          <w:tcPr>
            <w:tcW w:w="1860" w:type="dxa"/>
            <w:vAlign w:val="bottom"/>
            <w:tcBorders>
              <w:bottom w:val="single" w:sz="8" w:color="auto"/>
            </w:tcBorders>
            <w:gridSpan w:val="3"/>
          </w:tcPr>
          <w:p>
            <w:pPr>
              <w:ind w:left="1180"/>
              <w:spacing w:after="0"/>
              <w:rPr>
                <w:sz w:val="20"/>
                <w:szCs w:val="20"/>
                <w:color w:val="auto"/>
              </w:rPr>
            </w:pPr>
            <w:r>
              <w:rPr>
                <w:rFonts w:ascii="Arial" w:cs="Arial" w:eastAsia="Arial" w:hAnsi="Arial"/>
                <w:sz w:val="14"/>
                <w:szCs w:val="14"/>
                <w:b w:val="1"/>
                <w:bCs w:val="1"/>
                <w:color w:val="auto"/>
              </w:rPr>
              <w:t>Mar. 31,</w:t>
            </w:r>
          </w:p>
        </w:tc>
        <w:tc>
          <w:tcPr>
            <w:tcW w:w="1020" w:type="dxa"/>
            <w:vAlign w:val="bottom"/>
            <w:tcBorders>
              <w:bottom w:val="single" w:sz="8" w:color="auto"/>
            </w:tcBorders>
          </w:tcPr>
          <w:p>
            <w:pPr>
              <w:spacing w:after="0"/>
              <w:rPr>
                <w:sz w:val="17"/>
                <w:szCs w:val="17"/>
                <w:color w:val="auto"/>
              </w:rPr>
            </w:pPr>
          </w:p>
        </w:tc>
      </w:tr>
      <w:tr>
        <w:trPr>
          <w:trHeight w:val="197"/>
        </w:trPr>
        <w:tc>
          <w:tcPr>
            <w:tcW w:w="83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4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2025</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2024</w:t>
            </w:r>
          </w:p>
        </w:tc>
      </w:tr>
      <w:tr>
        <w:trPr>
          <w:trHeight w:val="197"/>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Equity awards</w:t>
            </w: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2,307</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w:t>
            </w:r>
          </w:p>
        </w:tc>
      </w:tr>
      <w:tr>
        <w:trPr>
          <w:trHeight w:val="198"/>
        </w:trPr>
        <w:tc>
          <w:tcPr>
            <w:tcW w:w="8360" w:type="dxa"/>
            <w:vAlign w:val="bottom"/>
          </w:tcPr>
          <w:p>
            <w:pPr>
              <w:ind w:left="20"/>
              <w:spacing w:after="0"/>
              <w:rPr>
                <w:sz w:val="20"/>
                <w:szCs w:val="20"/>
                <w:color w:val="auto"/>
              </w:rPr>
            </w:pPr>
            <w:r>
              <w:rPr>
                <w:rFonts w:ascii="Arial" w:cs="Arial" w:eastAsia="Arial" w:hAnsi="Arial"/>
                <w:sz w:val="14"/>
                <w:szCs w:val="14"/>
                <w:color w:val="auto"/>
              </w:rPr>
              <w:t>Redeemable convertible preferred stock</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4,113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3,989</w:t>
            </w:r>
          </w:p>
        </w:tc>
      </w:tr>
      <w:tr>
        <w:trPr>
          <w:trHeight w:val="207"/>
        </w:trPr>
        <w:tc>
          <w:tcPr>
            <w:tcW w:w="83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Class B common stock</w:t>
            </w:r>
          </w:p>
        </w:tc>
        <w:tc>
          <w:tcPr>
            <w:tcW w:w="14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12,623</w:t>
            </w: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12,783</w:t>
            </w:r>
          </w:p>
        </w:tc>
      </w:tr>
    </w:tbl>
    <w:p>
      <w:pPr>
        <w:spacing w:after="0" w:line="29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Shares of Class B common stock do not share in earnings and are not participating securities. Accordingly, separate presentation of loss per share of Class B common stock under the two-class method has not been presented. Shares of Series A redeemable convertible preferred stock are not participating securities as holders receive a contractual dividend. Accordingly, separate presentation of loss per share of Series A redeemable convertible preferred stock under the two-class method has not been presented.</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8. INCOME TAXES</w:t>
      </w:r>
    </w:p>
    <w:p>
      <w:pPr>
        <w:spacing w:after="0" w:line="22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Company is taxed as a corporation for income tax purposes and is subject to federal, state and local taxes on the income allocated to it from GHH, LLC based upon the Company’s economic interest in GHH, LLC. The Company is the sole managing member of GHH, LLC and, as a result, consolidates the financial results of GHH, LLC. GHH, LLC is a limited liability company taxed as a partnership for income tax purposes except for a foreign subsidiary, which is treated as a foreign disregarded entity. As a partnership, GHH, LLC does not pay any federal income taxes, as income or loss is included in the tax returns of the individual members. In 2024, the Company acquired a 100% equity interest in e-TeleQuote Insurance, Inc. (“e-TeleQuote”) which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281305</wp:posOffset>
            </wp:positionV>
            <wp:extent cx="8255" cy="1282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281305</wp:posOffset>
            </wp:positionV>
            <wp:extent cx="8890" cy="1282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890" cy="128270"/>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p>
      <w:pPr>
        <w:spacing w:after="0" w:line="200" w:lineRule="exact"/>
        <w:rPr>
          <w:sz w:val="20"/>
          <w:szCs w:val="20"/>
          <w:color w:val="auto"/>
        </w:rPr>
      </w:pPr>
    </w:p>
    <w:p>
      <w:pPr>
        <w:spacing w:after="0" w:line="247"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2025 Form 10-Q</w:t>
      </w:r>
      <w:r>
        <w:rPr>
          <w:sz w:val="20"/>
          <w:szCs w:val="20"/>
          <w:color w:val="auto"/>
        </w:rPr>
        <w:tab/>
      </w: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bookmarkStart w:id="19" w:name="page20"/>
    <w:bookmarkEnd w:id="19"/>
    <w:p>
      <w:pPr>
        <w:ind w:right="160"/>
        <w:spacing w:after="0" w:line="275" w:lineRule="auto"/>
        <w:rPr>
          <w:sz w:val="20"/>
          <w:szCs w:val="20"/>
          <w:color w:val="auto"/>
        </w:rPr>
      </w:pPr>
      <w:r>
        <w:rPr>
          <w:rFonts w:ascii="Arial" w:cs="Arial" w:eastAsia="Arial" w:hAnsi="Arial"/>
          <w:sz w:val="16"/>
          <w:szCs w:val="16"/>
          <w:color w:val="auto"/>
        </w:rPr>
        <w:t>is taxed as a corporation. These corporations are subject to federal and state income taxes in the jurisdictions in which they operate. Additionally, the Company’s foreign subsidiaries are subject to foreign income taxes in the jurisdiction in which they operate. The accruals for such taxes are included in the Condensed Consolidated Financial Statements.</w:t>
      </w:r>
    </w:p>
    <w:p>
      <w:pPr>
        <w:spacing w:after="0" w:line="164" w:lineRule="exact"/>
        <w:rPr>
          <w:sz w:val="20"/>
          <w:szCs w:val="20"/>
          <w:color w:val="auto"/>
        </w:rPr>
      </w:pPr>
    </w:p>
    <w:p>
      <w:pPr>
        <w:ind w:right="260"/>
        <w:spacing w:after="0" w:line="275" w:lineRule="auto"/>
        <w:rPr>
          <w:sz w:val="20"/>
          <w:szCs w:val="20"/>
          <w:color w:val="auto"/>
        </w:rPr>
      </w:pPr>
      <w:r>
        <w:rPr>
          <w:rFonts w:ascii="Arial" w:cs="Arial" w:eastAsia="Arial" w:hAnsi="Arial"/>
          <w:sz w:val="16"/>
          <w:szCs w:val="16"/>
          <w:color w:val="auto"/>
        </w:rPr>
        <w:t>The Company’s effective tax rate for the three months ended March 31, 2025 and 2024 was (13.47)% and 0.33%, respectively. The effective tax rate for each period is lower than the statutory tax rate primarily due to the effect of loss entities for which the Company excludes from its annual effective tax rate calculation and loss attributable to non-controlling interests.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Tax Receivable Agreement</w:t>
      </w:r>
    </w:p>
    <w:p>
      <w:pPr>
        <w:spacing w:after="0" w:line="235"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In connection with the IPO, the Company entered into a Tax Receivable Agreement with GHH, LLC, the Continuing Equity Owners and the Blocker Shareholders that will provide for the payment by the Company to the Continuing Equity Owners and the Blocker Shareholders of 85% of the amount of tax benefits, if any, that the Company actually realizes (or in some circumstances is deemed to realize). The amounts payable under the Tax Receivable Agreement will vary depending upon a number of factors, including the amount, character and timing of the taxable income of the Company in the future. As of both March 31, 2025 and December 31, 2024 the liability related to the Tax Receivable Agreement was $1.1 million. Should the Company determine that any additional Tax Receivable Agreement liability is considered probable at a future date based on new information, any changes will be recorded within earnings at that time.</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9. REVENUE</w:t>
      </w:r>
    </w:p>
    <w:p>
      <w:pPr>
        <w:spacing w:after="0" w:line="23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 xml:space="preserve">The Company recognizes revenue in accordance with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The primary services provided by the Company relate to the sale and administration of Medicare insurance products through either the agency model or the non-agency model, as described below.</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Disaggregation of Revenue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depicts the disaggregation of revenue and is consistent with how the Company evaluates its financial performance:</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 Mar. 31,</w:t>
            </w:r>
          </w:p>
        </w:tc>
      </w:tr>
      <w:tr>
        <w:trPr>
          <w:trHeight w:val="19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r>
      <w:tr>
        <w:trPr>
          <w:trHeight w:val="18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Medicare Revenue</w:t>
            </w: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r>
      <w:tr>
        <w:trPr>
          <w:trHeight w:val="199"/>
        </w:trPr>
        <w:tc>
          <w:tcPr>
            <w:tcW w:w="7860" w:type="dxa"/>
            <w:vAlign w:val="bottom"/>
          </w:tcPr>
          <w:p>
            <w:pPr>
              <w:ind w:left="240"/>
              <w:spacing w:after="0"/>
              <w:rPr>
                <w:sz w:val="20"/>
                <w:szCs w:val="20"/>
                <w:color w:val="auto"/>
              </w:rPr>
            </w:pPr>
            <w:r>
              <w:rPr>
                <w:rFonts w:ascii="Arial" w:cs="Arial" w:eastAsia="Arial" w:hAnsi="Arial"/>
                <w:sz w:val="14"/>
                <w:szCs w:val="14"/>
                <w:color w:val="auto"/>
              </w:rPr>
              <w:t>Agency Revenue</w:t>
            </w: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6"/>
        </w:trPr>
        <w:tc>
          <w:tcPr>
            <w:tcW w:w="7860" w:type="dxa"/>
            <w:vAlign w:val="bottom"/>
            <w:shd w:val="clear" w:color="auto" w:fill="CCEEFF"/>
          </w:tcPr>
          <w:p>
            <w:pPr>
              <w:ind w:left="460"/>
              <w:spacing w:after="0"/>
              <w:rPr>
                <w:sz w:val="20"/>
                <w:szCs w:val="20"/>
                <w:color w:val="auto"/>
              </w:rPr>
            </w:pPr>
            <w:r>
              <w:rPr>
                <w:rFonts w:ascii="Arial" w:cs="Arial" w:eastAsia="Arial" w:hAnsi="Arial"/>
                <w:sz w:val="14"/>
                <w:szCs w:val="14"/>
                <w:color w:val="auto"/>
              </w:rPr>
              <w:t>Commission Revenue</w:t>
            </w:r>
            <w:r>
              <w:rPr>
                <w:rFonts w:ascii="Arial" w:cs="Arial" w:eastAsia="Arial" w:hAnsi="Arial"/>
                <w:sz w:val="9"/>
                <w:szCs w:val="9"/>
                <w:color w:val="auto"/>
              </w:rPr>
              <w:t>(1)</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167,109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79,733</w:t>
            </w:r>
          </w:p>
        </w:tc>
      </w:tr>
      <w:tr>
        <w:trPr>
          <w:trHeight w:val="198"/>
        </w:trPr>
        <w:tc>
          <w:tcPr>
            <w:tcW w:w="78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Partner Marketing and Other Revenue</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20,524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19,391</w:t>
            </w:r>
          </w:p>
        </w:tc>
      </w:tr>
      <w:tr>
        <w:trPr>
          <w:trHeight w:val="200"/>
        </w:trPr>
        <w:tc>
          <w:tcPr>
            <w:tcW w:w="78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Agency Revenue</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187,633</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99,124</w:t>
            </w:r>
          </w:p>
        </w:tc>
      </w:tr>
      <w:tr>
        <w:trPr>
          <w:trHeight w:val="192"/>
        </w:trPr>
        <w:tc>
          <w:tcPr>
            <w:tcW w:w="78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Non-Agency Revenue</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31,771</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85,902</w:t>
            </w:r>
          </w:p>
        </w:tc>
      </w:tr>
      <w:tr>
        <w:trPr>
          <w:trHeight w:val="20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Medicare Revenue</w:t>
            </w: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219,404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185,026</w:t>
            </w:r>
          </w:p>
        </w:tc>
      </w:tr>
      <w:tr>
        <w:trPr>
          <w:trHeight w:val="19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Revenue</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574</w:t>
            </w:r>
          </w:p>
        </w:tc>
      </w:tr>
      <w:tr>
        <w:trPr>
          <w:trHeight w:val="22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Net Revenues</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220,972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185,600</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2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Commission revenue excludes commissions generated from the sale of individual and family plan insurance products</w:t>
      </w:r>
      <w:r>
        <w:rPr>
          <w:rFonts w:ascii="Arial" w:cs="Arial" w:eastAsia="Arial" w:hAnsi="Arial"/>
          <w:sz w:val="16"/>
          <w:szCs w:val="16"/>
          <w:i w:val="1"/>
          <w:iCs w:val="1"/>
          <w:color w:val="auto"/>
        </w:rPr>
        <w: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Medicare Revenue</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Agency Revenue</w:t>
      </w:r>
    </w:p>
    <w:p>
      <w:pPr>
        <w:spacing w:after="0" w:line="246"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Agency revenue refers to the commission revenue and partner marketing and other revenue the Company receives when GoHealth agents or the Company’s independent network of outsourced agents, also referred to as external agents, enroll the consumer and submit the policy application to the health plan partner, becoming the agent of record. The Company records as commission revenue the expected amount of initial commissions received from the health plan partners and any renewal commissions to be paid on such placement as long as the policyholder remains with the same insurance product, also known as the total estimated LTV of the policy, net of an estimated constraint. The consideration is variable based on the estimated amount of time a policy will remain in force, which is based on historical experience or health plan partner experience to the extent available, industry data and expectations as to future retention rates. Additionally, the Company considers the application of a constraint and only recognizes the amount of variable consideration that it believes is probable that it will be entitled to receive and will not be subject to a significant revenue reversal in the future. The Company monitors and updates this estimate at each reporting date.</w:t>
      </w:r>
    </w:p>
    <w:p>
      <w:pPr>
        <w:spacing w:after="0" w:line="21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utilizes a practical expedient to estimate commission revenue for each insurance product by applying the use of a portfolio approach to group approved members by the effective month of the relevant policy (referred to as a “vintage”). On a quarterly basis, the Company re-estimates LTV at a vintage level for outstanding vintages, which takes into account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276225</wp:posOffset>
            </wp:positionV>
            <wp:extent cx="8255" cy="12890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276225</wp:posOffset>
            </wp:positionV>
            <wp:extent cx="8890" cy="1289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p>
      <w:pPr>
        <w:spacing w:after="0" w:line="200" w:lineRule="exact"/>
        <w:rPr>
          <w:sz w:val="20"/>
          <w:szCs w:val="20"/>
          <w:color w:val="auto"/>
        </w:rPr>
      </w:pPr>
    </w:p>
    <w:p>
      <w:pPr>
        <w:spacing w:after="0" w:line="239"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2025 Form 10-Q</w:t>
      </w:r>
      <w:r>
        <w:rPr>
          <w:sz w:val="20"/>
          <w:szCs w:val="20"/>
          <w:color w:val="auto"/>
        </w:rPr>
        <w:tab/>
      </w: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bookmarkStart w:id="20" w:name="page21"/>
    <w:bookmarkEnd w:id="20"/>
    <w:p>
      <w:pPr>
        <w:ind w:right="140"/>
        <w:spacing w:after="0" w:line="265" w:lineRule="auto"/>
        <w:rPr>
          <w:sz w:val="20"/>
          <w:szCs w:val="20"/>
          <w:color w:val="auto"/>
        </w:rPr>
      </w:pPr>
      <w:r>
        <w:rPr>
          <w:rFonts w:ascii="Arial" w:cs="Arial" w:eastAsia="Arial" w:hAnsi="Arial"/>
          <w:sz w:val="16"/>
          <w:szCs w:val="16"/>
          <w:color w:val="auto"/>
        </w:rPr>
        <w:t>received as compared to the original estimates and reviews and monitors changes in the data used to estimate LTV. Changes in LTV may result in an increase or a decrease to revenue and a corresponding change to commissions receivable. The Company analyzes these differences and to the extent the Company believes differences in the estimates are indicative of a change to prior period LTVs, the Company will adjust revenue for the affected vintages at the time such determination is made and when it is probable that a significant reversal in the amount of cumulative revenue recognized will not occur.</w:t>
      </w:r>
    </w:p>
    <w:p>
      <w:pPr>
        <w:spacing w:after="0" w:line="213" w:lineRule="exact"/>
        <w:rPr>
          <w:sz w:val="20"/>
          <w:szCs w:val="20"/>
          <w:color w:val="auto"/>
        </w:rPr>
      </w:pPr>
    </w:p>
    <w:p>
      <w:pPr>
        <w:ind w:right="580"/>
        <w:spacing w:after="0" w:line="265" w:lineRule="auto"/>
        <w:rPr>
          <w:sz w:val="20"/>
          <w:szCs w:val="20"/>
          <w:color w:val="auto"/>
        </w:rPr>
      </w:pPr>
      <w:r>
        <w:rPr>
          <w:rFonts w:ascii="Arial" w:cs="Arial" w:eastAsia="Arial" w:hAnsi="Arial"/>
          <w:sz w:val="16"/>
          <w:szCs w:val="16"/>
          <w:color w:val="auto"/>
        </w:rPr>
        <w:t>The Company is also compensated by its health plan partners for providing marketing services over a predetermined measurement period, which the Company records as partner marketing and other revenue. The Company recognizes these revenues over the measurement period as insurance applications produced by the Company are generated. The Company generally gets paid a fixed fee per application, with the amount of variable consideration resolved within 90 days of the application.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Non-Agency Revenue</w:t>
      </w:r>
    </w:p>
    <w:p>
      <w:pPr>
        <w:spacing w:after="0" w:line="233"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Non-agency revenue refers to services provided by the Company that support enrollment and engagement activities in which the Company is not the agent of record. The non-agency model moves away from the agency structure in that cash is collected in advance or in close proximity to the point in time revenue is recognized. Non-agency revenue includes enrollment and engagement services through Encompass Connect and Encompass Engage. Encompass Connect is designed to provide enrollment related services to participating partners. The Company is compensated for generating and transferring leads to the health plan partners, at which time the health plan partner representative will enroll and submit the application, becoming the agent of record. Revenue is recognized at a point in time the lead is transferred. The Company’s performance obligation is complete when a health plan partner has received a lead, with the amount of variable consideration generally resolved within 90 days of when the related policy effectuates. The Company estimates the amount of variable consideration that it expects to receive based on historical experience with commission revenue or health plan partner experience to the extent available and expectations as to future retention rates. The Company does not receive commissions or fees on subsequent renewals generated from the transferred leads. Encompass Engage includes post-enrollment member outreach and engagement services, including facilitating an onboarding experience customized to a members’ plan and health needs. The Company recognizes Encompass Engage revenue at the point in time that the service is provided based on member retention and providing post-enrollment services.</w:t>
      </w:r>
    </w:p>
    <w:p>
      <w:pPr>
        <w:spacing w:after="0" w:line="183"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Non-agency revenue also includes value-based care provider engagement, health risk assessments, social determinants of health screening and preferred pharmacy programs. The Company recognizes revenue for the related performance obligation at a point in time.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Other Revenue</w:t>
      </w:r>
    </w:p>
    <w:p>
      <w:pPr>
        <w:spacing w:after="0" w:line="219" w:lineRule="exact"/>
        <w:rPr>
          <w:sz w:val="20"/>
          <w:szCs w:val="20"/>
          <w:color w:val="auto"/>
        </w:rPr>
      </w:pPr>
    </w:p>
    <w:p>
      <w:pPr>
        <w:ind w:right="520"/>
        <w:spacing w:after="0" w:line="304" w:lineRule="auto"/>
        <w:rPr>
          <w:sz w:val="20"/>
          <w:szCs w:val="20"/>
          <w:color w:val="auto"/>
        </w:rPr>
      </w:pPr>
      <w:r>
        <w:rPr>
          <w:rFonts w:ascii="Arial" w:cs="Arial" w:eastAsia="Arial" w:hAnsi="Arial"/>
          <w:sz w:val="16"/>
          <w:szCs w:val="16"/>
          <w:color w:val="auto"/>
        </w:rPr>
        <w:t>Other revenue is comprised of revenue unrelated to Medicare products including certain post-enrollment services, revenue generated from the sale of individual and family plan insurance products and ancillary services.</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 Balances</w:t>
      </w:r>
    </w:p>
    <w:p>
      <w:pPr>
        <w:spacing w:after="0" w:line="235" w:lineRule="exact"/>
        <w:rPr>
          <w:sz w:val="20"/>
          <w:szCs w:val="20"/>
          <w:color w:val="auto"/>
        </w:rPr>
      </w:pPr>
    </w:p>
    <w:p>
      <w:pPr>
        <w:ind w:right="40"/>
        <w:spacing w:after="0" w:line="266" w:lineRule="auto"/>
        <w:rPr>
          <w:sz w:val="20"/>
          <w:szCs w:val="20"/>
          <w:color w:val="auto"/>
        </w:rPr>
      </w:pPr>
      <w:r>
        <w:rPr>
          <w:rFonts w:ascii="Arial" w:cs="Arial" w:eastAsia="Arial" w:hAnsi="Arial"/>
          <w:sz w:val="16"/>
          <w:szCs w:val="16"/>
          <w:color w:val="auto"/>
        </w:rPr>
        <w:t>The Company records commissions receivable, commissions payable and deferred revenue related to its contracts with customers. Commissions receivable represents estimated variable consideration for commissions to be received from health plan partners for performance obligations that have been satisfied. Commissions payable represents estimated commissions to be paid to the Company’s external partners.</w:t>
      </w:r>
    </w:p>
    <w:p>
      <w:pPr>
        <w:spacing w:after="0" w:line="185"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The Company had unbilled receivables for performance-based enrollment fees and non-agency revenue, as well as prepaid expenses for revenue share, as of March 31, 2025 and December 31, 2024 of $10.7 million and $20.9 million, respectively, which are recorded in prepaid expenses and other current assets on the Condensed Consolidated Balance Sheets. In addition, the Company had accrued payments for revenue share as of March 31, 2025 and December 31, 2024 of $21.6 million and $29.8 million, respectively, which are recorded in accrued liabilities on the Condensed Consolidated Balance Sheets.</w:t>
      </w:r>
    </w:p>
    <w:p>
      <w:pPr>
        <w:spacing w:after="0" w:line="173"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Deferred revenue includes amounts collected for partner marketing services and non-agency revenue in advance of the Company satisfying its performance obligations for such customers. The decrease in deferred revenue during the three months ended March 31, 2025 compared to December 31, 2024 was primarily due to less cash received as of March 31, 2025 compared to December 31, 2024 for marketing, administrative and enrollment fees in advance of performing such services that the Company expects to satisfy within the next twelve months. During the three months ended March 31, 2025 and 2024, the Company recognized revenue that was recorded in deferred revenue on the Condensed Consolidated Balance Sheets at the beginning of the respective fiscal year of $41.6 million and $34.9 million,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Commissions Receivable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Commissions receivable activity is summarized as follows:</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18</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 Mar. 31,</w:t>
            </w:r>
          </w:p>
        </w:tc>
      </w:tr>
      <w:tr>
        <w:trPr>
          <w:trHeight w:val="19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38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1,053,560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911,697</w:t>
            </w: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4"/>
                <w:szCs w:val="14"/>
                <w:color w:val="auto"/>
              </w:rPr>
              <w:t>Commission revenue</w:t>
            </w:r>
            <w:r>
              <w:rPr>
                <w:rFonts w:ascii="Arial" w:cs="Arial" w:eastAsia="Arial" w:hAnsi="Arial"/>
                <w:sz w:val="18"/>
                <w:szCs w:val="18"/>
                <w:color w:val="auto"/>
                <w:vertAlign w:val="superscript"/>
              </w:rPr>
              <w:t>(1)</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170,537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81,162</w:t>
            </w:r>
          </w:p>
        </w:tc>
      </w:tr>
      <w:tr>
        <w:trPr>
          <w:trHeight w:val="203"/>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receipts</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(223,515)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(149,777)</w:t>
            </w:r>
          </w:p>
        </w:tc>
      </w:tr>
      <w:tr>
        <w:trPr>
          <w:trHeight w:val="198"/>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Allowance for credit loss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w:t>
            </w:r>
          </w:p>
        </w:tc>
      </w:tr>
      <w:tr>
        <w:trPr>
          <w:trHeight w:val="20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Ending balance</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1,000,617</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843,127</w:t>
            </w:r>
          </w:p>
        </w:tc>
      </w:tr>
      <w:tr>
        <w:trPr>
          <w:trHeight w:val="19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Commissions receivable - current</w:t>
            </w: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207,443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269,799</w:t>
            </w:r>
          </w:p>
        </w:tc>
      </w:tr>
      <w:tr>
        <w:trPr>
          <w:trHeight w:val="22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Commissions receivable - non-current</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793,174</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573,328</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i w:val="1"/>
          <w:iCs w:val="1"/>
          <w:color w:val="auto"/>
        </w:rPr>
        <w:t>(1)</w:t>
        <w:tab/>
        <w:t>Commission revenue includes commissions generated from the sale of individual and family plan insurance products.</w:t>
      </w:r>
    </w:p>
    <w:p>
      <w:pPr>
        <w:spacing w:after="0" w:line="210"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The Company’s contracts with health plan partners expose it to credit risk because a financial loss could be incurred if the counterparty does not fulfill its financial obligation. While the Company is exposed to credit losses due to the potential non-performance of its counterparties, the Company considers this risk to be remote. The Company estimates the allowance for credit losses using available information from internal and external sources related to historical experiences, current conditions and forecasts. Estimates of loss are determined by using historical collections data as well as historical information obtained through research and review of other peer companies. The estimated exposure of default is determined by applying these internal and external factors to the commissions receivable balances. The Company estimates the maximum credit risk in determining the commissions receivable amount recorded on the Condensed Consolidated Balance Sheets.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Significant Customers</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health plan partners representing 10% or more of the Company’s total net revenues for the periods indicated:</w:t>
      </w:r>
    </w:p>
    <w:p>
      <w:pPr>
        <w:spacing w:after="0" w:line="266"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Three months ended Mar.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660" w:type="dxa"/>
            <w:vAlign w:val="bottom"/>
            <w:tcBorders>
              <w:bottom w:val="single" w:sz="8" w:color="CCEEFF"/>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2025</w:t>
            </w:r>
          </w:p>
        </w:tc>
        <w:tc>
          <w:tcPr>
            <w:tcW w:w="5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1740" w:type="dxa"/>
            <w:vAlign w:val="bottom"/>
            <w:tcBorders>
              <w:top w:val="single" w:sz="8" w:color="auto"/>
              <w:bottom w:val="single" w:sz="8" w:color="auto"/>
            </w:tcBorders>
          </w:tcPr>
          <w:p>
            <w:pPr>
              <w:jc w:val="right"/>
              <w:ind w:right="648"/>
              <w:spacing w:after="0"/>
              <w:rPr>
                <w:sz w:val="20"/>
                <w:szCs w:val="20"/>
                <w:color w:val="auto"/>
              </w:rPr>
            </w:pPr>
            <w:r>
              <w:rPr>
                <w:rFonts w:ascii="Arial" w:cs="Arial" w:eastAsia="Arial" w:hAnsi="Arial"/>
                <w:sz w:val="14"/>
                <w:szCs w:val="14"/>
                <w:b w:val="1"/>
                <w:bCs w:val="1"/>
                <w:color w:val="auto"/>
              </w:rPr>
              <w:t>2024</w:t>
            </w:r>
          </w:p>
        </w:tc>
      </w:tr>
      <w:tr>
        <w:trPr>
          <w:trHeight w:val="197"/>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United</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37.4 %</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16.0 %</w:t>
            </w:r>
          </w:p>
        </w:tc>
      </w:tr>
      <w:tr>
        <w:trPr>
          <w:trHeight w:val="198"/>
        </w:trPr>
        <w:tc>
          <w:tcPr>
            <w:tcW w:w="8820" w:type="dxa"/>
            <w:vAlign w:val="bottom"/>
            <w:gridSpan w:val="2"/>
          </w:tcPr>
          <w:p>
            <w:pPr>
              <w:ind w:left="20"/>
              <w:spacing w:after="0"/>
              <w:rPr>
                <w:sz w:val="20"/>
                <w:szCs w:val="20"/>
                <w:color w:val="auto"/>
              </w:rPr>
            </w:pPr>
            <w:r>
              <w:rPr>
                <w:rFonts w:ascii="Arial" w:cs="Arial" w:eastAsia="Arial" w:hAnsi="Arial"/>
                <w:sz w:val="14"/>
                <w:szCs w:val="14"/>
                <w:color w:val="auto"/>
              </w:rPr>
              <w:t>Humana</w:t>
            </w:r>
          </w:p>
        </w:tc>
        <w:tc>
          <w:tcPr>
            <w:tcW w:w="580" w:type="dxa"/>
            <w:vAlign w:val="bottom"/>
          </w:tcPr>
          <w:p>
            <w:pPr>
              <w:jc w:val="right"/>
              <w:spacing w:after="0"/>
              <w:rPr>
                <w:sz w:val="20"/>
                <w:szCs w:val="20"/>
                <w:color w:val="auto"/>
              </w:rPr>
            </w:pPr>
            <w:r>
              <w:rPr>
                <w:rFonts w:ascii="Arial" w:cs="Arial" w:eastAsia="Arial" w:hAnsi="Arial"/>
                <w:sz w:val="14"/>
                <w:szCs w:val="14"/>
                <w:color w:val="auto"/>
              </w:rPr>
              <w:t>29.2 %</w:t>
            </w:r>
          </w:p>
        </w:tc>
        <w:tc>
          <w:tcPr>
            <w:tcW w:w="10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17.5 %</w:t>
            </w:r>
          </w:p>
        </w:tc>
      </w:tr>
      <w:tr>
        <w:trPr>
          <w:trHeight w:val="207"/>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Elevance Health</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11.5 %</w:t>
            </w:r>
          </w:p>
        </w:tc>
        <w:tc>
          <w:tcPr>
            <w:tcW w:w="10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22.7 %</w:t>
            </w:r>
          </w:p>
        </w:tc>
      </w:tr>
      <w:tr>
        <w:trPr>
          <w:trHeight w:val="194"/>
        </w:trPr>
        <w:tc>
          <w:tcPr>
            <w:tcW w:w="8820" w:type="dxa"/>
            <w:vAlign w:val="bottom"/>
            <w:gridSpan w:val="2"/>
          </w:tcPr>
          <w:p>
            <w:pPr>
              <w:ind w:left="20"/>
              <w:spacing w:after="0"/>
              <w:rPr>
                <w:sz w:val="20"/>
                <w:szCs w:val="20"/>
                <w:color w:val="auto"/>
              </w:rPr>
            </w:pPr>
            <w:r>
              <w:rPr>
                <w:rFonts w:ascii="Arial" w:cs="Arial" w:eastAsia="Arial" w:hAnsi="Arial"/>
                <w:sz w:val="14"/>
                <w:szCs w:val="14"/>
                <w:color w:val="auto"/>
              </w:rPr>
              <w:t>Centene</w:t>
            </w:r>
          </w:p>
        </w:tc>
        <w:tc>
          <w:tcPr>
            <w:tcW w:w="580" w:type="dxa"/>
            <w:vAlign w:val="bottom"/>
          </w:tcPr>
          <w:p>
            <w:pPr>
              <w:jc w:val="right"/>
              <w:spacing w:after="0"/>
              <w:rPr>
                <w:sz w:val="20"/>
                <w:szCs w:val="20"/>
                <w:color w:val="auto"/>
              </w:rPr>
            </w:pPr>
            <w:r>
              <w:rPr>
                <w:rFonts w:ascii="Arial" w:cs="Arial" w:eastAsia="Arial" w:hAnsi="Arial"/>
                <w:sz w:val="14"/>
                <w:szCs w:val="14"/>
                <w:color w:val="auto"/>
              </w:rPr>
              <w:t>10.6 %</w:t>
            </w:r>
          </w:p>
        </w:tc>
        <w:tc>
          <w:tcPr>
            <w:tcW w:w="100" w:type="dxa"/>
            <w:vAlign w:val="bottom"/>
          </w:tcPr>
          <w:p>
            <w:pPr>
              <w:spacing w:after="0"/>
              <w:rPr>
                <w:sz w:val="16"/>
                <w:szCs w:val="16"/>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8.6 %</w:t>
            </w:r>
          </w:p>
        </w:tc>
      </w:tr>
    </w:tbl>
    <w:p>
      <w:pPr>
        <w:spacing w:after="0" w:line="3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w:t>
      </w:r>
    </w:p>
    <w:p>
      <w:pPr>
        <w:spacing w:after="0" w:line="22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Company does not require collateral or other security in granting credit. As of March 31, 2025, two customers each represented 10% or more of the Company’s total accounts receivable and unbilled receivables and, in aggregate, represented 74.6%, or $9.8 million, of the combined total. As of December 31, 2024, two customers each represented 10% or more of the Company’s total accounts receivable and unbilled receivables and, in aggregate, represented 74.6%, or $17.6 million, of the combined total.</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10. LEASES</w:t>
      </w:r>
    </w:p>
    <w:p>
      <w:pPr>
        <w:spacing w:after="0" w:line="221"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The Company has entered into operating agreements with lease periods expiring between 2025 and 2032. Lease expense for operating lease payments is recognized on a straight-line basis over the lease term.</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Components of lease expense are as follows, all recorded within operating expenses in the Condensed Consolidated Statements of Operations:</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8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3000" w:type="dxa"/>
            <w:vAlign w:val="bottom"/>
            <w:tcBorders>
              <w:bottom w:val="single" w:sz="8" w:color="auto"/>
            </w:tcBorders>
            <w:gridSpan w:val="4"/>
          </w:tcPr>
          <w:p>
            <w:pPr>
              <w:jc w:val="right"/>
              <w:ind w:right="628"/>
              <w:spacing w:after="0"/>
              <w:rPr>
                <w:sz w:val="20"/>
                <w:szCs w:val="20"/>
                <w:color w:val="auto"/>
              </w:rPr>
            </w:pPr>
            <w:r>
              <w:rPr>
                <w:rFonts w:ascii="Arial" w:cs="Arial" w:eastAsia="Arial" w:hAnsi="Arial"/>
                <w:sz w:val="14"/>
                <w:szCs w:val="14"/>
                <w:b w:val="1"/>
                <w:bCs w:val="1"/>
                <w:color w:val="auto"/>
              </w:rPr>
              <w:t>Three months ended Mar. 31,</w:t>
            </w:r>
          </w:p>
        </w:tc>
      </w:tr>
      <w:tr>
        <w:trPr>
          <w:trHeight w:val="197"/>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2024</w:t>
            </w: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cost</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1,946</w:t>
            </w: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4"/>
                <w:szCs w:val="14"/>
                <w:color w:val="auto"/>
              </w:rPr>
              <w:t>Short-term lease cost</w:t>
            </w:r>
            <w:r>
              <w:rPr>
                <w:rFonts w:ascii="Arial" w:cs="Arial" w:eastAsia="Arial" w:hAnsi="Arial"/>
                <w:sz w:val="18"/>
                <w:szCs w:val="18"/>
                <w:color w:val="auto"/>
                <w:vertAlign w:val="superscript"/>
              </w:rPr>
              <w:t>(1)</w:t>
            </w: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2"/>
        </w:trPr>
        <w:tc>
          <w:tcPr>
            <w:tcW w:w="7860" w:type="dxa"/>
            <w:vAlign w:val="bottom"/>
            <w:shd w:val="clear" w:color="auto" w:fill="CCEEFF"/>
          </w:tcPr>
          <w:p>
            <w:pPr>
              <w:ind w:left="20"/>
              <w:spacing w:after="0" w:line="202" w:lineRule="exact"/>
              <w:rPr>
                <w:sz w:val="20"/>
                <w:szCs w:val="20"/>
                <w:color w:val="auto"/>
              </w:rPr>
            </w:pPr>
            <w:r>
              <w:rPr>
                <w:rFonts w:ascii="Arial" w:cs="Arial" w:eastAsia="Arial" w:hAnsi="Arial"/>
                <w:sz w:val="14"/>
                <w:szCs w:val="14"/>
                <w:color w:val="auto"/>
              </w:rPr>
              <w:t>Variable lease cost</w:t>
            </w:r>
            <w:r>
              <w:rPr>
                <w:rFonts w:ascii="Arial" w:cs="Arial" w:eastAsia="Arial" w:hAnsi="Arial"/>
                <w:sz w:val="18"/>
                <w:szCs w:val="18"/>
                <w:color w:val="auto"/>
                <w:vertAlign w:val="superscript"/>
              </w:rPr>
              <w:t>(2)</w:t>
            </w: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w:t>
            </w:r>
          </w:p>
        </w:tc>
      </w:tr>
      <w:tr>
        <w:trPr>
          <w:trHeight w:val="199"/>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Sublease income</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(726)</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(507)</w:t>
            </w:r>
          </w:p>
        </w:tc>
      </w:tr>
      <w:tr>
        <w:trPr>
          <w:trHeight w:val="225"/>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net lease expense</w:t>
            </w:r>
          </w:p>
        </w:tc>
        <w:tc>
          <w:tcPr>
            <w:tcW w:w="38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b w:val="1"/>
                <w:bCs w:val="1"/>
                <w:color w:val="auto"/>
                <w:w w:val="76"/>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1,533</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8"/>
              <w:spacing w:after="0"/>
              <w:rPr>
                <w:sz w:val="20"/>
                <w:szCs w:val="20"/>
                <w:color w:val="auto"/>
              </w:rPr>
            </w:pPr>
            <w:r>
              <w:rPr>
                <w:rFonts w:ascii="Arial" w:cs="Arial" w:eastAsia="Arial" w:hAnsi="Arial"/>
                <w:sz w:val="14"/>
                <w:szCs w:val="14"/>
                <w:b w:val="1"/>
                <w:bCs w:val="1"/>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1,622</w:t>
            </w: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330" w:lineRule="exact"/>
        <w:rPr>
          <w:sz w:val="20"/>
          <w:szCs w:val="20"/>
          <w:color w:val="auto"/>
        </w:rPr>
      </w:pPr>
    </w:p>
    <w:p>
      <w:pPr>
        <w:ind w:left="320" w:hanging="312"/>
        <w:spacing w:after="0"/>
        <w:tabs>
          <w:tab w:leader="none" w:pos="320"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costs related to leases, which at the commencement date, have a lease term of 12 months or less.</w:t>
      </w:r>
    </w:p>
    <w:p>
      <w:pPr>
        <w:spacing w:after="0" w:line="26" w:lineRule="exact"/>
        <w:rPr>
          <w:rFonts w:ascii="Arial" w:cs="Arial" w:eastAsia="Arial" w:hAnsi="Arial"/>
          <w:sz w:val="14"/>
          <w:szCs w:val="14"/>
          <w:i w:val="1"/>
          <w:iCs w:val="1"/>
          <w:color w:val="auto"/>
        </w:rPr>
      </w:pPr>
    </w:p>
    <w:p>
      <w:pPr>
        <w:ind w:left="340" w:right="80" w:hanging="332"/>
        <w:spacing w:after="0" w:line="264" w:lineRule="auto"/>
        <w:tabs>
          <w:tab w:leader="none" w:pos="327" w:val="left"/>
        </w:tabs>
        <w:numPr>
          <w:ilvl w:val="0"/>
          <w:numId w:val="9"/>
        </w:numPr>
        <w:rPr>
          <w:rFonts w:ascii="Arial" w:cs="Arial" w:eastAsia="Arial" w:hAnsi="Arial"/>
          <w:sz w:val="14"/>
          <w:szCs w:val="14"/>
          <w:i w:val="1"/>
          <w:iCs w:val="1"/>
          <w:color w:val="auto"/>
        </w:rPr>
      </w:pPr>
      <w:r>
        <w:rPr>
          <w:rFonts w:ascii="Arial" w:cs="Arial" w:eastAsia="Arial" w:hAnsi="Arial"/>
          <w:sz w:val="14"/>
          <w:szCs w:val="14"/>
          <w:i w:val="1"/>
          <w:iCs w:val="1"/>
          <w:color w:val="auto"/>
        </w:rPr>
        <w:t>Includes costs incurred by the Company for the right to use an underlying asset that vary because of changes in facts or circumstances occurring after the commencement date, other than the passage of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449580</wp:posOffset>
            </wp:positionV>
            <wp:extent cx="8255" cy="12890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449580</wp:posOffset>
            </wp:positionV>
            <wp:extent cx="8890" cy="1289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2025 Form 10-Q</w:t>
      </w:r>
      <w:r>
        <w:rPr>
          <w:sz w:val="20"/>
          <w:szCs w:val="20"/>
          <w:color w:val="auto"/>
        </w:rPr>
        <w:tab/>
      </w: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72" w:right="339" w:bottom="1440" w:gutter="0" w:footer="0" w:header="0"/>
          <w:type w:val="continuous"/>
        </w:sectPr>
      </w:pPr>
    </w:p>
    <w:bookmarkStart w:id="22" w:name="page23"/>
    <w:bookmarkEnd w:id="22"/>
    <w:p>
      <w:pPr>
        <w:ind w:right="120"/>
        <w:spacing w:after="0" w:line="261" w:lineRule="auto"/>
        <w:rPr>
          <w:sz w:val="20"/>
          <w:szCs w:val="20"/>
          <w:color w:val="auto"/>
        </w:rPr>
      </w:pPr>
      <w:r>
        <w:rPr>
          <w:rFonts w:ascii="Arial" w:cs="Arial" w:eastAsia="Arial" w:hAnsi="Arial"/>
          <w:sz w:val="16"/>
          <w:szCs w:val="16"/>
          <w:color w:val="auto"/>
        </w:rPr>
        <w:t>As part of the Company’s continued cost savings initiatives, the Company is actively looking to terminate or sublease certain office spaces and call centers. These actions resulted in operating lease impairment charges of $0.7 million for the three months ended March 31, 2025, which were recorded in operating lease impairment charges on the Condensed Consolidated Statements of Operations. Refer to Note 2, “Fair Value Measurements” for further details. The Company recognized a one-time gain of $0.2 million during the three months ended March 31, 2025 from the remeasurement of the lease liability and adjustment of the ROU asset (which was previously impaired) related to the early termination of one of its leases. The gain on lease remeasurement was recorded in general and administrative expense on the Condensed Consolidated Statements of Operations.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2025, future minimum lease payments for operating leases consisted of the following:</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Operating Leases</w:t>
            </w:r>
          </w:p>
        </w:tc>
        <w:tc>
          <w:tcPr>
            <w:tcW w:w="0" w:type="dxa"/>
            <w:vAlign w:val="bottom"/>
          </w:tcPr>
          <w:p>
            <w:pPr>
              <w:spacing w:after="0"/>
              <w:rPr>
                <w:sz w:val="1"/>
                <w:szCs w:val="1"/>
                <w:color w:val="auto"/>
              </w:rPr>
            </w:pPr>
          </w:p>
        </w:tc>
      </w:tr>
      <w:tr>
        <w:trPr>
          <w:trHeight w:val="197"/>
        </w:trPr>
        <w:tc>
          <w:tcPr>
            <w:tcW w:w="9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Remainder of 2025</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6,119</w:t>
            </w:r>
          </w:p>
        </w:tc>
        <w:tc>
          <w:tcPr>
            <w:tcW w:w="0" w:type="dxa"/>
            <w:vAlign w:val="bottom"/>
          </w:tcPr>
          <w:p>
            <w:pPr>
              <w:spacing w:after="0"/>
              <w:rPr>
                <w:sz w:val="1"/>
                <w:szCs w:val="1"/>
                <w:color w:val="auto"/>
              </w:rPr>
            </w:pPr>
          </w:p>
        </w:tc>
      </w:tr>
      <w:tr>
        <w:trPr>
          <w:trHeight w:val="198"/>
        </w:trPr>
        <w:tc>
          <w:tcPr>
            <w:tcW w:w="9660" w:type="dxa"/>
            <w:vAlign w:val="bottom"/>
          </w:tcPr>
          <w:p>
            <w:pPr>
              <w:ind w:left="20"/>
              <w:spacing w:after="0"/>
              <w:rPr>
                <w:sz w:val="20"/>
                <w:szCs w:val="20"/>
                <w:color w:val="auto"/>
              </w:rPr>
            </w:pPr>
            <w:r>
              <w:rPr>
                <w:rFonts w:ascii="Arial" w:cs="Arial" w:eastAsia="Arial" w:hAnsi="Arial"/>
                <w:sz w:val="14"/>
                <w:szCs w:val="14"/>
                <w:color w:val="auto"/>
              </w:rPr>
              <w:t>2026</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7,960</w:t>
            </w:r>
          </w:p>
        </w:tc>
        <w:tc>
          <w:tcPr>
            <w:tcW w:w="0" w:type="dxa"/>
            <w:vAlign w:val="bottom"/>
          </w:tcPr>
          <w:p>
            <w:pPr>
              <w:spacing w:after="0"/>
              <w:rPr>
                <w:sz w:val="1"/>
                <w:szCs w:val="1"/>
                <w:color w:val="auto"/>
              </w:rPr>
            </w:pPr>
          </w:p>
        </w:tc>
      </w:tr>
      <w:tr>
        <w:trPr>
          <w:trHeight w:val="207"/>
        </w:trPr>
        <w:tc>
          <w:tcPr>
            <w:tcW w:w="9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2027</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8,053</w:t>
            </w:r>
          </w:p>
        </w:tc>
        <w:tc>
          <w:tcPr>
            <w:tcW w:w="0" w:type="dxa"/>
            <w:vAlign w:val="bottom"/>
          </w:tcPr>
          <w:p>
            <w:pPr>
              <w:spacing w:after="0"/>
              <w:rPr>
                <w:sz w:val="1"/>
                <w:szCs w:val="1"/>
                <w:color w:val="auto"/>
              </w:rPr>
            </w:pPr>
          </w:p>
        </w:tc>
      </w:tr>
      <w:tr>
        <w:trPr>
          <w:trHeight w:val="198"/>
        </w:trPr>
        <w:tc>
          <w:tcPr>
            <w:tcW w:w="9660" w:type="dxa"/>
            <w:vAlign w:val="bottom"/>
          </w:tcPr>
          <w:p>
            <w:pPr>
              <w:ind w:left="20"/>
              <w:spacing w:after="0"/>
              <w:rPr>
                <w:sz w:val="20"/>
                <w:szCs w:val="20"/>
                <w:color w:val="auto"/>
              </w:rPr>
            </w:pPr>
            <w:r>
              <w:rPr>
                <w:rFonts w:ascii="Arial" w:cs="Arial" w:eastAsia="Arial" w:hAnsi="Arial"/>
                <w:sz w:val="14"/>
                <w:szCs w:val="14"/>
                <w:color w:val="auto"/>
              </w:rPr>
              <w:t>2028</w:t>
            </w:r>
          </w:p>
        </w:tc>
        <w:tc>
          <w:tcPr>
            <w:tcW w:w="140" w:type="dxa"/>
            <w:vAlign w:val="bottom"/>
          </w:tcPr>
          <w:p>
            <w:pPr>
              <w:spacing w:after="0"/>
              <w:rPr>
                <w:sz w:val="17"/>
                <w:szCs w:val="17"/>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7,082</w:t>
            </w:r>
          </w:p>
        </w:tc>
        <w:tc>
          <w:tcPr>
            <w:tcW w:w="0" w:type="dxa"/>
            <w:vAlign w:val="bottom"/>
          </w:tcPr>
          <w:p>
            <w:pPr>
              <w:spacing w:after="0"/>
              <w:rPr>
                <w:sz w:val="1"/>
                <w:szCs w:val="1"/>
                <w:color w:val="auto"/>
              </w:rPr>
            </w:pPr>
          </w:p>
        </w:tc>
      </w:tr>
      <w:tr>
        <w:trPr>
          <w:trHeight w:val="207"/>
        </w:trPr>
        <w:tc>
          <w:tcPr>
            <w:tcW w:w="9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2029</w:t>
            </w:r>
          </w:p>
        </w:tc>
        <w:tc>
          <w:tcPr>
            <w:tcW w:w="14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6,029</w:t>
            </w:r>
          </w:p>
        </w:tc>
        <w:tc>
          <w:tcPr>
            <w:tcW w:w="0" w:type="dxa"/>
            <w:vAlign w:val="bottom"/>
          </w:tcPr>
          <w:p>
            <w:pPr>
              <w:spacing w:after="0"/>
              <w:rPr>
                <w:sz w:val="1"/>
                <w:szCs w:val="1"/>
                <w:color w:val="auto"/>
              </w:rPr>
            </w:pPr>
          </w:p>
        </w:tc>
      </w:tr>
      <w:tr>
        <w:trPr>
          <w:trHeight w:val="198"/>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14,484</w:t>
            </w:r>
          </w:p>
        </w:tc>
        <w:tc>
          <w:tcPr>
            <w:tcW w:w="0" w:type="dxa"/>
            <w:vAlign w:val="bottom"/>
          </w:tcPr>
          <w:p>
            <w:pPr>
              <w:spacing w:after="0"/>
              <w:rPr>
                <w:sz w:val="1"/>
                <w:szCs w:val="1"/>
                <w:color w:val="auto"/>
              </w:rPr>
            </w:pPr>
          </w:p>
        </w:tc>
      </w:tr>
      <w:tr>
        <w:trPr>
          <w:trHeight w:val="225"/>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payments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49,727</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Less: Imputed interest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966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(12,022)</w:t>
            </w:r>
          </w:p>
        </w:tc>
        <w:tc>
          <w:tcPr>
            <w:tcW w:w="0" w:type="dxa"/>
            <w:vAlign w:val="bottom"/>
          </w:tcPr>
          <w:p>
            <w:pPr>
              <w:spacing w:after="0"/>
              <w:rPr>
                <w:sz w:val="1"/>
                <w:szCs w:val="1"/>
                <w:color w:val="auto"/>
              </w:rPr>
            </w:pPr>
          </w:p>
        </w:tc>
      </w:tr>
      <w:tr>
        <w:trPr>
          <w:trHeight w:val="225"/>
        </w:trPr>
        <w:tc>
          <w:tcPr>
            <w:tcW w:w="9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Present value of 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37,705</w:t>
            </w:r>
          </w:p>
        </w:tc>
        <w:tc>
          <w:tcPr>
            <w:tcW w:w="0" w:type="dxa"/>
            <w:vAlign w:val="bottom"/>
          </w:tcPr>
          <w:p>
            <w:pPr>
              <w:spacing w:after="0"/>
              <w:rPr>
                <w:sz w:val="1"/>
                <w:szCs w:val="1"/>
                <w:color w:val="auto"/>
              </w:rPr>
            </w:pP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Supplemental cash flow information related to leases are as follows: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9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Three months ended Mar. 31,</w:t>
            </w:r>
          </w:p>
        </w:tc>
      </w:tr>
      <w:tr>
        <w:trPr>
          <w:trHeight w:val="197"/>
        </w:trPr>
        <w:tc>
          <w:tcPr>
            <w:tcW w:w="79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2025</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b w:val="1"/>
                <w:bCs w:val="1"/>
                <w:color w:val="auto"/>
              </w:rPr>
              <w:t>2024</w:t>
            </w:r>
          </w:p>
        </w:tc>
      </w:tr>
      <w:tr>
        <w:trPr>
          <w:trHeight w:val="184"/>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Cash paid for amounts included in the measurement of lease liabilities:</w:t>
            </w: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r>
      <w:tr>
        <w:trPr>
          <w:trHeight w:val="198"/>
        </w:trPr>
        <w:tc>
          <w:tcPr>
            <w:tcW w:w="7960" w:type="dxa"/>
            <w:vAlign w:val="bottom"/>
          </w:tcPr>
          <w:p>
            <w:pPr>
              <w:ind w:left="240"/>
              <w:spacing w:after="0"/>
              <w:rPr>
                <w:sz w:val="20"/>
                <w:szCs w:val="20"/>
                <w:color w:val="auto"/>
              </w:rPr>
            </w:pPr>
            <w:r>
              <w:rPr>
                <w:rFonts w:ascii="Arial" w:cs="Arial" w:eastAsia="Arial" w:hAnsi="Arial"/>
                <w:sz w:val="14"/>
                <w:szCs w:val="14"/>
                <w:color w:val="auto"/>
              </w:rPr>
              <w:t>Operating cash flows from operating leases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2,341</w:t>
            </w:r>
          </w:p>
        </w:tc>
        <w:tc>
          <w:tcPr>
            <w:tcW w:w="10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2,763</w:t>
            </w:r>
          </w:p>
        </w:tc>
      </w:tr>
      <w:tr>
        <w:trPr>
          <w:trHeight w:val="207"/>
        </w:trPr>
        <w:tc>
          <w:tcPr>
            <w:tcW w:w="7960" w:type="dxa"/>
            <w:vAlign w:val="bottom"/>
            <w:shd w:val="clear" w:color="auto" w:fill="CCEEFF"/>
          </w:tcPr>
          <w:p>
            <w:pPr>
              <w:ind w:left="20"/>
              <w:spacing w:after="0"/>
              <w:rPr>
                <w:sz w:val="20"/>
                <w:szCs w:val="20"/>
                <w:color w:val="auto"/>
              </w:rPr>
            </w:pPr>
            <w:r>
              <w:rPr>
                <w:rFonts w:ascii="Arial" w:cs="Arial" w:eastAsia="Arial" w:hAnsi="Arial"/>
                <w:sz w:val="14"/>
                <w:szCs w:val="14"/>
                <w:i w:val="1"/>
                <w:iCs w:val="1"/>
                <w:color w:val="auto"/>
              </w:rPr>
              <w:t>Non-cash activity:</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195"/>
        </w:trPr>
        <w:tc>
          <w:tcPr>
            <w:tcW w:w="7960" w:type="dxa"/>
            <w:vAlign w:val="bottom"/>
          </w:tcPr>
          <w:p>
            <w:pPr>
              <w:ind w:left="240"/>
              <w:spacing w:after="0"/>
              <w:rPr>
                <w:sz w:val="20"/>
                <w:szCs w:val="20"/>
                <w:color w:val="auto"/>
              </w:rPr>
            </w:pPr>
            <w:r>
              <w:rPr>
                <w:rFonts w:ascii="Arial" w:cs="Arial" w:eastAsia="Arial" w:hAnsi="Arial"/>
                <w:sz w:val="14"/>
                <w:szCs w:val="14"/>
                <w:color w:val="auto"/>
              </w:rPr>
              <w:t>Reduction in operating lease ROU assets and lease liabilities due to reassessment of lease terms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1,626</w:t>
            </w:r>
          </w:p>
        </w:tc>
        <w:tc>
          <w:tcPr>
            <w:tcW w:w="10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8"/>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remaining operating lease term and discount rate are as follows:</w:t>
      </w:r>
    </w:p>
    <w:p>
      <w:pPr>
        <w:spacing w:after="0" w:line="280" w:lineRule="exact"/>
        <w:rPr>
          <w:sz w:val="20"/>
          <w:szCs w:val="20"/>
          <w:color w:val="auto"/>
        </w:rPr>
      </w:pPr>
    </w:p>
    <w:p>
      <w:pPr>
        <w:ind w:left="9260"/>
        <w:spacing w:after="0"/>
        <w:rPr>
          <w:sz w:val="20"/>
          <w:szCs w:val="20"/>
          <w:color w:val="auto"/>
        </w:rPr>
      </w:pPr>
      <w:r>
        <w:rPr>
          <w:rFonts w:ascii="Arial" w:cs="Arial" w:eastAsia="Arial" w:hAnsi="Arial"/>
          <w:sz w:val="14"/>
          <w:szCs w:val="14"/>
          <w:b w:val="1"/>
          <w:bCs w:val="1"/>
          <w:color w:val="auto"/>
        </w:rPr>
        <w:t>Mar. 31,</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00" w:type="dxa"/>
            <w:vAlign w:val="bottom"/>
            <w:tcBorders>
              <w:bottom w:val="single" w:sz="8" w:color="CCEEFF"/>
            </w:tcBorders>
          </w:tcPr>
          <w:p>
            <w:pPr>
              <w:spacing w:after="0"/>
              <w:rPr>
                <w:sz w:val="17"/>
                <w:szCs w:val="17"/>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66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1680" w:type="dxa"/>
            <w:vAlign w:val="bottom"/>
            <w:tcBorders>
              <w:top w:val="single" w:sz="8" w:color="auto"/>
              <w:bottom w:val="single" w:sz="8" w:color="auto"/>
            </w:tcBorders>
          </w:tcPr>
          <w:p>
            <w:pPr>
              <w:jc w:val="right"/>
              <w:ind w:right="608"/>
              <w:spacing w:after="0"/>
              <w:rPr>
                <w:sz w:val="20"/>
                <w:szCs w:val="20"/>
                <w:color w:val="auto"/>
              </w:rPr>
            </w:pPr>
            <w:r>
              <w:rPr>
                <w:rFonts w:ascii="Arial" w:cs="Arial" w:eastAsia="Arial" w:hAnsi="Arial"/>
                <w:sz w:val="14"/>
                <w:szCs w:val="14"/>
                <w:b w:val="1"/>
                <w:bCs w:val="1"/>
                <w:color w:val="auto"/>
              </w:rPr>
              <w:t>2024</w:t>
            </w:r>
          </w:p>
        </w:tc>
      </w:tr>
      <w:tr>
        <w:trPr>
          <w:trHeight w:val="197"/>
        </w:trPr>
        <w:tc>
          <w:tcPr>
            <w:tcW w:w="8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Weighted average remaining lease term</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6.4 years</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 years</w:t>
            </w:r>
          </w:p>
        </w:tc>
      </w:tr>
      <w:tr>
        <w:trPr>
          <w:trHeight w:val="194"/>
        </w:trPr>
        <w:tc>
          <w:tcPr>
            <w:tcW w:w="8820" w:type="dxa"/>
            <w:vAlign w:val="bottom"/>
            <w:gridSpan w:val="2"/>
          </w:tcPr>
          <w:p>
            <w:pPr>
              <w:ind w:left="20"/>
              <w:spacing w:after="0"/>
              <w:rPr>
                <w:sz w:val="20"/>
                <w:szCs w:val="20"/>
                <w:color w:val="auto"/>
              </w:rPr>
            </w:pPr>
            <w:r>
              <w:rPr>
                <w:rFonts w:ascii="Arial" w:cs="Arial" w:eastAsia="Arial" w:hAnsi="Arial"/>
                <w:sz w:val="14"/>
                <w:szCs w:val="14"/>
                <w:color w:val="auto"/>
              </w:rPr>
              <w:t>Weighted average discount rate</w:t>
            </w:r>
          </w:p>
        </w:tc>
        <w:tc>
          <w:tcPr>
            <w:tcW w:w="660" w:type="dxa"/>
            <w:vAlign w:val="bottom"/>
          </w:tcPr>
          <w:p>
            <w:pPr>
              <w:jc w:val="right"/>
              <w:spacing w:after="0"/>
              <w:rPr>
                <w:sz w:val="20"/>
                <w:szCs w:val="20"/>
                <w:color w:val="auto"/>
              </w:rPr>
            </w:pPr>
            <w:r>
              <w:rPr>
                <w:rFonts w:ascii="Arial" w:cs="Arial" w:eastAsia="Arial" w:hAnsi="Arial"/>
                <w:sz w:val="14"/>
                <w:szCs w:val="14"/>
                <w:color w:val="auto"/>
              </w:rPr>
              <w:t>9.4 %</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9.0 %</w:t>
            </w:r>
          </w:p>
        </w:tc>
      </w:tr>
    </w:tbl>
    <w:p>
      <w:pPr>
        <w:spacing w:after="0" w:line="291" w:lineRule="exact"/>
        <w:rPr>
          <w:sz w:val="20"/>
          <w:szCs w:val="20"/>
          <w:color w:val="auto"/>
        </w:rPr>
      </w:pPr>
    </w:p>
    <w:p>
      <w:pPr>
        <w:ind w:right="7960" w:firstLine="8"/>
        <w:spacing w:after="0" w:line="554" w:lineRule="auto"/>
        <w:tabs>
          <w:tab w:leader="none" w:pos="261" w:val="left"/>
        </w:tabs>
        <w:numPr>
          <w:ilvl w:val="0"/>
          <w:numId w:val="10"/>
        </w:numPr>
        <w:rPr>
          <w:rFonts w:ascii="Arial" w:cs="Arial" w:eastAsia="Arial" w:hAnsi="Arial"/>
          <w:sz w:val="16"/>
          <w:szCs w:val="16"/>
          <w:b w:val="1"/>
          <w:bCs w:val="1"/>
          <w:color w:val="00497F"/>
        </w:rPr>
      </w:pPr>
      <w:r>
        <w:rPr>
          <w:rFonts w:ascii="Arial" w:cs="Arial" w:eastAsia="Arial" w:hAnsi="Arial"/>
          <w:sz w:val="16"/>
          <w:szCs w:val="16"/>
          <w:b w:val="1"/>
          <w:bCs w:val="1"/>
          <w:color w:val="00497F"/>
        </w:rPr>
        <w:t xml:space="preserve">COMMITMENTS AND CONTINGENCIES </w:t>
      </w:r>
      <w:r>
        <w:rPr>
          <w:rFonts w:ascii="Arial" w:cs="Arial" w:eastAsia="Arial" w:hAnsi="Arial"/>
          <w:sz w:val="16"/>
          <w:szCs w:val="16"/>
          <w:b w:val="1"/>
          <w:bCs w:val="1"/>
          <w:color w:val="000000"/>
        </w:rPr>
        <w:t>Legal Proceedings</w:t>
      </w:r>
    </w:p>
    <w:p>
      <w:pPr>
        <w:spacing w:after="0" w:line="1"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On May 19, 2021, a derivative action (the “Derivative Action”) was filed in the U.S. District Court for the Northern District of Illinois, purportedly on behalf of the Company and against certain of the Company’s officers and directors. The Derivative Action alleges breaches of fiduciary duty and other claims, based on substantially the same factual allegations as those alleged in the now-resolved Securities Class Action, which had included allegations that the Registration Statement filed in connection with the IPO was negligently prepared and, as a result, contained untrue statements of material fact, omitted material facts necessary to make the statements contained therein not misleading and failed to make necessary disclosures required under the rules and regulations governing its preparation, including the Securities Act of 1933 (the “Securities Class Action”). On June 6, 2022, the Derivative Action was stayed pursuant to the parties’ stipulation. The settlement in the Securities Class Action, which was approved on May 22, 2024, did not resolve the Derivative Action. The Company is contesting the Derivative Action, but may pursue settlement negotiations, as it deems appropriate.</w:t>
      </w:r>
    </w:p>
    <w:p>
      <w:pPr>
        <w:spacing w:after="0" w:line="207"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 xml:space="preserve">On January 15, 2025, we were made aware that the Department of Justice (“DOJ”) filed a notice of intervention in a pending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proceeding filed by private party relators under seal related to our arrangements with certain insurance health plan partners. On May 1, 2025, the DOJ filed a complaint in partial intervention (the “Complaint”) in the U.S. District Court for the District of Massachusetts intervening in the previously sealed case against multiple insurers who sponsor Medicare Advantage plans and multiple brokers those insurers appointed to sell their plans, including GoHealth. The relator, Andrew Shea, filed the original lawsuit in the U.S. District Court for the District of Massachusetts on behalf of the United States on November 2, 2021 under seal. The current matter is captioned </w:t>
      </w:r>
      <w:r>
        <w:rPr>
          <w:rFonts w:ascii="Arial" w:cs="Arial" w:eastAsia="Arial" w:hAnsi="Arial"/>
          <w:sz w:val="16"/>
          <w:szCs w:val="16"/>
          <w:i w:val="1"/>
          <w:iCs w:val="1"/>
          <w:color w:val="auto"/>
        </w:rPr>
        <w:t>United States of America ex rel. Andrew Shea v. eHealth, Inc., eHealth Insurance Services, Inc., CVS Health Corporation, Aetna</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Life Insurance Company, Aetna, Inc., Humana Inc., Elevance Health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304800</wp:posOffset>
            </wp:positionV>
            <wp:extent cx="8255" cy="1289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304800</wp:posOffset>
            </wp:positionV>
            <wp:extent cx="8890" cy="1289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84"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2025 Form 10-Q</w:t>
      </w:r>
      <w:r>
        <w:rPr>
          <w:sz w:val="20"/>
          <w:szCs w:val="20"/>
          <w:color w:val="auto"/>
        </w:rPr>
        <w:tab/>
      </w: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23" w:name="page24"/>
    <w:bookmarkEnd w:id="23"/>
    <w:p>
      <w:pPr>
        <w:ind w:right="160"/>
        <w:spacing w:after="0" w:line="261" w:lineRule="auto"/>
        <w:rPr>
          <w:sz w:val="20"/>
          <w:szCs w:val="20"/>
          <w:color w:val="auto"/>
        </w:rPr>
      </w:pPr>
      <w:r>
        <w:rPr>
          <w:rFonts w:ascii="Arial" w:cs="Arial" w:eastAsia="Arial" w:hAnsi="Arial"/>
          <w:sz w:val="16"/>
          <w:szCs w:val="16"/>
          <w:i w:val="1"/>
          <w:iCs w:val="1"/>
          <w:color w:val="auto"/>
        </w:rPr>
        <w:t>GoHealth, Inc., and SelectQuote, Inc</w:t>
      </w:r>
      <w:r>
        <w:rPr>
          <w:rFonts w:ascii="Arial" w:cs="Arial" w:eastAsia="Arial" w:hAnsi="Arial"/>
          <w:sz w:val="16"/>
          <w:szCs w:val="16"/>
          <w:color w:val="auto"/>
        </w:rPr>
        <w:t>., No. 21-CV-11777-DJC. The claims in both the Complaint, as well as the relator’s original complaint, are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alleged violations of the False Claims Act and the Anti-Kickback Statute. Specifically, plaintiffs allege, in relevant part, that the Company was compensated and discriminated against individuals in violation of federal law. The Complaint seeks, among other things, treble damages, civil penalties, and costs. The ultimate outcome of any damages that may become payable if its defense is unsuccessful in whole or in part is not probable nor estimable at this time. The Company intends to vigorously defend against these allegations. While the Company feels confident in its defenses, there can be no assurance that it will prevail or that damages awarded will not be material to the results of operations or financial condition of the Company.</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12. RELATED PARTY TRANSACTIONS</w:t>
      </w:r>
    </w:p>
    <w:p>
      <w:pPr>
        <w:spacing w:after="0" w:line="26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Company is party to various lease agreements with 220 W Huron Street Holdings LLC, 215 W Superior LLC and Wilson Tech 5, LLC, each of which is controlled by significant stockholders of the Company, to lease its former corporate offices in Chicago, Illinois and offices in Lindon, Utah. The Company pays rent, operating expenses, maintenance and utilities under the terms of the leases. For the three months ended March 31, 2025 and 2024, the Company made aggregate lease payments of $1.2 million and $1.5 million, respectively, under these leases.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13. SEGMENT REPORTING</w:t>
      </w:r>
    </w:p>
    <w:p>
      <w:pPr>
        <w:spacing w:after="0" w:line="248"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Operating segments are identified as components of an enterprise about which separate discrete financial information is available and regularly reviewed by the chief operating decision maker (“CODM”). The Company has one operating and reportable segment, which has the same accounting policies as the significant account policies disclosed in the notes to the Company’s audited Consolidated Financial Statements as of and for the year ended December 31, 2024, which were included in the Company’s 2024 Annual Report on Form 10-K.</w:t>
      </w:r>
    </w:p>
    <w:p>
      <w:pPr>
        <w:spacing w:after="0" w:line="210" w:lineRule="exact"/>
        <w:rPr>
          <w:sz w:val="20"/>
          <w:szCs w:val="20"/>
          <w:color w:val="auto"/>
        </w:rPr>
      </w:pPr>
    </w:p>
    <w:p>
      <w:pPr>
        <w:ind w:right="40"/>
        <w:spacing w:after="0" w:line="263" w:lineRule="auto"/>
        <w:rPr>
          <w:sz w:val="20"/>
          <w:szCs w:val="20"/>
          <w:color w:val="auto"/>
        </w:rPr>
      </w:pPr>
      <w:r>
        <w:rPr>
          <w:rFonts w:ascii="Arial" w:cs="Arial" w:eastAsia="Arial" w:hAnsi="Arial"/>
          <w:sz w:val="16"/>
          <w:szCs w:val="16"/>
          <w:color w:val="auto"/>
        </w:rPr>
        <w:t>The single operating and reportable segment aligns with the Company’s core focus on the sale and administration of Medicare products and reflects how the CODM evaluates the Company’s operating and financial performance, which is on a consolidated basis. The Company’s CODM is its Chief Executive Officer.</w:t>
      </w:r>
    </w:p>
    <w:p>
      <w:pPr>
        <w:spacing w:after="0" w:line="380"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The primary services provided by the Company relate to the sale and administration of Medicare insurance products offered by the health plan partners with which GoHealth has contractual relationships. The health plan partners are responsible for paying commissions and fees for enrollment and engagement services and, for these purposes, act as GoHealth’s customers. The Company derives substantially all of its revenues from customers located in the United States. The measure of segment assets is reported on the Condensed Consolidated Balance Sheets as consolidated total assets. Substantially all of the Company’s assets are located in the United States.</w:t>
      </w:r>
    </w:p>
    <w:p>
      <w:pPr>
        <w:spacing w:after="0" w:line="172"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The CODM assesses the Company’s performance and decides how to allocate resources based on consolidated net income (loss), as presented on the Condensed Consolidated Statements of Operations. The significant expenses that are regularly provided to the CODM and included within consolidated net income (loss) are consistent with those that are presented on the Condensed Consolidated Statements of Operations.</w:t>
      </w:r>
    </w:p>
    <w:p>
      <w:pPr>
        <w:spacing w:after="0" w:line="16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Budget approval, which primarily drives resource allocation, is prepared and approved at a consolidated level. Consolidated net income (loss) is used to monitor budget versus actual results. The CODM also uses consolidated net income (loss) to identify trends in the Company’s performance over time and to benchmark the Company’s performance against its competitors.</w:t>
      </w: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21</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4" w:name="page25"/>
    <w:bookmarkEnd w:id="24"/>
    <w:p>
      <w:pPr>
        <w:ind w:left="20"/>
        <w:spacing w:after="0"/>
        <w:rPr>
          <w:sz w:val="20"/>
          <w:szCs w:val="20"/>
          <w:color w:val="auto"/>
        </w:rPr>
      </w:pPr>
      <w:r>
        <w:rPr>
          <w:rFonts w:ascii="Arial" w:cs="Arial" w:eastAsia="Arial" w:hAnsi="Arial"/>
          <w:sz w:val="16"/>
          <w:szCs w:val="16"/>
          <w:b w:val="1"/>
          <w:bCs w:val="1"/>
          <w:color w:val="FFFFFF"/>
        </w:rPr>
        <w:t>ITEM 2. MANAGEMENT’S DISCUSSION AND ANALYSIS OF FINANCIAL CONDITIONS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p>
      <w:pPr>
        <w:spacing w:after="0" w:line="358" w:lineRule="exact"/>
        <w:rPr>
          <w:sz w:val="20"/>
          <w:szCs w:val="20"/>
          <w:color w:val="auto"/>
        </w:rPr>
      </w:pPr>
    </w:p>
    <w:p>
      <w:pPr>
        <w:spacing w:after="0" w:line="257" w:lineRule="auto"/>
        <w:rPr>
          <w:sz w:val="20"/>
          <w:szCs w:val="20"/>
          <w:color w:val="auto"/>
        </w:rPr>
      </w:pPr>
      <w:r>
        <w:rPr>
          <w:rFonts w:ascii="Arial" w:cs="Arial" w:eastAsia="Arial" w:hAnsi="Arial"/>
          <w:sz w:val="16"/>
          <w:szCs w:val="16"/>
          <w:i w:val="1"/>
          <w:iCs w:val="1"/>
          <w:color w:val="auto"/>
        </w:rPr>
        <w:t>This section presents management’s perspective on our financial condition and results of operations. The following discussion and analysis is intended to highlight and supplement data and information presented elsewhere in this Quarterly Report on Form 10-Q, including the Condensed Consolidated Financial Statements and related Notes, and should be read in conjunction with the accompanying tables. To the extent that this discussion describes prior performance, the descriptions relate only to the periods listed, which may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 titled “Cautionary Note Regarding Forward-Looking Statements” in this Quarterly Report on Form 10-Q, and the sections titled “Cautionary Note Regarding Forward-Looking Statements,” “Summary Risk Factors” and “Risk Factors” in our 2024 Annual Report on Form 10-K. The risks and uncertainties described in our 2024 Annual Report on Form 10-K are not the only risks and uncertainties we face. Additional risks and uncertainties not presently known to us or that we currently deem immaterial may also materially adversely affect our business, financial condition, or results of operations. We assume no obligation to update any of these forward-looking statements.</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noted, all dollars are in thousands. In certain cases, numbers and percentages in the tables below may not foot due to rounding.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62"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We are a leading health insurance marketplace and Medicare-focused digital health company whose purpose is to compassionately ensure consumers’ peace of mind when making healthcare decisions so they can focus on living life. With a widely scalable end-to-end platform and substantial presence in the Medicare landscape, we believe we are uniquely positioned as a trusted partner to the 67 million Medicare-eligible Americans, as well as the 11,000 Americans becoming eligible each day, as they navigate one of life's most important purchasing decisions. For many of these consumers, enrolling in a health insurance plan is confusing and difficult. Seemingly small differences between health plans may lead to significant out-of-pocket costs or lack of access to critical providers and medicines. We aim to simplify the process by offering education, comparison guidance, transparency and choice. This includes providing a large selection of leading health plan choices, advice informed by consumers’ specific needs, transparency of health plan benefits and fit, assistance accessing available government subsidies and a high-touch consumer care team. We partner with health plans that provide access to high quality health plans across all 50 states and the District of Columbia.</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Update on Business Trends and Strategy</w:t>
      </w:r>
    </w:p>
    <w:p>
      <w:pPr>
        <w:spacing w:after="0" w:line="262"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GoHealth has evolved from a traditional Medicare enrollment company to a Medicare engagement company, focusing on forging high-quality relationships with our consumers. This shift emphasizes a more integrated and interactive approach to consumer care and reflects how our Encompass operating model puts the consumer at the center of all our activities, including how we market, support enrollment activities, provide administrative services, utilize our proprietary technology and ultimately deliver a high-quality solution to those we serve. We believe our end-to-end Encompass model offers a differentiated way for Medicare beneficiaries to navigate the complex Medicare Advantage plan selection process and begin to utilize their new plan benefits with greater confidence.</w:t>
      </w:r>
    </w:p>
    <w:p>
      <w:pPr>
        <w:spacing w:after="0" w:line="203" w:lineRule="exact"/>
        <w:rPr>
          <w:sz w:val="20"/>
          <w:szCs w:val="20"/>
          <w:color w:val="auto"/>
        </w:rPr>
      </w:pPr>
    </w:p>
    <w:p>
      <w:pPr>
        <w:ind w:right="240"/>
        <w:spacing w:after="0" w:line="265" w:lineRule="auto"/>
        <w:rPr>
          <w:sz w:val="20"/>
          <w:szCs w:val="20"/>
          <w:color w:val="auto"/>
        </w:rPr>
      </w:pPr>
      <w:r>
        <w:rPr>
          <w:rFonts w:ascii="Arial" w:cs="Arial" w:eastAsia="Arial" w:hAnsi="Arial"/>
          <w:sz w:val="16"/>
          <w:szCs w:val="16"/>
          <w:color w:val="auto"/>
        </w:rPr>
        <w:t>The Encompass operating model supports all Medicare services, including agency and non-agency revenue. Agency revenue refers to the commission revenue and partner marketing revenue we receive when GoHealth’s internal agents or our external agents enroll the consumer and submit the policy application to the health plan partner, becoming the agent of record. Non-agency revenue refers to services our internal agents or external agents provide that support enrollment and engagement activities in which GoHealth is not the agent of record. The non-agency model moves away from the agency structure in that cash is collected in advance or in close proximity to the point in time revenue is recognized.</w:t>
      </w:r>
    </w:p>
    <w:p>
      <w:pPr>
        <w:spacing w:after="0" w:line="199"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Non-agency revenue decreased from 46.4% of total Medicare revenue for the three months ended March 31, 2024 to 14.5% of total Medicare revenue for the three months ended March 31, 2025. The shift from non-agency to agency revenue is influenced by a combination of factors, including carrier mix within the non-agency channel, consumer needs and changing market dynamics as further described below. These dynamics often vary by geography and change over time. The transition from agency to non-agency reflects our strategic focus on expanding our agency contracts in light of these industry shifts.</w:t>
      </w:r>
    </w:p>
    <w:p>
      <w:pPr>
        <w:spacing w:after="0" w:line="21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During the first quarter of 2025, we launched GoHealth Protect, a suite of products to cover unexpected life events, with the expansion into guaranteed acceptance life insurance as the inaugural product. We believe the services offered through this program allow us to better support our existing customer base, further establishing ourselves as an engagement company. The introduction of guaranteed acceptance life insurance is designed to provide a simple, affordable solution to help families cover funeral and burial expenses, aligning with our commitment to offering peace of mind to our consumers. We are confident that this product also enables us to better support our existing customer base, many of whom are over 65 or approaching Medicare eligibility. We are compensated for guaranteed acceptance life insurance through the non-agency model where GoHealth is not the agent of record and cash is collected in close proximity to the point of sale. As GoHealth Protect was in its early testing</w:t>
      </w: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22</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type w:val="continuous"/>
        </w:sectPr>
      </w:pPr>
    </w:p>
    <w:bookmarkStart w:id="25" w:name="page26"/>
    <w:bookmarkEnd w:id="25"/>
    <w:p>
      <w:pPr>
        <w:ind w:right="280"/>
        <w:spacing w:after="0" w:line="286" w:lineRule="auto"/>
        <w:rPr>
          <w:sz w:val="20"/>
          <w:szCs w:val="20"/>
          <w:color w:val="auto"/>
        </w:rPr>
      </w:pPr>
      <w:r>
        <w:rPr>
          <w:rFonts w:ascii="Arial" w:cs="Arial" w:eastAsia="Arial" w:hAnsi="Arial"/>
          <w:sz w:val="16"/>
          <w:szCs w:val="16"/>
          <w:color w:val="auto"/>
        </w:rPr>
        <w:t>phases during the first quarter of 2025, there was minimal contribution to net revenues. However, we expect it to continue to ramp in the second and third quarters of 2025, and thus be a meaningful contributor to the full year 2025 results and beyond.</w:t>
      </w:r>
    </w:p>
    <w:p>
      <w:pPr>
        <w:spacing w:after="0" w:line="196"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We continue to refine our Encompass operating model through investments in technology. For example, since its launch in 2023, we have continued to develop our PlanFit CheckUp, which utilizes analytics from over thirty million consumer touchpoints and machine learnings to help our licensed agents accurately match consumers with the best Medicare plans for their needs. PlanFit CheckUp enables consumers to regularly assess the appropriateness of their current plan through a data-driven customized process, guided by the trusted expertise of a licensed GoHealth agent. In addition to further developing PlanFit Checkup, we are investing in technologies like Customer 360. Customer 360 provides a unified view of the consumer across every touchpoint to ensure high-quality, personalized service at every point of the consumer journey.</w:t>
      </w:r>
    </w:p>
    <w:p>
      <w:pPr>
        <w:spacing w:after="0" w:line="203" w:lineRule="exact"/>
        <w:rPr>
          <w:sz w:val="20"/>
          <w:szCs w:val="20"/>
          <w:color w:val="auto"/>
        </w:rPr>
      </w:pPr>
    </w:p>
    <w:p>
      <w:pPr>
        <w:jc w:val="both"/>
        <w:ind w:right="380"/>
        <w:spacing w:after="0" w:line="265" w:lineRule="auto"/>
        <w:rPr>
          <w:sz w:val="20"/>
          <w:szCs w:val="20"/>
          <w:color w:val="auto"/>
        </w:rPr>
      </w:pPr>
      <w:r>
        <w:rPr>
          <w:rFonts w:ascii="Arial" w:cs="Arial" w:eastAsia="Arial" w:hAnsi="Arial"/>
          <w:sz w:val="16"/>
          <w:szCs w:val="16"/>
          <w:color w:val="auto"/>
        </w:rPr>
        <w:t>Driven by artificial intelligence and automation, we continue to focus on streamlining processes and improving call handle times. Last year we launched Encompass Express, an enhanced, consumer-centric operating model built on the foundation of our original Encompass workflow. Encompass Express includes streamlined scripting and hand-offs, utilizing technology-driven standardization and automation to deliver efficiency and enhance the consumer experience while maintaining quality.</w:t>
      </w:r>
    </w:p>
    <w:p>
      <w:pPr>
        <w:spacing w:after="0" w:line="200" w:lineRule="exact"/>
        <w:rPr>
          <w:sz w:val="20"/>
          <w:szCs w:val="20"/>
          <w:color w:val="auto"/>
        </w:rPr>
      </w:pPr>
    </w:p>
    <w:p>
      <w:pPr>
        <w:ind w:right="40"/>
        <w:spacing w:after="0" w:line="239" w:lineRule="auto"/>
        <w:rPr>
          <w:sz w:val="20"/>
          <w:szCs w:val="20"/>
          <w:color w:val="auto"/>
        </w:rPr>
      </w:pPr>
      <w:r>
        <w:rPr>
          <w:rFonts w:ascii="Arial" w:cs="Arial" w:eastAsia="Arial" w:hAnsi="Arial"/>
          <w:sz w:val="16"/>
          <w:szCs w:val="16"/>
          <w:color w:val="auto"/>
        </w:rPr>
        <w:t>In April 2024, the Centers for Medicare and Medicaid Services (“CMS”) final rate notice on commissions for the 2025 plan year and the Final 2025 Marketing Rule (the “CMS Final Rule”) had implications for Medicare Advantage plans. Specifically, we saw more dynamic consumer shopping behaviors during the 2024 Medicare annual enrollment period (“AEP”) as a result of changing benefit structures. We increased our targeted marketing efforts to help health plan partners achieve targeted growth in specific markets and products, which contributed to an increase in Submissions generated by our internal agents. We expect to see similar patterns through the third quarter of 2025. As the landscape becomes more complex, we believe GoHealth’s role as a reliable guide becomes increasingly critical. The CMS final rate notice on commissions for the 2026 plan year introduced in April 2025 announced a 5.06% average increase in Medicare Advantage revenue, along with a 10.72% increase in broker commissions. We continue to prepare for and analyze the implications of this final rate notice on commissions for the 2026 plan year with our health plan partners and are closely monitoring its effects on the Medicare landscape. Further discussion of how changes and developments in the laws and regulations governing the health insurance markets in the U.S. could materially affect our business, operating results, financial condition and qualified prospects is included under the heading “Item 1A. Risk Factors” in the 2024 Annual Report on Form 10-K.</w:t>
      </w:r>
    </w:p>
    <w:p>
      <w:pPr>
        <w:spacing w:after="0" w:line="200" w:lineRule="exact"/>
        <w:rPr>
          <w:sz w:val="20"/>
          <w:szCs w:val="20"/>
          <w:color w:val="auto"/>
        </w:rPr>
      </w:pPr>
    </w:p>
    <w:p>
      <w:pPr>
        <w:spacing w:after="0" w:line="24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97F"/>
        </w:rPr>
        <w:t>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9"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GoHealth, Inc. is the sole managing member of GHH, LLC. Although we have a minority economic interest in GHH, LLC, we have the sole voting interest in, and control of the business and affairs of, GHH, LLC and its direct and indirect subsidiaries. As a result, GoHealth, Inc. consolidates GHH, LLC and records significant non-controlling interest in a consolidated entity in GoHealth, Inc.’s Condensed Consolidated Financial Statements for the economic interest in GHH, LLC held directly or indirectly by the Continuing Equity Owners. The weighted average ownership percentages for the applicable reporting periods are used to attribute net income (loss) and other comprehensive income (loss) to the Company and the non-controlling interest holders. The non-controlling interest holders' weighted average ownership percentage for the three months ended March 31, 2025 and 2024 was 55.0% and 56.8%, respectively.</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percentage ownership of total shares of Class A and Class B common stock issued and outstanding as of March 31, 2025,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999490</wp:posOffset>
            </wp:positionH>
            <wp:positionV relativeFrom="paragraph">
              <wp:posOffset>149225</wp:posOffset>
            </wp:positionV>
            <wp:extent cx="5143500" cy="214312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23</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bookmarkStart w:id="26" w:name="page27"/>
    <w:bookmarkEnd w:id="26"/>
    <w:p>
      <w:pPr>
        <w:ind w:right="200"/>
        <w:spacing w:after="0" w:line="275" w:lineRule="auto"/>
        <w:rPr>
          <w:sz w:val="20"/>
          <w:szCs w:val="20"/>
          <w:color w:val="auto"/>
        </w:rPr>
      </w:pPr>
      <w:r>
        <w:rPr>
          <w:rFonts w:ascii="Arial" w:cs="Arial" w:eastAsia="Arial" w:hAnsi="Arial"/>
          <w:sz w:val="16"/>
          <w:szCs w:val="16"/>
          <w:color w:val="auto"/>
        </w:rPr>
        <w:t>The percentage of ownership noted above is inclusive of only Class A and Class B common stock issued and outstanding. It does not include the Series A redeemable convertible preferred stock or the impact of any conversion of such, should a conversion occur. For more information on the Series A redeemable convertible preferred stock, please refer to Note 5, “Stockholders' Equity” of the Notes to the Condensed Consolidated Financial Statements.</w:t>
      </w:r>
    </w:p>
    <w:p>
      <w:pPr>
        <w:spacing w:after="0" w:line="164"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GoHealth, Inc. is subject to U.S. federal, state and local income taxes with respect to our allocable share of any taxable income of GHH, LLC and is taxed at the prevailing corporate tax rates. In addition to tax expenses, we also incur expenses related to our status as a public company, plus payment obligations under the Tax Receivable Agreement (“TRA”), which could be significant. We intend to cause GHH, LLC to make distributions to us in an amount sufficient to allow us to pay these expenses and fund any payments due under the TRA.</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24</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27" w:name="page28"/>
    <w:bookmarkEnd w:id="27"/>
    <w:p>
      <w:pPr>
        <w:ind w:left="20"/>
        <w:spacing w:after="0"/>
        <w:rPr>
          <w:sz w:val="20"/>
          <w:szCs w:val="20"/>
          <w:color w:val="auto"/>
        </w:rPr>
      </w:pPr>
      <w:r>
        <w:rPr>
          <w:rFonts w:ascii="Arial" w:cs="Arial" w:eastAsia="Arial" w:hAnsi="Arial"/>
          <w:sz w:val="16"/>
          <w:szCs w:val="16"/>
          <w:b w:val="1"/>
          <w:bCs w:val="1"/>
          <w:color w:val="00497F"/>
        </w:rPr>
        <w:t>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our consolidated results of operations for the three months ended March 31, 2025 and 2024: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18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2660" w:type="dxa"/>
            <w:vAlign w:val="bottom"/>
            <w:gridSpan w:val="4"/>
          </w:tcPr>
          <w:p>
            <w:pPr>
              <w:jc w:val="right"/>
              <w:ind w:right="408"/>
              <w:spacing w:after="0"/>
              <w:rPr>
                <w:sz w:val="20"/>
                <w:szCs w:val="20"/>
                <w:color w:val="auto"/>
              </w:rPr>
            </w:pPr>
            <w:r>
              <w:rPr>
                <w:rFonts w:ascii="Arial" w:cs="Arial" w:eastAsia="Arial" w:hAnsi="Arial"/>
                <w:sz w:val="14"/>
                <w:szCs w:val="14"/>
                <w:b w:val="1"/>
                <w:bCs w:val="1"/>
                <w:color w:val="auto"/>
              </w:rPr>
              <w:t>Three months ended Mar. 31,</w:t>
            </w:r>
          </w:p>
        </w:tc>
        <w:tc>
          <w:tcPr>
            <w:tcW w:w="0" w:type="dxa"/>
            <w:vAlign w:val="bottom"/>
          </w:tcPr>
          <w:p>
            <w:pPr>
              <w:spacing w:after="0"/>
              <w:rPr>
                <w:sz w:val="1"/>
                <w:szCs w:val="1"/>
                <w:color w:val="auto"/>
              </w:rPr>
            </w:pPr>
          </w:p>
        </w:tc>
      </w:tr>
      <w:tr>
        <w:trPr>
          <w:trHeight w:val="197"/>
        </w:trPr>
        <w:tc>
          <w:tcPr>
            <w:tcW w:w="818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b w:val="1"/>
                <w:bCs w:val="1"/>
                <w:color w:val="auto"/>
              </w:rPr>
              <w:t>2025</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ind w:right="488"/>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95"/>
        </w:trPr>
        <w:tc>
          <w:tcPr>
            <w:tcW w:w="8180" w:type="dxa"/>
            <w:vAlign w:val="bottom"/>
          </w:tcPr>
          <w:p>
            <w:pPr>
              <w:ind w:left="20"/>
              <w:spacing w:after="0"/>
              <w:rPr>
                <w:sz w:val="20"/>
                <w:szCs w:val="20"/>
                <w:color w:val="auto"/>
              </w:rPr>
            </w:pPr>
            <w:r>
              <w:rPr>
                <w:rFonts w:ascii="Arial" w:cs="Arial" w:eastAsia="Arial" w:hAnsi="Arial"/>
                <w:sz w:val="14"/>
                <w:szCs w:val="14"/>
                <w:color w:val="auto"/>
              </w:rPr>
              <w:t>Net revenues</w:t>
            </w:r>
          </w:p>
        </w:tc>
        <w:tc>
          <w:tcPr>
            <w:tcW w:w="100" w:type="dxa"/>
            <w:vAlign w:val="bottom"/>
            <w:tcBorders>
              <w:bottom w:val="single" w:sz="8" w:color="929292"/>
            </w:tcBorders>
            <w:shd w:val="clear" w:color="auto" w:fill="929292"/>
          </w:tcPr>
          <w:p>
            <w:pPr>
              <w:spacing w:after="0"/>
              <w:rPr>
                <w:sz w:val="16"/>
                <w:szCs w:val="16"/>
                <w:color w:val="auto"/>
              </w:rPr>
            </w:pPr>
          </w:p>
        </w:tc>
        <w:tc>
          <w:tcPr>
            <w:tcW w:w="30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b w:val="1"/>
                <w:bCs w:val="1"/>
                <w:color w:val="auto"/>
              </w:rPr>
              <w:t>220,972</w:t>
            </w:r>
          </w:p>
        </w:tc>
        <w:tc>
          <w:tcPr>
            <w:tcW w:w="80" w:type="dxa"/>
            <w:vAlign w:val="bottom"/>
          </w:tcPr>
          <w:p>
            <w:pPr>
              <w:spacing w:after="0"/>
              <w:rPr>
                <w:sz w:val="16"/>
                <w:szCs w:val="16"/>
                <w:color w:val="auto"/>
              </w:rPr>
            </w:pPr>
          </w:p>
        </w:tc>
        <w:tc>
          <w:tcPr>
            <w:tcW w:w="340" w:type="dxa"/>
            <w:vAlign w:val="bottom"/>
            <w:tcBorders>
              <w:bottom w:val="single" w:sz="8" w:color="929292"/>
            </w:tcBorders>
          </w:tcPr>
          <w:p>
            <w:pPr>
              <w:spacing w:after="0"/>
              <w:rPr>
                <w:sz w:val="16"/>
                <w:szCs w:val="16"/>
                <w:color w:val="auto"/>
              </w:rPr>
            </w:pP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185,600</w:t>
            </w:r>
          </w:p>
        </w:tc>
        <w:tc>
          <w:tcPr>
            <w:tcW w:w="0" w:type="dxa"/>
            <w:vAlign w:val="bottom"/>
          </w:tcPr>
          <w:p>
            <w:pPr>
              <w:spacing w:after="0"/>
              <w:rPr>
                <w:sz w:val="1"/>
                <w:szCs w:val="1"/>
                <w:color w:val="auto"/>
              </w:rPr>
            </w:pPr>
          </w:p>
        </w:tc>
      </w:tr>
      <w:tr>
        <w:trPr>
          <w:trHeight w:val="177"/>
        </w:trPr>
        <w:tc>
          <w:tcPr>
            <w:tcW w:w="8180" w:type="dxa"/>
            <w:vAlign w:val="bottom"/>
          </w:tcPr>
          <w:p>
            <w:pPr>
              <w:ind w:left="20"/>
              <w:spacing w:after="0"/>
              <w:rPr>
                <w:sz w:val="20"/>
                <w:szCs w:val="20"/>
                <w:color w:val="auto"/>
              </w:rPr>
            </w:pPr>
            <w:r>
              <w:rPr>
                <w:rFonts w:ascii="Arial" w:cs="Arial" w:eastAsia="Arial" w:hAnsi="Arial"/>
                <w:sz w:val="14"/>
                <w:szCs w:val="14"/>
                <w:i w:val="1"/>
                <w:iCs w:val="1"/>
                <w:color w:val="auto"/>
              </w:rPr>
              <w:t>Operating expenses:</w:t>
            </w:r>
          </w:p>
        </w:tc>
        <w:tc>
          <w:tcPr>
            <w:tcW w:w="100" w:type="dxa"/>
            <w:vAlign w:val="bottom"/>
            <w:shd w:val="clear" w:color="auto" w:fill="929292"/>
          </w:tcPr>
          <w:p>
            <w:pPr>
              <w:spacing w:after="0"/>
              <w:rPr>
                <w:sz w:val="15"/>
                <w:szCs w:val="15"/>
                <w:color w:val="auto"/>
              </w:rPr>
            </w:pPr>
          </w:p>
        </w:tc>
        <w:tc>
          <w:tcPr>
            <w:tcW w:w="3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Arial" w:cs="Arial" w:eastAsia="Arial" w:hAnsi="Arial"/>
                <w:sz w:val="14"/>
                <w:szCs w:val="14"/>
                <w:color w:val="auto"/>
              </w:rPr>
              <w:t>Revenue share</w:t>
            </w: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39,272</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38,013</w:t>
            </w: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Arial" w:cs="Arial" w:eastAsia="Arial" w:hAnsi="Arial"/>
                <w:sz w:val="14"/>
                <w:szCs w:val="14"/>
                <w:color w:val="auto"/>
              </w:rPr>
              <w:t>Marketing and advertising</w:t>
            </w: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67,415</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52,775</w:t>
            </w: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Arial" w:cs="Arial" w:eastAsia="Arial" w:hAnsi="Arial"/>
                <w:sz w:val="14"/>
                <w:szCs w:val="14"/>
                <w:color w:val="auto"/>
              </w:rPr>
              <w:t>Consumer care and enrollment</w:t>
            </w: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51,698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47,861</w:t>
            </w: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Arial" w:cs="Arial" w:eastAsia="Arial" w:hAnsi="Arial"/>
                <w:sz w:val="14"/>
                <w:szCs w:val="14"/>
                <w:color w:val="auto"/>
              </w:rPr>
              <w:t>Technology</w:t>
            </w: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9,038</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10,550</w:t>
            </w: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Arial" w:cs="Arial" w:eastAsia="Arial" w:hAnsi="Arial"/>
                <w:sz w:val="14"/>
                <w:szCs w:val="14"/>
                <w:color w:val="auto"/>
              </w:rPr>
              <w:t>General and administrative</w:t>
            </w: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22,656</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16,919</w:t>
            </w:r>
          </w:p>
        </w:tc>
        <w:tc>
          <w:tcPr>
            <w:tcW w:w="0" w:type="dxa"/>
            <w:vAlign w:val="bottom"/>
          </w:tcPr>
          <w:p>
            <w:pPr>
              <w:spacing w:after="0"/>
              <w:rPr>
                <w:sz w:val="1"/>
                <w:szCs w:val="1"/>
                <w:color w:val="auto"/>
              </w:rPr>
            </w:pPr>
          </w:p>
        </w:tc>
      </w:tr>
      <w:tr>
        <w:trPr>
          <w:trHeight w:val="203"/>
        </w:trPr>
        <w:tc>
          <w:tcPr>
            <w:tcW w:w="8180" w:type="dxa"/>
            <w:vAlign w:val="bottom"/>
          </w:tcPr>
          <w:p>
            <w:pPr>
              <w:ind w:left="240"/>
              <w:spacing w:after="0"/>
              <w:rPr>
                <w:sz w:val="20"/>
                <w:szCs w:val="20"/>
                <w:color w:val="auto"/>
              </w:rPr>
            </w:pPr>
            <w:r>
              <w:rPr>
                <w:rFonts w:ascii="Arial" w:cs="Arial" w:eastAsia="Arial" w:hAnsi="Arial"/>
                <w:sz w:val="14"/>
                <w:szCs w:val="14"/>
                <w:color w:val="auto"/>
              </w:rPr>
              <w:t>Amortization of intangible assets</w:t>
            </w: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23,514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23,514</w:t>
            </w:r>
          </w:p>
        </w:tc>
        <w:tc>
          <w:tcPr>
            <w:tcW w:w="0" w:type="dxa"/>
            <w:vAlign w:val="bottom"/>
          </w:tcPr>
          <w:p>
            <w:pPr>
              <w:spacing w:after="0"/>
              <w:rPr>
                <w:sz w:val="1"/>
                <w:szCs w:val="1"/>
                <w:color w:val="auto"/>
              </w:rPr>
            </w:pPr>
          </w:p>
        </w:tc>
      </w:tr>
      <w:tr>
        <w:trPr>
          <w:trHeight w:val="204"/>
        </w:trPr>
        <w:tc>
          <w:tcPr>
            <w:tcW w:w="8180" w:type="dxa"/>
            <w:vAlign w:val="bottom"/>
          </w:tcPr>
          <w:p>
            <w:pPr>
              <w:ind w:left="240"/>
              <w:spacing w:after="0"/>
              <w:rPr>
                <w:sz w:val="20"/>
                <w:szCs w:val="20"/>
                <w:color w:val="auto"/>
              </w:rPr>
            </w:pPr>
            <w:r>
              <w:rPr>
                <w:rFonts w:ascii="Arial" w:cs="Arial" w:eastAsia="Arial" w:hAnsi="Arial"/>
                <w:sz w:val="14"/>
                <w:szCs w:val="14"/>
                <w:color w:val="auto"/>
              </w:rPr>
              <w:t>Operating lease impairment charges</w:t>
            </w: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710</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0"/>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Total operating expenses</w:t>
            </w: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b w:val="1"/>
                <w:bCs w:val="1"/>
                <w:color w:val="auto"/>
              </w:rPr>
              <w:t>214,303</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189,632</w:t>
            </w:r>
          </w:p>
        </w:tc>
        <w:tc>
          <w:tcPr>
            <w:tcW w:w="0" w:type="dxa"/>
            <w:vAlign w:val="bottom"/>
          </w:tcPr>
          <w:p>
            <w:pPr>
              <w:spacing w:after="0"/>
              <w:rPr>
                <w:sz w:val="1"/>
                <w:szCs w:val="1"/>
                <w:color w:val="auto"/>
              </w:rPr>
            </w:pPr>
          </w:p>
        </w:tc>
      </w:tr>
      <w:tr>
        <w:trPr>
          <w:trHeight w:val="190"/>
        </w:trPr>
        <w:tc>
          <w:tcPr>
            <w:tcW w:w="818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100" w:type="dxa"/>
            <w:vAlign w:val="bottom"/>
            <w:shd w:val="clear" w:color="auto" w:fill="929292"/>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6,669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(4,032)</w:t>
            </w:r>
          </w:p>
        </w:tc>
        <w:tc>
          <w:tcPr>
            <w:tcW w:w="0" w:type="dxa"/>
            <w:vAlign w:val="bottom"/>
          </w:tcPr>
          <w:p>
            <w:pPr>
              <w:spacing w:after="0"/>
              <w:rPr>
                <w:sz w:val="1"/>
                <w:szCs w:val="1"/>
                <w:color w:val="auto"/>
              </w:rPr>
            </w:pPr>
          </w:p>
        </w:tc>
      </w:tr>
      <w:tr>
        <w:trPr>
          <w:trHeight w:val="203"/>
        </w:trPr>
        <w:tc>
          <w:tcPr>
            <w:tcW w:w="818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15,954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17,951</w:t>
            </w:r>
          </w:p>
        </w:tc>
        <w:tc>
          <w:tcPr>
            <w:tcW w:w="0" w:type="dxa"/>
            <w:vAlign w:val="bottom"/>
          </w:tcPr>
          <w:p>
            <w:pPr>
              <w:spacing w:after="0"/>
              <w:rPr>
                <w:sz w:val="1"/>
                <w:szCs w:val="1"/>
                <w:color w:val="auto"/>
              </w:rPr>
            </w:pPr>
          </w:p>
        </w:tc>
      </w:tr>
      <w:tr>
        <w:trPr>
          <w:trHeight w:val="204"/>
        </w:trPr>
        <w:tc>
          <w:tcPr>
            <w:tcW w:w="8180" w:type="dxa"/>
            <w:vAlign w:val="bottom"/>
          </w:tcPr>
          <w:p>
            <w:pPr>
              <w:ind w:left="20"/>
              <w:spacing w:after="0"/>
              <w:rPr>
                <w:sz w:val="20"/>
                <w:szCs w:val="20"/>
                <w:color w:val="auto"/>
              </w:rPr>
            </w:pPr>
            <w:r>
              <w:rPr>
                <w:rFonts w:ascii="Arial" w:cs="Arial" w:eastAsia="Arial" w:hAnsi="Arial"/>
                <w:sz w:val="14"/>
                <w:szCs w:val="14"/>
                <w:color w:val="auto"/>
              </w:rPr>
              <w:t>Other (income) expense, net</w:t>
            </w: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(601)</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200"/>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Income (loss) before income taxes</w:t>
            </w: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(8,684)</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(21,417)</w:t>
            </w:r>
          </w:p>
        </w:tc>
        <w:tc>
          <w:tcPr>
            <w:tcW w:w="0" w:type="dxa"/>
            <w:vAlign w:val="bottom"/>
          </w:tcPr>
          <w:p>
            <w:pPr>
              <w:spacing w:after="0"/>
              <w:rPr>
                <w:sz w:val="1"/>
                <w:szCs w:val="1"/>
                <w:color w:val="auto"/>
              </w:rPr>
            </w:pPr>
          </w:p>
        </w:tc>
      </w:tr>
      <w:tr>
        <w:trPr>
          <w:trHeight w:val="192"/>
        </w:trPr>
        <w:tc>
          <w:tcPr>
            <w:tcW w:w="8180" w:type="dxa"/>
            <w:vAlign w:val="bottom"/>
          </w:tcPr>
          <w:p>
            <w:pPr>
              <w:ind w:left="20"/>
              <w:spacing w:after="0"/>
              <w:rPr>
                <w:sz w:val="20"/>
                <w:szCs w:val="20"/>
                <w:color w:val="auto"/>
              </w:rPr>
            </w:pPr>
            <w:r>
              <w:rPr>
                <w:rFonts w:ascii="Arial" w:cs="Arial" w:eastAsia="Arial" w:hAnsi="Arial"/>
                <w:sz w:val="14"/>
                <w:szCs w:val="14"/>
                <w:color w:val="auto"/>
              </w:rPr>
              <w:t>Income tax (benefit) expense</w:t>
            </w:r>
          </w:p>
        </w:tc>
        <w:tc>
          <w:tcPr>
            <w:tcW w:w="100" w:type="dxa"/>
            <w:vAlign w:val="bottom"/>
            <w:tcBorders>
              <w:bottom w:val="single" w:sz="8" w:color="929292"/>
            </w:tcBorders>
            <w:shd w:val="clear" w:color="auto" w:fill="929292"/>
          </w:tcPr>
          <w:p>
            <w:pPr>
              <w:spacing w:after="0"/>
              <w:rPr>
                <w:sz w:val="16"/>
                <w:szCs w:val="16"/>
                <w:color w:val="auto"/>
              </w:rPr>
            </w:pPr>
          </w:p>
        </w:tc>
        <w:tc>
          <w:tcPr>
            <w:tcW w:w="30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1,102</w:t>
            </w:r>
          </w:p>
        </w:tc>
        <w:tc>
          <w:tcPr>
            <w:tcW w:w="80" w:type="dxa"/>
            <w:vAlign w:val="bottom"/>
          </w:tcPr>
          <w:p>
            <w:pPr>
              <w:spacing w:after="0"/>
              <w:rPr>
                <w:sz w:val="16"/>
                <w:szCs w:val="16"/>
                <w:color w:val="auto"/>
              </w:rPr>
            </w:pPr>
          </w:p>
        </w:tc>
        <w:tc>
          <w:tcPr>
            <w:tcW w:w="340" w:type="dxa"/>
            <w:vAlign w:val="bottom"/>
            <w:tcBorders>
              <w:bottom w:val="single" w:sz="8" w:color="929292"/>
            </w:tcBorders>
          </w:tcPr>
          <w:p>
            <w:pPr>
              <w:spacing w:after="0"/>
              <w:rPr>
                <w:sz w:val="16"/>
                <w:szCs w:val="16"/>
                <w:color w:val="auto"/>
              </w:rPr>
            </w:pP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0"/>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Net income (loss)</w:t>
            </w: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spacing w:after="0"/>
              <w:rPr>
                <w:sz w:val="17"/>
                <w:szCs w:val="17"/>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(9,786)</w:t>
            </w:r>
          </w:p>
        </w:tc>
        <w:tc>
          <w:tcPr>
            <w:tcW w:w="80" w:type="dxa"/>
            <w:vAlign w:val="bottom"/>
          </w:tcPr>
          <w:p>
            <w:pPr>
              <w:spacing w:after="0"/>
              <w:rPr>
                <w:sz w:val="17"/>
                <w:szCs w:val="17"/>
                <w:color w:val="auto"/>
              </w:rPr>
            </w:pPr>
          </w:p>
        </w:tc>
        <w:tc>
          <w:tcPr>
            <w:tcW w:w="340" w:type="dxa"/>
            <w:vAlign w:val="bottom"/>
            <w:tcBorders>
              <w:bottom w:val="single" w:sz="8" w:color="929292"/>
            </w:tcBorders>
          </w:tcPr>
          <w:p>
            <w:pPr>
              <w:spacing w:after="0"/>
              <w:rPr>
                <w:sz w:val="17"/>
                <w:szCs w:val="17"/>
                <w:color w:val="auto"/>
              </w:rPr>
            </w:pP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(21,346)</w:t>
            </w:r>
          </w:p>
        </w:tc>
        <w:tc>
          <w:tcPr>
            <w:tcW w:w="0" w:type="dxa"/>
            <w:vAlign w:val="bottom"/>
          </w:tcPr>
          <w:p>
            <w:pPr>
              <w:spacing w:after="0"/>
              <w:rPr>
                <w:sz w:val="1"/>
                <w:szCs w:val="1"/>
                <w:color w:val="auto"/>
              </w:rPr>
            </w:pPr>
          </w:p>
        </w:tc>
      </w:tr>
      <w:tr>
        <w:trPr>
          <w:trHeight w:val="194"/>
        </w:trPr>
        <w:tc>
          <w:tcPr>
            <w:tcW w:w="8180" w:type="dxa"/>
            <w:vAlign w:val="bottom"/>
          </w:tcPr>
          <w:p>
            <w:pPr>
              <w:ind w:left="20"/>
              <w:spacing w:after="0"/>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tcBorders>
              <w:bottom w:val="single" w:sz="8" w:color="929292"/>
            </w:tcBorders>
            <w:shd w:val="clear" w:color="auto" w:fill="929292"/>
          </w:tcPr>
          <w:p>
            <w:pPr>
              <w:spacing w:after="0"/>
              <w:rPr>
                <w:sz w:val="16"/>
                <w:szCs w:val="16"/>
                <w:color w:val="auto"/>
              </w:rPr>
            </w:pPr>
          </w:p>
        </w:tc>
        <w:tc>
          <w:tcPr>
            <w:tcW w:w="300" w:type="dxa"/>
            <w:vAlign w:val="bottom"/>
            <w:tcBorders>
              <w:bottom w:val="single" w:sz="8" w:color="929292"/>
            </w:tcBorders>
          </w:tcPr>
          <w:p>
            <w:pPr>
              <w:spacing w:after="0"/>
              <w:rPr>
                <w:sz w:val="16"/>
                <w:szCs w:val="16"/>
                <w:color w:val="auto"/>
              </w:rPr>
            </w:pP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(5,378)</w:t>
            </w:r>
          </w:p>
        </w:tc>
        <w:tc>
          <w:tcPr>
            <w:tcW w:w="80" w:type="dxa"/>
            <w:vAlign w:val="bottom"/>
          </w:tcPr>
          <w:p>
            <w:pPr>
              <w:spacing w:after="0"/>
              <w:rPr>
                <w:sz w:val="16"/>
                <w:szCs w:val="16"/>
                <w:color w:val="auto"/>
              </w:rPr>
            </w:pPr>
          </w:p>
        </w:tc>
        <w:tc>
          <w:tcPr>
            <w:tcW w:w="340" w:type="dxa"/>
            <w:vAlign w:val="bottom"/>
            <w:tcBorders>
              <w:bottom w:val="single" w:sz="8" w:color="929292"/>
            </w:tcBorders>
          </w:tcPr>
          <w:p>
            <w:pPr>
              <w:spacing w:after="0"/>
              <w:rPr>
                <w:sz w:val="16"/>
                <w:szCs w:val="16"/>
                <w:color w:val="auto"/>
              </w:rPr>
            </w:pP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(12,130)</w:t>
            </w:r>
          </w:p>
        </w:tc>
        <w:tc>
          <w:tcPr>
            <w:tcW w:w="0" w:type="dxa"/>
            <w:vAlign w:val="bottom"/>
          </w:tcPr>
          <w:p>
            <w:pPr>
              <w:spacing w:after="0"/>
              <w:rPr>
                <w:sz w:val="1"/>
                <w:szCs w:val="1"/>
                <w:color w:val="auto"/>
              </w:rPr>
            </w:pPr>
          </w:p>
        </w:tc>
      </w:tr>
      <w:tr>
        <w:trPr>
          <w:trHeight w:val="200"/>
        </w:trPr>
        <w:tc>
          <w:tcPr>
            <w:tcW w:w="8180" w:type="dxa"/>
            <w:vAlign w:val="bottom"/>
          </w:tcPr>
          <w:p>
            <w:pPr>
              <w:ind w:left="20"/>
              <w:spacing w:after="0"/>
              <w:rPr>
                <w:sz w:val="20"/>
                <w:szCs w:val="20"/>
                <w:color w:val="auto"/>
              </w:rPr>
            </w:pPr>
            <w:r>
              <w:rPr>
                <w:rFonts w:ascii="Arial" w:cs="Arial" w:eastAsia="Arial" w:hAnsi="Arial"/>
                <w:sz w:val="14"/>
                <w:szCs w:val="14"/>
                <w:b w:val="1"/>
                <w:bCs w:val="1"/>
                <w:color w:val="auto"/>
              </w:rPr>
              <w:t>Net income (loss) attributable to GoHealth, Inc.</w:t>
            </w:r>
          </w:p>
        </w:tc>
        <w:tc>
          <w:tcPr>
            <w:tcW w:w="100" w:type="dxa"/>
            <w:vAlign w:val="bottom"/>
            <w:tcBorders>
              <w:bottom w:val="single" w:sz="8" w:color="929292"/>
            </w:tcBorders>
            <w:shd w:val="clear" w:color="auto" w:fill="929292"/>
          </w:tcPr>
          <w:p>
            <w:pPr>
              <w:spacing w:after="0"/>
              <w:rPr>
                <w:sz w:val="17"/>
                <w:szCs w:val="17"/>
                <w:color w:val="auto"/>
              </w:rPr>
            </w:pPr>
          </w:p>
        </w:tc>
        <w:tc>
          <w:tcPr>
            <w:tcW w:w="300" w:type="dxa"/>
            <w:vAlign w:val="bottom"/>
            <w:tcBorders>
              <w:bottom w:val="single" w:sz="8" w:color="929292"/>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(4,408)</w:t>
            </w:r>
          </w:p>
        </w:tc>
        <w:tc>
          <w:tcPr>
            <w:tcW w:w="80" w:type="dxa"/>
            <w:vAlign w:val="bottom"/>
          </w:tcPr>
          <w:p>
            <w:pPr>
              <w:spacing w:after="0"/>
              <w:rPr>
                <w:sz w:val="17"/>
                <w:szCs w:val="17"/>
                <w:color w:val="auto"/>
              </w:rPr>
            </w:pPr>
          </w:p>
        </w:tc>
        <w:tc>
          <w:tcPr>
            <w:tcW w:w="340" w:type="dxa"/>
            <w:vAlign w:val="bottom"/>
            <w:tcBorders>
              <w:bottom w:val="single" w:sz="8" w:color="929292"/>
            </w:tcBorders>
          </w:tcPr>
          <w:p>
            <w:pPr>
              <w:jc w:val="right"/>
              <w:ind w:right="168"/>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929292"/>
            </w:tcBorders>
          </w:tcPr>
          <w:p>
            <w:pPr>
              <w:jc w:val="right"/>
              <w:spacing w:after="0"/>
              <w:rPr>
                <w:sz w:val="20"/>
                <w:szCs w:val="20"/>
                <w:color w:val="auto"/>
              </w:rPr>
            </w:pPr>
            <w:r>
              <w:rPr>
                <w:rFonts w:ascii="Arial" w:cs="Arial" w:eastAsia="Arial" w:hAnsi="Arial"/>
                <w:sz w:val="14"/>
                <w:szCs w:val="14"/>
                <w:b w:val="1"/>
                <w:bCs w:val="1"/>
                <w:color w:val="auto"/>
              </w:rPr>
              <w:t>(9,216)</w:t>
            </w:r>
          </w:p>
        </w:tc>
        <w:tc>
          <w:tcPr>
            <w:tcW w:w="0" w:type="dxa"/>
            <w:vAlign w:val="bottom"/>
          </w:tcPr>
          <w:p>
            <w:pPr>
              <w:spacing w:after="0"/>
              <w:rPr>
                <w:sz w:val="1"/>
                <w:szCs w:val="1"/>
                <w:color w:val="auto"/>
              </w:rPr>
            </w:pPr>
          </w:p>
        </w:tc>
      </w:tr>
      <w:tr>
        <w:trPr>
          <w:trHeight w:val="20"/>
        </w:trPr>
        <w:tc>
          <w:tcPr>
            <w:tcW w:w="81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Non-GAAP financial measures:</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300" w:type="dxa"/>
            <w:vAlign w:val="bottom"/>
            <w:tcBorders>
              <w:bottom w:val="single" w:sz="8" w:color="929292"/>
            </w:tcBorders>
          </w:tcPr>
          <w:p>
            <w:pPr>
              <w:spacing w:after="0" w:line="20" w:lineRule="exact"/>
              <w:rPr>
                <w:sz w:val="1"/>
                <w:szCs w:val="1"/>
                <w:color w:val="auto"/>
              </w:rPr>
            </w:pPr>
          </w:p>
        </w:tc>
        <w:tc>
          <w:tcPr>
            <w:tcW w:w="1140" w:type="dxa"/>
            <w:vAlign w:val="bottom"/>
            <w:tcBorders>
              <w:bottom w:val="single" w:sz="8" w:color="929292"/>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929292"/>
            </w:tcBorders>
          </w:tcPr>
          <w:p>
            <w:pPr>
              <w:spacing w:after="0" w:line="20" w:lineRule="exact"/>
              <w:rPr>
                <w:sz w:val="1"/>
                <w:szCs w:val="1"/>
                <w:color w:val="auto"/>
              </w:rPr>
            </w:pPr>
          </w:p>
        </w:tc>
        <w:tc>
          <w:tcPr>
            <w:tcW w:w="1100" w:type="dxa"/>
            <w:vAlign w:val="bottom"/>
            <w:tcBorders>
              <w:bottom w:val="single" w:sz="8" w:color="929292"/>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180" w:type="dxa"/>
            <w:vAlign w:val="bottom"/>
            <w:vMerge w:val="continue"/>
          </w:tcPr>
          <w:p>
            <w:pPr>
              <w:spacing w:after="0"/>
              <w:rPr>
                <w:sz w:val="14"/>
                <w:szCs w:val="14"/>
                <w:color w:val="auto"/>
              </w:rPr>
            </w:pPr>
          </w:p>
        </w:tc>
        <w:tc>
          <w:tcPr>
            <w:tcW w:w="100" w:type="dxa"/>
            <w:vAlign w:val="bottom"/>
            <w:shd w:val="clear" w:color="auto" w:fill="929292"/>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180" w:type="dxa"/>
            <w:vAlign w:val="bottom"/>
          </w:tcPr>
          <w:p>
            <w:pPr>
              <w:ind w:left="140"/>
              <w:spacing w:after="0"/>
              <w:rPr>
                <w:sz w:val="20"/>
                <w:szCs w:val="20"/>
                <w:color w:val="auto"/>
              </w:rPr>
            </w:pPr>
            <w:r>
              <w:rPr>
                <w:rFonts w:ascii="Arial" w:cs="Arial" w:eastAsia="Arial" w:hAnsi="Arial"/>
                <w:sz w:val="14"/>
                <w:szCs w:val="14"/>
                <w:color w:val="auto"/>
              </w:rPr>
              <w:t>EBITDA</w:t>
            </w:r>
          </w:p>
        </w:tc>
        <w:tc>
          <w:tcPr>
            <w:tcW w:w="100" w:type="dxa"/>
            <w:vAlign w:val="bottom"/>
            <w:shd w:val="clear" w:color="auto" w:fill="929292"/>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33,747</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22,780</w:t>
            </w:r>
          </w:p>
        </w:tc>
        <w:tc>
          <w:tcPr>
            <w:tcW w:w="0" w:type="dxa"/>
            <w:vAlign w:val="bottom"/>
          </w:tcPr>
          <w:p>
            <w:pPr>
              <w:spacing w:after="0"/>
              <w:rPr>
                <w:sz w:val="1"/>
                <w:szCs w:val="1"/>
                <w:color w:val="auto"/>
              </w:rPr>
            </w:pPr>
          </w:p>
        </w:tc>
      </w:tr>
      <w:tr>
        <w:trPr>
          <w:trHeight w:val="203"/>
        </w:trPr>
        <w:tc>
          <w:tcPr>
            <w:tcW w:w="8180" w:type="dxa"/>
            <w:vAlign w:val="bottom"/>
          </w:tcPr>
          <w:p>
            <w:pPr>
              <w:ind w:left="140"/>
              <w:spacing w:after="0"/>
              <w:rPr>
                <w:sz w:val="20"/>
                <w:szCs w:val="20"/>
                <w:color w:val="auto"/>
              </w:rPr>
            </w:pPr>
            <w:r>
              <w:rPr>
                <w:rFonts w:ascii="Arial" w:cs="Arial" w:eastAsia="Arial" w:hAnsi="Arial"/>
                <w:sz w:val="14"/>
                <w:szCs w:val="14"/>
                <w:color w:val="auto"/>
              </w:rPr>
              <w:t>Adjusted EBITDA</w:t>
            </w:r>
          </w:p>
        </w:tc>
        <w:tc>
          <w:tcPr>
            <w:tcW w:w="100" w:type="dxa"/>
            <w:vAlign w:val="bottom"/>
            <w:shd w:val="clear" w:color="auto" w:fill="929292"/>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42,060</w:t>
            </w:r>
          </w:p>
        </w:tc>
        <w:tc>
          <w:tcPr>
            <w:tcW w:w="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26,894</w:t>
            </w:r>
          </w:p>
        </w:tc>
        <w:tc>
          <w:tcPr>
            <w:tcW w:w="0" w:type="dxa"/>
            <w:vAlign w:val="bottom"/>
          </w:tcPr>
          <w:p>
            <w:pPr>
              <w:spacing w:after="0"/>
              <w:rPr>
                <w:sz w:val="1"/>
                <w:szCs w:val="1"/>
                <w:color w:val="auto"/>
              </w:rPr>
            </w:pPr>
          </w:p>
        </w:tc>
      </w:tr>
      <w:tr>
        <w:trPr>
          <w:trHeight w:val="203"/>
        </w:trPr>
        <w:tc>
          <w:tcPr>
            <w:tcW w:w="8180" w:type="dxa"/>
            <w:vAlign w:val="bottom"/>
          </w:tcPr>
          <w:p>
            <w:pPr>
              <w:ind w:left="140"/>
              <w:spacing w:after="0"/>
              <w:rPr>
                <w:sz w:val="20"/>
                <w:szCs w:val="20"/>
                <w:color w:val="auto"/>
              </w:rPr>
            </w:pPr>
            <w:r>
              <w:rPr>
                <w:rFonts w:ascii="Arial" w:cs="Arial" w:eastAsia="Arial" w:hAnsi="Arial"/>
                <w:sz w:val="14"/>
                <w:szCs w:val="14"/>
                <w:color w:val="auto"/>
              </w:rPr>
              <w:t>Net Income (Loss) Margin</w:t>
            </w:r>
          </w:p>
        </w:tc>
        <w:tc>
          <w:tcPr>
            <w:tcW w:w="100" w:type="dxa"/>
            <w:vAlign w:val="bottom"/>
            <w:shd w:val="clear" w:color="auto" w:fill="929292"/>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11"/>
        </w:trPr>
        <w:tc>
          <w:tcPr>
            <w:tcW w:w="8180" w:type="dxa"/>
            <w:vAlign w:val="bottom"/>
          </w:tcPr>
          <w:p>
            <w:pPr>
              <w:ind w:left="140"/>
              <w:spacing w:after="0"/>
              <w:rPr>
                <w:sz w:val="20"/>
                <w:szCs w:val="20"/>
                <w:color w:val="auto"/>
              </w:rPr>
            </w:pPr>
            <w:r>
              <w:rPr>
                <w:rFonts w:ascii="Arial" w:cs="Arial" w:eastAsia="Arial" w:hAnsi="Arial"/>
                <w:sz w:val="14"/>
                <w:szCs w:val="14"/>
                <w:color w:val="auto"/>
              </w:rPr>
              <w:t>Adjusted EBITDA Margin</w:t>
            </w:r>
          </w:p>
        </w:tc>
        <w:tc>
          <w:tcPr>
            <w:tcW w:w="100" w:type="dxa"/>
            <w:vAlign w:val="bottom"/>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19.0%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our net revenues for the three months ended March 31, 2025 and 2024:</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510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300" w:type="dxa"/>
            <w:vAlign w:val="bottom"/>
          </w:tcPr>
          <w:p>
            <w:pPr>
              <w:spacing w:after="0"/>
              <w:rPr>
                <w:sz w:val="18"/>
                <w:szCs w:val="18"/>
                <w:color w:val="auto"/>
              </w:rPr>
            </w:pPr>
          </w:p>
        </w:tc>
        <w:tc>
          <w:tcPr>
            <w:tcW w:w="2720" w:type="dxa"/>
            <w:vAlign w:val="bottom"/>
            <w:gridSpan w:val="5"/>
          </w:tcPr>
          <w:p>
            <w:pPr>
              <w:ind w:left="220"/>
              <w:spacing w:after="0"/>
              <w:rPr>
                <w:sz w:val="20"/>
                <w:szCs w:val="20"/>
                <w:color w:val="auto"/>
              </w:rPr>
            </w:pPr>
            <w:r>
              <w:rPr>
                <w:rFonts w:ascii="Arial" w:cs="Arial" w:eastAsia="Arial" w:hAnsi="Arial"/>
                <w:sz w:val="14"/>
                <w:szCs w:val="14"/>
                <w:color w:val="auto"/>
              </w:rPr>
              <w:t>Three months ended Mar. 31,</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1"/>
        </w:trPr>
        <w:tc>
          <w:tcPr>
            <w:tcW w:w="5100" w:type="dxa"/>
            <w:vAlign w:val="bottom"/>
            <w:tcBorders>
              <w:left w:val="single" w:sz="8" w:color="929292"/>
            </w:tcBorders>
          </w:tcPr>
          <w:p>
            <w:pPr>
              <w:ind w:left="2080"/>
              <w:spacing w:after="0"/>
              <w:rPr>
                <w:sz w:val="20"/>
                <w:szCs w:val="20"/>
                <w:color w:val="auto"/>
              </w:rPr>
            </w:pPr>
            <w:r>
              <w:rPr>
                <w:rFonts w:ascii="Arial" w:cs="Arial" w:eastAsia="Arial" w:hAnsi="Arial"/>
                <w:sz w:val="14"/>
                <w:szCs w:val="14"/>
                <w:b w:val="1"/>
                <w:bCs w:val="1"/>
                <w:color w:val="0A2299"/>
              </w:rPr>
              <w:t>Net Revenues</w:t>
            </w:r>
          </w:p>
        </w:tc>
        <w:tc>
          <w:tcPr>
            <w:tcW w:w="100" w:type="dxa"/>
            <w:vAlign w:val="bottom"/>
            <w:shd w:val="clear" w:color="auto" w:fill="929292"/>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6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color w:val="auto"/>
              </w:rPr>
              <w:t>$ Change</w:t>
            </w:r>
          </w:p>
        </w:tc>
        <w:tc>
          <w:tcPr>
            <w:tcW w:w="1520" w:type="dxa"/>
            <w:vAlign w:val="bottom"/>
          </w:tcPr>
          <w:p>
            <w:pPr>
              <w:jc w:val="right"/>
              <w:ind w:right="348"/>
              <w:spacing w:after="0"/>
              <w:rPr>
                <w:sz w:val="20"/>
                <w:szCs w:val="20"/>
                <w:color w:val="auto"/>
              </w:rPr>
            </w:pPr>
            <w:r>
              <w:rPr>
                <w:rFonts w:ascii="Arial" w:cs="Arial" w:eastAsia="Arial" w:hAnsi="Arial"/>
                <w:sz w:val="14"/>
                <w:szCs w:val="14"/>
                <w:color w:val="auto"/>
              </w:rPr>
              <w:t>% Change</w:t>
            </w:r>
          </w:p>
        </w:tc>
      </w:tr>
      <w:tr>
        <w:trPr>
          <w:trHeight w:val="193"/>
        </w:trPr>
        <w:tc>
          <w:tcPr>
            <w:tcW w:w="5100" w:type="dxa"/>
            <w:vAlign w:val="bottom"/>
            <w:tcBorders>
              <w:left w:val="single" w:sz="8" w:color="929292"/>
              <w:bottom w:val="single" w:sz="8" w:color="929292"/>
            </w:tcBorders>
          </w:tcPr>
          <w:p>
            <w:pPr>
              <w:spacing w:after="0"/>
              <w:rPr>
                <w:sz w:val="16"/>
                <w:szCs w:val="16"/>
                <w:color w:val="auto"/>
              </w:rPr>
            </w:pPr>
          </w:p>
        </w:tc>
        <w:tc>
          <w:tcPr>
            <w:tcW w:w="100" w:type="dxa"/>
            <w:vAlign w:val="bottom"/>
            <w:tcBorders>
              <w:top w:val="single" w:sz="8" w:color="929292"/>
              <w:bottom w:val="single" w:sz="8" w:color="929292"/>
            </w:tcBorders>
            <w:shd w:val="clear" w:color="auto" w:fill="929292"/>
          </w:tcPr>
          <w:p>
            <w:pPr>
              <w:spacing w:after="0"/>
              <w:rPr>
                <w:sz w:val="16"/>
                <w:szCs w:val="16"/>
                <w:color w:val="auto"/>
              </w:rPr>
            </w:pPr>
          </w:p>
        </w:tc>
        <w:tc>
          <w:tcPr>
            <w:tcW w:w="300" w:type="dxa"/>
            <w:vAlign w:val="bottom"/>
            <w:tcBorders>
              <w:top w:val="single" w:sz="8" w:color="929292"/>
            </w:tcBorders>
          </w:tcPr>
          <w:p>
            <w:pPr>
              <w:jc w:val="right"/>
              <w:ind w:right="12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220,972</w:t>
            </w:r>
          </w:p>
        </w:tc>
        <w:tc>
          <w:tcPr>
            <w:tcW w:w="100" w:type="dxa"/>
            <w:vAlign w:val="bottom"/>
          </w:tcPr>
          <w:p>
            <w:pPr>
              <w:spacing w:after="0"/>
              <w:rPr>
                <w:sz w:val="16"/>
                <w:szCs w:val="16"/>
                <w:color w:val="auto"/>
              </w:rPr>
            </w:pPr>
          </w:p>
        </w:tc>
        <w:tc>
          <w:tcPr>
            <w:tcW w:w="320" w:type="dxa"/>
            <w:vAlign w:val="bottom"/>
            <w:tcBorders>
              <w:top w:val="single" w:sz="8" w:color="929292"/>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185,600</w:t>
            </w:r>
          </w:p>
        </w:tc>
        <w:tc>
          <w:tcPr>
            <w:tcW w:w="100" w:type="dxa"/>
            <w:vAlign w:val="bottom"/>
          </w:tcPr>
          <w:p>
            <w:pPr>
              <w:spacing w:after="0"/>
              <w:rPr>
                <w:sz w:val="16"/>
                <w:szCs w:val="16"/>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35,372</w:t>
            </w:r>
          </w:p>
        </w:tc>
        <w:tc>
          <w:tcPr>
            <w:tcW w:w="100" w:type="dxa"/>
            <w:vAlign w:val="bottom"/>
          </w:tcPr>
          <w:p>
            <w:pPr>
              <w:spacing w:after="0"/>
              <w:rPr>
                <w:sz w:val="16"/>
                <w:szCs w:val="16"/>
                <w:color w:val="auto"/>
              </w:rPr>
            </w:pPr>
          </w:p>
        </w:tc>
        <w:tc>
          <w:tcPr>
            <w:tcW w:w="152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19.1 %</w:t>
            </w:r>
          </w:p>
        </w:tc>
      </w:tr>
    </w:tbl>
    <w:p>
      <w:pPr>
        <w:spacing w:after="0" w:line="283" w:lineRule="exact"/>
        <w:rPr>
          <w:sz w:val="20"/>
          <w:szCs w:val="20"/>
          <w:color w:val="auto"/>
        </w:rPr>
      </w:pPr>
    </w:p>
    <w:p>
      <w:pPr>
        <w:ind w:right="160"/>
        <w:spacing w:after="0" w:line="265" w:lineRule="auto"/>
        <w:rPr>
          <w:sz w:val="20"/>
          <w:szCs w:val="20"/>
          <w:color w:val="auto"/>
        </w:rPr>
      </w:pPr>
      <w:r>
        <w:rPr>
          <w:rFonts w:ascii="Arial" w:cs="Arial" w:eastAsia="Arial" w:hAnsi="Arial"/>
          <w:sz w:val="16"/>
          <w:szCs w:val="16"/>
          <w:color w:val="auto"/>
        </w:rPr>
        <w:t>The increase for the three months ended March 31, 2025 compared to the prior year period was primarily attributable to an increase in agency revenue of $88.5 million, driven by an increase in Submissions for which GoHealth is the agent of record. The increase was partially offset by a $54.1 million decrease in non-agency revenue. The decrease in non-agency revenue compared to the prior year is reflective of a shift from non-agency to agency revenue as a result of a combination of factors, including carrier mix within the non-agency channel, consumer needs and changing market dynamics.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our key components of operating expenses and results thereof for the three months ended March 31, 2025 and 2024:</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40" w:type="dxa"/>
            <w:vAlign w:val="bottom"/>
            <w:tcBorders>
              <w:top w:val="single" w:sz="8" w:color="929292"/>
              <w:left w:val="single" w:sz="8" w:color="929292"/>
            </w:tcBorders>
          </w:tcPr>
          <w:p>
            <w:pPr>
              <w:spacing w:after="0"/>
              <w:rPr>
                <w:sz w:val="18"/>
                <w:szCs w:val="18"/>
                <w:color w:val="auto"/>
              </w:rPr>
            </w:pPr>
          </w:p>
        </w:tc>
        <w:tc>
          <w:tcPr>
            <w:tcW w:w="80" w:type="dxa"/>
            <w:vAlign w:val="bottom"/>
            <w:tcBorders>
              <w:top w:val="single" w:sz="8" w:color="929292"/>
            </w:tcBorders>
            <w:shd w:val="clear" w:color="auto" w:fill="929292"/>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ind w:left="120"/>
              <w:spacing w:after="0"/>
              <w:rPr>
                <w:sz w:val="20"/>
                <w:szCs w:val="20"/>
                <w:color w:val="auto"/>
              </w:rPr>
            </w:pPr>
            <w:r>
              <w:rPr>
                <w:rFonts w:ascii="Arial" w:cs="Arial" w:eastAsia="Arial" w:hAnsi="Arial"/>
                <w:sz w:val="14"/>
                <w:szCs w:val="14"/>
                <w:color w:val="auto"/>
              </w:rPr>
              <w:t>Three months ended Mar.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929292"/>
            </w:tcBorders>
            <w:gridSpan w:val="2"/>
            <w:shd w:val="clear" w:color="auto" w:fill="929292"/>
          </w:tcPr>
          <w:p>
            <w:pPr>
              <w:ind w:left="600"/>
              <w:spacing w:after="0"/>
              <w:rPr>
                <w:sz w:val="20"/>
                <w:szCs w:val="20"/>
                <w:color w:val="auto"/>
              </w:rPr>
            </w:pPr>
            <w:r>
              <w:rPr>
                <w:rFonts w:ascii="Arial" w:cs="Arial" w:eastAsia="Arial" w:hAnsi="Arial"/>
                <w:sz w:val="14"/>
                <w:szCs w:val="14"/>
                <w:color w:val="FFFFFF"/>
              </w:rPr>
              <w:t>% of Net Revenues</w:t>
            </w:r>
          </w:p>
        </w:tc>
      </w:tr>
      <w:tr>
        <w:trPr>
          <w:trHeight w:val="220"/>
        </w:trPr>
        <w:tc>
          <w:tcPr>
            <w:tcW w:w="3240" w:type="dxa"/>
            <w:vAlign w:val="bottom"/>
            <w:tcBorders>
              <w:left w:val="single" w:sz="8" w:color="929292"/>
            </w:tcBorders>
          </w:tcPr>
          <w:p>
            <w:pPr>
              <w:ind w:left="1120"/>
              <w:spacing w:after="0"/>
              <w:rPr>
                <w:sz w:val="20"/>
                <w:szCs w:val="20"/>
                <w:color w:val="auto"/>
              </w:rPr>
            </w:pPr>
            <w:r>
              <w:rPr>
                <w:rFonts w:ascii="Arial" w:cs="Arial" w:eastAsia="Arial" w:hAnsi="Arial"/>
                <w:sz w:val="14"/>
                <w:szCs w:val="14"/>
                <w:b w:val="1"/>
                <w:bCs w:val="1"/>
                <w:color w:val="0A2299"/>
              </w:rPr>
              <w:t>Revenue share</w:t>
            </w:r>
          </w:p>
        </w:tc>
        <w:tc>
          <w:tcPr>
            <w:tcW w:w="80" w:type="dxa"/>
            <w:vAlign w:val="bottom"/>
            <w:shd w:val="clear" w:color="auto" w:fill="929292"/>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88"/>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color w:val="auto"/>
              </w:rPr>
              <w:t>$ Change</w:t>
            </w:r>
          </w:p>
        </w:tc>
        <w:tc>
          <w:tcPr>
            <w:tcW w:w="1460" w:type="dxa"/>
            <w:vAlign w:val="bottom"/>
            <w:gridSpan w:val="2"/>
          </w:tcPr>
          <w:p>
            <w:pPr>
              <w:ind w:left="340"/>
              <w:spacing w:after="0"/>
              <w:rPr>
                <w:sz w:val="20"/>
                <w:szCs w:val="20"/>
                <w:color w:val="auto"/>
              </w:rPr>
            </w:pPr>
            <w:r>
              <w:rPr>
                <w:rFonts w:ascii="Arial" w:cs="Arial" w:eastAsia="Arial" w:hAnsi="Arial"/>
                <w:sz w:val="14"/>
                <w:szCs w:val="14"/>
                <w:color w:val="auto"/>
              </w:rPr>
              <w:t>% Change</w:t>
            </w:r>
          </w:p>
        </w:tc>
        <w:tc>
          <w:tcPr>
            <w:tcW w:w="1180" w:type="dxa"/>
            <w:vAlign w:val="bottom"/>
            <w:shd w:val="clear" w:color="auto" w:fill="929292"/>
          </w:tcPr>
          <w:p>
            <w:pPr>
              <w:jc w:val="right"/>
              <w:ind w:right="368"/>
              <w:spacing w:after="0"/>
              <w:rPr>
                <w:sz w:val="20"/>
                <w:szCs w:val="20"/>
                <w:color w:val="auto"/>
              </w:rPr>
            </w:pPr>
            <w:r>
              <w:rPr>
                <w:rFonts w:ascii="Arial" w:cs="Arial" w:eastAsia="Arial" w:hAnsi="Arial"/>
                <w:sz w:val="14"/>
                <w:szCs w:val="14"/>
                <w:color w:val="FFFFFF"/>
              </w:rPr>
              <w:t>2025</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2024</w:t>
            </w:r>
          </w:p>
        </w:tc>
      </w:tr>
      <w:tr>
        <w:trPr>
          <w:trHeight w:val="194"/>
        </w:trPr>
        <w:tc>
          <w:tcPr>
            <w:tcW w:w="3240" w:type="dxa"/>
            <w:vAlign w:val="bottom"/>
            <w:tcBorders>
              <w:left w:val="single" w:sz="8" w:color="929292"/>
              <w:bottom w:val="single" w:sz="8" w:color="929292"/>
            </w:tcBorders>
          </w:tcPr>
          <w:p>
            <w:pPr>
              <w:spacing w:after="0"/>
              <w:rPr>
                <w:sz w:val="16"/>
                <w:szCs w:val="16"/>
                <w:color w:val="auto"/>
              </w:rPr>
            </w:pPr>
          </w:p>
        </w:tc>
        <w:tc>
          <w:tcPr>
            <w:tcW w:w="80" w:type="dxa"/>
            <w:vAlign w:val="bottom"/>
            <w:tcBorders>
              <w:top w:val="single" w:sz="8" w:color="929292"/>
              <w:bottom w:val="single" w:sz="8" w:color="929292"/>
            </w:tcBorders>
            <w:shd w:val="clear" w:color="auto" w:fill="929292"/>
          </w:tcPr>
          <w:p>
            <w:pPr>
              <w:spacing w:after="0"/>
              <w:rPr>
                <w:sz w:val="16"/>
                <w:szCs w:val="16"/>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39,272</w:t>
            </w:r>
          </w:p>
        </w:tc>
        <w:tc>
          <w:tcPr>
            <w:tcW w:w="80" w:type="dxa"/>
            <w:vAlign w:val="bottom"/>
          </w:tcPr>
          <w:p>
            <w:pPr>
              <w:spacing w:after="0"/>
              <w:rPr>
                <w:sz w:val="16"/>
                <w:szCs w:val="16"/>
                <w:color w:val="auto"/>
              </w:rPr>
            </w:pPr>
          </w:p>
        </w:tc>
        <w:tc>
          <w:tcPr>
            <w:tcW w:w="280" w:type="dxa"/>
            <w:vAlign w:val="bottom"/>
            <w:tcBorders>
              <w:top w:val="single" w:sz="8" w:color="929292"/>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38,013</w:t>
            </w:r>
          </w:p>
        </w:tc>
        <w:tc>
          <w:tcPr>
            <w:tcW w:w="100" w:type="dxa"/>
            <w:vAlign w:val="bottom"/>
          </w:tcPr>
          <w:p>
            <w:pPr>
              <w:spacing w:after="0"/>
              <w:rPr>
                <w:sz w:val="16"/>
                <w:szCs w:val="16"/>
                <w:color w:val="auto"/>
              </w:rPr>
            </w:pPr>
          </w:p>
        </w:tc>
        <w:tc>
          <w:tcPr>
            <w:tcW w:w="200" w:type="dxa"/>
            <w:vAlign w:val="bottom"/>
            <w:tcBorders>
              <w:top w:val="single" w:sz="8" w:color="929292"/>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1,259</w:t>
            </w:r>
          </w:p>
        </w:tc>
        <w:tc>
          <w:tcPr>
            <w:tcW w:w="100" w:type="dxa"/>
            <w:vAlign w:val="bottom"/>
          </w:tcPr>
          <w:p>
            <w:pPr>
              <w:spacing w:after="0"/>
              <w:rPr>
                <w:sz w:val="16"/>
                <w:szCs w:val="16"/>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3.3 %</w:t>
            </w:r>
          </w:p>
        </w:tc>
        <w:tc>
          <w:tcPr>
            <w:tcW w:w="100" w:type="dxa"/>
            <w:vAlign w:val="bottom"/>
          </w:tcPr>
          <w:p>
            <w:pPr>
              <w:spacing w:after="0"/>
              <w:rPr>
                <w:sz w:val="16"/>
                <w:szCs w:val="16"/>
                <w:color w:val="auto"/>
              </w:rPr>
            </w:pPr>
          </w:p>
        </w:tc>
        <w:tc>
          <w:tcPr>
            <w:tcW w:w="1180" w:type="dxa"/>
            <w:vAlign w:val="bottom"/>
            <w:tcBorders>
              <w:top w:val="single" w:sz="8" w:color="929292"/>
            </w:tcBorders>
            <w:shd w:val="clear" w:color="auto" w:fill="929292"/>
          </w:tcPr>
          <w:p>
            <w:pPr>
              <w:jc w:val="right"/>
              <w:ind w:right="328"/>
              <w:spacing w:after="0"/>
              <w:rPr>
                <w:sz w:val="20"/>
                <w:szCs w:val="20"/>
                <w:color w:val="auto"/>
              </w:rPr>
            </w:pPr>
            <w:r>
              <w:rPr>
                <w:rFonts w:ascii="Arial" w:cs="Arial" w:eastAsia="Arial" w:hAnsi="Arial"/>
                <w:sz w:val="14"/>
                <w:szCs w:val="14"/>
                <w:color w:val="FFFFFF"/>
              </w:rPr>
              <w:t>17.8%</w:t>
            </w:r>
          </w:p>
        </w:tc>
        <w:tc>
          <w:tcPr>
            <w:tcW w:w="1260" w:type="dxa"/>
            <w:vAlign w:val="bottom"/>
            <w:tcBorders>
              <w:top w:val="single" w:sz="8" w:color="929292"/>
            </w:tcBorders>
            <w:shd w:val="clear" w:color="auto" w:fill="929292"/>
          </w:tcPr>
          <w:p>
            <w:pPr>
              <w:jc w:val="right"/>
              <w:ind w:right="308"/>
              <w:spacing w:after="0"/>
              <w:rPr>
                <w:sz w:val="20"/>
                <w:szCs w:val="20"/>
                <w:color w:val="auto"/>
              </w:rPr>
            </w:pPr>
            <w:r>
              <w:rPr>
                <w:rFonts w:ascii="Arial" w:cs="Arial" w:eastAsia="Arial" w:hAnsi="Arial"/>
                <w:sz w:val="14"/>
                <w:szCs w:val="14"/>
                <w:color w:val="FFFFFF"/>
              </w:rPr>
              <w:t>20.5%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-144780</wp:posOffset>
            </wp:positionV>
            <wp:extent cx="155130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49"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The increase for the three months ended March 31, 2025 compared to the prior year period was primarily attributable to changing health plan partner mix, partially offset by a decrease in Submissions generated by our external agents, which decreased the amount of expense we recognized pursuant to our revenue-sharing agreements with our external partners.</w:t>
      </w:r>
    </w:p>
    <w:p>
      <w:pPr>
        <w:spacing w:after="0" w:line="199"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40" w:type="dxa"/>
            <w:vAlign w:val="bottom"/>
            <w:tcBorders>
              <w:top w:val="single" w:sz="8" w:color="929292"/>
              <w:left w:val="single" w:sz="8" w:color="929292"/>
            </w:tcBorders>
          </w:tcPr>
          <w:p>
            <w:pPr>
              <w:spacing w:after="0"/>
              <w:rPr>
                <w:sz w:val="18"/>
                <w:szCs w:val="18"/>
                <w:color w:val="auto"/>
              </w:rPr>
            </w:pPr>
          </w:p>
        </w:tc>
        <w:tc>
          <w:tcPr>
            <w:tcW w:w="80" w:type="dxa"/>
            <w:vAlign w:val="bottom"/>
            <w:tcBorders>
              <w:top w:val="single" w:sz="8" w:color="929292"/>
            </w:tcBorders>
            <w:shd w:val="clear" w:color="auto" w:fill="929292"/>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ind w:left="120"/>
              <w:spacing w:after="0"/>
              <w:rPr>
                <w:sz w:val="20"/>
                <w:szCs w:val="20"/>
                <w:color w:val="auto"/>
              </w:rPr>
            </w:pPr>
            <w:r>
              <w:rPr>
                <w:rFonts w:ascii="Arial" w:cs="Arial" w:eastAsia="Arial" w:hAnsi="Arial"/>
                <w:sz w:val="14"/>
                <w:szCs w:val="14"/>
                <w:color w:val="auto"/>
              </w:rPr>
              <w:t>Three months ended Mar.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929292"/>
            </w:tcBorders>
            <w:gridSpan w:val="2"/>
            <w:shd w:val="clear" w:color="auto" w:fill="929292"/>
          </w:tcPr>
          <w:p>
            <w:pPr>
              <w:ind w:left="600"/>
              <w:spacing w:after="0"/>
              <w:rPr>
                <w:sz w:val="20"/>
                <w:szCs w:val="20"/>
                <w:color w:val="auto"/>
              </w:rPr>
            </w:pPr>
            <w:r>
              <w:rPr>
                <w:rFonts w:ascii="Arial" w:cs="Arial" w:eastAsia="Arial" w:hAnsi="Arial"/>
                <w:sz w:val="14"/>
                <w:szCs w:val="14"/>
                <w:color w:val="FFFFFF"/>
              </w:rPr>
              <w:t>% of Net Revenues</w:t>
            </w:r>
          </w:p>
        </w:tc>
      </w:tr>
      <w:tr>
        <w:trPr>
          <w:trHeight w:val="220"/>
        </w:trPr>
        <w:tc>
          <w:tcPr>
            <w:tcW w:w="3240" w:type="dxa"/>
            <w:vAlign w:val="bottom"/>
            <w:tcBorders>
              <w:left w:val="single" w:sz="8" w:color="929292"/>
            </w:tcBorders>
          </w:tcPr>
          <w:p>
            <w:pPr>
              <w:ind w:left="420"/>
              <w:spacing w:after="0"/>
              <w:rPr>
                <w:sz w:val="20"/>
                <w:szCs w:val="20"/>
                <w:color w:val="auto"/>
              </w:rPr>
            </w:pPr>
            <w:r>
              <w:rPr>
                <w:rFonts w:ascii="Arial" w:cs="Arial" w:eastAsia="Arial" w:hAnsi="Arial"/>
                <w:sz w:val="14"/>
                <w:szCs w:val="14"/>
                <w:b w:val="1"/>
                <w:bCs w:val="1"/>
                <w:color w:val="0A2299"/>
              </w:rPr>
              <w:t>Marketing and advertising expense</w:t>
            </w:r>
          </w:p>
        </w:tc>
        <w:tc>
          <w:tcPr>
            <w:tcW w:w="80" w:type="dxa"/>
            <w:vAlign w:val="bottom"/>
            <w:shd w:val="clear" w:color="auto" w:fill="929292"/>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88"/>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color w:val="auto"/>
              </w:rPr>
              <w:t>$ Change</w:t>
            </w:r>
          </w:p>
        </w:tc>
        <w:tc>
          <w:tcPr>
            <w:tcW w:w="1460" w:type="dxa"/>
            <w:vAlign w:val="bottom"/>
            <w:gridSpan w:val="2"/>
          </w:tcPr>
          <w:p>
            <w:pPr>
              <w:ind w:left="340"/>
              <w:spacing w:after="0"/>
              <w:rPr>
                <w:sz w:val="20"/>
                <w:szCs w:val="20"/>
                <w:color w:val="auto"/>
              </w:rPr>
            </w:pPr>
            <w:r>
              <w:rPr>
                <w:rFonts w:ascii="Arial" w:cs="Arial" w:eastAsia="Arial" w:hAnsi="Arial"/>
                <w:sz w:val="14"/>
                <w:szCs w:val="14"/>
                <w:color w:val="auto"/>
              </w:rPr>
              <w:t>% Change</w:t>
            </w:r>
          </w:p>
        </w:tc>
        <w:tc>
          <w:tcPr>
            <w:tcW w:w="1180" w:type="dxa"/>
            <w:vAlign w:val="bottom"/>
            <w:shd w:val="clear" w:color="auto" w:fill="929292"/>
          </w:tcPr>
          <w:p>
            <w:pPr>
              <w:jc w:val="right"/>
              <w:ind w:right="368"/>
              <w:spacing w:after="0"/>
              <w:rPr>
                <w:sz w:val="20"/>
                <w:szCs w:val="20"/>
                <w:color w:val="auto"/>
              </w:rPr>
            </w:pPr>
            <w:r>
              <w:rPr>
                <w:rFonts w:ascii="Arial" w:cs="Arial" w:eastAsia="Arial" w:hAnsi="Arial"/>
                <w:sz w:val="14"/>
                <w:szCs w:val="14"/>
                <w:color w:val="FFFFFF"/>
              </w:rPr>
              <w:t>2025</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2024</w:t>
            </w:r>
          </w:p>
        </w:tc>
      </w:tr>
      <w:tr>
        <w:trPr>
          <w:trHeight w:val="194"/>
        </w:trPr>
        <w:tc>
          <w:tcPr>
            <w:tcW w:w="3240" w:type="dxa"/>
            <w:vAlign w:val="bottom"/>
            <w:tcBorders>
              <w:left w:val="single" w:sz="8" w:color="929292"/>
              <w:bottom w:val="single" w:sz="8" w:color="929292"/>
            </w:tcBorders>
          </w:tcPr>
          <w:p>
            <w:pPr>
              <w:spacing w:after="0"/>
              <w:rPr>
                <w:sz w:val="16"/>
                <w:szCs w:val="16"/>
                <w:color w:val="auto"/>
              </w:rPr>
            </w:pPr>
          </w:p>
        </w:tc>
        <w:tc>
          <w:tcPr>
            <w:tcW w:w="80" w:type="dxa"/>
            <w:vAlign w:val="bottom"/>
            <w:tcBorders>
              <w:top w:val="single" w:sz="8" w:color="929292"/>
              <w:bottom w:val="single" w:sz="8" w:color="929292"/>
            </w:tcBorders>
            <w:shd w:val="clear" w:color="auto" w:fill="929292"/>
          </w:tcPr>
          <w:p>
            <w:pPr>
              <w:spacing w:after="0"/>
              <w:rPr>
                <w:sz w:val="16"/>
                <w:szCs w:val="16"/>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67,415</w:t>
            </w:r>
          </w:p>
        </w:tc>
        <w:tc>
          <w:tcPr>
            <w:tcW w:w="80" w:type="dxa"/>
            <w:vAlign w:val="bottom"/>
          </w:tcPr>
          <w:p>
            <w:pPr>
              <w:spacing w:after="0"/>
              <w:rPr>
                <w:sz w:val="16"/>
                <w:szCs w:val="16"/>
                <w:color w:val="auto"/>
              </w:rPr>
            </w:pPr>
          </w:p>
        </w:tc>
        <w:tc>
          <w:tcPr>
            <w:tcW w:w="280" w:type="dxa"/>
            <w:vAlign w:val="bottom"/>
            <w:tcBorders>
              <w:top w:val="single" w:sz="8" w:color="929292"/>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52,775</w:t>
            </w:r>
          </w:p>
        </w:tc>
        <w:tc>
          <w:tcPr>
            <w:tcW w:w="100" w:type="dxa"/>
            <w:vAlign w:val="bottom"/>
          </w:tcPr>
          <w:p>
            <w:pPr>
              <w:spacing w:after="0"/>
              <w:rPr>
                <w:sz w:val="16"/>
                <w:szCs w:val="16"/>
                <w:color w:val="auto"/>
              </w:rPr>
            </w:pPr>
          </w:p>
        </w:tc>
        <w:tc>
          <w:tcPr>
            <w:tcW w:w="200" w:type="dxa"/>
            <w:vAlign w:val="bottom"/>
            <w:tcBorders>
              <w:top w:val="single" w:sz="8" w:color="929292"/>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14,640</w:t>
            </w:r>
          </w:p>
        </w:tc>
        <w:tc>
          <w:tcPr>
            <w:tcW w:w="100" w:type="dxa"/>
            <w:vAlign w:val="bottom"/>
          </w:tcPr>
          <w:p>
            <w:pPr>
              <w:spacing w:after="0"/>
              <w:rPr>
                <w:sz w:val="16"/>
                <w:szCs w:val="16"/>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27.7 %</w:t>
            </w:r>
          </w:p>
        </w:tc>
        <w:tc>
          <w:tcPr>
            <w:tcW w:w="100" w:type="dxa"/>
            <w:vAlign w:val="bottom"/>
          </w:tcPr>
          <w:p>
            <w:pPr>
              <w:spacing w:after="0"/>
              <w:rPr>
                <w:sz w:val="16"/>
                <w:szCs w:val="16"/>
                <w:color w:val="auto"/>
              </w:rPr>
            </w:pPr>
          </w:p>
        </w:tc>
        <w:tc>
          <w:tcPr>
            <w:tcW w:w="1180" w:type="dxa"/>
            <w:vAlign w:val="bottom"/>
            <w:tcBorders>
              <w:top w:val="single" w:sz="8" w:color="929292"/>
            </w:tcBorders>
            <w:shd w:val="clear" w:color="auto" w:fill="929292"/>
          </w:tcPr>
          <w:p>
            <w:pPr>
              <w:jc w:val="right"/>
              <w:ind w:right="328"/>
              <w:spacing w:after="0"/>
              <w:rPr>
                <w:sz w:val="20"/>
                <w:szCs w:val="20"/>
                <w:color w:val="auto"/>
              </w:rPr>
            </w:pPr>
            <w:r>
              <w:rPr>
                <w:rFonts w:ascii="Arial" w:cs="Arial" w:eastAsia="Arial" w:hAnsi="Arial"/>
                <w:sz w:val="14"/>
                <w:szCs w:val="14"/>
                <w:color w:val="FFFFFF"/>
              </w:rPr>
              <w:t>30.5%</w:t>
            </w:r>
          </w:p>
        </w:tc>
        <w:tc>
          <w:tcPr>
            <w:tcW w:w="1260" w:type="dxa"/>
            <w:vAlign w:val="bottom"/>
            <w:tcBorders>
              <w:top w:val="single" w:sz="8" w:color="929292"/>
            </w:tcBorders>
            <w:shd w:val="clear" w:color="auto" w:fill="929292"/>
          </w:tcPr>
          <w:p>
            <w:pPr>
              <w:jc w:val="right"/>
              <w:ind w:right="308"/>
              <w:spacing w:after="0"/>
              <w:rPr>
                <w:sz w:val="20"/>
                <w:szCs w:val="20"/>
                <w:color w:val="auto"/>
              </w:rPr>
            </w:pPr>
            <w:r>
              <w:rPr>
                <w:rFonts w:ascii="Arial" w:cs="Arial" w:eastAsia="Arial" w:hAnsi="Arial"/>
                <w:sz w:val="14"/>
                <w:szCs w:val="14"/>
                <w:color w:val="FFFFFF"/>
              </w:rPr>
              <w:t>28.4%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-145415</wp:posOffset>
            </wp:positionV>
            <wp:extent cx="15513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551305" cy="889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351155</wp:posOffset>
            </wp:positionV>
            <wp:extent cx="8255" cy="1289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351155</wp:posOffset>
            </wp:positionV>
            <wp:extent cx="8890" cy="128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sectPr>
      </w:pPr>
    </w:p>
    <w:p>
      <w:pPr>
        <w:spacing w:after="0" w:line="200" w:lineRule="exact"/>
        <w:rPr>
          <w:sz w:val="20"/>
          <w:szCs w:val="20"/>
          <w:color w:val="auto"/>
        </w:rPr>
      </w:pPr>
    </w:p>
    <w:p>
      <w:pPr>
        <w:spacing w:after="0" w:line="358"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2025 Form 10-Q</w:t>
      </w:r>
      <w:r>
        <w:rPr>
          <w:sz w:val="20"/>
          <w:szCs w:val="20"/>
          <w:color w:val="auto"/>
        </w:rPr>
        <w:tab/>
      </w: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67" w:right="339" w:bottom="1440" w:gutter="0" w:footer="0" w:header="0"/>
          <w:type w:val="continuous"/>
        </w:sectPr>
      </w:pPr>
    </w:p>
    <w:bookmarkStart w:id="28" w:name="page29"/>
    <w:bookmarkEnd w:id="28"/>
    <w:p>
      <w:pPr>
        <w:ind w:right="280"/>
        <w:spacing w:after="0" w:line="286" w:lineRule="auto"/>
        <w:rPr>
          <w:sz w:val="20"/>
          <w:szCs w:val="20"/>
          <w:color w:val="auto"/>
        </w:rPr>
      </w:pPr>
      <w:r>
        <w:rPr>
          <w:rFonts w:ascii="Arial" w:cs="Arial" w:eastAsia="Arial" w:hAnsi="Arial"/>
          <w:sz w:val="16"/>
          <w:szCs w:val="16"/>
          <w:color w:val="auto"/>
        </w:rPr>
        <w:t>The increase for the three months ended March 31, 2025 compared to the prior year period was primarily attributable to an increase in our marketing and advertising spend to generate more qualified prospects, which contributed to an increase in Submissions generated by our internal agents.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40" w:type="dxa"/>
            <w:vAlign w:val="bottom"/>
            <w:tcBorders>
              <w:top w:val="single" w:sz="8" w:color="929292"/>
              <w:left w:val="single" w:sz="8" w:color="929292"/>
            </w:tcBorders>
          </w:tcPr>
          <w:p>
            <w:pPr>
              <w:spacing w:after="0"/>
              <w:rPr>
                <w:sz w:val="18"/>
                <w:szCs w:val="18"/>
                <w:color w:val="auto"/>
              </w:rPr>
            </w:pPr>
          </w:p>
        </w:tc>
        <w:tc>
          <w:tcPr>
            <w:tcW w:w="80" w:type="dxa"/>
            <w:vAlign w:val="bottom"/>
            <w:tcBorders>
              <w:top w:val="single" w:sz="8" w:color="929292"/>
            </w:tcBorders>
            <w:shd w:val="clear" w:color="auto" w:fill="929292"/>
          </w:tcPr>
          <w:p>
            <w:pPr>
              <w:spacing w:after="0"/>
              <w:rPr>
                <w:sz w:val="18"/>
                <w:szCs w:val="18"/>
                <w:color w:val="auto"/>
              </w:rPr>
            </w:pPr>
          </w:p>
        </w:tc>
        <w:tc>
          <w:tcPr>
            <w:tcW w:w="240" w:type="dxa"/>
            <w:vAlign w:val="bottom"/>
          </w:tcPr>
          <w:p>
            <w:pPr>
              <w:spacing w:after="0"/>
              <w:rPr>
                <w:sz w:val="18"/>
                <w:szCs w:val="18"/>
                <w:color w:val="auto"/>
              </w:rPr>
            </w:pPr>
          </w:p>
        </w:tc>
        <w:tc>
          <w:tcPr>
            <w:tcW w:w="2440" w:type="dxa"/>
            <w:vAlign w:val="bottom"/>
            <w:gridSpan w:val="5"/>
          </w:tcPr>
          <w:p>
            <w:pPr>
              <w:ind w:left="120"/>
              <w:spacing w:after="0"/>
              <w:rPr>
                <w:sz w:val="20"/>
                <w:szCs w:val="20"/>
                <w:color w:val="auto"/>
              </w:rPr>
            </w:pPr>
            <w:r>
              <w:rPr>
                <w:rFonts w:ascii="Arial" w:cs="Arial" w:eastAsia="Arial" w:hAnsi="Arial"/>
                <w:sz w:val="14"/>
                <w:szCs w:val="14"/>
                <w:color w:val="auto"/>
              </w:rPr>
              <w:t>Three months ended Mar.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929292"/>
            </w:tcBorders>
            <w:gridSpan w:val="2"/>
            <w:shd w:val="clear" w:color="auto" w:fill="929292"/>
          </w:tcPr>
          <w:p>
            <w:pPr>
              <w:ind w:left="600"/>
              <w:spacing w:after="0"/>
              <w:rPr>
                <w:sz w:val="20"/>
                <w:szCs w:val="20"/>
                <w:color w:val="auto"/>
              </w:rPr>
            </w:pPr>
            <w:r>
              <w:rPr>
                <w:rFonts w:ascii="Arial" w:cs="Arial" w:eastAsia="Arial" w:hAnsi="Arial"/>
                <w:sz w:val="14"/>
                <w:szCs w:val="14"/>
                <w:color w:val="FFFFFF"/>
              </w:rPr>
              <w:t>% of Net Revenues</w:t>
            </w:r>
          </w:p>
        </w:tc>
      </w:tr>
      <w:tr>
        <w:trPr>
          <w:trHeight w:val="220"/>
        </w:trPr>
        <w:tc>
          <w:tcPr>
            <w:tcW w:w="3240" w:type="dxa"/>
            <w:vAlign w:val="bottom"/>
            <w:tcBorders>
              <w:left w:val="single" w:sz="8" w:color="929292"/>
            </w:tcBorders>
          </w:tcPr>
          <w:p>
            <w:pPr>
              <w:ind w:left="560"/>
              <w:spacing w:after="0"/>
              <w:rPr>
                <w:sz w:val="20"/>
                <w:szCs w:val="20"/>
                <w:color w:val="auto"/>
              </w:rPr>
            </w:pPr>
            <w:r>
              <w:rPr>
                <w:rFonts w:ascii="Arial" w:cs="Arial" w:eastAsia="Arial" w:hAnsi="Arial"/>
                <w:sz w:val="14"/>
                <w:szCs w:val="14"/>
                <w:b w:val="1"/>
                <w:bCs w:val="1"/>
                <w:color w:val="0A2299"/>
              </w:rPr>
              <w:t>Consumer care and enrollment</w:t>
            </w:r>
          </w:p>
        </w:tc>
        <w:tc>
          <w:tcPr>
            <w:tcW w:w="80" w:type="dxa"/>
            <w:vAlign w:val="bottom"/>
            <w:shd w:val="clear" w:color="auto" w:fill="929292"/>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jc w:val="right"/>
              <w:ind w:right="388"/>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color w:val="auto"/>
              </w:rPr>
              <w:t>$ Change</w:t>
            </w:r>
          </w:p>
        </w:tc>
        <w:tc>
          <w:tcPr>
            <w:tcW w:w="1460" w:type="dxa"/>
            <w:vAlign w:val="bottom"/>
            <w:gridSpan w:val="2"/>
          </w:tcPr>
          <w:p>
            <w:pPr>
              <w:ind w:left="340"/>
              <w:spacing w:after="0"/>
              <w:rPr>
                <w:sz w:val="20"/>
                <w:szCs w:val="20"/>
                <w:color w:val="auto"/>
              </w:rPr>
            </w:pPr>
            <w:r>
              <w:rPr>
                <w:rFonts w:ascii="Arial" w:cs="Arial" w:eastAsia="Arial" w:hAnsi="Arial"/>
                <w:sz w:val="14"/>
                <w:szCs w:val="14"/>
                <w:color w:val="auto"/>
              </w:rPr>
              <w:t>% Change</w:t>
            </w:r>
          </w:p>
        </w:tc>
        <w:tc>
          <w:tcPr>
            <w:tcW w:w="1180" w:type="dxa"/>
            <w:vAlign w:val="bottom"/>
            <w:shd w:val="clear" w:color="auto" w:fill="929292"/>
          </w:tcPr>
          <w:p>
            <w:pPr>
              <w:jc w:val="right"/>
              <w:ind w:right="368"/>
              <w:spacing w:after="0"/>
              <w:rPr>
                <w:sz w:val="20"/>
                <w:szCs w:val="20"/>
                <w:color w:val="auto"/>
              </w:rPr>
            </w:pPr>
            <w:r>
              <w:rPr>
                <w:rFonts w:ascii="Arial" w:cs="Arial" w:eastAsia="Arial" w:hAnsi="Arial"/>
                <w:sz w:val="14"/>
                <w:szCs w:val="14"/>
                <w:color w:val="FFFFFF"/>
              </w:rPr>
              <w:t>2025</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2024</w:t>
            </w:r>
          </w:p>
        </w:tc>
      </w:tr>
      <w:tr>
        <w:trPr>
          <w:trHeight w:val="194"/>
        </w:trPr>
        <w:tc>
          <w:tcPr>
            <w:tcW w:w="3240" w:type="dxa"/>
            <w:vAlign w:val="bottom"/>
            <w:tcBorders>
              <w:left w:val="single" w:sz="8" w:color="929292"/>
              <w:bottom w:val="single" w:sz="8" w:color="929292"/>
            </w:tcBorders>
          </w:tcPr>
          <w:p>
            <w:pPr>
              <w:spacing w:after="0"/>
              <w:rPr>
                <w:sz w:val="16"/>
                <w:szCs w:val="16"/>
                <w:color w:val="auto"/>
              </w:rPr>
            </w:pPr>
          </w:p>
        </w:tc>
        <w:tc>
          <w:tcPr>
            <w:tcW w:w="80" w:type="dxa"/>
            <w:vAlign w:val="bottom"/>
            <w:tcBorders>
              <w:top w:val="single" w:sz="8" w:color="929292"/>
              <w:bottom w:val="single" w:sz="8" w:color="929292"/>
            </w:tcBorders>
            <w:shd w:val="clear" w:color="auto" w:fill="929292"/>
          </w:tcPr>
          <w:p>
            <w:pPr>
              <w:spacing w:after="0"/>
              <w:rPr>
                <w:sz w:val="16"/>
                <w:szCs w:val="16"/>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51,698</w:t>
            </w:r>
          </w:p>
        </w:tc>
        <w:tc>
          <w:tcPr>
            <w:tcW w:w="80" w:type="dxa"/>
            <w:vAlign w:val="bottom"/>
          </w:tcPr>
          <w:p>
            <w:pPr>
              <w:spacing w:after="0"/>
              <w:rPr>
                <w:sz w:val="16"/>
                <w:szCs w:val="16"/>
                <w:color w:val="auto"/>
              </w:rPr>
            </w:pPr>
          </w:p>
        </w:tc>
        <w:tc>
          <w:tcPr>
            <w:tcW w:w="280" w:type="dxa"/>
            <w:vAlign w:val="bottom"/>
            <w:tcBorders>
              <w:top w:val="single" w:sz="8" w:color="929292"/>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47,861</w:t>
            </w:r>
          </w:p>
        </w:tc>
        <w:tc>
          <w:tcPr>
            <w:tcW w:w="100" w:type="dxa"/>
            <w:vAlign w:val="bottom"/>
          </w:tcPr>
          <w:p>
            <w:pPr>
              <w:spacing w:after="0"/>
              <w:rPr>
                <w:sz w:val="16"/>
                <w:szCs w:val="16"/>
                <w:color w:val="auto"/>
              </w:rPr>
            </w:pPr>
          </w:p>
        </w:tc>
        <w:tc>
          <w:tcPr>
            <w:tcW w:w="200" w:type="dxa"/>
            <w:vAlign w:val="bottom"/>
            <w:tcBorders>
              <w:top w:val="single" w:sz="8" w:color="929292"/>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3,837</w:t>
            </w:r>
          </w:p>
        </w:tc>
        <w:tc>
          <w:tcPr>
            <w:tcW w:w="100" w:type="dxa"/>
            <w:vAlign w:val="bottom"/>
          </w:tcPr>
          <w:p>
            <w:pPr>
              <w:spacing w:after="0"/>
              <w:rPr>
                <w:sz w:val="16"/>
                <w:szCs w:val="16"/>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8.0 %</w:t>
            </w:r>
          </w:p>
        </w:tc>
        <w:tc>
          <w:tcPr>
            <w:tcW w:w="100" w:type="dxa"/>
            <w:vAlign w:val="bottom"/>
          </w:tcPr>
          <w:p>
            <w:pPr>
              <w:spacing w:after="0"/>
              <w:rPr>
                <w:sz w:val="16"/>
                <w:szCs w:val="16"/>
                <w:color w:val="auto"/>
              </w:rPr>
            </w:pPr>
          </w:p>
        </w:tc>
        <w:tc>
          <w:tcPr>
            <w:tcW w:w="1180" w:type="dxa"/>
            <w:vAlign w:val="bottom"/>
            <w:tcBorders>
              <w:top w:val="single" w:sz="8" w:color="929292"/>
            </w:tcBorders>
            <w:shd w:val="clear" w:color="auto" w:fill="929292"/>
          </w:tcPr>
          <w:p>
            <w:pPr>
              <w:jc w:val="right"/>
              <w:ind w:right="328"/>
              <w:spacing w:after="0"/>
              <w:rPr>
                <w:sz w:val="20"/>
                <w:szCs w:val="20"/>
                <w:color w:val="auto"/>
              </w:rPr>
            </w:pPr>
            <w:r>
              <w:rPr>
                <w:rFonts w:ascii="Arial" w:cs="Arial" w:eastAsia="Arial" w:hAnsi="Arial"/>
                <w:sz w:val="14"/>
                <w:szCs w:val="14"/>
                <w:color w:val="FFFFFF"/>
              </w:rPr>
              <w:t>23.4%</w:t>
            </w:r>
          </w:p>
        </w:tc>
        <w:tc>
          <w:tcPr>
            <w:tcW w:w="1260" w:type="dxa"/>
            <w:vAlign w:val="bottom"/>
            <w:tcBorders>
              <w:top w:val="single" w:sz="8" w:color="929292"/>
            </w:tcBorders>
            <w:shd w:val="clear" w:color="auto" w:fill="929292"/>
          </w:tcPr>
          <w:p>
            <w:pPr>
              <w:jc w:val="right"/>
              <w:ind w:right="308"/>
              <w:spacing w:after="0"/>
              <w:rPr>
                <w:sz w:val="20"/>
                <w:szCs w:val="20"/>
                <w:color w:val="auto"/>
              </w:rPr>
            </w:pPr>
            <w:r>
              <w:rPr>
                <w:rFonts w:ascii="Arial" w:cs="Arial" w:eastAsia="Arial" w:hAnsi="Arial"/>
                <w:sz w:val="14"/>
                <w:szCs w:val="14"/>
                <w:color w:val="FFFFFF"/>
              </w:rPr>
              <w:t>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-145415</wp:posOffset>
            </wp:positionV>
            <wp:extent cx="155130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249" w:lineRule="exact"/>
        <w:rPr>
          <w:sz w:val="20"/>
          <w:szCs w:val="20"/>
          <w:color w:val="auto"/>
        </w:rPr>
      </w:pPr>
    </w:p>
    <w:p>
      <w:pPr>
        <w:ind w:right="460"/>
        <w:spacing w:after="0" w:line="304" w:lineRule="auto"/>
        <w:rPr>
          <w:sz w:val="20"/>
          <w:szCs w:val="20"/>
          <w:color w:val="auto"/>
        </w:rPr>
      </w:pPr>
      <w:r>
        <w:rPr>
          <w:rFonts w:ascii="Arial" w:cs="Arial" w:eastAsia="Arial" w:hAnsi="Arial"/>
          <w:sz w:val="16"/>
          <w:szCs w:val="16"/>
          <w:color w:val="auto"/>
        </w:rPr>
        <w:t>The increase for the three months ended March 31, 2025 compared to the prior year period was primarily attributable to an increased agent headcount associated with the e-TeleQuote acquisition.</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4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220" w:type="dxa"/>
            <w:vAlign w:val="bottom"/>
          </w:tcPr>
          <w:p>
            <w:pPr>
              <w:spacing w:after="0"/>
              <w:rPr>
                <w:sz w:val="18"/>
                <w:szCs w:val="18"/>
                <w:color w:val="auto"/>
              </w:rPr>
            </w:pPr>
          </w:p>
        </w:tc>
        <w:tc>
          <w:tcPr>
            <w:tcW w:w="2440" w:type="dxa"/>
            <w:vAlign w:val="bottom"/>
            <w:gridSpan w:val="5"/>
          </w:tcPr>
          <w:p>
            <w:pPr>
              <w:ind w:left="120"/>
              <w:spacing w:after="0"/>
              <w:rPr>
                <w:sz w:val="20"/>
                <w:szCs w:val="20"/>
                <w:color w:val="auto"/>
              </w:rPr>
            </w:pPr>
            <w:r>
              <w:rPr>
                <w:rFonts w:ascii="Arial" w:cs="Arial" w:eastAsia="Arial" w:hAnsi="Arial"/>
                <w:sz w:val="14"/>
                <w:szCs w:val="14"/>
                <w:color w:val="auto"/>
              </w:rPr>
              <w:t>Three months ended Mar.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929292"/>
            </w:tcBorders>
            <w:gridSpan w:val="2"/>
            <w:shd w:val="clear" w:color="auto" w:fill="929292"/>
          </w:tcPr>
          <w:p>
            <w:pPr>
              <w:jc w:val="right"/>
              <w:ind w:right="528"/>
              <w:spacing w:after="0"/>
              <w:rPr>
                <w:sz w:val="20"/>
                <w:szCs w:val="20"/>
                <w:color w:val="auto"/>
              </w:rPr>
            </w:pPr>
            <w:r>
              <w:rPr>
                <w:rFonts w:ascii="Arial" w:cs="Arial" w:eastAsia="Arial" w:hAnsi="Arial"/>
                <w:sz w:val="14"/>
                <w:szCs w:val="14"/>
                <w:color w:val="FFFFFF"/>
              </w:rPr>
              <w:t>% of Net Revenues</w:t>
            </w:r>
          </w:p>
        </w:tc>
      </w:tr>
      <w:tr>
        <w:trPr>
          <w:trHeight w:val="220"/>
        </w:trPr>
        <w:tc>
          <w:tcPr>
            <w:tcW w:w="3240" w:type="dxa"/>
            <w:vAlign w:val="bottom"/>
            <w:tcBorders>
              <w:left w:val="single" w:sz="8" w:color="929292"/>
            </w:tcBorders>
          </w:tcPr>
          <w:p>
            <w:pPr>
              <w:ind w:left="920"/>
              <w:spacing w:after="0"/>
              <w:rPr>
                <w:sz w:val="20"/>
                <w:szCs w:val="20"/>
                <w:color w:val="auto"/>
              </w:rPr>
            </w:pPr>
            <w:r>
              <w:rPr>
                <w:rFonts w:ascii="Arial" w:cs="Arial" w:eastAsia="Arial" w:hAnsi="Arial"/>
                <w:sz w:val="14"/>
                <w:szCs w:val="14"/>
                <w:b w:val="1"/>
                <w:bCs w:val="1"/>
                <w:color w:val="0A2299"/>
              </w:rPr>
              <w:t>Technology expense</w:t>
            </w:r>
          </w:p>
        </w:tc>
        <w:tc>
          <w:tcPr>
            <w:tcW w:w="100" w:type="dxa"/>
            <w:vAlign w:val="bottom"/>
            <w:shd w:val="clear" w:color="auto" w:fill="929292"/>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ind w:right="388"/>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color w:val="auto"/>
              </w:rPr>
              <w:t>$ Change</w:t>
            </w:r>
          </w:p>
        </w:tc>
        <w:tc>
          <w:tcPr>
            <w:tcW w:w="1460" w:type="dxa"/>
            <w:vAlign w:val="bottom"/>
            <w:gridSpan w:val="2"/>
          </w:tcPr>
          <w:p>
            <w:pPr>
              <w:ind w:left="340"/>
              <w:spacing w:after="0"/>
              <w:rPr>
                <w:sz w:val="20"/>
                <w:szCs w:val="20"/>
                <w:color w:val="auto"/>
              </w:rPr>
            </w:pPr>
            <w:r>
              <w:rPr>
                <w:rFonts w:ascii="Arial" w:cs="Arial" w:eastAsia="Arial" w:hAnsi="Arial"/>
                <w:sz w:val="14"/>
                <w:szCs w:val="14"/>
                <w:color w:val="auto"/>
              </w:rPr>
              <w:t>% Change</w:t>
            </w:r>
          </w:p>
        </w:tc>
        <w:tc>
          <w:tcPr>
            <w:tcW w:w="1180" w:type="dxa"/>
            <w:vAlign w:val="bottom"/>
            <w:shd w:val="clear" w:color="auto" w:fill="929292"/>
          </w:tcPr>
          <w:p>
            <w:pPr>
              <w:jc w:val="right"/>
              <w:ind w:right="368"/>
              <w:spacing w:after="0"/>
              <w:rPr>
                <w:sz w:val="20"/>
                <w:szCs w:val="20"/>
                <w:color w:val="auto"/>
              </w:rPr>
            </w:pPr>
            <w:r>
              <w:rPr>
                <w:rFonts w:ascii="Arial" w:cs="Arial" w:eastAsia="Arial" w:hAnsi="Arial"/>
                <w:sz w:val="14"/>
                <w:szCs w:val="14"/>
                <w:color w:val="FFFFFF"/>
              </w:rPr>
              <w:t>2025</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2024</w:t>
            </w:r>
          </w:p>
        </w:tc>
      </w:tr>
      <w:tr>
        <w:trPr>
          <w:trHeight w:val="194"/>
        </w:trPr>
        <w:tc>
          <w:tcPr>
            <w:tcW w:w="3240" w:type="dxa"/>
            <w:vAlign w:val="bottom"/>
            <w:tcBorders>
              <w:left w:val="single" w:sz="8" w:color="929292"/>
              <w:bottom w:val="single" w:sz="8" w:color="929292"/>
            </w:tcBorders>
          </w:tcPr>
          <w:p>
            <w:pPr>
              <w:spacing w:after="0"/>
              <w:rPr>
                <w:sz w:val="16"/>
                <w:szCs w:val="16"/>
                <w:color w:val="auto"/>
              </w:rPr>
            </w:pPr>
          </w:p>
        </w:tc>
        <w:tc>
          <w:tcPr>
            <w:tcW w:w="100" w:type="dxa"/>
            <w:vAlign w:val="bottom"/>
            <w:tcBorders>
              <w:top w:val="single" w:sz="8" w:color="929292"/>
              <w:bottom w:val="single" w:sz="8" w:color="929292"/>
            </w:tcBorders>
            <w:shd w:val="clear" w:color="auto" w:fill="929292"/>
          </w:tcPr>
          <w:p>
            <w:pPr>
              <w:spacing w:after="0"/>
              <w:rPr>
                <w:sz w:val="16"/>
                <w:szCs w:val="16"/>
                <w:color w:val="auto"/>
              </w:rPr>
            </w:pPr>
          </w:p>
        </w:tc>
        <w:tc>
          <w:tcPr>
            <w:tcW w:w="220" w:type="dxa"/>
            <w:vAlign w:val="bottom"/>
            <w:tcBorders>
              <w:top w:val="single" w:sz="8" w:color="929292"/>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9,038</w:t>
            </w:r>
          </w:p>
        </w:tc>
        <w:tc>
          <w:tcPr>
            <w:tcW w:w="80" w:type="dxa"/>
            <w:vAlign w:val="bottom"/>
          </w:tcPr>
          <w:p>
            <w:pPr>
              <w:spacing w:after="0"/>
              <w:rPr>
                <w:sz w:val="16"/>
                <w:szCs w:val="16"/>
                <w:color w:val="auto"/>
              </w:rPr>
            </w:pPr>
          </w:p>
        </w:tc>
        <w:tc>
          <w:tcPr>
            <w:tcW w:w="280" w:type="dxa"/>
            <w:vAlign w:val="bottom"/>
            <w:tcBorders>
              <w:top w:val="single" w:sz="8" w:color="929292"/>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10,550</w:t>
            </w:r>
          </w:p>
        </w:tc>
        <w:tc>
          <w:tcPr>
            <w:tcW w:w="100" w:type="dxa"/>
            <w:vAlign w:val="bottom"/>
          </w:tcPr>
          <w:p>
            <w:pPr>
              <w:spacing w:after="0"/>
              <w:rPr>
                <w:sz w:val="16"/>
                <w:szCs w:val="16"/>
                <w:color w:val="auto"/>
              </w:rPr>
            </w:pPr>
          </w:p>
        </w:tc>
        <w:tc>
          <w:tcPr>
            <w:tcW w:w="200" w:type="dxa"/>
            <w:vAlign w:val="bottom"/>
            <w:tcBorders>
              <w:top w:val="single" w:sz="8" w:color="929292"/>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(1,512)</w:t>
            </w:r>
          </w:p>
        </w:tc>
        <w:tc>
          <w:tcPr>
            <w:tcW w:w="100" w:type="dxa"/>
            <w:vAlign w:val="bottom"/>
          </w:tcPr>
          <w:p>
            <w:pPr>
              <w:spacing w:after="0"/>
              <w:rPr>
                <w:sz w:val="16"/>
                <w:szCs w:val="16"/>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6"/>
                <w:szCs w:val="16"/>
                <w:color w:val="auto"/>
              </w:rPr>
            </w:pPr>
          </w:p>
        </w:tc>
        <w:tc>
          <w:tcPr>
            <w:tcW w:w="1180" w:type="dxa"/>
            <w:vAlign w:val="bottom"/>
            <w:tcBorders>
              <w:top w:val="single" w:sz="8" w:color="929292"/>
            </w:tcBorders>
            <w:shd w:val="clear" w:color="auto" w:fill="929292"/>
          </w:tcPr>
          <w:p>
            <w:pPr>
              <w:jc w:val="right"/>
              <w:ind w:right="368"/>
              <w:spacing w:after="0"/>
              <w:rPr>
                <w:sz w:val="20"/>
                <w:szCs w:val="20"/>
                <w:color w:val="auto"/>
              </w:rPr>
            </w:pPr>
            <w:r>
              <w:rPr>
                <w:rFonts w:ascii="Arial" w:cs="Arial" w:eastAsia="Arial" w:hAnsi="Arial"/>
                <w:sz w:val="14"/>
                <w:szCs w:val="14"/>
                <w:color w:val="FFFFFF"/>
              </w:rPr>
              <w:t>4.1%</w:t>
            </w:r>
          </w:p>
        </w:tc>
        <w:tc>
          <w:tcPr>
            <w:tcW w:w="1260" w:type="dxa"/>
            <w:vAlign w:val="bottom"/>
            <w:tcBorders>
              <w:top w:val="single" w:sz="8" w:color="929292"/>
            </w:tcBorders>
            <w:shd w:val="clear" w:color="auto" w:fill="929292"/>
          </w:tcPr>
          <w:p>
            <w:pPr>
              <w:jc w:val="right"/>
              <w:ind w:right="348"/>
              <w:spacing w:after="0"/>
              <w:rPr>
                <w:sz w:val="20"/>
                <w:szCs w:val="20"/>
                <w:color w:val="auto"/>
              </w:rPr>
            </w:pPr>
            <w:r>
              <w:rPr>
                <w:rFonts w:ascii="Arial" w:cs="Arial" w:eastAsia="Arial" w:hAnsi="Arial"/>
                <w:sz w:val="14"/>
                <w:szCs w:val="14"/>
                <w:color w:val="FFFFFF"/>
              </w:rPr>
              <w:t>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-144780</wp:posOffset>
            </wp:positionV>
            <wp:extent cx="155130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63" w:lineRule="exact"/>
        <w:rPr>
          <w:sz w:val="20"/>
          <w:szCs w:val="20"/>
          <w:color w:val="auto"/>
        </w:rPr>
      </w:pPr>
    </w:p>
    <w:p>
      <w:pPr>
        <w:ind w:right="580"/>
        <w:spacing w:after="0" w:line="286" w:lineRule="auto"/>
        <w:rPr>
          <w:sz w:val="20"/>
          <w:szCs w:val="20"/>
          <w:color w:val="auto"/>
        </w:rPr>
      </w:pPr>
      <w:r>
        <w:rPr>
          <w:rFonts w:ascii="Arial" w:cs="Arial" w:eastAsia="Arial" w:hAnsi="Arial"/>
          <w:sz w:val="16"/>
          <w:szCs w:val="16"/>
          <w:color w:val="auto"/>
        </w:rPr>
        <w:t>The decrease for the three months ended March 31, 2025 compared to the prior year period was primarily attributable to decreased headcount in our technology support functions.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4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2660" w:type="dxa"/>
            <w:vAlign w:val="bottom"/>
            <w:gridSpan w:val="4"/>
          </w:tcPr>
          <w:p>
            <w:pPr>
              <w:ind w:left="340"/>
              <w:spacing w:after="0"/>
              <w:rPr>
                <w:sz w:val="20"/>
                <w:szCs w:val="20"/>
                <w:color w:val="auto"/>
              </w:rPr>
            </w:pPr>
            <w:r>
              <w:rPr>
                <w:rFonts w:ascii="Arial" w:cs="Arial" w:eastAsia="Arial" w:hAnsi="Arial"/>
                <w:sz w:val="14"/>
                <w:szCs w:val="14"/>
                <w:color w:val="auto"/>
              </w:rPr>
              <w:t>Three months ended Mar.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929292"/>
            </w:tcBorders>
            <w:gridSpan w:val="2"/>
            <w:shd w:val="clear" w:color="auto" w:fill="929292"/>
          </w:tcPr>
          <w:p>
            <w:pPr>
              <w:jc w:val="right"/>
              <w:ind w:right="528"/>
              <w:spacing w:after="0"/>
              <w:rPr>
                <w:sz w:val="20"/>
                <w:szCs w:val="20"/>
                <w:color w:val="auto"/>
              </w:rPr>
            </w:pPr>
            <w:r>
              <w:rPr>
                <w:rFonts w:ascii="Arial" w:cs="Arial" w:eastAsia="Arial" w:hAnsi="Arial"/>
                <w:sz w:val="14"/>
                <w:szCs w:val="14"/>
                <w:color w:val="FFFFFF"/>
              </w:rPr>
              <w:t>% of Net Revenues</w:t>
            </w:r>
          </w:p>
        </w:tc>
      </w:tr>
      <w:tr>
        <w:trPr>
          <w:trHeight w:val="220"/>
        </w:trPr>
        <w:tc>
          <w:tcPr>
            <w:tcW w:w="3240" w:type="dxa"/>
            <w:vAlign w:val="bottom"/>
            <w:tcBorders>
              <w:left w:val="single" w:sz="8" w:color="929292"/>
            </w:tcBorders>
          </w:tcPr>
          <w:p>
            <w:pPr>
              <w:ind w:left="400"/>
              <w:spacing w:after="0"/>
              <w:rPr>
                <w:sz w:val="20"/>
                <w:szCs w:val="20"/>
                <w:color w:val="auto"/>
              </w:rPr>
            </w:pPr>
            <w:r>
              <w:rPr>
                <w:rFonts w:ascii="Arial" w:cs="Arial" w:eastAsia="Arial" w:hAnsi="Arial"/>
                <w:sz w:val="14"/>
                <w:szCs w:val="14"/>
                <w:b w:val="1"/>
                <w:bCs w:val="1"/>
                <w:color w:val="0A2299"/>
              </w:rPr>
              <w:t>General and administrative expense</w:t>
            </w:r>
          </w:p>
        </w:tc>
        <w:tc>
          <w:tcPr>
            <w:tcW w:w="100" w:type="dxa"/>
            <w:vAlign w:val="bottom"/>
            <w:shd w:val="clear" w:color="auto" w:fill="929292"/>
          </w:tcPr>
          <w:p>
            <w:pPr>
              <w:spacing w:after="0"/>
              <w:rPr>
                <w:sz w:val="19"/>
                <w:szCs w:val="19"/>
                <w:color w:val="auto"/>
              </w:rPr>
            </w:pPr>
          </w:p>
        </w:tc>
        <w:tc>
          <w:tcPr>
            <w:tcW w:w="1240" w:type="dxa"/>
            <w:vAlign w:val="bottom"/>
          </w:tcPr>
          <w:p>
            <w:pPr>
              <w:jc w:val="right"/>
              <w:ind w:right="388"/>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9"/>
                <w:szCs w:val="19"/>
                <w:color w:val="auto"/>
              </w:rPr>
            </w:pPr>
          </w:p>
        </w:tc>
        <w:tc>
          <w:tcPr>
            <w:tcW w:w="1240" w:type="dxa"/>
            <w:vAlign w:val="bottom"/>
          </w:tcPr>
          <w:p>
            <w:pPr>
              <w:jc w:val="right"/>
              <w:ind w:right="38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color w:val="auto"/>
              </w:rPr>
              <w:t>$ Change</w:t>
            </w:r>
          </w:p>
        </w:tc>
        <w:tc>
          <w:tcPr>
            <w:tcW w:w="1460" w:type="dxa"/>
            <w:vAlign w:val="bottom"/>
            <w:gridSpan w:val="2"/>
          </w:tcPr>
          <w:p>
            <w:pPr>
              <w:ind w:left="340"/>
              <w:spacing w:after="0"/>
              <w:rPr>
                <w:sz w:val="20"/>
                <w:szCs w:val="20"/>
                <w:color w:val="auto"/>
              </w:rPr>
            </w:pPr>
            <w:r>
              <w:rPr>
                <w:rFonts w:ascii="Arial" w:cs="Arial" w:eastAsia="Arial" w:hAnsi="Arial"/>
                <w:sz w:val="14"/>
                <w:szCs w:val="14"/>
                <w:color w:val="auto"/>
              </w:rPr>
              <w:t>% Change</w:t>
            </w:r>
          </w:p>
        </w:tc>
        <w:tc>
          <w:tcPr>
            <w:tcW w:w="1180" w:type="dxa"/>
            <w:vAlign w:val="bottom"/>
            <w:shd w:val="clear" w:color="auto" w:fill="929292"/>
          </w:tcPr>
          <w:p>
            <w:pPr>
              <w:jc w:val="right"/>
              <w:ind w:right="368"/>
              <w:spacing w:after="0"/>
              <w:rPr>
                <w:sz w:val="20"/>
                <w:szCs w:val="20"/>
                <w:color w:val="auto"/>
              </w:rPr>
            </w:pPr>
            <w:r>
              <w:rPr>
                <w:rFonts w:ascii="Arial" w:cs="Arial" w:eastAsia="Arial" w:hAnsi="Arial"/>
                <w:sz w:val="14"/>
                <w:szCs w:val="14"/>
                <w:color w:val="FFFFFF"/>
              </w:rPr>
              <w:t>2025</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2024</w:t>
            </w:r>
          </w:p>
        </w:tc>
      </w:tr>
      <w:tr>
        <w:trPr>
          <w:trHeight w:val="194"/>
        </w:trPr>
        <w:tc>
          <w:tcPr>
            <w:tcW w:w="3240" w:type="dxa"/>
            <w:vAlign w:val="bottom"/>
            <w:tcBorders>
              <w:left w:val="single" w:sz="8" w:color="929292"/>
              <w:bottom w:val="single" w:sz="8" w:color="929292"/>
            </w:tcBorders>
          </w:tcPr>
          <w:p>
            <w:pPr>
              <w:spacing w:after="0"/>
              <w:rPr>
                <w:sz w:val="16"/>
                <w:szCs w:val="16"/>
                <w:color w:val="auto"/>
              </w:rPr>
            </w:pPr>
          </w:p>
        </w:tc>
        <w:tc>
          <w:tcPr>
            <w:tcW w:w="100" w:type="dxa"/>
            <w:vAlign w:val="bottom"/>
            <w:tcBorders>
              <w:top w:val="single" w:sz="8" w:color="929292"/>
              <w:bottom w:val="single" w:sz="8" w:color="929292"/>
            </w:tcBorders>
            <w:shd w:val="clear" w:color="auto" w:fill="929292"/>
          </w:tcPr>
          <w:p>
            <w:pPr>
              <w:spacing w:after="0"/>
              <w:rPr>
                <w:sz w:val="16"/>
                <w:szCs w:val="16"/>
                <w:color w:val="auto"/>
              </w:rPr>
            </w:pPr>
          </w:p>
        </w:tc>
        <w:tc>
          <w:tcPr>
            <w:tcW w:w="124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22,656</w:t>
            </w:r>
          </w:p>
        </w:tc>
        <w:tc>
          <w:tcPr>
            <w:tcW w:w="80" w:type="dxa"/>
            <w:vAlign w:val="bottom"/>
          </w:tcPr>
          <w:p>
            <w:pPr>
              <w:spacing w:after="0"/>
              <w:rPr>
                <w:sz w:val="16"/>
                <w:szCs w:val="16"/>
                <w:color w:val="auto"/>
              </w:rPr>
            </w:pPr>
          </w:p>
        </w:tc>
        <w:tc>
          <w:tcPr>
            <w:tcW w:w="12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16,919</w:t>
            </w:r>
          </w:p>
        </w:tc>
        <w:tc>
          <w:tcPr>
            <w:tcW w:w="100" w:type="dxa"/>
            <w:vAlign w:val="bottom"/>
          </w:tcPr>
          <w:p>
            <w:pPr>
              <w:spacing w:after="0"/>
              <w:rPr>
                <w:sz w:val="16"/>
                <w:szCs w:val="16"/>
                <w:color w:val="auto"/>
              </w:rPr>
            </w:pPr>
          </w:p>
        </w:tc>
        <w:tc>
          <w:tcPr>
            <w:tcW w:w="200" w:type="dxa"/>
            <w:vAlign w:val="bottom"/>
            <w:tcBorders>
              <w:top w:val="single" w:sz="8" w:color="929292"/>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5,737</w:t>
            </w:r>
          </w:p>
        </w:tc>
        <w:tc>
          <w:tcPr>
            <w:tcW w:w="100" w:type="dxa"/>
            <w:vAlign w:val="bottom"/>
          </w:tcPr>
          <w:p>
            <w:pPr>
              <w:spacing w:after="0"/>
              <w:rPr>
                <w:sz w:val="16"/>
                <w:szCs w:val="16"/>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33.9 %</w:t>
            </w:r>
          </w:p>
        </w:tc>
        <w:tc>
          <w:tcPr>
            <w:tcW w:w="100" w:type="dxa"/>
            <w:vAlign w:val="bottom"/>
          </w:tcPr>
          <w:p>
            <w:pPr>
              <w:spacing w:after="0"/>
              <w:rPr>
                <w:sz w:val="16"/>
                <w:szCs w:val="16"/>
                <w:color w:val="auto"/>
              </w:rPr>
            </w:pPr>
          </w:p>
        </w:tc>
        <w:tc>
          <w:tcPr>
            <w:tcW w:w="1180" w:type="dxa"/>
            <w:vAlign w:val="bottom"/>
            <w:tcBorders>
              <w:top w:val="single" w:sz="8" w:color="929292"/>
            </w:tcBorders>
            <w:shd w:val="clear" w:color="auto" w:fill="929292"/>
          </w:tcPr>
          <w:p>
            <w:pPr>
              <w:jc w:val="right"/>
              <w:ind w:right="328"/>
              <w:spacing w:after="0"/>
              <w:rPr>
                <w:sz w:val="20"/>
                <w:szCs w:val="20"/>
                <w:color w:val="auto"/>
              </w:rPr>
            </w:pPr>
            <w:r>
              <w:rPr>
                <w:rFonts w:ascii="Arial" w:cs="Arial" w:eastAsia="Arial" w:hAnsi="Arial"/>
                <w:sz w:val="14"/>
                <w:szCs w:val="14"/>
                <w:color w:val="FFFFFF"/>
              </w:rPr>
              <w:t>10.3%</w:t>
            </w:r>
          </w:p>
        </w:tc>
        <w:tc>
          <w:tcPr>
            <w:tcW w:w="1260" w:type="dxa"/>
            <w:vAlign w:val="bottom"/>
            <w:tcBorders>
              <w:top w:val="single" w:sz="8" w:color="929292"/>
            </w:tcBorders>
            <w:shd w:val="clear" w:color="auto" w:fill="929292"/>
          </w:tcPr>
          <w:p>
            <w:pPr>
              <w:jc w:val="right"/>
              <w:ind w:right="348"/>
              <w:spacing w:after="0"/>
              <w:rPr>
                <w:sz w:val="20"/>
                <w:szCs w:val="20"/>
                <w:color w:val="auto"/>
              </w:rPr>
            </w:pPr>
            <w:r>
              <w:rPr>
                <w:rFonts w:ascii="Arial" w:cs="Arial" w:eastAsia="Arial" w:hAnsi="Arial"/>
                <w:sz w:val="14"/>
                <w:szCs w:val="14"/>
                <w:color w:val="FFFFFF"/>
              </w:rPr>
              <w:t>9.1%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-144780</wp:posOffset>
            </wp:positionV>
            <wp:extent cx="155130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49"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The increase for the three months ended March 31, 2025 compared to the prior year period was primarily attributable to an increase in cost associated with the e-TeleQuote acquisition and an increase in severance cost.</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4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2660" w:type="dxa"/>
            <w:vAlign w:val="bottom"/>
            <w:gridSpan w:val="4"/>
          </w:tcPr>
          <w:p>
            <w:pPr>
              <w:ind w:left="340"/>
              <w:spacing w:after="0"/>
              <w:rPr>
                <w:sz w:val="20"/>
                <w:szCs w:val="20"/>
                <w:color w:val="auto"/>
              </w:rPr>
            </w:pPr>
            <w:r>
              <w:rPr>
                <w:rFonts w:ascii="Arial" w:cs="Arial" w:eastAsia="Arial" w:hAnsi="Arial"/>
                <w:sz w:val="14"/>
                <w:szCs w:val="14"/>
                <w:color w:val="auto"/>
              </w:rPr>
              <w:t>Three months ended Mar. 31,</w:t>
            </w: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929292"/>
            </w:tcBorders>
            <w:gridSpan w:val="2"/>
            <w:shd w:val="clear" w:color="auto" w:fill="929292"/>
          </w:tcPr>
          <w:p>
            <w:pPr>
              <w:ind w:left="600"/>
              <w:spacing w:after="0"/>
              <w:rPr>
                <w:sz w:val="20"/>
                <w:szCs w:val="20"/>
                <w:color w:val="auto"/>
              </w:rPr>
            </w:pPr>
            <w:r>
              <w:rPr>
                <w:rFonts w:ascii="Arial" w:cs="Arial" w:eastAsia="Arial" w:hAnsi="Arial"/>
                <w:sz w:val="14"/>
                <w:szCs w:val="14"/>
                <w:color w:val="FFFFFF"/>
              </w:rPr>
              <w:t>% of Net Revenues</w:t>
            </w:r>
          </w:p>
        </w:tc>
      </w:tr>
      <w:tr>
        <w:trPr>
          <w:trHeight w:val="220"/>
        </w:trPr>
        <w:tc>
          <w:tcPr>
            <w:tcW w:w="3240" w:type="dxa"/>
            <w:vAlign w:val="bottom"/>
            <w:tcBorders>
              <w:left w:val="single" w:sz="8" w:color="929292"/>
            </w:tcBorders>
          </w:tcPr>
          <w:p>
            <w:pPr>
              <w:ind w:left="500"/>
              <w:spacing w:after="0"/>
              <w:rPr>
                <w:sz w:val="20"/>
                <w:szCs w:val="20"/>
                <w:color w:val="auto"/>
              </w:rPr>
            </w:pPr>
            <w:r>
              <w:rPr>
                <w:rFonts w:ascii="Arial" w:cs="Arial" w:eastAsia="Arial" w:hAnsi="Arial"/>
                <w:sz w:val="14"/>
                <w:szCs w:val="14"/>
                <w:b w:val="1"/>
                <w:bCs w:val="1"/>
                <w:color w:val="0A2299"/>
              </w:rPr>
              <w:t>Amortization of intangible assets</w:t>
            </w:r>
          </w:p>
        </w:tc>
        <w:tc>
          <w:tcPr>
            <w:tcW w:w="100" w:type="dxa"/>
            <w:vAlign w:val="bottom"/>
            <w:tcBorders>
              <w:bottom w:val="single" w:sz="8" w:color="929292"/>
            </w:tcBorders>
            <w:shd w:val="clear" w:color="auto" w:fill="929292"/>
          </w:tcPr>
          <w:p>
            <w:pPr>
              <w:spacing w:after="0"/>
              <w:rPr>
                <w:sz w:val="19"/>
                <w:szCs w:val="19"/>
                <w:color w:val="auto"/>
              </w:rPr>
            </w:pPr>
          </w:p>
        </w:tc>
        <w:tc>
          <w:tcPr>
            <w:tcW w:w="1240" w:type="dxa"/>
            <w:vAlign w:val="bottom"/>
            <w:tcBorders>
              <w:bottom w:val="single" w:sz="8" w:color="929292"/>
            </w:tcBorders>
          </w:tcPr>
          <w:p>
            <w:pPr>
              <w:jc w:val="right"/>
              <w:ind w:right="388"/>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9"/>
                <w:szCs w:val="19"/>
                <w:color w:val="auto"/>
              </w:rPr>
            </w:pPr>
          </w:p>
        </w:tc>
        <w:tc>
          <w:tcPr>
            <w:tcW w:w="1240" w:type="dxa"/>
            <w:vAlign w:val="bottom"/>
            <w:tcBorders>
              <w:bottom w:val="single" w:sz="8" w:color="929292"/>
            </w:tcBorders>
          </w:tcPr>
          <w:p>
            <w:pPr>
              <w:jc w:val="right"/>
              <w:ind w:right="38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9"/>
                <w:szCs w:val="19"/>
                <w:color w:val="auto"/>
              </w:rPr>
            </w:pPr>
          </w:p>
        </w:tc>
        <w:tc>
          <w:tcPr>
            <w:tcW w:w="200" w:type="dxa"/>
            <w:vAlign w:val="bottom"/>
            <w:tcBorders>
              <w:bottom w:val="single" w:sz="8" w:color="929292"/>
            </w:tcBorders>
          </w:tcPr>
          <w:p>
            <w:pPr>
              <w:spacing w:after="0"/>
              <w:rPr>
                <w:sz w:val="19"/>
                <w:szCs w:val="19"/>
                <w:color w:val="auto"/>
              </w:rPr>
            </w:pPr>
          </w:p>
        </w:tc>
        <w:tc>
          <w:tcPr>
            <w:tcW w:w="780" w:type="dxa"/>
            <w:vAlign w:val="bottom"/>
            <w:tcBorders>
              <w:bottom w:val="single" w:sz="8" w:color="929292"/>
            </w:tcBorders>
          </w:tcPr>
          <w:p>
            <w:pPr>
              <w:ind w:left="120"/>
              <w:spacing w:after="0"/>
              <w:rPr>
                <w:sz w:val="20"/>
                <w:szCs w:val="20"/>
                <w:color w:val="auto"/>
              </w:rPr>
            </w:pPr>
            <w:r>
              <w:rPr>
                <w:rFonts w:ascii="Arial" w:cs="Arial" w:eastAsia="Arial" w:hAnsi="Arial"/>
                <w:sz w:val="14"/>
                <w:szCs w:val="14"/>
                <w:color w:val="auto"/>
              </w:rPr>
              <w:t>$ Change</w:t>
            </w:r>
          </w:p>
        </w:tc>
        <w:tc>
          <w:tcPr>
            <w:tcW w:w="260" w:type="dxa"/>
            <w:vAlign w:val="bottom"/>
            <w:tcBorders>
              <w:bottom w:val="single" w:sz="8" w:color="929292"/>
            </w:tcBorders>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Borders>
              <w:bottom w:val="single" w:sz="8" w:color="929292"/>
            </w:tcBorders>
          </w:tcPr>
          <w:p>
            <w:pPr>
              <w:ind w:left="340"/>
              <w:spacing w:after="0"/>
              <w:rPr>
                <w:sz w:val="20"/>
                <w:szCs w:val="20"/>
                <w:color w:val="auto"/>
              </w:rPr>
            </w:pPr>
            <w:r>
              <w:rPr>
                <w:rFonts w:ascii="Arial" w:cs="Arial" w:eastAsia="Arial" w:hAnsi="Arial"/>
                <w:sz w:val="14"/>
                <w:szCs w:val="14"/>
                <w:color w:val="auto"/>
              </w:rPr>
              <w:t>% Change</w:t>
            </w:r>
          </w:p>
        </w:tc>
        <w:tc>
          <w:tcPr>
            <w:tcW w:w="340" w:type="dxa"/>
            <w:vAlign w:val="bottom"/>
            <w:tcBorders>
              <w:bottom w:val="single" w:sz="8" w:color="929292"/>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Borders>
              <w:bottom w:val="single" w:sz="8" w:color="929292"/>
            </w:tcBorders>
            <w:shd w:val="clear" w:color="auto" w:fill="929292"/>
          </w:tcPr>
          <w:p>
            <w:pPr>
              <w:jc w:val="right"/>
              <w:ind w:right="368"/>
              <w:spacing w:after="0"/>
              <w:rPr>
                <w:sz w:val="20"/>
                <w:szCs w:val="20"/>
                <w:color w:val="auto"/>
              </w:rPr>
            </w:pPr>
            <w:r>
              <w:rPr>
                <w:rFonts w:ascii="Arial" w:cs="Arial" w:eastAsia="Arial" w:hAnsi="Arial"/>
                <w:sz w:val="14"/>
                <w:szCs w:val="14"/>
                <w:color w:val="FFFFFF"/>
              </w:rPr>
              <w:t>2025</w:t>
            </w:r>
          </w:p>
        </w:tc>
        <w:tc>
          <w:tcPr>
            <w:tcW w:w="1260" w:type="dxa"/>
            <w:vAlign w:val="bottom"/>
            <w:tcBorders>
              <w:bottom w:val="single" w:sz="8" w:color="929292"/>
            </w:tcBorders>
            <w:shd w:val="clear" w:color="auto" w:fill="929292"/>
          </w:tcPr>
          <w:p>
            <w:pPr>
              <w:jc w:val="right"/>
              <w:ind w:right="348"/>
              <w:spacing w:after="0"/>
              <w:rPr>
                <w:sz w:val="20"/>
                <w:szCs w:val="20"/>
                <w:color w:val="auto"/>
              </w:rPr>
            </w:pPr>
            <w:r>
              <w:rPr>
                <w:rFonts w:ascii="Arial" w:cs="Arial" w:eastAsia="Arial" w:hAnsi="Arial"/>
                <w:sz w:val="14"/>
                <w:szCs w:val="14"/>
                <w:color w:val="FFFFFF"/>
              </w:rPr>
              <w:t>2024</w:t>
            </w:r>
          </w:p>
        </w:tc>
      </w:tr>
      <w:tr>
        <w:trPr>
          <w:trHeight w:val="194"/>
        </w:trPr>
        <w:tc>
          <w:tcPr>
            <w:tcW w:w="3240" w:type="dxa"/>
            <w:vAlign w:val="bottom"/>
            <w:tcBorders>
              <w:left w:val="single" w:sz="8" w:color="929292"/>
              <w:bottom w:val="single" w:sz="8" w:color="929292"/>
            </w:tcBorders>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23,514</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23,514</w:t>
            </w:r>
          </w:p>
        </w:tc>
        <w:tc>
          <w:tcPr>
            <w:tcW w:w="10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color w:val="auto"/>
              </w:rPr>
              <w:t>—</w:t>
            </w:r>
          </w:p>
        </w:tc>
        <w:tc>
          <w:tcPr>
            <w:tcW w:w="440" w:type="dxa"/>
            <w:vAlign w:val="bottom"/>
            <w:gridSpan w:val="2"/>
          </w:tcPr>
          <w:p>
            <w:pPr>
              <w:spacing w:after="0"/>
              <w:rPr>
                <w:sz w:val="20"/>
                <w:szCs w:val="20"/>
                <w:color w:val="auto"/>
              </w:rPr>
            </w:pPr>
            <w:r>
              <w:rPr>
                <w:rFonts w:ascii="Arial" w:cs="Arial" w:eastAsia="Arial" w:hAnsi="Arial"/>
                <w:sz w:val="14"/>
                <w:szCs w:val="14"/>
                <w:color w:val="auto"/>
              </w:rPr>
              <w:t>— %</w:t>
            </w:r>
          </w:p>
        </w:tc>
        <w:tc>
          <w:tcPr>
            <w:tcW w:w="1180" w:type="dxa"/>
            <w:vAlign w:val="bottom"/>
            <w:shd w:val="clear" w:color="auto" w:fill="929292"/>
          </w:tcPr>
          <w:p>
            <w:pPr>
              <w:jc w:val="right"/>
              <w:ind w:right="328"/>
              <w:spacing w:after="0"/>
              <w:rPr>
                <w:sz w:val="20"/>
                <w:szCs w:val="20"/>
                <w:color w:val="auto"/>
              </w:rPr>
            </w:pPr>
            <w:r>
              <w:rPr>
                <w:rFonts w:ascii="Arial" w:cs="Arial" w:eastAsia="Arial" w:hAnsi="Arial"/>
                <w:sz w:val="14"/>
                <w:szCs w:val="14"/>
                <w:color w:val="FFFFFF"/>
              </w:rPr>
              <w:t>10.6%</w:t>
            </w:r>
          </w:p>
        </w:tc>
        <w:tc>
          <w:tcPr>
            <w:tcW w:w="1260" w:type="dxa"/>
            <w:vAlign w:val="bottom"/>
            <w:shd w:val="clear" w:color="auto" w:fill="929292"/>
          </w:tcPr>
          <w:p>
            <w:pPr>
              <w:jc w:val="right"/>
              <w:ind w:right="308"/>
              <w:spacing w:after="0"/>
              <w:rPr>
                <w:sz w:val="20"/>
                <w:szCs w:val="20"/>
                <w:color w:val="auto"/>
              </w:rPr>
            </w:pPr>
            <w:r>
              <w:rPr>
                <w:rFonts w:ascii="Arial" w:cs="Arial" w:eastAsia="Arial" w:hAnsi="Arial"/>
                <w:sz w:val="14"/>
                <w:szCs w:val="14"/>
                <w:color w:val="FFFFFF"/>
              </w:rPr>
              <w:t>12.7%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-144780</wp:posOffset>
            </wp:positionV>
            <wp:extent cx="155130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63"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Amortization of intangible assets expense was $23.5 million for both the three months ended March 31, 2025 and 2024. Amortization of intangible assets expense relates to the amortization of developed technology and customer relationships.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240" w:type="dxa"/>
            <w:vAlign w:val="bottom"/>
            <w:tcBorders>
              <w:top w:val="single" w:sz="8" w:color="929292"/>
              <w:left w:val="single" w:sz="8" w:color="929292"/>
            </w:tcBorders>
          </w:tcPr>
          <w:p>
            <w:pPr>
              <w:spacing w:after="0"/>
              <w:rPr>
                <w:sz w:val="18"/>
                <w:szCs w:val="18"/>
                <w:color w:val="auto"/>
              </w:rPr>
            </w:pPr>
          </w:p>
        </w:tc>
        <w:tc>
          <w:tcPr>
            <w:tcW w:w="80" w:type="dxa"/>
            <w:vAlign w:val="bottom"/>
            <w:tcBorders>
              <w:top w:val="single" w:sz="8" w:color="929292"/>
            </w:tcBorders>
            <w:shd w:val="clear" w:color="auto" w:fill="929292"/>
          </w:tcPr>
          <w:p>
            <w:pPr>
              <w:spacing w:after="0"/>
              <w:rPr>
                <w:sz w:val="18"/>
                <w:szCs w:val="18"/>
                <w:color w:val="auto"/>
              </w:rPr>
            </w:pPr>
          </w:p>
        </w:tc>
        <w:tc>
          <w:tcPr>
            <w:tcW w:w="2680" w:type="dxa"/>
            <w:vAlign w:val="bottom"/>
            <w:gridSpan w:val="4"/>
          </w:tcPr>
          <w:p>
            <w:pPr>
              <w:ind w:left="360"/>
              <w:spacing w:after="0"/>
              <w:rPr>
                <w:sz w:val="20"/>
                <w:szCs w:val="20"/>
                <w:color w:val="auto"/>
              </w:rPr>
            </w:pPr>
            <w:r>
              <w:rPr>
                <w:rFonts w:ascii="Arial" w:cs="Arial" w:eastAsia="Arial" w:hAnsi="Arial"/>
                <w:sz w:val="14"/>
                <w:szCs w:val="14"/>
                <w:color w:val="auto"/>
              </w:rPr>
              <w:t>Three months ended Mar. 31,</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40" w:type="dxa"/>
            <w:vAlign w:val="bottom"/>
            <w:tcBorders>
              <w:top w:val="single" w:sz="8" w:color="929292"/>
            </w:tcBorders>
            <w:gridSpan w:val="2"/>
            <w:shd w:val="clear" w:color="auto" w:fill="929292"/>
          </w:tcPr>
          <w:p>
            <w:pPr>
              <w:jc w:val="right"/>
              <w:ind w:right="528"/>
              <w:spacing w:after="0"/>
              <w:rPr>
                <w:sz w:val="20"/>
                <w:szCs w:val="20"/>
                <w:color w:val="auto"/>
              </w:rPr>
            </w:pPr>
            <w:r>
              <w:rPr>
                <w:rFonts w:ascii="Arial" w:cs="Arial" w:eastAsia="Arial" w:hAnsi="Arial"/>
                <w:sz w:val="14"/>
                <w:szCs w:val="14"/>
                <w:color w:val="FFFFFF"/>
              </w:rPr>
              <w:t>% of Net Revenues</w:t>
            </w:r>
          </w:p>
        </w:tc>
      </w:tr>
      <w:tr>
        <w:trPr>
          <w:trHeight w:val="220"/>
        </w:trPr>
        <w:tc>
          <w:tcPr>
            <w:tcW w:w="3240" w:type="dxa"/>
            <w:vAlign w:val="bottom"/>
            <w:tcBorders>
              <w:left w:val="single" w:sz="8" w:color="929292"/>
            </w:tcBorders>
          </w:tcPr>
          <w:p>
            <w:pPr>
              <w:ind w:left="1060"/>
              <w:spacing w:after="0"/>
              <w:rPr>
                <w:sz w:val="20"/>
                <w:szCs w:val="20"/>
                <w:color w:val="auto"/>
              </w:rPr>
            </w:pPr>
            <w:r>
              <w:rPr>
                <w:rFonts w:ascii="Arial" w:cs="Arial" w:eastAsia="Arial" w:hAnsi="Arial"/>
                <w:sz w:val="14"/>
                <w:szCs w:val="14"/>
                <w:b w:val="1"/>
                <w:bCs w:val="1"/>
                <w:color w:val="0A2299"/>
              </w:rPr>
              <w:t>Interest expense</w:t>
            </w:r>
          </w:p>
        </w:tc>
        <w:tc>
          <w:tcPr>
            <w:tcW w:w="80" w:type="dxa"/>
            <w:vAlign w:val="bottom"/>
            <w:shd w:val="clear" w:color="auto" w:fill="929292"/>
          </w:tcPr>
          <w:p>
            <w:pPr>
              <w:spacing w:after="0"/>
              <w:rPr>
                <w:sz w:val="19"/>
                <w:szCs w:val="19"/>
                <w:color w:val="auto"/>
              </w:rPr>
            </w:pPr>
          </w:p>
        </w:tc>
        <w:tc>
          <w:tcPr>
            <w:tcW w:w="1260" w:type="dxa"/>
            <w:vAlign w:val="bottom"/>
          </w:tcPr>
          <w:p>
            <w:pPr>
              <w:jc w:val="right"/>
              <w:ind w:right="388"/>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9"/>
                <w:szCs w:val="19"/>
                <w:color w:val="auto"/>
              </w:rPr>
            </w:pPr>
          </w:p>
        </w:tc>
        <w:tc>
          <w:tcPr>
            <w:tcW w:w="1240" w:type="dxa"/>
            <w:vAlign w:val="bottom"/>
          </w:tcPr>
          <w:p>
            <w:pPr>
              <w:jc w:val="right"/>
              <w:ind w:right="38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color w:val="auto"/>
              </w:rPr>
              <w:t>$ Change</w:t>
            </w:r>
          </w:p>
        </w:tc>
        <w:tc>
          <w:tcPr>
            <w:tcW w:w="1460" w:type="dxa"/>
            <w:vAlign w:val="bottom"/>
            <w:gridSpan w:val="2"/>
          </w:tcPr>
          <w:p>
            <w:pPr>
              <w:ind w:left="340"/>
              <w:spacing w:after="0"/>
              <w:rPr>
                <w:sz w:val="20"/>
                <w:szCs w:val="20"/>
                <w:color w:val="auto"/>
              </w:rPr>
            </w:pPr>
            <w:r>
              <w:rPr>
                <w:rFonts w:ascii="Arial" w:cs="Arial" w:eastAsia="Arial" w:hAnsi="Arial"/>
                <w:sz w:val="14"/>
                <w:szCs w:val="14"/>
                <w:color w:val="auto"/>
              </w:rPr>
              <w:t>% Change</w:t>
            </w:r>
          </w:p>
        </w:tc>
        <w:tc>
          <w:tcPr>
            <w:tcW w:w="1180" w:type="dxa"/>
            <w:vAlign w:val="bottom"/>
            <w:shd w:val="clear" w:color="auto" w:fill="929292"/>
          </w:tcPr>
          <w:p>
            <w:pPr>
              <w:jc w:val="right"/>
              <w:ind w:right="368"/>
              <w:spacing w:after="0"/>
              <w:rPr>
                <w:sz w:val="20"/>
                <w:szCs w:val="20"/>
                <w:color w:val="auto"/>
              </w:rPr>
            </w:pPr>
            <w:r>
              <w:rPr>
                <w:rFonts w:ascii="Arial" w:cs="Arial" w:eastAsia="Arial" w:hAnsi="Arial"/>
                <w:sz w:val="14"/>
                <w:szCs w:val="14"/>
                <w:color w:val="FFFFFF"/>
              </w:rPr>
              <w:t>2025</w:t>
            </w:r>
          </w:p>
        </w:tc>
        <w:tc>
          <w:tcPr>
            <w:tcW w:w="1260" w:type="dxa"/>
            <w:vAlign w:val="bottom"/>
            <w:shd w:val="clear" w:color="auto" w:fill="929292"/>
          </w:tcPr>
          <w:p>
            <w:pPr>
              <w:jc w:val="right"/>
              <w:ind w:right="348"/>
              <w:spacing w:after="0"/>
              <w:rPr>
                <w:sz w:val="20"/>
                <w:szCs w:val="20"/>
                <w:color w:val="auto"/>
              </w:rPr>
            </w:pPr>
            <w:r>
              <w:rPr>
                <w:rFonts w:ascii="Arial" w:cs="Arial" w:eastAsia="Arial" w:hAnsi="Arial"/>
                <w:sz w:val="14"/>
                <w:szCs w:val="14"/>
                <w:color w:val="FFFFFF"/>
              </w:rPr>
              <w:t>2024</w:t>
            </w:r>
          </w:p>
        </w:tc>
      </w:tr>
      <w:tr>
        <w:trPr>
          <w:trHeight w:val="194"/>
        </w:trPr>
        <w:tc>
          <w:tcPr>
            <w:tcW w:w="3240" w:type="dxa"/>
            <w:vAlign w:val="bottom"/>
            <w:tcBorders>
              <w:left w:val="single" w:sz="8" w:color="929292"/>
              <w:bottom w:val="single" w:sz="8" w:color="929292"/>
            </w:tcBorders>
          </w:tcPr>
          <w:p>
            <w:pPr>
              <w:spacing w:after="0"/>
              <w:rPr>
                <w:sz w:val="16"/>
                <w:szCs w:val="16"/>
                <w:color w:val="auto"/>
              </w:rPr>
            </w:pPr>
          </w:p>
        </w:tc>
        <w:tc>
          <w:tcPr>
            <w:tcW w:w="80" w:type="dxa"/>
            <w:vAlign w:val="bottom"/>
            <w:tcBorders>
              <w:top w:val="single" w:sz="8" w:color="929292"/>
              <w:bottom w:val="single" w:sz="8" w:color="929292"/>
            </w:tcBorders>
            <w:shd w:val="clear" w:color="auto" w:fill="929292"/>
          </w:tcPr>
          <w:p>
            <w:pPr>
              <w:spacing w:after="0"/>
              <w:rPr>
                <w:sz w:val="16"/>
                <w:szCs w:val="16"/>
                <w:color w:val="auto"/>
              </w:rPr>
            </w:pPr>
          </w:p>
        </w:tc>
        <w:tc>
          <w:tcPr>
            <w:tcW w:w="126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15,954</w:t>
            </w:r>
          </w:p>
        </w:tc>
        <w:tc>
          <w:tcPr>
            <w:tcW w:w="80" w:type="dxa"/>
            <w:vAlign w:val="bottom"/>
          </w:tcPr>
          <w:p>
            <w:pPr>
              <w:spacing w:after="0"/>
              <w:rPr>
                <w:sz w:val="16"/>
                <w:szCs w:val="16"/>
                <w:color w:val="auto"/>
              </w:rPr>
            </w:pPr>
          </w:p>
        </w:tc>
        <w:tc>
          <w:tcPr>
            <w:tcW w:w="12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17,951</w:t>
            </w:r>
          </w:p>
        </w:tc>
        <w:tc>
          <w:tcPr>
            <w:tcW w:w="100" w:type="dxa"/>
            <w:vAlign w:val="bottom"/>
          </w:tcPr>
          <w:p>
            <w:pPr>
              <w:spacing w:after="0"/>
              <w:rPr>
                <w:sz w:val="16"/>
                <w:szCs w:val="16"/>
                <w:color w:val="auto"/>
              </w:rPr>
            </w:pPr>
          </w:p>
        </w:tc>
        <w:tc>
          <w:tcPr>
            <w:tcW w:w="200" w:type="dxa"/>
            <w:vAlign w:val="bottom"/>
            <w:tcBorders>
              <w:top w:val="single" w:sz="8" w:color="929292"/>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(1,997)</w:t>
            </w:r>
          </w:p>
        </w:tc>
        <w:tc>
          <w:tcPr>
            <w:tcW w:w="100" w:type="dxa"/>
            <w:vAlign w:val="bottom"/>
          </w:tcPr>
          <w:p>
            <w:pPr>
              <w:spacing w:after="0"/>
              <w:rPr>
                <w:sz w:val="16"/>
                <w:szCs w:val="16"/>
                <w:color w:val="auto"/>
              </w:rPr>
            </w:pPr>
          </w:p>
        </w:tc>
        <w:tc>
          <w:tcPr>
            <w:tcW w:w="136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(11.1)%</w:t>
            </w:r>
          </w:p>
        </w:tc>
        <w:tc>
          <w:tcPr>
            <w:tcW w:w="100" w:type="dxa"/>
            <w:vAlign w:val="bottom"/>
          </w:tcPr>
          <w:p>
            <w:pPr>
              <w:spacing w:after="0"/>
              <w:rPr>
                <w:sz w:val="16"/>
                <w:szCs w:val="16"/>
                <w:color w:val="auto"/>
              </w:rPr>
            </w:pPr>
          </w:p>
        </w:tc>
        <w:tc>
          <w:tcPr>
            <w:tcW w:w="1180" w:type="dxa"/>
            <w:vAlign w:val="bottom"/>
            <w:tcBorders>
              <w:top w:val="single" w:sz="8" w:color="929292"/>
            </w:tcBorders>
            <w:shd w:val="clear" w:color="auto" w:fill="929292"/>
          </w:tcPr>
          <w:p>
            <w:pPr>
              <w:jc w:val="right"/>
              <w:ind w:right="368"/>
              <w:spacing w:after="0"/>
              <w:rPr>
                <w:sz w:val="20"/>
                <w:szCs w:val="20"/>
                <w:color w:val="auto"/>
              </w:rPr>
            </w:pPr>
            <w:r>
              <w:rPr>
                <w:rFonts w:ascii="Arial" w:cs="Arial" w:eastAsia="Arial" w:hAnsi="Arial"/>
                <w:sz w:val="14"/>
                <w:szCs w:val="14"/>
                <w:color w:val="FFFFFF"/>
              </w:rPr>
              <w:t>7.2%</w:t>
            </w:r>
          </w:p>
        </w:tc>
        <w:tc>
          <w:tcPr>
            <w:tcW w:w="1260" w:type="dxa"/>
            <w:vAlign w:val="bottom"/>
            <w:tcBorders>
              <w:top w:val="single" w:sz="8" w:color="929292"/>
            </w:tcBorders>
            <w:shd w:val="clear" w:color="auto" w:fill="929292"/>
          </w:tcPr>
          <w:p>
            <w:pPr>
              <w:jc w:val="right"/>
              <w:ind w:right="348"/>
              <w:spacing w:after="0"/>
              <w:rPr>
                <w:sz w:val="20"/>
                <w:szCs w:val="20"/>
                <w:color w:val="auto"/>
              </w:rPr>
            </w:pPr>
            <w:r>
              <w:rPr>
                <w:rFonts w:ascii="Arial" w:cs="Arial" w:eastAsia="Arial" w:hAnsi="Arial"/>
                <w:sz w:val="14"/>
                <w:szCs w:val="14"/>
                <w:color w:val="FFFFFF"/>
              </w:rPr>
              <w:t>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5585460</wp:posOffset>
            </wp:positionH>
            <wp:positionV relativeFrom="paragraph">
              <wp:posOffset>-144780</wp:posOffset>
            </wp:positionV>
            <wp:extent cx="155130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49" w:lineRule="exact"/>
        <w:rPr>
          <w:sz w:val="20"/>
          <w:szCs w:val="20"/>
          <w:color w:val="auto"/>
        </w:rPr>
      </w:pPr>
    </w:p>
    <w:p>
      <w:pPr>
        <w:ind w:right="120"/>
        <w:spacing w:after="0" w:line="304" w:lineRule="auto"/>
        <w:rPr>
          <w:sz w:val="20"/>
          <w:szCs w:val="20"/>
          <w:color w:val="auto"/>
        </w:rPr>
      </w:pPr>
      <w:r>
        <w:rPr>
          <w:rFonts w:ascii="Arial" w:cs="Arial" w:eastAsia="Arial" w:hAnsi="Arial"/>
          <w:sz w:val="16"/>
          <w:szCs w:val="16"/>
          <w:color w:val="auto"/>
        </w:rPr>
        <w:t>The decrease for the three months ended March 31, 2025 compared to the prior year period was primarily attributable to a decrease in interest rates on our Term Loan Facility.</w:t>
      </w:r>
    </w:p>
    <w:p>
      <w:pPr>
        <w:spacing w:after="0" w:line="163" w:lineRule="exact"/>
        <w:rPr>
          <w:sz w:val="20"/>
          <w:szCs w:val="20"/>
          <w:color w:val="auto"/>
        </w:rPr>
      </w:pPr>
    </w:p>
    <w:tbl>
      <w:tblPr>
        <w:tblLayout w:type="fixed"/>
        <w:tblInd w:w="10" w:type="dxa"/>
        <w:tblCellMar>
          <w:top w:w="0" w:type="dxa"/>
          <w:left w:w="0" w:type="dxa"/>
          <w:bottom w:w="0" w:type="dxa"/>
          <w:right w:w="0" w:type="dxa"/>
        </w:tblCellMar>
      </w:tblPr>
      <w:tr>
        <w:trPr>
          <w:trHeight w:val="208"/>
        </w:trPr>
        <w:tc>
          <w:tcPr>
            <w:tcW w:w="3300" w:type="dxa"/>
            <w:vAlign w:val="bottom"/>
            <w:tcBorders>
              <w:top w:val="single" w:sz="8" w:color="929292"/>
              <w:left w:val="single" w:sz="8" w:color="929292"/>
            </w:tcBorders>
          </w:tcPr>
          <w:p>
            <w:pPr>
              <w:spacing w:after="0"/>
              <w:rPr>
                <w:sz w:val="18"/>
                <w:szCs w:val="18"/>
                <w:color w:val="auto"/>
              </w:rPr>
            </w:pPr>
          </w:p>
        </w:tc>
        <w:tc>
          <w:tcPr>
            <w:tcW w:w="100" w:type="dxa"/>
            <w:vAlign w:val="bottom"/>
            <w:tcBorders>
              <w:top w:val="single" w:sz="8" w:color="929292"/>
            </w:tcBorders>
            <w:shd w:val="clear" w:color="auto" w:fill="929292"/>
          </w:tcPr>
          <w:p>
            <w:pPr>
              <w:spacing w:after="0"/>
              <w:rPr>
                <w:sz w:val="18"/>
                <w:szCs w:val="18"/>
                <w:color w:val="auto"/>
              </w:rPr>
            </w:pPr>
          </w:p>
        </w:tc>
        <w:tc>
          <w:tcPr>
            <w:tcW w:w="2300" w:type="dxa"/>
            <w:vAlign w:val="bottom"/>
            <w:gridSpan w:val="4"/>
          </w:tcPr>
          <w:p>
            <w:pPr>
              <w:jc w:val="right"/>
              <w:ind w:right="8"/>
              <w:spacing w:after="0"/>
              <w:rPr>
                <w:sz w:val="20"/>
                <w:szCs w:val="20"/>
                <w:color w:val="auto"/>
              </w:rPr>
            </w:pPr>
            <w:r>
              <w:rPr>
                <w:rFonts w:ascii="Arial" w:cs="Arial" w:eastAsia="Arial" w:hAnsi="Arial"/>
                <w:sz w:val="14"/>
                <w:szCs w:val="14"/>
                <w:color w:val="auto"/>
              </w:rPr>
              <w:t>Three months ended Mar. 31,</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80" w:type="dxa"/>
            <w:vAlign w:val="bottom"/>
            <w:tcBorders>
              <w:top w:val="single" w:sz="8" w:color="929292"/>
            </w:tcBorders>
            <w:gridSpan w:val="2"/>
            <w:shd w:val="clear" w:color="auto" w:fill="929292"/>
          </w:tcPr>
          <w:p>
            <w:pPr>
              <w:ind w:left="620"/>
              <w:spacing w:after="0"/>
              <w:rPr>
                <w:sz w:val="20"/>
                <w:szCs w:val="20"/>
                <w:color w:val="auto"/>
              </w:rPr>
            </w:pPr>
            <w:r>
              <w:rPr>
                <w:rFonts w:ascii="Arial" w:cs="Arial" w:eastAsia="Arial" w:hAnsi="Arial"/>
                <w:sz w:val="14"/>
                <w:szCs w:val="14"/>
                <w:color w:val="FFFFFF"/>
              </w:rPr>
              <w:t>% of Net Revenues</w:t>
            </w:r>
          </w:p>
        </w:tc>
      </w:tr>
      <w:tr>
        <w:trPr>
          <w:trHeight w:val="222"/>
        </w:trPr>
        <w:tc>
          <w:tcPr>
            <w:tcW w:w="3300" w:type="dxa"/>
            <w:vAlign w:val="bottom"/>
            <w:tcBorders>
              <w:left w:val="single" w:sz="8" w:color="929292"/>
            </w:tcBorders>
          </w:tcPr>
          <w:p>
            <w:pPr>
              <w:ind w:left="420"/>
              <w:spacing w:after="0"/>
              <w:rPr>
                <w:sz w:val="20"/>
                <w:szCs w:val="20"/>
                <w:color w:val="auto"/>
              </w:rPr>
            </w:pPr>
            <w:r>
              <w:rPr>
                <w:rFonts w:ascii="Arial" w:cs="Arial" w:eastAsia="Arial" w:hAnsi="Arial"/>
                <w:sz w:val="14"/>
                <w:szCs w:val="14"/>
                <w:b w:val="1"/>
                <w:bCs w:val="1"/>
                <w:color w:val="0A2299"/>
              </w:rPr>
              <w:t>Operating lease impairment charges</w:t>
            </w:r>
          </w:p>
        </w:tc>
        <w:tc>
          <w:tcPr>
            <w:tcW w:w="100" w:type="dxa"/>
            <w:vAlign w:val="bottom"/>
            <w:tcBorders>
              <w:bottom w:val="single" w:sz="8" w:color="929292"/>
            </w:tcBorders>
            <w:shd w:val="clear" w:color="auto" w:fill="929292"/>
          </w:tcPr>
          <w:p>
            <w:pPr>
              <w:spacing w:after="0"/>
              <w:rPr>
                <w:sz w:val="19"/>
                <w:szCs w:val="19"/>
                <w:color w:val="auto"/>
              </w:rPr>
            </w:pPr>
          </w:p>
        </w:tc>
        <w:tc>
          <w:tcPr>
            <w:tcW w:w="860" w:type="dxa"/>
            <w:vAlign w:val="bottom"/>
            <w:tcBorders>
              <w:bottom w:val="single" w:sz="8" w:color="929292"/>
            </w:tcBorders>
          </w:tcPr>
          <w:p>
            <w:pPr>
              <w:jc w:val="right"/>
              <w:ind w:right="8"/>
              <w:spacing w:after="0"/>
              <w:rPr>
                <w:sz w:val="20"/>
                <w:szCs w:val="20"/>
                <w:color w:val="auto"/>
              </w:rPr>
            </w:pPr>
            <w:r>
              <w:rPr>
                <w:rFonts w:ascii="Arial" w:cs="Arial" w:eastAsia="Arial" w:hAnsi="Arial"/>
                <w:sz w:val="14"/>
                <w:szCs w:val="14"/>
                <w:color w:val="auto"/>
              </w:rPr>
              <w:t>2025</w:t>
            </w:r>
          </w:p>
        </w:tc>
        <w:tc>
          <w:tcPr>
            <w:tcW w:w="380" w:type="dxa"/>
            <w:vAlign w:val="bottom"/>
            <w:tcBorders>
              <w:bottom w:val="single" w:sz="8" w:color="929292"/>
            </w:tcBorders>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Borders>
              <w:bottom w:val="single" w:sz="8" w:color="929292"/>
            </w:tcBorders>
          </w:tcPr>
          <w:p>
            <w:pPr>
              <w:jc w:val="right"/>
              <w:ind w:right="108"/>
              <w:spacing w:after="0"/>
              <w:rPr>
                <w:sz w:val="20"/>
                <w:szCs w:val="20"/>
                <w:color w:val="auto"/>
              </w:rPr>
            </w:pPr>
            <w:r>
              <w:rPr>
                <w:rFonts w:ascii="Arial" w:cs="Arial" w:eastAsia="Arial" w:hAnsi="Arial"/>
                <w:sz w:val="14"/>
                <w:szCs w:val="14"/>
                <w:color w:val="auto"/>
              </w:rPr>
              <w:t>2024</w:t>
            </w:r>
          </w:p>
        </w:tc>
        <w:tc>
          <w:tcPr>
            <w:tcW w:w="280" w:type="dxa"/>
            <w:vAlign w:val="bottom"/>
            <w:tcBorders>
              <w:bottom w:val="single" w:sz="8" w:color="929292"/>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929292"/>
            </w:tcBorders>
          </w:tcPr>
          <w:p>
            <w:pPr>
              <w:spacing w:after="0"/>
              <w:rPr>
                <w:sz w:val="19"/>
                <w:szCs w:val="19"/>
                <w:color w:val="auto"/>
              </w:rPr>
            </w:pPr>
          </w:p>
        </w:tc>
        <w:tc>
          <w:tcPr>
            <w:tcW w:w="1040" w:type="dxa"/>
            <w:vAlign w:val="bottom"/>
            <w:tcBorders>
              <w:bottom w:val="single" w:sz="8" w:color="929292"/>
            </w:tcBorders>
          </w:tcPr>
          <w:p>
            <w:pPr>
              <w:jc w:val="right"/>
              <w:ind w:right="248"/>
              <w:spacing w:after="0"/>
              <w:rPr>
                <w:sz w:val="20"/>
                <w:szCs w:val="20"/>
                <w:color w:val="auto"/>
              </w:rPr>
            </w:pPr>
            <w:r>
              <w:rPr>
                <w:rFonts w:ascii="Arial" w:cs="Arial" w:eastAsia="Arial" w:hAnsi="Arial"/>
                <w:sz w:val="14"/>
                <w:szCs w:val="14"/>
                <w:color w:val="auto"/>
              </w:rPr>
              <w:t>$ Change</w:t>
            </w:r>
          </w:p>
        </w:tc>
        <w:tc>
          <w:tcPr>
            <w:tcW w:w="100" w:type="dxa"/>
            <w:vAlign w:val="bottom"/>
          </w:tcPr>
          <w:p>
            <w:pPr>
              <w:spacing w:after="0"/>
              <w:rPr>
                <w:sz w:val="19"/>
                <w:szCs w:val="19"/>
                <w:color w:val="auto"/>
              </w:rPr>
            </w:pPr>
          </w:p>
        </w:tc>
        <w:tc>
          <w:tcPr>
            <w:tcW w:w="1260" w:type="dxa"/>
            <w:vAlign w:val="bottom"/>
            <w:tcBorders>
              <w:bottom w:val="single" w:sz="8" w:color="929292"/>
            </w:tcBorders>
          </w:tcPr>
          <w:p>
            <w:pPr>
              <w:ind w:left="300"/>
              <w:spacing w:after="0"/>
              <w:rPr>
                <w:sz w:val="20"/>
                <w:szCs w:val="20"/>
                <w:color w:val="auto"/>
              </w:rPr>
            </w:pPr>
            <w:r>
              <w:rPr>
                <w:rFonts w:ascii="Arial" w:cs="Arial" w:eastAsia="Arial" w:hAnsi="Arial"/>
                <w:sz w:val="14"/>
                <w:szCs w:val="14"/>
                <w:color w:val="auto"/>
              </w:rPr>
              <w:t>% Change</w:t>
            </w:r>
          </w:p>
        </w:tc>
        <w:tc>
          <w:tcPr>
            <w:tcW w:w="80" w:type="dxa"/>
            <w:vAlign w:val="bottom"/>
          </w:tcPr>
          <w:p>
            <w:pPr>
              <w:spacing w:after="0"/>
              <w:rPr>
                <w:sz w:val="19"/>
                <w:szCs w:val="19"/>
                <w:color w:val="auto"/>
              </w:rPr>
            </w:pPr>
          </w:p>
        </w:tc>
        <w:tc>
          <w:tcPr>
            <w:tcW w:w="1200" w:type="dxa"/>
            <w:vAlign w:val="bottom"/>
            <w:tcBorders>
              <w:bottom w:val="single" w:sz="8" w:color="929292"/>
            </w:tcBorders>
            <w:shd w:val="clear" w:color="auto" w:fill="929292"/>
          </w:tcPr>
          <w:p>
            <w:pPr>
              <w:jc w:val="right"/>
              <w:ind w:right="368"/>
              <w:spacing w:after="0"/>
              <w:rPr>
                <w:sz w:val="20"/>
                <w:szCs w:val="20"/>
                <w:color w:val="auto"/>
              </w:rPr>
            </w:pPr>
            <w:r>
              <w:rPr>
                <w:rFonts w:ascii="Arial" w:cs="Arial" w:eastAsia="Arial" w:hAnsi="Arial"/>
                <w:sz w:val="14"/>
                <w:szCs w:val="14"/>
                <w:color w:val="FFFFFF"/>
              </w:rPr>
              <w:t>2025</w:t>
            </w:r>
          </w:p>
        </w:tc>
        <w:tc>
          <w:tcPr>
            <w:tcW w:w="1280" w:type="dxa"/>
            <w:vAlign w:val="bottom"/>
            <w:tcBorders>
              <w:bottom w:val="single" w:sz="8" w:color="929292"/>
            </w:tcBorders>
            <w:shd w:val="clear" w:color="auto" w:fill="929292"/>
          </w:tcPr>
          <w:p>
            <w:pPr>
              <w:jc w:val="right"/>
              <w:ind w:right="368"/>
              <w:spacing w:after="0"/>
              <w:rPr>
                <w:sz w:val="20"/>
                <w:szCs w:val="20"/>
                <w:color w:val="auto"/>
              </w:rPr>
            </w:pPr>
            <w:r>
              <w:rPr>
                <w:rFonts w:ascii="Arial" w:cs="Arial" w:eastAsia="Arial" w:hAnsi="Arial"/>
                <w:sz w:val="14"/>
                <w:szCs w:val="14"/>
                <w:color w:val="FFFFFF"/>
              </w:rPr>
              <w:t>2024</w:t>
            </w:r>
          </w:p>
        </w:tc>
      </w:tr>
      <w:tr>
        <w:trPr>
          <w:trHeight w:val="194"/>
        </w:trPr>
        <w:tc>
          <w:tcPr>
            <w:tcW w:w="3300" w:type="dxa"/>
            <w:vAlign w:val="bottom"/>
            <w:tcBorders>
              <w:left w:val="single" w:sz="8" w:color="929292"/>
              <w:bottom w:val="single" w:sz="8" w:color="929292"/>
            </w:tcBorders>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gridSpan w:val="3"/>
          </w:tcPr>
          <w:p>
            <w:pPr>
              <w:ind w:left="60"/>
              <w:spacing w:after="0"/>
              <w:rPr>
                <w:sz w:val="20"/>
                <w:szCs w:val="20"/>
                <w:color w:val="auto"/>
              </w:rPr>
            </w:pPr>
            <w:r>
              <w:rPr>
                <w:rFonts w:ascii="Arial" w:cs="Arial" w:eastAsia="Arial" w:hAnsi="Arial"/>
                <w:sz w:val="14"/>
                <w:szCs w:val="14"/>
                <w:color w:val="auto"/>
              </w:rPr>
              <w:t>—   $</w:t>
            </w:r>
          </w:p>
        </w:tc>
        <w:tc>
          <w:tcPr>
            <w:tcW w:w="1040" w:type="dxa"/>
            <w:vAlign w:val="bottom"/>
          </w:tcPr>
          <w:p>
            <w:pPr>
              <w:jc w:val="right"/>
              <w:spacing w:after="0"/>
              <w:rPr>
                <w:sz w:val="20"/>
                <w:szCs w:val="20"/>
                <w:color w:val="auto"/>
              </w:rPr>
            </w:pPr>
            <w:r>
              <w:rPr>
                <w:rFonts w:ascii="Arial" w:cs="Arial" w:eastAsia="Arial" w:hAnsi="Arial"/>
                <w:sz w:val="14"/>
                <w:szCs w:val="14"/>
                <w:color w:val="auto"/>
              </w:rPr>
              <w:t>710</w:t>
            </w:r>
          </w:p>
        </w:tc>
        <w:tc>
          <w:tcPr>
            <w:tcW w:w="100" w:type="dxa"/>
            <w:vAlign w:val="bottom"/>
          </w:tcPr>
          <w:p>
            <w:pPr>
              <w:spacing w:after="0"/>
              <w:rPr>
                <w:sz w:val="16"/>
                <w:szCs w:val="16"/>
                <w:color w:val="auto"/>
              </w:rPr>
            </w:pPr>
          </w:p>
        </w:tc>
        <w:tc>
          <w:tcPr>
            <w:tcW w:w="1340" w:type="dxa"/>
            <w:vAlign w:val="bottom"/>
            <w:gridSpan w:val="2"/>
          </w:tcPr>
          <w:p>
            <w:pPr>
              <w:ind w:left="1020"/>
              <w:spacing w:after="0"/>
              <w:rPr>
                <w:sz w:val="20"/>
                <w:szCs w:val="20"/>
                <w:color w:val="auto"/>
              </w:rPr>
            </w:pPr>
            <w:r>
              <w:rPr>
                <w:rFonts w:ascii="Arial" w:cs="Arial" w:eastAsia="Arial" w:hAnsi="Arial"/>
                <w:sz w:val="14"/>
                <w:szCs w:val="14"/>
                <w:i w:val="1"/>
                <w:iCs w:val="1"/>
                <w:color w:val="auto"/>
              </w:rPr>
              <w:t>NM</w:t>
            </w:r>
          </w:p>
        </w:tc>
        <w:tc>
          <w:tcPr>
            <w:tcW w:w="1200" w:type="dxa"/>
            <w:vAlign w:val="bottom"/>
            <w:shd w:val="clear" w:color="auto" w:fill="929292"/>
          </w:tcPr>
          <w:p>
            <w:pPr>
              <w:jc w:val="right"/>
              <w:ind w:right="368"/>
              <w:spacing w:after="0"/>
              <w:rPr>
                <w:sz w:val="20"/>
                <w:szCs w:val="20"/>
                <w:color w:val="auto"/>
              </w:rPr>
            </w:pPr>
            <w:r>
              <w:rPr>
                <w:rFonts w:ascii="Arial" w:cs="Arial" w:eastAsia="Arial" w:hAnsi="Arial"/>
                <w:sz w:val="14"/>
                <w:szCs w:val="14"/>
                <w:color w:val="FFFFFF"/>
              </w:rPr>
              <w:t>0.3%</w:t>
            </w:r>
          </w:p>
        </w:tc>
        <w:tc>
          <w:tcPr>
            <w:tcW w:w="1280" w:type="dxa"/>
            <w:vAlign w:val="bottom"/>
            <w:shd w:val="clear" w:color="auto" w:fill="929292"/>
          </w:tcPr>
          <w:p>
            <w:pPr>
              <w:jc w:val="center"/>
              <w:ind w:left="28"/>
              <w:spacing w:after="0"/>
              <w:rPr>
                <w:sz w:val="20"/>
                <w:szCs w:val="20"/>
                <w:color w:val="auto"/>
              </w:rPr>
            </w:pPr>
            <w:r>
              <w:rPr>
                <w:rFonts w:ascii="Arial" w:cs="Arial" w:eastAsia="Arial" w:hAnsi="Arial"/>
                <w:sz w:val="14"/>
                <w:szCs w:val="14"/>
                <w:color w:val="FFFFFF"/>
                <w:w w:val="98"/>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-145415</wp:posOffset>
            </wp:positionV>
            <wp:extent cx="156845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NM = Not meaningful</w:t>
      </w:r>
    </w:p>
    <w:p>
      <w:pPr>
        <w:spacing w:after="0" w:line="210" w:lineRule="exact"/>
        <w:rPr>
          <w:sz w:val="20"/>
          <w:szCs w:val="20"/>
          <w:color w:val="auto"/>
        </w:rPr>
      </w:pPr>
    </w:p>
    <w:p>
      <w:pPr>
        <w:ind w:right="560"/>
        <w:spacing w:after="0" w:line="304" w:lineRule="auto"/>
        <w:rPr>
          <w:sz w:val="20"/>
          <w:szCs w:val="20"/>
          <w:color w:val="auto"/>
        </w:rPr>
      </w:pPr>
      <w:r>
        <w:rPr>
          <w:rFonts w:ascii="Arial" w:cs="Arial" w:eastAsia="Arial" w:hAnsi="Arial"/>
          <w:sz w:val="16"/>
          <w:szCs w:val="16"/>
          <w:color w:val="auto"/>
        </w:rPr>
        <w:t>As part of our continued cost savings initiatives, we are actively looking to terminate or sublease certain office spaces and call centers. These actions resulted in $0.7 million in operating lease impairment charges during the three months ended March 31, 2025.</w:t>
      </w:r>
    </w:p>
    <w:p>
      <w:pPr>
        <w:spacing w:after="0" w:line="18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97F"/>
        </w:rPr>
        <w:t>Non-GAAP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23"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use supplemental measures of our performance that are derived from our consolidated financial information, but which are not presented in our Condensed Consolidated Financial Statements prepared in accordance with GAAP. These non-GAAP financial measures include net income (loss) before interest expense, income tax (benefit) expense and depreciation and amortization expense, or EBITDA, Adjusted EBITDA and Adjusted EBITDA Margin. Adjusted EBITDA is the primary non-GAAP financial performance measure used by management to evaluate the business and to monitor its results of operations. Adjusted EBITDA represents, as applicable for the period, EBITDA as further adjusted for certain items summarized in the table furnished below. Adjusted EBITDA Margin represents Adjusted EBITDA divided by net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292735</wp:posOffset>
            </wp:positionV>
            <wp:extent cx="8255" cy="12827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128270"/>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292735</wp:posOffset>
            </wp:positionV>
            <wp:extent cx="8890" cy="1282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128270"/>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p>
      <w:pPr>
        <w:spacing w:after="0" w:line="200" w:lineRule="exact"/>
        <w:rPr>
          <w:sz w:val="20"/>
          <w:szCs w:val="20"/>
          <w:color w:val="auto"/>
        </w:rPr>
      </w:pPr>
    </w:p>
    <w:p>
      <w:pPr>
        <w:spacing w:after="0" w:line="265"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2025 Form 10-Q</w:t>
      </w:r>
      <w:r>
        <w:rPr>
          <w:sz w:val="20"/>
          <w:szCs w:val="20"/>
          <w:color w:val="auto"/>
        </w:rPr>
        <w:tab/>
      </w: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type w:val="continuous"/>
        </w:sectPr>
      </w:pPr>
    </w:p>
    <w:bookmarkStart w:id="29" w:name="page30"/>
    <w:bookmarkEnd w:id="29"/>
    <w:p>
      <w:pPr>
        <w:ind w:right="220"/>
        <w:spacing w:after="0" w:line="258" w:lineRule="auto"/>
        <w:rPr>
          <w:sz w:val="20"/>
          <w:szCs w:val="20"/>
          <w:color w:val="auto"/>
        </w:rPr>
      </w:pPr>
      <w:r>
        <w:rPr>
          <w:rFonts w:ascii="Arial" w:cs="Arial" w:eastAsia="Arial" w:hAnsi="Arial"/>
          <w:sz w:val="16"/>
          <w:szCs w:val="16"/>
          <w:color w:val="auto"/>
        </w:rPr>
        <w:t>We use non-GAAP financial measures to supplement financial information presented on a GAAP basis. We believe that excluding certain items from our GAAP results allows management to better understand our consolidated financial performance from period to period and better project our future consolidated financial performance as forecasts are developed at a level of detail different from that used to prepare GAAP-based financial measures. Moreover, we believe these non-GAAP financial measures provide our stakeholders with useful information to help them evaluate our operating results by facilitating an enhanced understanding of our operating performance and enabling them to make more meaningful period to period comparisons. Adjusted EBITDA is used as a basis for certain compensation programs sponsored by the Company. There are limitations to the use of the non-GAAP financial measures presented in this Quarterly Report on Form 10-Q. For example,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191"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The non-GAAP financial measures are not meant to be considered as indicators of performance in isolation from or as a substitute for the most directly comparable measures prepared in accordance with GAAP, and should be read only in conjunction with financial information presented on a GAAP basis. Reconciliations of EBITDA, Adjusted EBITDA and Adjusted EBITDA Margin to their most directly comparable GAAP financial measures are presented in the tables furnished below in this Quarterly Report on Form 10-Q. We encourage you to review the reconciliations in conjunction with the presentation of the non-GAAP financial measures for each of the periods presented. In future periods, we may exclude similar items, may incur income and expenses similar to these excluded items and may include other expenses, costs and non-routine items.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reconciliations of GAAP net income (loss) to EBITDA and Adjusted EBITDA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98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2800" w:type="dxa"/>
            <w:vAlign w:val="bottom"/>
            <w:gridSpan w:val="4"/>
          </w:tcPr>
          <w:p>
            <w:pPr>
              <w:jc w:val="right"/>
              <w:ind w:right="568"/>
              <w:spacing w:after="0"/>
              <w:rPr>
                <w:sz w:val="20"/>
                <w:szCs w:val="20"/>
                <w:color w:val="auto"/>
              </w:rPr>
            </w:pPr>
            <w:r>
              <w:rPr>
                <w:rFonts w:ascii="Arial" w:cs="Arial" w:eastAsia="Arial" w:hAnsi="Arial"/>
                <w:sz w:val="14"/>
                <w:szCs w:val="14"/>
                <w:color w:val="auto"/>
              </w:rPr>
              <w:t>Three months ended Mar. 31,</w:t>
            </w:r>
          </w:p>
        </w:tc>
        <w:tc>
          <w:tcPr>
            <w:tcW w:w="0" w:type="dxa"/>
            <w:vAlign w:val="bottom"/>
          </w:tcPr>
          <w:p>
            <w:pPr>
              <w:spacing w:after="0"/>
              <w:rPr>
                <w:sz w:val="1"/>
                <w:szCs w:val="1"/>
                <w:color w:val="auto"/>
              </w:rPr>
            </w:pPr>
          </w:p>
        </w:tc>
      </w:tr>
      <w:tr>
        <w:trPr>
          <w:trHeight w:val="194"/>
        </w:trPr>
        <w:tc>
          <w:tcPr>
            <w:tcW w:w="798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Non-GAAP Financial Measures</w:t>
            </w:r>
          </w:p>
        </w:tc>
        <w:tc>
          <w:tcPr>
            <w:tcW w:w="100" w:type="dxa"/>
            <w:vAlign w:val="bottom"/>
            <w:tcBorders>
              <w:bottom w:val="single" w:sz="8" w:color="929292"/>
            </w:tcBorders>
            <w:shd w:val="clear" w:color="auto" w:fill="929292"/>
          </w:tcPr>
          <w:p>
            <w:pPr>
              <w:spacing w:after="0"/>
              <w:rPr>
                <w:sz w:val="16"/>
                <w:szCs w:val="16"/>
                <w:color w:val="auto"/>
              </w:rPr>
            </w:pPr>
          </w:p>
        </w:tc>
        <w:tc>
          <w:tcPr>
            <w:tcW w:w="360" w:type="dxa"/>
            <w:vAlign w:val="bottom"/>
            <w:tcBorders>
              <w:bottom w:val="single" w:sz="8" w:color="B6B6B6"/>
            </w:tcBorders>
          </w:tcPr>
          <w:p>
            <w:pPr>
              <w:spacing w:after="0"/>
              <w:rPr>
                <w:sz w:val="16"/>
                <w:szCs w:val="16"/>
                <w:color w:val="auto"/>
              </w:rPr>
            </w:pPr>
          </w:p>
        </w:tc>
        <w:tc>
          <w:tcPr>
            <w:tcW w:w="1160" w:type="dxa"/>
            <w:vAlign w:val="bottom"/>
            <w:tcBorders>
              <w:bottom w:val="single" w:sz="8" w:color="B6B6B6"/>
            </w:tcBorders>
          </w:tcPr>
          <w:p>
            <w:pPr>
              <w:jc w:val="right"/>
              <w:ind w:right="52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360" w:type="dxa"/>
            <w:vAlign w:val="bottom"/>
            <w:tcBorders>
              <w:bottom w:val="single" w:sz="8" w:color="B6B6B6"/>
            </w:tcBorders>
          </w:tcPr>
          <w:p>
            <w:pPr>
              <w:spacing w:after="0"/>
              <w:rPr>
                <w:sz w:val="16"/>
                <w:szCs w:val="16"/>
                <w:color w:val="auto"/>
              </w:rPr>
            </w:pPr>
          </w:p>
        </w:tc>
        <w:tc>
          <w:tcPr>
            <w:tcW w:w="1180" w:type="dxa"/>
            <w:vAlign w:val="bottom"/>
            <w:tcBorders>
              <w:bottom w:val="single" w:sz="8" w:color="B6B6B6"/>
            </w:tcBorders>
          </w:tcPr>
          <w:p>
            <w:pPr>
              <w:jc w:val="right"/>
              <w:ind w:right="528"/>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98"/>
        </w:trPr>
        <w:tc>
          <w:tcPr>
            <w:tcW w:w="7980" w:type="dxa"/>
            <w:vAlign w:val="bottom"/>
          </w:tcPr>
          <w:p>
            <w:pPr>
              <w:ind w:left="20"/>
              <w:spacing w:after="0"/>
              <w:rPr>
                <w:sz w:val="20"/>
                <w:szCs w:val="20"/>
                <w:color w:val="auto"/>
              </w:rPr>
            </w:pPr>
            <w:r>
              <w:rPr>
                <w:rFonts w:ascii="Arial" w:cs="Arial" w:eastAsia="Arial" w:hAnsi="Arial"/>
                <w:sz w:val="14"/>
                <w:szCs w:val="14"/>
                <w:b w:val="1"/>
                <w:bCs w:val="1"/>
                <w:color w:val="auto"/>
              </w:rPr>
              <w:t>Net revenues</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rPr>
              <w:t>220,972</w:t>
            </w:r>
          </w:p>
        </w:tc>
        <w:tc>
          <w:tcPr>
            <w:tcW w:w="100" w:type="dxa"/>
            <w:vAlign w:val="bottom"/>
          </w:tcPr>
          <w:p>
            <w:pPr>
              <w:spacing w:after="0"/>
              <w:rPr>
                <w:sz w:val="17"/>
                <w:szCs w:val="17"/>
                <w:color w:val="auto"/>
              </w:rPr>
            </w:pPr>
          </w:p>
        </w:tc>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b w:val="1"/>
                <w:bCs w:val="1"/>
                <w:color w:val="auto"/>
              </w:rPr>
              <w:t>185,600</w:t>
            </w:r>
          </w:p>
        </w:tc>
        <w:tc>
          <w:tcPr>
            <w:tcW w:w="0" w:type="dxa"/>
            <w:vAlign w:val="bottom"/>
          </w:tcPr>
          <w:p>
            <w:pPr>
              <w:spacing w:after="0"/>
              <w:rPr>
                <w:sz w:val="1"/>
                <w:szCs w:val="1"/>
                <w:color w:val="auto"/>
              </w:rPr>
            </w:pPr>
          </w:p>
        </w:tc>
      </w:tr>
      <w:tr>
        <w:trPr>
          <w:trHeight w:val="190"/>
        </w:trPr>
        <w:tc>
          <w:tcPr>
            <w:tcW w:w="7980" w:type="dxa"/>
            <w:vAlign w:val="bottom"/>
          </w:tcPr>
          <w:p>
            <w:pPr>
              <w:ind w:left="140"/>
              <w:spacing w:after="0"/>
              <w:rPr>
                <w:sz w:val="20"/>
                <w:szCs w:val="20"/>
                <w:color w:val="auto"/>
              </w:rPr>
            </w:pPr>
            <w:r>
              <w:rPr>
                <w:rFonts w:ascii="Arial" w:cs="Arial" w:eastAsia="Arial" w:hAnsi="Arial"/>
                <w:sz w:val="14"/>
                <w:szCs w:val="14"/>
                <w:color w:val="auto"/>
              </w:rPr>
              <w:t>Net income (loss)</w:t>
            </w:r>
          </w:p>
        </w:tc>
        <w:tc>
          <w:tcPr>
            <w:tcW w:w="100" w:type="dxa"/>
            <w:vAlign w:val="bottom"/>
            <w:shd w:val="clear" w:color="auto" w:fill="929292"/>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(9,786)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(21,346)</w:t>
            </w:r>
          </w:p>
        </w:tc>
        <w:tc>
          <w:tcPr>
            <w:tcW w:w="0" w:type="dxa"/>
            <w:vAlign w:val="bottom"/>
          </w:tcPr>
          <w:p>
            <w:pPr>
              <w:spacing w:after="0"/>
              <w:rPr>
                <w:sz w:val="1"/>
                <w:szCs w:val="1"/>
                <w:color w:val="auto"/>
              </w:rPr>
            </w:pPr>
          </w:p>
        </w:tc>
      </w:tr>
      <w:tr>
        <w:trPr>
          <w:trHeight w:val="203"/>
        </w:trPr>
        <w:tc>
          <w:tcPr>
            <w:tcW w:w="7980" w:type="dxa"/>
            <w:vAlign w:val="bottom"/>
          </w:tcPr>
          <w:p>
            <w:pPr>
              <w:ind w:left="140"/>
              <w:spacing w:after="0"/>
              <w:rPr>
                <w:sz w:val="20"/>
                <w:szCs w:val="20"/>
                <w:color w:val="auto"/>
              </w:rPr>
            </w:pPr>
            <w:r>
              <w:rPr>
                <w:rFonts w:ascii="Arial" w:cs="Arial" w:eastAsia="Arial" w:hAnsi="Arial"/>
                <w:sz w:val="14"/>
                <w:szCs w:val="14"/>
                <w:color w:val="auto"/>
              </w:rPr>
              <w:t>Interest expense</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15,954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17,951</w:t>
            </w:r>
          </w:p>
        </w:tc>
        <w:tc>
          <w:tcPr>
            <w:tcW w:w="0" w:type="dxa"/>
            <w:vAlign w:val="bottom"/>
          </w:tcPr>
          <w:p>
            <w:pPr>
              <w:spacing w:after="0"/>
              <w:rPr>
                <w:sz w:val="1"/>
                <w:szCs w:val="1"/>
                <w:color w:val="auto"/>
              </w:rPr>
            </w:pPr>
          </w:p>
        </w:tc>
      </w:tr>
      <w:tr>
        <w:trPr>
          <w:trHeight w:val="203"/>
        </w:trPr>
        <w:tc>
          <w:tcPr>
            <w:tcW w:w="7980" w:type="dxa"/>
            <w:vAlign w:val="bottom"/>
          </w:tcPr>
          <w:p>
            <w:pPr>
              <w:ind w:left="140"/>
              <w:spacing w:after="0"/>
              <w:rPr>
                <w:sz w:val="20"/>
                <w:szCs w:val="20"/>
                <w:color w:val="auto"/>
              </w:rPr>
            </w:pPr>
            <w:r>
              <w:rPr>
                <w:rFonts w:ascii="Arial" w:cs="Arial" w:eastAsia="Arial" w:hAnsi="Arial"/>
                <w:sz w:val="14"/>
                <w:szCs w:val="14"/>
                <w:color w:val="auto"/>
              </w:rPr>
              <w:t>Income tax expense (benefit)</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1,102</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4"/>
        </w:trPr>
        <w:tc>
          <w:tcPr>
            <w:tcW w:w="7980" w:type="dxa"/>
            <w:vAlign w:val="bottom"/>
          </w:tcPr>
          <w:p>
            <w:pPr>
              <w:ind w:left="140"/>
              <w:spacing w:after="0"/>
              <w:rPr>
                <w:sz w:val="20"/>
                <w:szCs w:val="20"/>
                <w:color w:val="auto"/>
              </w:rPr>
            </w:pPr>
            <w:r>
              <w:rPr>
                <w:rFonts w:ascii="Arial" w:cs="Arial" w:eastAsia="Arial" w:hAnsi="Arial"/>
                <w:sz w:val="14"/>
                <w:szCs w:val="14"/>
                <w:color w:val="auto"/>
              </w:rPr>
              <w:t>Depreciation and amortization expense</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26,477</w:t>
            </w:r>
          </w:p>
        </w:tc>
        <w:tc>
          <w:tcPr>
            <w:tcW w:w="10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26,246</w:t>
            </w:r>
          </w:p>
        </w:tc>
        <w:tc>
          <w:tcPr>
            <w:tcW w:w="0" w:type="dxa"/>
            <w:vAlign w:val="bottom"/>
          </w:tcPr>
          <w:p>
            <w:pPr>
              <w:spacing w:after="0"/>
              <w:rPr>
                <w:sz w:val="1"/>
                <w:szCs w:val="1"/>
                <w:color w:val="auto"/>
              </w:rPr>
            </w:pPr>
          </w:p>
        </w:tc>
      </w:tr>
      <w:tr>
        <w:trPr>
          <w:trHeight w:val="196"/>
        </w:trPr>
        <w:tc>
          <w:tcPr>
            <w:tcW w:w="7980" w:type="dxa"/>
            <w:vAlign w:val="bottom"/>
          </w:tcPr>
          <w:p>
            <w:pPr>
              <w:ind w:left="20"/>
              <w:spacing w:after="0"/>
              <w:rPr>
                <w:sz w:val="20"/>
                <w:szCs w:val="20"/>
                <w:color w:val="auto"/>
              </w:rPr>
            </w:pPr>
            <w:r>
              <w:rPr>
                <w:rFonts w:ascii="Arial" w:cs="Arial" w:eastAsia="Arial" w:hAnsi="Arial"/>
                <w:sz w:val="14"/>
                <w:szCs w:val="14"/>
                <w:color w:val="auto"/>
              </w:rPr>
              <w:t>EBITDA</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33,747</w:t>
            </w:r>
          </w:p>
        </w:tc>
        <w:tc>
          <w:tcPr>
            <w:tcW w:w="10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22,780</w:t>
            </w:r>
          </w:p>
        </w:tc>
        <w:tc>
          <w:tcPr>
            <w:tcW w:w="0" w:type="dxa"/>
            <w:vAlign w:val="bottom"/>
          </w:tcPr>
          <w:p>
            <w:pPr>
              <w:spacing w:after="0"/>
              <w:rPr>
                <w:sz w:val="1"/>
                <w:szCs w:val="1"/>
                <w:color w:val="auto"/>
              </w:rPr>
            </w:pPr>
          </w:p>
        </w:tc>
      </w:tr>
      <w:tr>
        <w:trPr>
          <w:trHeight w:val="194"/>
        </w:trPr>
        <w:tc>
          <w:tcPr>
            <w:tcW w:w="7980" w:type="dxa"/>
            <w:vAlign w:val="bottom"/>
          </w:tcPr>
          <w:p>
            <w:pPr>
              <w:ind w:left="140"/>
              <w:spacing w:after="0"/>
              <w:rPr>
                <w:sz w:val="20"/>
                <w:szCs w:val="20"/>
                <w:color w:val="auto"/>
              </w:rPr>
            </w:pPr>
            <w:r>
              <w:rPr>
                <w:rFonts w:ascii="Arial" w:cs="Arial" w:eastAsia="Arial" w:hAnsi="Arial"/>
                <w:sz w:val="14"/>
                <w:szCs w:val="14"/>
                <w:color w:val="auto"/>
              </w:rPr>
              <w:t>Severance costs</w:t>
            </w:r>
            <w:r>
              <w:rPr>
                <w:rFonts w:ascii="Arial" w:cs="Arial" w:eastAsia="Arial" w:hAnsi="Arial"/>
                <w:sz w:val="9"/>
                <w:szCs w:val="9"/>
                <w:color w:val="auto"/>
              </w:rPr>
              <w:t>(1)</w:t>
            </w:r>
          </w:p>
        </w:tc>
        <w:tc>
          <w:tcPr>
            <w:tcW w:w="100" w:type="dxa"/>
            <w:vAlign w:val="bottom"/>
            <w:shd w:val="clear" w:color="auto" w:fill="929292"/>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3,815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1,828</w:t>
            </w:r>
          </w:p>
        </w:tc>
        <w:tc>
          <w:tcPr>
            <w:tcW w:w="0" w:type="dxa"/>
            <w:vAlign w:val="bottom"/>
          </w:tcPr>
          <w:p>
            <w:pPr>
              <w:spacing w:after="0"/>
              <w:rPr>
                <w:sz w:val="1"/>
                <w:szCs w:val="1"/>
                <w:color w:val="auto"/>
              </w:rPr>
            </w:pPr>
          </w:p>
        </w:tc>
      </w:tr>
      <w:tr>
        <w:trPr>
          <w:trHeight w:val="203"/>
        </w:trPr>
        <w:tc>
          <w:tcPr>
            <w:tcW w:w="7980" w:type="dxa"/>
            <w:vAlign w:val="bottom"/>
          </w:tcPr>
          <w:p>
            <w:pPr>
              <w:ind w:left="140"/>
              <w:spacing w:after="0"/>
              <w:rPr>
                <w:sz w:val="20"/>
                <w:szCs w:val="20"/>
                <w:color w:val="auto"/>
              </w:rPr>
            </w:pPr>
            <w:r>
              <w:rPr>
                <w:rFonts w:ascii="Arial" w:cs="Arial" w:eastAsia="Arial" w:hAnsi="Arial"/>
                <w:sz w:val="14"/>
                <w:szCs w:val="14"/>
                <w:color w:val="auto"/>
              </w:rPr>
              <w:t>Share-based compensation expense</w:t>
            </w:r>
            <w:r>
              <w:rPr>
                <w:rFonts w:ascii="Arial" w:cs="Arial" w:eastAsia="Arial" w:hAnsi="Arial"/>
                <w:sz w:val="9"/>
                <w:szCs w:val="9"/>
                <w:color w:val="auto"/>
              </w:rPr>
              <w:t>(2)</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2,803</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1,783</w:t>
            </w:r>
          </w:p>
        </w:tc>
        <w:tc>
          <w:tcPr>
            <w:tcW w:w="0" w:type="dxa"/>
            <w:vAlign w:val="bottom"/>
          </w:tcPr>
          <w:p>
            <w:pPr>
              <w:spacing w:after="0"/>
              <w:rPr>
                <w:sz w:val="1"/>
                <w:szCs w:val="1"/>
                <w:color w:val="auto"/>
              </w:rPr>
            </w:pPr>
          </w:p>
        </w:tc>
      </w:tr>
      <w:tr>
        <w:trPr>
          <w:trHeight w:val="203"/>
        </w:trPr>
        <w:tc>
          <w:tcPr>
            <w:tcW w:w="7980" w:type="dxa"/>
            <w:vAlign w:val="bottom"/>
          </w:tcPr>
          <w:p>
            <w:pPr>
              <w:ind w:left="140"/>
              <w:spacing w:after="0"/>
              <w:rPr>
                <w:sz w:val="20"/>
                <w:szCs w:val="20"/>
                <w:color w:val="auto"/>
              </w:rPr>
            </w:pPr>
            <w:r>
              <w:rPr>
                <w:rFonts w:ascii="Arial" w:cs="Arial" w:eastAsia="Arial" w:hAnsi="Arial"/>
                <w:sz w:val="14"/>
                <w:szCs w:val="14"/>
                <w:color w:val="auto"/>
              </w:rPr>
              <w:t>Professional services</w:t>
            </w:r>
            <w:r>
              <w:rPr>
                <w:rFonts w:ascii="Arial" w:cs="Arial" w:eastAsia="Arial" w:hAnsi="Arial"/>
                <w:sz w:val="9"/>
                <w:szCs w:val="9"/>
                <w:color w:val="auto"/>
              </w:rPr>
              <w:t>(3)</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796</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7980" w:type="dxa"/>
            <w:vAlign w:val="bottom"/>
          </w:tcPr>
          <w:p>
            <w:pPr>
              <w:ind w:left="140"/>
              <w:spacing w:after="0"/>
              <w:rPr>
                <w:sz w:val="20"/>
                <w:szCs w:val="20"/>
                <w:color w:val="auto"/>
              </w:rPr>
            </w:pPr>
            <w:r>
              <w:rPr>
                <w:rFonts w:ascii="Arial" w:cs="Arial" w:eastAsia="Arial" w:hAnsi="Arial"/>
                <w:sz w:val="14"/>
                <w:szCs w:val="14"/>
                <w:color w:val="auto"/>
              </w:rPr>
              <w:t>Operating lease impairment and other charges</w:t>
            </w:r>
            <w:r>
              <w:rPr>
                <w:rFonts w:ascii="Arial" w:cs="Arial" w:eastAsia="Arial" w:hAnsi="Arial"/>
                <w:sz w:val="9"/>
                <w:szCs w:val="9"/>
                <w:color w:val="auto"/>
              </w:rPr>
              <w:t>(4)</w:t>
            </w:r>
          </w:p>
        </w:tc>
        <w:tc>
          <w:tcPr>
            <w:tcW w:w="100" w:type="dxa"/>
            <w:vAlign w:val="bottom"/>
            <w:shd w:val="clear" w:color="auto" w:fill="929292"/>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7"/>
        </w:trPr>
        <w:tc>
          <w:tcPr>
            <w:tcW w:w="7980" w:type="dxa"/>
            <w:vAlign w:val="bottom"/>
          </w:tcPr>
          <w:p>
            <w:pPr>
              <w:ind w:left="140"/>
              <w:spacing w:after="0"/>
              <w:rPr>
                <w:sz w:val="20"/>
                <w:szCs w:val="20"/>
                <w:color w:val="auto"/>
              </w:rPr>
            </w:pPr>
            <w:r>
              <w:rPr>
                <w:rFonts w:ascii="Arial" w:cs="Arial" w:eastAsia="Arial" w:hAnsi="Arial"/>
                <w:sz w:val="14"/>
                <w:szCs w:val="14"/>
                <w:color w:val="auto"/>
              </w:rPr>
              <w:t>Legal fees</w:t>
            </w:r>
            <w:r>
              <w:rPr>
                <w:rFonts w:ascii="Arial" w:cs="Arial" w:eastAsia="Arial" w:hAnsi="Arial"/>
                <w:sz w:val="9"/>
                <w:szCs w:val="9"/>
                <w:color w:val="auto"/>
              </w:rPr>
              <w:t>(5)</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6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425</w:t>
            </w:r>
          </w:p>
        </w:tc>
        <w:tc>
          <w:tcPr>
            <w:tcW w:w="100" w:type="dxa"/>
            <w:vAlign w:val="bottom"/>
          </w:tcPr>
          <w:p>
            <w:pPr>
              <w:spacing w:after="0"/>
              <w:rPr>
                <w:sz w:val="17"/>
                <w:szCs w:val="17"/>
                <w:color w:val="auto"/>
              </w:rPr>
            </w:pPr>
          </w:p>
        </w:tc>
        <w:tc>
          <w:tcPr>
            <w:tcW w:w="360" w:type="dxa"/>
            <w:vAlign w:val="bottom"/>
            <w:tcBorders>
              <w:bottom w:val="single" w:sz="8" w:color="B6B6B6"/>
            </w:tcBorders>
          </w:tcPr>
          <w:p>
            <w:pPr>
              <w:spacing w:after="0"/>
              <w:rPr>
                <w:sz w:val="17"/>
                <w:szCs w:val="17"/>
                <w:color w:val="auto"/>
              </w:rPr>
            </w:pPr>
          </w:p>
        </w:tc>
        <w:tc>
          <w:tcPr>
            <w:tcW w:w="11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200"/>
        </w:trPr>
        <w:tc>
          <w:tcPr>
            <w:tcW w:w="7980" w:type="dxa"/>
            <w:vAlign w:val="bottom"/>
          </w:tcPr>
          <w:p>
            <w:pPr>
              <w:ind w:left="20"/>
              <w:spacing w:after="0"/>
              <w:rPr>
                <w:sz w:val="20"/>
                <w:szCs w:val="20"/>
                <w:color w:val="auto"/>
              </w:rPr>
            </w:pPr>
            <w:r>
              <w:rPr>
                <w:rFonts w:ascii="Arial" w:cs="Arial" w:eastAsia="Arial" w:hAnsi="Arial"/>
                <w:sz w:val="14"/>
                <w:szCs w:val="14"/>
                <w:color w:val="auto"/>
              </w:rPr>
              <w:t>Adjusted EBITDA</w:t>
            </w:r>
          </w:p>
        </w:tc>
        <w:tc>
          <w:tcPr>
            <w:tcW w:w="100" w:type="dxa"/>
            <w:vAlign w:val="bottom"/>
            <w:tcBorders>
              <w:bottom w:val="single" w:sz="8" w:color="929292"/>
            </w:tcBorders>
            <w:shd w:val="clear" w:color="auto" w:fill="929292"/>
          </w:tcPr>
          <w:p>
            <w:pPr>
              <w:spacing w:after="0"/>
              <w:rPr>
                <w:sz w:val="17"/>
                <w:szCs w:val="17"/>
                <w:color w:val="auto"/>
              </w:rPr>
            </w:pPr>
          </w:p>
        </w:tc>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42,060</w:t>
            </w:r>
          </w:p>
        </w:tc>
        <w:tc>
          <w:tcPr>
            <w:tcW w:w="100" w:type="dxa"/>
            <w:vAlign w:val="bottom"/>
          </w:tcPr>
          <w:p>
            <w:pPr>
              <w:spacing w:after="0"/>
              <w:rPr>
                <w:sz w:val="17"/>
                <w:szCs w:val="17"/>
                <w:color w:val="auto"/>
              </w:rPr>
            </w:pPr>
          </w:p>
        </w:tc>
        <w:tc>
          <w:tcPr>
            <w:tcW w:w="360" w:type="dxa"/>
            <w:vAlign w:val="bottom"/>
            <w:tcBorders>
              <w:bottom w:val="single" w:sz="8" w:color="B6B6B6"/>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B6B6B6"/>
            </w:tcBorders>
          </w:tcPr>
          <w:p>
            <w:pPr>
              <w:jc w:val="right"/>
              <w:ind w:right="108"/>
              <w:spacing w:after="0"/>
              <w:rPr>
                <w:sz w:val="20"/>
                <w:szCs w:val="20"/>
                <w:color w:val="auto"/>
              </w:rPr>
            </w:pPr>
            <w:r>
              <w:rPr>
                <w:rFonts w:ascii="Arial" w:cs="Arial" w:eastAsia="Arial" w:hAnsi="Arial"/>
                <w:sz w:val="14"/>
                <w:szCs w:val="14"/>
                <w:color w:val="auto"/>
              </w:rPr>
              <w:t>26,894</w:t>
            </w:r>
          </w:p>
        </w:tc>
        <w:tc>
          <w:tcPr>
            <w:tcW w:w="0" w:type="dxa"/>
            <w:vAlign w:val="bottom"/>
          </w:tcPr>
          <w:p>
            <w:pPr>
              <w:spacing w:after="0"/>
              <w:rPr>
                <w:sz w:val="1"/>
                <w:szCs w:val="1"/>
                <w:color w:val="auto"/>
              </w:rPr>
            </w:pPr>
          </w:p>
        </w:tc>
      </w:tr>
      <w:tr>
        <w:trPr>
          <w:trHeight w:val="20"/>
        </w:trPr>
        <w:tc>
          <w:tcPr>
            <w:tcW w:w="7980" w:type="dxa"/>
            <w:vAlign w:val="bottom"/>
            <w:vMerge w:val="restart"/>
          </w:tcPr>
          <w:p>
            <w:pPr>
              <w:ind w:left="20"/>
              <w:spacing w:after="0"/>
              <w:rPr>
                <w:sz w:val="20"/>
                <w:szCs w:val="20"/>
                <w:color w:val="auto"/>
              </w:rPr>
            </w:pPr>
            <w:r>
              <w:rPr>
                <w:rFonts w:ascii="Arial" w:cs="Arial" w:eastAsia="Arial" w:hAnsi="Arial"/>
                <w:sz w:val="14"/>
                <w:szCs w:val="14"/>
                <w:color w:val="auto"/>
              </w:rPr>
              <w:t>Net Income (Loss) Margin</w:t>
            </w:r>
          </w:p>
        </w:tc>
        <w:tc>
          <w:tcPr>
            <w:tcW w:w="100" w:type="dxa"/>
            <w:vAlign w:val="bottom"/>
            <w:tcBorders>
              <w:bottom w:val="single" w:sz="8" w:color="929292"/>
            </w:tcBorders>
            <w:shd w:val="clear" w:color="auto" w:fill="929292"/>
          </w:tcPr>
          <w:p>
            <w:pPr>
              <w:spacing w:after="0" w:line="20" w:lineRule="exact"/>
              <w:rPr>
                <w:sz w:val="1"/>
                <w:szCs w:val="1"/>
                <w:color w:val="auto"/>
              </w:rPr>
            </w:pPr>
          </w:p>
        </w:tc>
        <w:tc>
          <w:tcPr>
            <w:tcW w:w="360" w:type="dxa"/>
            <w:vAlign w:val="bottom"/>
            <w:tcBorders>
              <w:bottom w:val="single" w:sz="8" w:color="B6B6B6"/>
            </w:tcBorders>
          </w:tcPr>
          <w:p>
            <w:pPr>
              <w:spacing w:after="0" w:line="20" w:lineRule="exact"/>
              <w:rPr>
                <w:sz w:val="1"/>
                <w:szCs w:val="1"/>
                <w:color w:val="auto"/>
              </w:rPr>
            </w:pPr>
          </w:p>
        </w:tc>
        <w:tc>
          <w:tcPr>
            <w:tcW w:w="1160" w:type="dxa"/>
            <w:vAlign w:val="bottom"/>
            <w:tcBorders>
              <w:bottom w:val="single" w:sz="8" w:color="B6B6B6"/>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B6B6B6"/>
            </w:tcBorders>
          </w:tcPr>
          <w:p>
            <w:pPr>
              <w:spacing w:after="0" w:line="20" w:lineRule="exact"/>
              <w:rPr>
                <w:sz w:val="1"/>
                <w:szCs w:val="1"/>
                <w:color w:val="auto"/>
              </w:rPr>
            </w:pPr>
          </w:p>
        </w:tc>
        <w:tc>
          <w:tcPr>
            <w:tcW w:w="1180" w:type="dxa"/>
            <w:vAlign w:val="bottom"/>
            <w:tcBorders>
              <w:bottom w:val="single" w:sz="8" w:color="B6B6B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7980" w:type="dxa"/>
            <w:vAlign w:val="bottom"/>
            <w:vMerge w:val="continue"/>
          </w:tcPr>
          <w:p>
            <w:pPr>
              <w:spacing w:after="0"/>
              <w:rPr>
                <w:sz w:val="16"/>
                <w:szCs w:val="16"/>
                <w:color w:val="auto"/>
              </w:rPr>
            </w:pPr>
          </w:p>
        </w:tc>
        <w:tc>
          <w:tcPr>
            <w:tcW w:w="100" w:type="dxa"/>
            <w:vAlign w:val="bottom"/>
            <w:shd w:val="clear" w:color="auto" w:fill="929292"/>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11"/>
        </w:trPr>
        <w:tc>
          <w:tcPr>
            <w:tcW w:w="7980" w:type="dxa"/>
            <w:vAlign w:val="bottom"/>
          </w:tcPr>
          <w:p>
            <w:pPr>
              <w:ind w:left="20"/>
              <w:spacing w:after="0"/>
              <w:rPr>
                <w:sz w:val="20"/>
                <w:szCs w:val="20"/>
                <w:color w:val="auto"/>
              </w:rPr>
            </w:pPr>
            <w:r>
              <w:rPr>
                <w:rFonts w:ascii="Arial" w:cs="Arial" w:eastAsia="Arial" w:hAnsi="Arial"/>
                <w:sz w:val="14"/>
                <w:szCs w:val="14"/>
                <w:color w:val="auto"/>
              </w:rPr>
              <w:t>Adjusted EBITDA Margin</w:t>
            </w:r>
          </w:p>
        </w:tc>
        <w:tc>
          <w:tcPr>
            <w:tcW w:w="100" w:type="dxa"/>
            <w:vAlign w:val="bottom"/>
            <w:shd w:val="clear" w:color="auto" w:fill="929292"/>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19.0 %</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14.5 %</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320" w:hanging="312"/>
        <w:spacing w:after="0"/>
        <w:tabs>
          <w:tab w:leader="none" w:pos="320"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severance costs and other fees associated with a reduction in workforce unrelated to restructuring activities.</w:t>
      </w:r>
    </w:p>
    <w:p>
      <w:pPr>
        <w:spacing w:after="0" w:line="9" w:lineRule="exact"/>
        <w:rPr>
          <w:rFonts w:ascii="Arial" w:cs="Arial" w:eastAsia="Arial" w:hAnsi="Arial"/>
          <w:sz w:val="13"/>
          <w:szCs w:val="13"/>
          <w:i w:val="1"/>
          <w:iCs w:val="1"/>
          <w:color w:val="auto"/>
        </w:rPr>
      </w:pPr>
    </w:p>
    <w:p>
      <w:pPr>
        <w:ind w:left="320" w:hanging="312"/>
        <w:spacing w:after="0"/>
        <w:tabs>
          <w:tab w:leader="none" w:pos="320" w:val="left"/>
        </w:tabs>
        <w:numPr>
          <w:ilvl w:val="0"/>
          <w:numId w:val="11"/>
        </w:numPr>
        <w:rPr>
          <w:rFonts w:ascii="Arial" w:cs="Arial" w:eastAsia="Arial" w:hAnsi="Arial"/>
          <w:sz w:val="12"/>
          <w:szCs w:val="12"/>
          <w:i w:val="1"/>
          <w:iCs w:val="1"/>
          <w:color w:val="auto"/>
        </w:rPr>
      </w:pPr>
      <w:r>
        <w:rPr>
          <w:rFonts w:ascii="Arial" w:cs="Arial" w:eastAsia="Arial" w:hAnsi="Arial"/>
          <w:sz w:val="12"/>
          <w:szCs w:val="12"/>
          <w:i w:val="1"/>
          <w:iCs w:val="1"/>
          <w:color w:val="auto"/>
        </w:rPr>
        <w:t>Represents non-cash share-based compensation expense relating to equity awards as well as share-based compensation expense relating to liability classified awards that will be settled in cash.</w:t>
      </w:r>
    </w:p>
    <w:p>
      <w:pPr>
        <w:spacing w:after="0" w:line="10" w:lineRule="exact"/>
        <w:rPr>
          <w:rFonts w:ascii="Arial" w:cs="Arial" w:eastAsia="Arial" w:hAnsi="Arial"/>
          <w:sz w:val="12"/>
          <w:szCs w:val="12"/>
          <w:i w:val="1"/>
          <w:iCs w:val="1"/>
          <w:color w:val="auto"/>
        </w:rPr>
      </w:pPr>
    </w:p>
    <w:p>
      <w:pPr>
        <w:ind w:left="320" w:hanging="312"/>
        <w:spacing w:after="0"/>
        <w:tabs>
          <w:tab w:leader="none" w:pos="320"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costs associated with non-routine consulting fees and other professional services.</w:t>
      </w:r>
    </w:p>
    <w:p>
      <w:pPr>
        <w:ind w:left="340" w:right="80" w:hanging="332"/>
        <w:spacing w:after="0" w:line="245" w:lineRule="auto"/>
        <w:tabs>
          <w:tab w:leader="none" w:pos="332"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operating lease impairment charges, reducing the carrying value of the associated ROU assets and leasehold improvements to their estimated fair values. For the three months ended March 31, 2025, the amount includes a one-time gain of $0.2 million from the remeasurement of the lease liability and adjustment of the ROU asset (which was previously impaired) related to the early termination of a lease. For more information, refer to Note 10, Leases.</w:t>
      </w:r>
    </w:p>
    <w:p>
      <w:pPr>
        <w:spacing w:after="0" w:line="1" w:lineRule="exact"/>
        <w:rPr>
          <w:rFonts w:ascii="Arial" w:cs="Arial" w:eastAsia="Arial" w:hAnsi="Arial"/>
          <w:sz w:val="13"/>
          <w:szCs w:val="13"/>
          <w:i w:val="1"/>
          <w:iCs w:val="1"/>
          <w:color w:val="auto"/>
        </w:rPr>
      </w:pPr>
    </w:p>
    <w:p>
      <w:pPr>
        <w:ind w:left="320" w:hanging="312"/>
        <w:spacing w:after="0"/>
        <w:tabs>
          <w:tab w:leader="none" w:pos="320" w:val="left"/>
        </w:tabs>
        <w:numPr>
          <w:ilvl w:val="0"/>
          <w:numId w:val="11"/>
        </w:numPr>
        <w:rPr>
          <w:rFonts w:ascii="Arial" w:cs="Arial" w:eastAsia="Arial" w:hAnsi="Arial"/>
          <w:sz w:val="13"/>
          <w:szCs w:val="13"/>
          <w:i w:val="1"/>
          <w:iCs w:val="1"/>
          <w:color w:val="auto"/>
        </w:rPr>
      </w:pPr>
      <w:r>
        <w:rPr>
          <w:rFonts w:ascii="Arial" w:cs="Arial" w:eastAsia="Arial" w:hAnsi="Arial"/>
          <w:sz w:val="13"/>
          <w:szCs w:val="13"/>
          <w:i w:val="1"/>
          <w:iCs w:val="1"/>
          <w:color w:val="auto"/>
        </w:rPr>
        <w:t>Represents legal fees, settlement accruals and other expenses related to certain acquisitions, litigation, Credit Agreement amendments and other non-routine legal or regulatory matters.</w:t>
      </w:r>
    </w:p>
    <w:p>
      <w:pPr>
        <w:spacing w:after="0" w:line="200" w:lineRule="exact"/>
        <w:rPr>
          <w:sz w:val="20"/>
          <w:szCs w:val="20"/>
          <w:color w:val="auto"/>
        </w:rPr>
      </w:pP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3380" w:type="dxa"/>
            <w:vAlign w:val="bottom"/>
            <w:tcBorders>
              <w:top w:val="single" w:sz="8" w:color="B6B6B6"/>
              <w:left w:val="single" w:sz="8" w:color="B6B6B6"/>
              <w:right w:val="single" w:sz="8" w:color="B6B6B6"/>
            </w:tcBorders>
          </w:tcPr>
          <w:p>
            <w:pPr>
              <w:spacing w:after="0"/>
              <w:rPr>
                <w:sz w:val="18"/>
                <w:szCs w:val="18"/>
                <w:color w:val="auto"/>
              </w:rPr>
            </w:pPr>
          </w:p>
        </w:tc>
        <w:tc>
          <w:tcPr>
            <w:tcW w:w="80" w:type="dxa"/>
            <w:vAlign w:val="bottom"/>
            <w:tcBorders>
              <w:top w:val="single" w:sz="8" w:color="929292"/>
            </w:tcBorders>
            <w:shd w:val="clear" w:color="auto" w:fill="929292"/>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5"/>
          </w:tcPr>
          <w:p>
            <w:pPr>
              <w:ind w:left="80"/>
              <w:spacing w:after="0"/>
              <w:rPr>
                <w:sz w:val="20"/>
                <w:szCs w:val="20"/>
                <w:color w:val="auto"/>
              </w:rPr>
            </w:pPr>
            <w:r>
              <w:rPr>
                <w:rFonts w:ascii="Arial" w:cs="Arial" w:eastAsia="Arial" w:hAnsi="Arial"/>
                <w:sz w:val="14"/>
                <w:szCs w:val="14"/>
                <w:color w:val="auto"/>
              </w:rPr>
              <w:t>Three months ended Mar. 31,</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tcBorders>
              <w:top w:val="single" w:sz="8" w:color="929292"/>
            </w:tcBorders>
            <w:gridSpan w:val="2"/>
            <w:shd w:val="clear" w:color="auto" w:fill="929292"/>
          </w:tcPr>
          <w:p>
            <w:pPr>
              <w:jc w:val="right"/>
              <w:ind w:right="628"/>
              <w:spacing w:after="0"/>
              <w:rPr>
                <w:sz w:val="20"/>
                <w:szCs w:val="20"/>
                <w:color w:val="auto"/>
              </w:rPr>
            </w:pPr>
            <w:r>
              <w:rPr>
                <w:rFonts w:ascii="Arial" w:cs="Arial" w:eastAsia="Arial" w:hAnsi="Arial"/>
                <w:sz w:val="14"/>
                <w:szCs w:val="14"/>
                <w:color w:val="FFFFFF"/>
              </w:rPr>
              <w:t>% of Net Revenues</w:t>
            </w:r>
          </w:p>
        </w:tc>
      </w:tr>
      <w:tr>
        <w:trPr>
          <w:trHeight w:val="220"/>
        </w:trPr>
        <w:tc>
          <w:tcPr>
            <w:tcW w:w="3380" w:type="dxa"/>
            <w:vAlign w:val="bottom"/>
            <w:tcBorders>
              <w:left w:val="single" w:sz="8" w:color="B6B6B6"/>
              <w:right w:val="single" w:sz="8" w:color="B6B6B6"/>
            </w:tcBorders>
          </w:tcPr>
          <w:p>
            <w:pPr>
              <w:ind w:left="1100"/>
              <w:spacing w:after="0"/>
              <w:rPr>
                <w:sz w:val="20"/>
                <w:szCs w:val="20"/>
                <w:color w:val="auto"/>
              </w:rPr>
            </w:pPr>
            <w:r>
              <w:rPr>
                <w:rFonts w:ascii="Arial" w:cs="Arial" w:eastAsia="Arial" w:hAnsi="Arial"/>
                <w:sz w:val="14"/>
                <w:szCs w:val="14"/>
                <w:b w:val="1"/>
                <w:bCs w:val="1"/>
                <w:color w:val="00497F"/>
              </w:rPr>
              <w:t>Adjusted EBITDA</w:t>
            </w:r>
          </w:p>
        </w:tc>
        <w:tc>
          <w:tcPr>
            <w:tcW w:w="80" w:type="dxa"/>
            <w:vAlign w:val="bottom"/>
            <w:shd w:val="clear" w:color="auto" w:fill="929292"/>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ind w:right="34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color w:val="auto"/>
              </w:rPr>
              <w:t>$ Change</w:t>
            </w:r>
          </w:p>
        </w:tc>
        <w:tc>
          <w:tcPr>
            <w:tcW w:w="1360" w:type="dxa"/>
            <w:vAlign w:val="bottom"/>
            <w:gridSpan w:val="2"/>
          </w:tcPr>
          <w:p>
            <w:pPr>
              <w:ind w:left="300"/>
              <w:spacing w:after="0"/>
              <w:rPr>
                <w:sz w:val="20"/>
                <w:szCs w:val="20"/>
                <w:color w:val="auto"/>
              </w:rPr>
            </w:pPr>
            <w:r>
              <w:rPr>
                <w:rFonts w:ascii="Arial" w:cs="Arial" w:eastAsia="Arial" w:hAnsi="Arial"/>
                <w:sz w:val="14"/>
                <w:szCs w:val="14"/>
                <w:color w:val="auto"/>
              </w:rPr>
              <w:t>% Change</w:t>
            </w:r>
          </w:p>
        </w:tc>
        <w:tc>
          <w:tcPr>
            <w:tcW w:w="1560" w:type="dxa"/>
            <w:vAlign w:val="bottom"/>
            <w:shd w:val="clear" w:color="auto" w:fill="929292"/>
          </w:tcPr>
          <w:p>
            <w:pPr>
              <w:jc w:val="right"/>
              <w:ind w:right="688"/>
              <w:spacing w:after="0"/>
              <w:rPr>
                <w:sz w:val="20"/>
                <w:szCs w:val="20"/>
                <w:color w:val="auto"/>
              </w:rPr>
            </w:pPr>
            <w:r>
              <w:rPr>
                <w:rFonts w:ascii="Arial" w:cs="Arial" w:eastAsia="Arial" w:hAnsi="Arial"/>
                <w:sz w:val="14"/>
                <w:szCs w:val="14"/>
                <w:color w:val="FFFFFF"/>
              </w:rPr>
              <w:t>2025</w:t>
            </w:r>
          </w:p>
        </w:tc>
        <w:tc>
          <w:tcPr>
            <w:tcW w:w="1080" w:type="dxa"/>
            <w:vAlign w:val="bottom"/>
            <w:shd w:val="clear" w:color="auto" w:fill="929292"/>
          </w:tcPr>
          <w:p>
            <w:pPr>
              <w:jc w:val="right"/>
              <w:ind w:right="408"/>
              <w:spacing w:after="0"/>
              <w:rPr>
                <w:sz w:val="20"/>
                <w:szCs w:val="20"/>
                <w:color w:val="auto"/>
              </w:rPr>
            </w:pPr>
            <w:r>
              <w:rPr>
                <w:rFonts w:ascii="Arial" w:cs="Arial" w:eastAsia="Arial" w:hAnsi="Arial"/>
                <w:sz w:val="14"/>
                <w:szCs w:val="14"/>
                <w:color w:val="FFFFFF"/>
              </w:rPr>
              <w:t>2024</w:t>
            </w:r>
          </w:p>
        </w:tc>
      </w:tr>
      <w:tr>
        <w:trPr>
          <w:trHeight w:val="194"/>
        </w:trPr>
        <w:tc>
          <w:tcPr>
            <w:tcW w:w="3380" w:type="dxa"/>
            <w:vAlign w:val="bottom"/>
            <w:tcBorders>
              <w:left w:val="single" w:sz="8" w:color="B6B6B6"/>
              <w:bottom w:val="single" w:sz="8" w:color="B6B6B6"/>
              <w:right w:val="single" w:sz="8" w:color="B6B6B6"/>
            </w:tcBorders>
          </w:tcPr>
          <w:p>
            <w:pPr>
              <w:spacing w:after="0"/>
              <w:rPr>
                <w:sz w:val="16"/>
                <w:szCs w:val="16"/>
                <w:color w:val="auto"/>
              </w:rPr>
            </w:pPr>
          </w:p>
        </w:tc>
        <w:tc>
          <w:tcPr>
            <w:tcW w:w="80" w:type="dxa"/>
            <w:vAlign w:val="bottom"/>
            <w:tcBorders>
              <w:top w:val="single" w:sz="8" w:color="929292"/>
            </w:tcBorders>
            <w:shd w:val="clear" w:color="auto" w:fill="929292"/>
          </w:tcPr>
          <w:p>
            <w:pPr>
              <w:spacing w:after="0"/>
              <w:rPr>
                <w:sz w:val="16"/>
                <w:szCs w:val="16"/>
                <w:color w:val="auto"/>
              </w:rPr>
            </w:pPr>
          </w:p>
        </w:tc>
        <w:tc>
          <w:tcPr>
            <w:tcW w:w="18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42,060</w:t>
            </w:r>
          </w:p>
        </w:tc>
        <w:tc>
          <w:tcPr>
            <w:tcW w:w="100" w:type="dxa"/>
            <w:vAlign w:val="bottom"/>
          </w:tcPr>
          <w:p>
            <w:pPr>
              <w:spacing w:after="0"/>
              <w:rPr>
                <w:sz w:val="16"/>
                <w:szCs w:val="16"/>
                <w:color w:val="auto"/>
              </w:rPr>
            </w:pPr>
          </w:p>
        </w:tc>
        <w:tc>
          <w:tcPr>
            <w:tcW w:w="260" w:type="dxa"/>
            <w:vAlign w:val="bottom"/>
            <w:tcBorders>
              <w:top w:val="single" w:sz="8" w:color="929292"/>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26,894</w:t>
            </w:r>
          </w:p>
        </w:tc>
        <w:tc>
          <w:tcPr>
            <w:tcW w:w="100" w:type="dxa"/>
            <w:vAlign w:val="bottom"/>
          </w:tcPr>
          <w:p>
            <w:pPr>
              <w:spacing w:after="0"/>
              <w:rPr>
                <w:sz w:val="16"/>
                <w:szCs w:val="16"/>
                <w:color w:val="auto"/>
              </w:rPr>
            </w:pPr>
          </w:p>
        </w:tc>
        <w:tc>
          <w:tcPr>
            <w:tcW w:w="18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15,166</w:t>
            </w:r>
          </w:p>
        </w:tc>
        <w:tc>
          <w:tcPr>
            <w:tcW w:w="100" w:type="dxa"/>
            <w:vAlign w:val="bottom"/>
          </w:tcPr>
          <w:p>
            <w:pPr>
              <w:spacing w:after="0"/>
              <w:rPr>
                <w:sz w:val="16"/>
                <w:szCs w:val="16"/>
                <w:color w:val="auto"/>
              </w:rPr>
            </w:pPr>
          </w:p>
        </w:tc>
        <w:tc>
          <w:tcPr>
            <w:tcW w:w="12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56.4 %</w:t>
            </w:r>
          </w:p>
        </w:tc>
        <w:tc>
          <w:tcPr>
            <w:tcW w:w="80" w:type="dxa"/>
            <w:vAlign w:val="bottom"/>
          </w:tcPr>
          <w:p>
            <w:pPr>
              <w:spacing w:after="0"/>
              <w:rPr>
                <w:sz w:val="16"/>
                <w:szCs w:val="16"/>
                <w:color w:val="auto"/>
              </w:rPr>
            </w:pPr>
          </w:p>
        </w:tc>
        <w:tc>
          <w:tcPr>
            <w:tcW w:w="1560" w:type="dxa"/>
            <w:vAlign w:val="bottom"/>
            <w:tcBorders>
              <w:top w:val="single" w:sz="8" w:color="929292"/>
            </w:tcBorders>
            <w:shd w:val="clear" w:color="auto" w:fill="929292"/>
          </w:tcPr>
          <w:p>
            <w:pPr>
              <w:jc w:val="right"/>
              <w:ind w:right="228"/>
              <w:spacing w:after="0"/>
              <w:rPr>
                <w:sz w:val="20"/>
                <w:szCs w:val="20"/>
                <w:color w:val="auto"/>
              </w:rPr>
            </w:pPr>
            <w:r>
              <w:rPr>
                <w:rFonts w:ascii="Arial" w:cs="Arial" w:eastAsia="Arial" w:hAnsi="Arial"/>
                <w:sz w:val="14"/>
                <w:szCs w:val="14"/>
                <w:color w:val="FFFFFF"/>
              </w:rPr>
              <w:t>19.0 %</w:t>
            </w:r>
          </w:p>
        </w:tc>
        <w:tc>
          <w:tcPr>
            <w:tcW w:w="1080" w:type="dxa"/>
            <w:vAlign w:val="bottom"/>
            <w:tcBorders>
              <w:top w:val="single" w:sz="8" w:color="929292"/>
            </w:tcBorders>
            <w:shd w:val="clear" w:color="auto" w:fill="929292"/>
          </w:tcPr>
          <w:p>
            <w:pPr>
              <w:jc w:val="right"/>
              <w:spacing w:after="0"/>
              <w:rPr>
                <w:sz w:val="20"/>
                <w:szCs w:val="20"/>
                <w:color w:val="auto"/>
              </w:rPr>
            </w:pPr>
            <w:r>
              <w:rPr>
                <w:rFonts w:ascii="Arial" w:cs="Arial" w:eastAsia="Arial" w:hAnsi="Arial"/>
                <w:sz w:val="14"/>
                <w:szCs w:val="14"/>
                <w:color w:val="FFFFFF"/>
              </w:rPr>
              <w:t>14.5 %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5465445</wp:posOffset>
            </wp:positionH>
            <wp:positionV relativeFrom="paragraph">
              <wp:posOffset>-144780</wp:posOffset>
            </wp:positionV>
            <wp:extent cx="167195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71955" cy="8255"/>
                    </a:xfrm>
                    <a:prstGeom prst="rect">
                      <a:avLst/>
                    </a:prstGeom>
                    <a:noFill/>
                  </pic:spPr>
                </pic:pic>
              </a:graphicData>
            </a:graphic>
          </wp:anchor>
        </w:drawing>
      </w:r>
    </w:p>
    <w:p>
      <w:pPr>
        <w:spacing w:after="0" w:line="290"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increase for the three months ended March 31, 2025 compared to the prior year period was primarily due to the increase in net revenues and improved operating efficiencies enabled by agent productivity, targeted marketing and enhancements in our proprietary technology.</w:t>
      </w:r>
    </w:p>
    <w:p>
      <w:pPr>
        <w:spacing w:after="0" w:line="21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97F"/>
        </w:rPr>
        <w:t>Key Business Performance and Operating Metrics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27</w:t>
            </w:r>
          </w:p>
        </w:tc>
      </w:tr>
      <w:tr>
        <w:trPr>
          <w:trHeight w:val="196"/>
        </w:trPr>
        <w:tc>
          <w:tcPr>
            <w:tcW w:w="486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c>
          <w:tcPr>
            <w:tcW w:w="4820" w:type="dxa"/>
            <w:vAlign w:val="bottom"/>
            <w:tcBorders>
              <w:bottom w:val="single" w:sz="8" w:color="9A9A9A"/>
            </w:tcBorders>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0" w:name="page31"/>
    <w:bookmarkEnd w:id="30"/>
    <w:p>
      <w:pPr>
        <w:ind w:right="60"/>
        <w:spacing w:after="0" w:line="286" w:lineRule="auto"/>
        <w:rPr>
          <w:sz w:val="20"/>
          <w:szCs w:val="20"/>
          <w:color w:val="auto"/>
        </w:rPr>
      </w:pPr>
      <w:r>
        <w:rPr>
          <w:rFonts w:ascii="Arial" w:cs="Arial" w:eastAsia="Arial" w:hAnsi="Arial"/>
          <w:sz w:val="16"/>
          <w:szCs w:val="16"/>
          <w:color w:val="auto"/>
        </w:rPr>
        <w:t>In addition to traditional financial metrics, we rely upon certain business and operating metrics to evaluate our business performance and facilitate our operations. The most relevant business and operating metrics for our single operating and reportable segment are furnished in the tables below (unaudited).</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our Submissions, Sales per Submission and Direct Operating Cost per Submission for the periods presented:</w:t>
      </w:r>
    </w:p>
    <w:p>
      <w:pPr>
        <w:spacing w:after="0" w:line="28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760" w:type="dxa"/>
            <w:vAlign w:val="bottom"/>
            <w:gridSpan w:val="4"/>
          </w:tcPr>
          <w:p>
            <w:pPr>
              <w:jc w:val="right"/>
              <w:ind w:right="68"/>
              <w:spacing w:after="0"/>
              <w:rPr>
                <w:sz w:val="20"/>
                <w:szCs w:val="20"/>
                <w:color w:val="auto"/>
              </w:rPr>
            </w:pPr>
            <w:r>
              <w:rPr>
                <w:rFonts w:ascii="Arial" w:cs="Arial" w:eastAsia="Arial" w:hAnsi="Arial"/>
                <w:sz w:val="14"/>
                <w:szCs w:val="14"/>
                <w:color w:val="auto"/>
              </w:rPr>
              <w:t>Three months ended Mar. 31,</w:t>
            </w:r>
          </w:p>
        </w:tc>
        <w:tc>
          <w:tcPr>
            <w:tcW w:w="620" w:type="dxa"/>
            <w:vAlign w:val="bottom"/>
          </w:tcPr>
          <w:p>
            <w:pPr>
              <w:spacing w:after="0"/>
              <w:rPr>
                <w:sz w:val="17"/>
                <w:szCs w:val="17"/>
                <w:color w:val="auto"/>
              </w:rPr>
            </w:pPr>
          </w:p>
        </w:tc>
      </w:tr>
      <w:tr>
        <w:trPr>
          <w:trHeight w:val="192"/>
        </w:trPr>
        <w:tc>
          <w:tcPr>
            <w:tcW w:w="7740" w:type="dxa"/>
            <w:vAlign w:val="bottom"/>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2025</w:t>
            </w:r>
          </w:p>
        </w:tc>
        <w:tc>
          <w:tcPr>
            <w:tcW w:w="620" w:type="dxa"/>
            <w:vAlign w:val="bottom"/>
            <w:tcBorders>
              <w:bottom w:val="single" w:sz="8" w:color="929292"/>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2024</w:t>
            </w:r>
          </w:p>
        </w:tc>
        <w:tc>
          <w:tcPr>
            <w:tcW w:w="620" w:type="dxa"/>
            <w:vAlign w:val="bottom"/>
            <w:tcBorders>
              <w:bottom w:val="single" w:sz="8" w:color="929292"/>
            </w:tcBorders>
          </w:tcPr>
          <w:p>
            <w:pPr>
              <w:spacing w:after="0"/>
              <w:rPr>
                <w:sz w:val="16"/>
                <w:szCs w:val="16"/>
                <w:color w:val="auto"/>
              </w:rPr>
            </w:pPr>
          </w:p>
        </w:tc>
      </w:tr>
      <w:tr>
        <w:trPr>
          <w:trHeight w:val="194"/>
        </w:trPr>
        <w:tc>
          <w:tcPr>
            <w:tcW w:w="7740" w:type="dxa"/>
            <w:vAlign w:val="bottom"/>
          </w:tcPr>
          <w:p>
            <w:pPr>
              <w:spacing w:after="0"/>
              <w:rPr>
                <w:sz w:val="20"/>
                <w:szCs w:val="20"/>
                <w:color w:val="auto"/>
              </w:rPr>
            </w:pPr>
            <w:r>
              <w:rPr>
                <w:rFonts w:ascii="Arial" w:cs="Arial" w:eastAsia="Arial" w:hAnsi="Arial"/>
                <w:sz w:val="14"/>
                <w:szCs w:val="14"/>
                <w:color w:val="auto"/>
              </w:rPr>
              <w:t>Submissions</w:t>
            </w:r>
          </w:p>
        </w:tc>
        <w:tc>
          <w:tcPr>
            <w:tcW w:w="100" w:type="dxa"/>
            <w:vAlign w:val="bottom"/>
            <w:shd w:val="clear" w:color="auto" w:fill="929292"/>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303,026</w:t>
            </w: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216,148</w:t>
            </w:r>
          </w:p>
        </w:tc>
      </w:tr>
      <w:tr>
        <w:trPr>
          <w:trHeight w:val="203"/>
        </w:trPr>
        <w:tc>
          <w:tcPr>
            <w:tcW w:w="7740" w:type="dxa"/>
            <w:vAlign w:val="bottom"/>
          </w:tcPr>
          <w:p>
            <w:pPr>
              <w:spacing w:after="0"/>
              <w:rPr>
                <w:sz w:val="20"/>
                <w:szCs w:val="20"/>
                <w:color w:val="auto"/>
              </w:rPr>
            </w:pPr>
            <w:r>
              <w:rPr>
                <w:rFonts w:ascii="Arial" w:cs="Arial" w:eastAsia="Arial" w:hAnsi="Arial"/>
                <w:sz w:val="14"/>
                <w:szCs w:val="14"/>
                <w:color w:val="auto"/>
              </w:rPr>
              <w:t>Sales per Submission</w:t>
            </w:r>
          </w:p>
        </w:tc>
        <w:tc>
          <w:tcPr>
            <w:tcW w:w="100" w:type="dxa"/>
            <w:vAlign w:val="bottom"/>
            <w:shd w:val="clear" w:color="auto" w:fill="929292"/>
          </w:tcPr>
          <w:p>
            <w:pPr>
              <w:spacing w:after="0"/>
              <w:rPr>
                <w:sz w:val="17"/>
                <w:szCs w:val="17"/>
                <w:color w:val="auto"/>
              </w:rPr>
            </w:pP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7"/>
                <w:szCs w:val="17"/>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856</w:t>
            </w:r>
          </w:p>
        </w:tc>
      </w:tr>
      <w:tr>
        <w:trPr>
          <w:trHeight w:val="211"/>
        </w:trPr>
        <w:tc>
          <w:tcPr>
            <w:tcW w:w="7740" w:type="dxa"/>
            <w:vAlign w:val="bottom"/>
          </w:tcPr>
          <w:p>
            <w:pPr>
              <w:spacing w:after="0"/>
              <w:rPr>
                <w:sz w:val="20"/>
                <w:szCs w:val="20"/>
                <w:color w:val="auto"/>
              </w:rPr>
            </w:pPr>
            <w:r>
              <w:rPr>
                <w:rFonts w:ascii="Arial" w:cs="Arial" w:eastAsia="Arial" w:hAnsi="Arial"/>
                <w:sz w:val="14"/>
                <w:szCs w:val="14"/>
                <w:color w:val="auto"/>
              </w:rPr>
              <w:t>Direct Operating Cost per Submission</w:t>
            </w:r>
          </w:p>
        </w:tc>
        <w:tc>
          <w:tcPr>
            <w:tcW w:w="100" w:type="dxa"/>
            <w:vAlign w:val="bottom"/>
            <w:shd w:val="clear" w:color="auto" w:fill="929292"/>
          </w:tcPr>
          <w:p>
            <w:pPr>
              <w:spacing w:after="0"/>
              <w:rPr>
                <w:sz w:val="18"/>
                <w:szCs w:val="18"/>
                <w:color w:val="auto"/>
              </w:rPr>
            </w:pP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522</w:t>
            </w:r>
          </w:p>
        </w:tc>
        <w:tc>
          <w:tcPr>
            <w:tcW w:w="100" w:type="dxa"/>
            <w:vAlign w:val="bottom"/>
          </w:tcPr>
          <w:p>
            <w:pPr>
              <w:spacing w:after="0"/>
              <w:rPr>
                <w:sz w:val="18"/>
                <w:szCs w:val="18"/>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640</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Submissions</w:t>
      </w:r>
    </w:p>
    <w:p>
      <w:pPr>
        <w:spacing w:after="0" w:line="248" w:lineRule="exact"/>
        <w:rPr>
          <w:sz w:val="20"/>
          <w:szCs w:val="20"/>
          <w:color w:val="auto"/>
        </w:rPr>
      </w:pPr>
    </w:p>
    <w:p>
      <w:pPr>
        <w:ind w:right="480"/>
        <w:spacing w:after="0" w:line="275" w:lineRule="auto"/>
        <w:rPr>
          <w:sz w:val="20"/>
          <w:szCs w:val="20"/>
          <w:color w:val="auto"/>
        </w:rPr>
      </w:pPr>
      <w:r>
        <w:rPr>
          <w:rFonts w:ascii="Arial" w:cs="Arial" w:eastAsia="Arial" w:hAnsi="Arial"/>
          <w:sz w:val="16"/>
          <w:szCs w:val="16"/>
          <w:color w:val="auto"/>
        </w:rPr>
        <w:t>Submissions are counted when an individual either (i) completes an application with our licensed agent that is submitted to the health plan partner and subsequently approved by the health plan partner during the indicated period or (ii) is transferred by our agent to the health plan partner through the Encompass operating model during the indicated period.</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number of Submissions for the periods presented:</w:t>
      </w:r>
    </w:p>
    <w:p>
      <w:pPr>
        <w:spacing w:after="0" w:line="256"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540" w:type="dxa"/>
            <w:vAlign w:val="bottom"/>
            <w:tcBorders>
              <w:top w:val="single" w:sz="8" w:color="B6B6B6"/>
              <w:left w:val="single" w:sz="8" w:color="B6B6B6"/>
              <w:right w:val="single" w:sz="8" w:color="B6B6B6"/>
            </w:tcBorders>
          </w:tcPr>
          <w:p>
            <w:pPr>
              <w:spacing w:after="0"/>
              <w:rPr>
                <w:sz w:val="17"/>
                <w:szCs w:val="17"/>
                <w:color w:val="auto"/>
              </w:rPr>
            </w:pPr>
          </w:p>
        </w:tc>
        <w:tc>
          <w:tcPr>
            <w:tcW w:w="80" w:type="dxa"/>
            <w:vAlign w:val="bottom"/>
            <w:tcBorders>
              <w:top w:val="single" w:sz="8" w:color="929292"/>
            </w:tcBorders>
            <w:shd w:val="clear" w:color="auto" w:fill="929292"/>
          </w:tcPr>
          <w:p>
            <w:pPr>
              <w:spacing w:after="0"/>
              <w:rPr>
                <w:sz w:val="17"/>
                <w:szCs w:val="17"/>
                <w:color w:val="auto"/>
              </w:rPr>
            </w:pPr>
          </w:p>
        </w:tc>
        <w:tc>
          <w:tcPr>
            <w:tcW w:w="2800" w:type="dxa"/>
            <w:vAlign w:val="bottom"/>
            <w:gridSpan w:val="4"/>
          </w:tcPr>
          <w:p>
            <w:pPr>
              <w:ind w:left="420"/>
              <w:spacing w:after="0"/>
              <w:rPr>
                <w:sz w:val="20"/>
                <w:szCs w:val="20"/>
                <w:color w:val="auto"/>
              </w:rPr>
            </w:pPr>
            <w:r>
              <w:rPr>
                <w:rFonts w:ascii="Arial" w:cs="Arial" w:eastAsia="Arial" w:hAnsi="Arial"/>
                <w:sz w:val="14"/>
                <w:szCs w:val="14"/>
                <w:color w:val="auto"/>
              </w:rPr>
              <w:t>Three months ended Mar. 31,</w:t>
            </w: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198"/>
        </w:trPr>
        <w:tc>
          <w:tcPr>
            <w:tcW w:w="5540" w:type="dxa"/>
            <w:vAlign w:val="bottom"/>
            <w:tcBorders>
              <w:left w:val="single" w:sz="8" w:color="B6B6B6"/>
              <w:right w:val="single" w:sz="8" w:color="B6B6B6"/>
            </w:tcBorders>
          </w:tcPr>
          <w:p>
            <w:pPr>
              <w:ind w:left="2320"/>
              <w:spacing w:after="0"/>
              <w:rPr>
                <w:sz w:val="20"/>
                <w:szCs w:val="20"/>
                <w:color w:val="auto"/>
              </w:rPr>
            </w:pPr>
            <w:r>
              <w:rPr>
                <w:rFonts w:ascii="Arial" w:cs="Arial" w:eastAsia="Arial" w:hAnsi="Arial"/>
                <w:sz w:val="14"/>
                <w:szCs w:val="14"/>
                <w:b w:val="1"/>
                <w:bCs w:val="1"/>
                <w:color w:val="00497F"/>
              </w:rPr>
              <w:t>Submissions</w:t>
            </w:r>
          </w:p>
        </w:tc>
        <w:tc>
          <w:tcPr>
            <w:tcW w:w="80" w:type="dxa"/>
            <w:vAlign w:val="bottom"/>
            <w:shd w:val="clear" w:color="auto" w:fill="929292"/>
          </w:tcPr>
          <w:p>
            <w:pPr>
              <w:spacing w:after="0"/>
              <w:rPr>
                <w:sz w:val="17"/>
                <w:szCs w:val="17"/>
                <w:color w:val="auto"/>
              </w:rPr>
            </w:pPr>
          </w:p>
        </w:tc>
        <w:tc>
          <w:tcPr>
            <w:tcW w:w="1300" w:type="dxa"/>
            <w:vAlign w:val="bottom"/>
          </w:tcPr>
          <w:p>
            <w:pPr>
              <w:jc w:val="right"/>
              <w:ind w:right="40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7"/>
                <w:szCs w:val="17"/>
                <w:color w:val="auto"/>
              </w:rPr>
            </w:pPr>
          </w:p>
        </w:tc>
        <w:tc>
          <w:tcPr>
            <w:tcW w:w="1300" w:type="dxa"/>
            <w:vAlign w:val="bottom"/>
          </w:tcPr>
          <w:p>
            <w:pPr>
              <w:jc w:val="right"/>
              <w:ind w:right="42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1380" w:type="dxa"/>
            <w:vAlign w:val="bottom"/>
            <w:gridSpan w:val="2"/>
          </w:tcPr>
          <w:p>
            <w:pPr>
              <w:ind w:left="400"/>
              <w:spacing w:after="0"/>
              <w:rPr>
                <w:sz w:val="20"/>
                <w:szCs w:val="20"/>
                <w:color w:val="auto"/>
              </w:rPr>
            </w:pPr>
            <w:r>
              <w:rPr>
                <w:rFonts w:ascii="Arial" w:cs="Arial" w:eastAsia="Arial" w:hAnsi="Arial"/>
                <w:sz w:val="14"/>
                <w:szCs w:val="14"/>
                <w:color w:val="auto"/>
              </w:rPr>
              <w:t>Change</w:t>
            </w:r>
          </w:p>
        </w:tc>
        <w:tc>
          <w:tcPr>
            <w:tcW w:w="1440" w:type="dxa"/>
            <w:vAlign w:val="bottom"/>
          </w:tcPr>
          <w:p>
            <w:pPr>
              <w:jc w:val="right"/>
              <w:ind w:right="308"/>
              <w:spacing w:after="0"/>
              <w:rPr>
                <w:sz w:val="20"/>
                <w:szCs w:val="20"/>
                <w:color w:val="auto"/>
              </w:rPr>
            </w:pPr>
            <w:r>
              <w:rPr>
                <w:rFonts w:ascii="Arial" w:cs="Arial" w:eastAsia="Arial" w:hAnsi="Arial"/>
                <w:sz w:val="14"/>
                <w:szCs w:val="14"/>
                <w:color w:val="auto"/>
              </w:rPr>
              <w:t>% Change</w:t>
            </w:r>
          </w:p>
        </w:tc>
      </w:tr>
      <w:tr>
        <w:trPr>
          <w:trHeight w:val="192"/>
        </w:trPr>
        <w:tc>
          <w:tcPr>
            <w:tcW w:w="5540" w:type="dxa"/>
            <w:vAlign w:val="bottom"/>
            <w:tcBorders>
              <w:left w:val="single" w:sz="8" w:color="B6B6B6"/>
              <w:bottom w:val="single" w:sz="8" w:color="B6B6B6"/>
              <w:right w:val="single" w:sz="8" w:color="B6B6B6"/>
            </w:tcBorders>
          </w:tcPr>
          <w:p>
            <w:pPr>
              <w:spacing w:after="0"/>
              <w:rPr>
                <w:sz w:val="16"/>
                <w:szCs w:val="16"/>
                <w:color w:val="auto"/>
              </w:rPr>
            </w:pPr>
          </w:p>
        </w:tc>
        <w:tc>
          <w:tcPr>
            <w:tcW w:w="80" w:type="dxa"/>
            <w:vAlign w:val="bottom"/>
            <w:tcBorders>
              <w:top w:val="single" w:sz="8" w:color="929292"/>
            </w:tcBorders>
            <w:shd w:val="clear" w:color="auto" w:fill="929292"/>
          </w:tcPr>
          <w:p>
            <w:pPr>
              <w:spacing w:after="0"/>
              <w:rPr>
                <w:sz w:val="16"/>
                <w:szCs w:val="16"/>
                <w:color w:val="auto"/>
              </w:rPr>
            </w:pPr>
          </w:p>
        </w:tc>
        <w:tc>
          <w:tcPr>
            <w:tcW w:w="130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303,026</w:t>
            </w:r>
          </w:p>
        </w:tc>
        <w:tc>
          <w:tcPr>
            <w:tcW w:w="100" w:type="dxa"/>
            <w:vAlign w:val="bottom"/>
          </w:tcPr>
          <w:p>
            <w:pPr>
              <w:spacing w:after="0"/>
              <w:rPr>
                <w:sz w:val="16"/>
                <w:szCs w:val="16"/>
                <w:color w:val="auto"/>
              </w:rPr>
            </w:pPr>
          </w:p>
        </w:tc>
        <w:tc>
          <w:tcPr>
            <w:tcW w:w="130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216,148</w:t>
            </w:r>
          </w:p>
        </w:tc>
        <w:tc>
          <w:tcPr>
            <w:tcW w:w="100" w:type="dxa"/>
            <w:vAlign w:val="bottom"/>
          </w:tcPr>
          <w:p>
            <w:pPr>
              <w:spacing w:after="0"/>
              <w:rPr>
                <w:sz w:val="16"/>
                <w:szCs w:val="16"/>
                <w:color w:val="auto"/>
              </w:rPr>
            </w:pPr>
          </w:p>
        </w:tc>
        <w:tc>
          <w:tcPr>
            <w:tcW w:w="130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86,878</w:t>
            </w:r>
          </w:p>
        </w:tc>
        <w:tc>
          <w:tcPr>
            <w:tcW w:w="80" w:type="dxa"/>
            <w:vAlign w:val="bottom"/>
          </w:tcPr>
          <w:p>
            <w:pPr>
              <w:spacing w:after="0"/>
              <w:rPr>
                <w:sz w:val="16"/>
                <w:szCs w:val="16"/>
                <w:color w:val="auto"/>
              </w:rPr>
            </w:pPr>
          </w:p>
        </w:tc>
        <w:tc>
          <w:tcPr>
            <w:tcW w:w="144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40.2 %</w:t>
            </w:r>
          </w:p>
        </w:tc>
      </w:tr>
    </w:tbl>
    <w:p>
      <w:pPr>
        <w:spacing w:after="0" w:line="269" w:lineRule="exact"/>
        <w:rPr>
          <w:sz w:val="20"/>
          <w:szCs w:val="20"/>
          <w:color w:val="auto"/>
        </w:rPr>
      </w:pPr>
    </w:p>
    <w:p>
      <w:pPr>
        <w:ind w:right="160"/>
        <w:spacing w:after="0" w:line="271" w:lineRule="auto"/>
        <w:rPr>
          <w:sz w:val="20"/>
          <w:szCs w:val="20"/>
          <w:color w:val="auto"/>
        </w:rPr>
      </w:pPr>
      <w:r>
        <w:rPr>
          <w:rFonts w:ascii="Arial" w:cs="Arial" w:eastAsia="Arial" w:hAnsi="Arial"/>
          <w:sz w:val="16"/>
          <w:szCs w:val="16"/>
          <w:color w:val="auto"/>
        </w:rPr>
        <w:t>The increase for the three months ended March 31, 2025 compared to the prior year period was primarily attributable to an increase in Submissions generated by GoHealth’s internal network of agents, powered by our enhanced marketing efforts, investments in technology and an increased agent headcount as a result of the e-TeleQuote acquisition. The increase was partially offset by a decrease in Submissions generated by our external agents due to broader market pressures impacting our external broker partners.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Sales per Submission</w:t>
      </w:r>
    </w:p>
    <w:p>
      <w:pPr>
        <w:spacing w:after="0" w:line="235" w:lineRule="exact"/>
        <w:rPr>
          <w:sz w:val="20"/>
          <w:szCs w:val="20"/>
          <w:color w:val="auto"/>
        </w:rPr>
      </w:pPr>
    </w:p>
    <w:p>
      <w:pPr>
        <w:ind w:right="120"/>
        <w:spacing w:after="0" w:line="233" w:lineRule="auto"/>
        <w:rPr>
          <w:sz w:val="20"/>
          <w:szCs w:val="20"/>
          <w:color w:val="auto"/>
        </w:rPr>
      </w:pPr>
      <w:r>
        <w:rPr>
          <w:rFonts w:ascii="Arial" w:cs="Arial" w:eastAsia="Arial" w:hAnsi="Arial"/>
          <w:sz w:val="16"/>
          <w:szCs w:val="16"/>
          <w:color w:val="auto"/>
        </w:rPr>
        <w:t>Sales per Submission is an operating metric that represents the average performance of Submissions generated during the reporting period. Sales per Submission refers to (x) the sum of (i) aggregate commissions estimated to be collected over the estimated life of all commissionable Submissions for the relevant period based on multiple factors, including but not limited to, contracted commission rates, health plan partner mix and expected policy persistency with applied constraints, excluding revenue adjustments recorded in the period, but relating to performance obligations satisfied in prior periods, (ii) non-agency revenue and (iii) partner marketing and other revenue, divided by (y) the number of Submissions for such period. Sales per Submission measures</w:t>
      </w:r>
    </w:p>
    <w:p>
      <w:pPr>
        <w:ind w:right="40"/>
        <w:spacing w:after="0" w:line="220" w:lineRule="auto"/>
        <w:rPr>
          <w:sz w:val="20"/>
          <w:szCs w:val="20"/>
          <w:color w:val="auto"/>
        </w:rPr>
      </w:pPr>
      <w:r>
        <w:rPr>
          <w:rFonts w:ascii="Arial" w:cs="Arial" w:eastAsia="Arial" w:hAnsi="Arial"/>
          <w:sz w:val="16"/>
          <w:szCs w:val="16"/>
          <w:color w:val="auto"/>
        </w:rPr>
        <w:t>revenues only from the Submissions generated in the period and excludes items that are unrelated to such Submissions. Sales per Submission is not meant to be considered as an indicator of financial performance in isolation from or as a substitute for the Company’s net revenues. Management uses this metric</w:t>
      </w:r>
    </w:p>
    <w:p>
      <w:pPr>
        <w:ind w:right="360"/>
        <w:spacing w:after="0" w:line="248" w:lineRule="auto"/>
        <w:rPr>
          <w:sz w:val="20"/>
          <w:szCs w:val="20"/>
          <w:color w:val="auto"/>
        </w:rPr>
      </w:pPr>
      <w:r>
        <w:rPr>
          <w:rFonts w:ascii="Arial" w:cs="Arial" w:eastAsia="Arial" w:hAnsi="Arial"/>
          <w:sz w:val="16"/>
          <w:szCs w:val="16"/>
          <w:color w:val="auto"/>
        </w:rPr>
        <w:t>to measure the performance of the Submissions generated in a reporting period by reviewing and presenting average performance on a per Submission basis over time.</w:t>
      </w:r>
    </w:p>
    <w:p>
      <w:pPr>
        <w:spacing w:after="0" w:line="211"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numerator of Sales per Submission includes revenues generated by Submissions produced in the reporting period through both our agency and non-agency models. The mix of agency and non-agency contracts could impact Sales per Submission. The Company has a portfolio of agency and non-agency contracts, varying by health plan partner and product, and the mix of these contracts is dependent on the plans most suitable for the consumers we serve.</w:t>
      </w:r>
    </w:p>
    <w:p>
      <w:pPr>
        <w:spacing w:after="0" w:line="19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Agency revenue refers to the expected amount of initial commission revenue and any renewal commissions to be paid from the health plan partners on such placement as long as the policyholder remains with the same insurance product. The estimate of the future renewal commissions is determined by using the contracted renewal commission rates constrained by a persistency-adjusted renewal period. The persistency-adjusted renewal period is determined based on our historical experience and available industry and health plan partner historical data. Persistency adjustments allow us to estimate renewal revenue only to the extent probable that a material reversal in revenue would not be expected to occur. These factors may result in varying values from period to period. See “Risk Factors—Risks Related to Our Business—Our operating results may be adversely impacted by factors that impact our estimate of LTV” in our 2024 Annual Report on Form 10-K. Agency revenue includes partner marketing revenue, in which the Company is compensated by its health plan partners for providing marketing services over a predetermined measurement period. The Company recognizes partner marketing revenue over the measurement period as Submissions are generated and generally gets paid a fixed fee per Submission that results in either a policy effectuating or staying in-force through the rapid disenrollment period, or 90 days post-effectuation.</w:t>
      </w:r>
    </w:p>
    <w:p>
      <w:pPr>
        <w:spacing w:after="0" w:line="209"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Non-agency revenue refers to enrollment and engagement services for which cash is collected in advance or in close proximity to the point in time revenue is recognized, with the amount of variable consideration generally resolved within 90 days of when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279400</wp:posOffset>
            </wp:positionV>
            <wp:extent cx="8255" cy="1289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279400</wp:posOffset>
            </wp:positionV>
            <wp:extent cx="8890" cy="128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44"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2025 Form 10-Q</w:t>
      </w:r>
      <w:r>
        <w:rPr>
          <w:sz w:val="20"/>
          <w:szCs w:val="20"/>
          <w:color w:val="auto"/>
        </w:rPr>
        <w:tab/>
      </w: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31" w:name="page32"/>
    <w:bookmarkEnd w:id="31"/>
    <w:p>
      <w:pPr>
        <w:ind w:right="140"/>
        <w:spacing w:after="0" w:line="286" w:lineRule="auto"/>
        <w:rPr>
          <w:sz w:val="20"/>
          <w:szCs w:val="20"/>
          <w:color w:val="auto"/>
        </w:rPr>
      </w:pPr>
      <w:r>
        <w:rPr>
          <w:rFonts w:ascii="Arial" w:cs="Arial" w:eastAsia="Arial" w:hAnsi="Arial"/>
          <w:sz w:val="16"/>
          <w:szCs w:val="16"/>
          <w:color w:val="auto"/>
        </w:rPr>
        <w:t>the related policy effectuates. The Company does not receive commissions on subsequent renewals for non-agency Submissions. For more information on the Company’s agency and non-agency revenue, refer to Note 9, “Revenue.”</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Sales per Submission for the periods presented:</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560" w:type="dxa"/>
            <w:vAlign w:val="bottom"/>
            <w:tcBorders>
              <w:top w:val="single" w:sz="8" w:color="B6B6B6"/>
              <w:left w:val="single" w:sz="8" w:color="B6B6B6"/>
              <w:right w:val="single" w:sz="8" w:color="B6B6B6"/>
            </w:tcBorders>
          </w:tcPr>
          <w:p>
            <w:pPr>
              <w:spacing w:after="0"/>
              <w:rPr>
                <w:sz w:val="17"/>
                <w:szCs w:val="17"/>
                <w:color w:val="auto"/>
              </w:rPr>
            </w:pPr>
          </w:p>
        </w:tc>
        <w:tc>
          <w:tcPr>
            <w:tcW w:w="80" w:type="dxa"/>
            <w:vAlign w:val="bottom"/>
            <w:tcBorders>
              <w:top w:val="single" w:sz="8" w:color="929292"/>
            </w:tcBorders>
            <w:shd w:val="clear" w:color="auto" w:fill="929292"/>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5"/>
          </w:tcPr>
          <w:p>
            <w:pPr>
              <w:ind w:left="160"/>
              <w:spacing w:after="0"/>
              <w:rPr>
                <w:sz w:val="20"/>
                <w:szCs w:val="20"/>
                <w:color w:val="auto"/>
              </w:rPr>
            </w:pPr>
            <w:r>
              <w:rPr>
                <w:rFonts w:ascii="Arial" w:cs="Arial" w:eastAsia="Arial" w:hAnsi="Arial"/>
                <w:sz w:val="14"/>
                <w:szCs w:val="14"/>
                <w:color w:val="auto"/>
              </w:rPr>
              <w:t>Three months ended Mar. 31,</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8"/>
        </w:trPr>
        <w:tc>
          <w:tcPr>
            <w:tcW w:w="5560" w:type="dxa"/>
            <w:vAlign w:val="bottom"/>
            <w:tcBorders>
              <w:left w:val="single" w:sz="8" w:color="B6B6B6"/>
              <w:right w:val="single" w:sz="8" w:color="B6B6B6"/>
            </w:tcBorders>
          </w:tcPr>
          <w:p>
            <w:pPr>
              <w:ind w:left="2040"/>
              <w:spacing w:after="0"/>
              <w:rPr>
                <w:sz w:val="20"/>
                <w:szCs w:val="20"/>
                <w:color w:val="auto"/>
              </w:rPr>
            </w:pPr>
            <w:r>
              <w:rPr>
                <w:rFonts w:ascii="Arial" w:cs="Arial" w:eastAsia="Arial" w:hAnsi="Arial"/>
                <w:sz w:val="14"/>
                <w:szCs w:val="14"/>
                <w:b w:val="1"/>
                <w:bCs w:val="1"/>
                <w:color w:val="00497F"/>
              </w:rPr>
              <w:t>Sales per Submission</w:t>
            </w:r>
          </w:p>
        </w:tc>
        <w:tc>
          <w:tcPr>
            <w:tcW w:w="80" w:type="dxa"/>
            <w:vAlign w:val="bottom"/>
            <w:shd w:val="clear" w:color="auto" w:fill="929292"/>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428"/>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0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 Change</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 Change</w:t>
            </w:r>
          </w:p>
        </w:tc>
      </w:tr>
      <w:tr>
        <w:trPr>
          <w:trHeight w:val="192"/>
        </w:trPr>
        <w:tc>
          <w:tcPr>
            <w:tcW w:w="5560" w:type="dxa"/>
            <w:vAlign w:val="bottom"/>
            <w:tcBorders>
              <w:left w:val="single" w:sz="8" w:color="B6B6B6"/>
              <w:bottom w:val="single" w:sz="8" w:color="B6B6B6"/>
              <w:right w:val="single" w:sz="8" w:color="B6B6B6"/>
            </w:tcBorders>
          </w:tcPr>
          <w:p>
            <w:pPr>
              <w:spacing w:after="0"/>
              <w:rPr>
                <w:sz w:val="16"/>
                <w:szCs w:val="16"/>
                <w:color w:val="auto"/>
              </w:rPr>
            </w:pPr>
          </w:p>
        </w:tc>
        <w:tc>
          <w:tcPr>
            <w:tcW w:w="80" w:type="dxa"/>
            <w:vAlign w:val="bottom"/>
            <w:tcBorders>
              <w:top w:val="single" w:sz="8" w:color="929292"/>
            </w:tcBorders>
            <w:shd w:val="clear" w:color="auto" w:fill="929292"/>
          </w:tcPr>
          <w:p>
            <w:pPr>
              <w:spacing w:after="0"/>
              <w:rPr>
                <w:sz w:val="16"/>
                <w:szCs w:val="16"/>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724</w:t>
            </w:r>
          </w:p>
        </w:tc>
        <w:tc>
          <w:tcPr>
            <w:tcW w:w="80" w:type="dxa"/>
            <w:vAlign w:val="bottom"/>
          </w:tcPr>
          <w:p>
            <w:pPr>
              <w:spacing w:after="0"/>
              <w:rPr>
                <w:sz w:val="16"/>
                <w:szCs w:val="16"/>
                <w:color w:val="auto"/>
              </w:rPr>
            </w:pPr>
          </w:p>
        </w:tc>
        <w:tc>
          <w:tcPr>
            <w:tcW w:w="300" w:type="dxa"/>
            <w:vAlign w:val="bottom"/>
            <w:tcBorders>
              <w:top w:val="single" w:sz="8" w:color="929292"/>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856</w:t>
            </w:r>
          </w:p>
        </w:tc>
        <w:tc>
          <w:tcPr>
            <w:tcW w:w="100" w:type="dxa"/>
            <w:vAlign w:val="bottom"/>
          </w:tcPr>
          <w:p>
            <w:pPr>
              <w:spacing w:after="0"/>
              <w:rPr>
                <w:sz w:val="16"/>
                <w:szCs w:val="16"/>
                <w:color w:val="auto"/>
              </w:rPr>
            </w:pPr>
          </w:p>
        </w:tc>
        <w:tc>
          <w:tcPr>
            <w:tcW w:w="220" w:type="dxa"/>
            <w:vAlign w:val="bottom"/>
            <w:tcBorders>
              <w:top w:val="single" w:sz="8" w:color="929292"/>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(132)</w:t>
            </w:r>
          </w:p>
        </w:tc>
        <w:tc>
          <w:tcPr>
            <w:tcW w:w="100" w:type="dxa"/>
            <w:vAlign w:val="bottom"/>
          </w:tcPr>
          <w:p>
            <w:pPr>
              <w:spacing w:after="0"/>
              <w:rPr>
                <w:sz w:val="16"/>
                <w:szCs w:val="16"/>
                <w:color w:val="auto"/>
              </w:rPr>
            </w:pPr>
          </w:p>
        </w:tc>
        <w:tc>
          <w:tcPr>
            <w:tcW w:w="142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(15.4)%</w:t>
            </w:r>
          </w:p>
        </w:tc>
      </w:tr>
    </w:tbl>
    <w:p>
      <w:pPr>
        <w:spacing w:after="0" w:line="269"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The decrease for the three months ended March 31, 2025 compared to the prior year period was primarily attributable to a shift from non-agency to agency revenue as a result of changing carrier mix within the non-agency channel.</w:t>
      </w:r>
    </w:p>
    <w:p>
      <w:pPr>
        <w:spacing w:after="0" w:line="141"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Direct Operating Cost per Submission</w:t>
      </w:r>
    </w:p>
    <w:p>
      <w:pPr>
        <w:spacing w:after="0" w:line="235" w:lineRule="exact"/>
        <w:rPr>
          <w:sz w:val="20"/>
          <w:szCs w:val="20"/>
          <w:color w:val="auto"/>
        </w:rPr>
      </w:pPr>
    </w:p>
    <w:p>
      <w:pPr>
        <w:ind w:right="40"/>
        <w:spacing w:after="0" w:line="237" w:lineRule="auto"/>
        <w:rPr>
          <w:sz w:val="20"/>
          <w:szCs w:val="20"/>
          <w:color w:val="auto"/>
        </w:rPr>
      </w:pPr>
      <w:r>
        <w:rPr>
          <w:rFonts w:ascii="Arial" w:cs="Arial" w:eastAsia="Arial" w:hAnsi="Arial"/>
          <w:sz w:val="16"/>
          <w:szCs w:val="16"/>
          <w:color w:val="auto"/>
        </w:rPr>
        <w:t>Direct Operating Cost per Submission is an operating metric that represents the average performance of Submissions generated during the reporting period. Direct Operating Cost per Submission measures costs directly attributable to Submissions generated in the period and excludes costs that are indirect or fixed. The numerator of Direct Operating Cost per Submission, referred to as Direct Operating Cost of Submission, is the portion of the respective operating expenses for revenue share, marketing and advertising and consumer care and enrollment that are directly related to the Submissions generated in the reporting period. Management uses this metric to measure the cost of the Submissions generated in a reporting period by reviewing and presenting average cost on a per Submission basis over time.</w:t>
      </w:r>
    </w:p>
    <w:p>
      <w:pPr>
        <w:spacing w:after="0" w:line="192" w:lineRule="exact"/>
        <w:rPr>
          <w:sz w:val="20"/>
          <w:szCs w:val="20"/>
          <w:color w:val="auto"/>
        </w:rPr>
      </w:pPr>
    </w:p>
    <w:p>
      <w:pPr>
        <w:ind w:right="100"/>
        <w:spacing w:after="0" w:line="241" w:lineRule="auto"/>
        <w:rPr>
          <w:sz w:val="20"/>
          <w:szCs w:val="20"/>
          <w:color w:val="auto"/>
        </w:rPr>
      </w:pPr>
      <w:r>
        <w:rPr>
          <w:rFonts w:ascii="Arial" w:cs="Arial" w:eastAsia="Arial" w:hAnsi="Arial"/>
          <w:sz w:val="16"/>
          <w:szCs w:val="16"/>
          <w:color w:val="auto"/>
        </w:rPr>
        <w:t>Revenue share represents variable expense related to agency and non-agency Submissions generated in the reporting period by our external agents with whom we have a revenue-sharing arrangement. These amounts exclude items that are unrelated to Submissions generated in the reporting period such as the impact to revenue share resulting from revenue adjustments recorded in the period, but relating to performance obligations satisfied in prior periods by our external agents. Marketing and advertising expense consists primarily of expenses associated with acquiring consumers through the Company’s direct, online advertising and marketing partner channels as well as through online, television and direct mail advertisements. A significant portion of our marketing and advertising expenses is driven by the number of health insurance applications submitted through us. Such costs are direct and variable with Submissions. These amounts exclude items that are unrelated to Submissions generated in the reporting period such as share-based compensation expense and other expenses unrelated to Medicare. Consumer care and enrollment expenses primarily consist of compensation and benefits costs for enrollment personnel who assist consumers during the health plan enrollment and application processes and such expenses are generally variable with Submissions. These amounts exclude items that are unrelated to Submissions generated in the reporting period such as share-based compensation expense and other expenses unrelated to Medicare.</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Direct Operating Cost per Submission for the periods presented:</w:t>
      </w:r>
    </w:p>
    <w:p>
      <w:pPr>
        <w:spacing w:after="0" w:line="242"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5560" w:type="dxa"/>
            <w:vAlign w:val="bottom"/>
            <w:tcBorders>
              <w:top w:val="single" w:sz="8" w:color="B6B6B6"/>
              <w:left w:val="single" w:sz="8" w:color="B6B6B6"/>
              <w:right w:val="single" w:sz="8" w:color="B6B6B6"/>
            </w:tcBorders>
          </w:tcPr>
          <w:p>
            <w:pPr>
              <w:spacing w:after="0"/>
              <w:rPr>
                <w:sz w:val="17"/>
                <w:szCs w:val="17"/>
                <w:color w:val="auto"/>
              </w:rPr>
            </w:pPr>
          </w:p>
        </w:tc>
        <w:tc>
          <w:tcPr>
            <w:tcW w:w="80" w:type="dxa"/>
            <w:vAlign w:val="bottom"/>
            <w:tcBorders>
              <w:top w:val="single" w:sz="8" w:color="929292"/>
            </w:tcBorders>
            <w:shd w:val="clear" w:color="auto" w:fill="929292"/>
          </w:tcPr>
          <w:p>
            <w:pPr>
              <w:spacing w:after="0"/>
              <w:rPr>
                <w:sz w:val="17"/>
                <w:szCs w:val="17"/>
                <w:color w:val="auto"/>
              </w:rPr>
            </w:pPr>
          </w:p>
        </w:tc>
        <w:tc>
          <w:tcPr>
            <w:tcW w:w="240" w:type="dxa"/>
            <w:vAlign w:val="bottom"/>
          </w:tcPr>
          <w:p>
            <w:pPr>
              <w:spacing w:after="0"/>
              <w:rPr>
                <w:sz w:val="17"/>
                <w:szCs w:val="17"/>
                <w:color w:val="auto"/>
              </w:rPr>
            </w:pPr>
          </w:p>
        </w:tc>
        <w:tc>
          <w:tcPr>
            <w:tcW w:w="2540" w:type="dxa"/>
            <w:vAlign w:val="bottom"/>
            <w:gridSpan w:val="5"/>
          </w:tcPr>
          <w:p>
            <w:pPr>
              <w:ind w:left="160"/>
              <w:spacing w:after="0"/>
              <w:rPr>
                <w:sz w:val="20"/>
                <w:szCs w:val="20"/>
                <w:color w:val="auto"/>
              </w:rPr>
            </w:pPr>
            <w:r>
              <w:rPr>
                <w:rFonts w:ascii="Arial" w:cs="Arial" w:eastAsia="Arial" w:hAnsi="Arial"/>
                <w:sz w:val="14"/>
                <w:szCs w:val="14"/>
                <w:color w:val="auto"/>
              </w:rPr>
              <w:t>Three months ended Mar. 31,</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198"/>
        </w:trPr>
        <w:tc>
          <w:tcPr>
            <w:tcW w:w="5560" w:type="dxa"/>
            <w:vAlign w:val="bottom"/>
            <w:tcBorders>
              <w:left w:val="single" w:sz="8" w:color="B6B6B6"/>
              <w:right w:val="single" w:sz="8" w:color="B6B6B6"/>
            </w:tcBorders>
          </w:tcPr>
          <w:p>
            <w:pPr>
              <w:ind w:left="1480"/>
              <w:spacing w:after="0"/>
              <w:rPr>
                <w:sz w:val="20"/>
                <w:szCs w:val="20"/>
                <w:color w:val="auto"/>
              </w:rPr>
            </w:pPr>
            <w:r>
              <w:rPr>
                <w:rFonts w:ascii="Arial" w:cs="Arial" w:eastAsia="Arial" w:hAnsi="Arial"/>
                <w:sz w:val="14"/>
                <w:szCs w:val="14"/>
                <w:b w:val="1"/>
                <w:bCs w:val="1"/>
                <w:color w:val="00497F"/>
              </w:rPr>
              <w:t>Direct Operating Cost per Submission</w:t>
            </w:r>
          </w:p>
        </w:tc>
        <w:tc>
          <w:tcPr>
            <w:tcW w:w="80" w:type="dxa"/>
            <w:vAlign w:val="bottom"/>
            <w:shd w:val="clear" w:color="auto" w:fill="929292"/>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jc w:val="right"/>
              <w:ind w:right="428"/>
              <w:spacing w:after="0"/>
              <w:rPr>
                <w:sz w:val="20"/>
                <w:szCs w:val="20"/>
                <w:color w:val="auto"/>
              </w:rPr>
            </w:pPr>
            <w:r>
              <w:rPr>
                <w:rFonts w:ascii="Arial" w:cs="Arial" w:eastAsia="Arial" w:hAnsi="Arial"/>
                <w:sz w:val="14"/>
                <w:szCs w:val="14"/>
                <w:color w:val="auto"/>
              </w:rPr>
              <w:t>2025</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ind w:right="408"/>
              <w:spacing w:after="0"/>
              <w:rPr>
                <w:sz w:val="20"/>
                <w:szCs w:val="20"/>
                <w:color w:val="auto"/>
              </w:rPr>
            </w:pPr>
            <w:r>
              <w:rPr>
                <w:rFonts w:ascii="Arial" w:cs="Arial" w:eastAsia="Arial" w:hAnsi="Arial"/>
                <w:sz w:val="14"/>
                <w:szCs w:val="14"/>
                <w:color w:val="auto"/>
              </w:rPr>
              <w:t>2024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gridSpan w:val="2"/>
          </w:tcPr>
          <w:p>
            <w:pPr>
              <w:ind w:left="120"/>
              <w:spacing w:after="0"/>
              <w:rPr>
                <w:sz w:val="20"/>
                <w:szCs w:val="20"/>
                <w:color w:val="auto"/>
              </w:rPr>
            </w:pPr>
            <w:r>
              <w:rPr>
                <w:rFonts w:ascii="Arial" w:cs="Arial" w:eastAsia="Arial" w:hAnsi="Arial"/>
                <w:sz w:val="14"/>
                <w:szCs w:val="14"/>
                <w:color w:val="auto"/>
              </w:rPr>
              <w:t>$ Change</w:t>
            </w:r>
          </w:p>
        </w:tc>
        <w:tc>
          <w:tcPr>
            <w:tcW w:w="1420" w:type="dxa"/>
            <w:vAlign w:val="bottom"/>
          </w:tcPr>
          <w:p>
            <w:pPr>
              <w:jc w:val="right"/>
              <w:ind w:right="308"/>
              <w:spacing w:after="0"/>
              <w:rPr>
                <w:sz w:val="20"/>
                <w:szCs w:val="20"/>
                <w:color w:val="auto"/>
              </w:rPr>
            </w:pPr>
            <w:r>
              <w:rPr>
                <w:rFonts w:ascii="Arial" w:cs="Arial" w:eastAsia="Arial" w:hAnsi="Arial"/>
                <w:sz w:val="14"/>
                <w:szCs w:val="14"/>
                <w:color w:val="auto"/>
              </w:rPr>
              <w:t>% Change</w:t>
            </w:r>
          </w:p>
        </w:tc>
      </w:tr>
      <w:tr>
        <w:trPr>
          <w:trHeight w:val="192"/>
        </w:trPr>
        <w:tc>
          <w:tcPr>
            <w:tcW w:w="5560" w:type="dxa"/>
            <w:vAlign w:val="bottom"/>
            <w:tcBorders>
              <w:left w:val="single" w:sz="8" w:color="B6B6B6"/>
              <w:bottom w:val="single" w:sz="8" w:color="B6B6B6"/>
              <w:right w:val="single" w:sz="8" w:color="B6B6B6"/>
            </w:tcBorders>
          </w:tcPr>
          <w:p>
            <w:pPr>
              <w:spacing w:after="0"/>
              <w:rPr>
                <w:sz w:val="16"/>
                <w:szCs w:val="16"/>
                <w:color w:val="auto"/>
              </w:rPr>
            </w:pPr>
          </w:p>
        </w:tc>
        <w:tc>
          <w:tcPr>
            <w:tcW w:w="80" w:type="dxa"/>
            <w:vAlign w:val="bottom"/>
            <w:tcBorders>
              <w:top w:val="single" w:sz="8" w:color="929292"/>
            </w:tcBorders>
            <w:shd w:val="clear" w:color="auto" w:fill="929292"/>
          </w:tcPr>
          <w:p>
            <w:pPr>
              <w:spacing w:after="0"/>
              <w:rPr>
                <w:sz w:val="16"/>
                <w:szCs w:val="16"/>
                <w:color w:val="auto"/>
              </w:rPr>
            </w:pPr>
          </w:p>
        </w:tc>
        <w:tc>
          <w:tcPr>
            <w:tcW w:w="240" w:type="dxa"/>
            <w:vAlign w:val="bottom"/>
            <w:tcBorders>
              <w:top w:val="single" w:sz="8" w:color="929292"/>
            </w:tcBorders>
          </w:tcPr>
          <w:p>
            <w:pPr>
              <w:jc w:val="right"/>
              <w:ind w:right="6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929292"/>
            </w:tcBorders>
          </w:tcPr>
          <w:p>
            <w:pPr>
              <w:jc w:val="right"/>
              <w:ind w:right="8"/>
              <w:spacing w:after="0"/>
              <w:rPr>
                <w:sz w:val="20"/>
                <w:szCs w:val="20"/>
                <w:color w:val="auto"/>
              </w:rPr>
            </w:pPr>
            <w:r>
              <w:rPr>
                <w:rFonts w:ascii="Arial" w:cs="Arial" w:eastAsia="Arial" w:hAnsi="Arial"/>
                <w:sz w:val="14"/>
                <w:szCs w:val="14"/>
                <w:color w:val="auto"/>
              </w:rPr>
              <w:t>522</w:t>
            </w:r>
          </w:p>
        </w:tc>
        <w:tc>
          <w:tcPr>
            <w:tcW w:w="80" w:type="dxa"/>
            <w:vAlign w:val="bottom"/>
          </w:tcPr>
          <w:p>
            <w:pPr>
              <w:spacing w:after="0"/>
              <w:rPr>
                <w:sz w:val="16"/>
                <w:szCs w:val="16"/>
                <w:color w:val="auto"/>
              </w:rPr>
            </w:pPr>
          </w:p>
        </w:tc>
        <w:tc>
          <w:tcPr>
            <w:tcW w:w="300" w:type="dxa"/>
            <w:vAlign w:val="bottom"/>
            <w:tcBorders>
              <w:top w:val="single" w:sz="8" w:color="929292"/>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640</w:t>
            </w:r>
          </w:p>
        </w:tc>
        <w:tc>
          <w:tcPr>
            <w:tcW w:w="100" w:type="dxa"/>
            <w:vAlign w:val="bottom"/>
          </w:tcPr>
          <w:p>
            <w:pPr>
              <w:spacing w:after="0"/>
              <w:rPr>
                <w:sz w:val="16"/>
                <w:szCs w:val="16"/>
                <w:color w:val="auto"/>
              </w:rPr>
            </w:pPr>
          </w:p>
        </w:tc>
        <w:tc>
          <w:tcPr>
            <w:tcW w:w="220" w:type="dxa"/>
            <w:vAlign w:val="bottom"/>
            <w:tcBorders>
              <w:top w:val="single" w:sz="8" w:color="929292"/>
            </w:tcBorders>
          </w:tcPr>
          <w:p>
            <w:pPr>
              <w:jc w:val="right"/>
              <w:ind w:right="48"/>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16"/>
                <w:szCs w:val="16"/>
                <w:color w:val="auto"/>
              </w:rPr>
            </w:pPr>
          </w:p>
        </w:tc>
        <w:tc>
          <w:tcPr>
            <w:tcW w:w="1420" w:type="dxa"/>
            <w:vAlign w:val="bottom"/>
            <w:tcBorders>
              <w:top w:val="single" w:sz="8" w:color="929292"/>
            </w:tcBorders>
          </w:tcPr>
          <w:p>
            <w:pPr>
              <w:jc w:val="right"/>
              <w:spacing w:after="0"/>
              <w:rPr>
                <w:sz w:val="20"/>
                <w:szCs w:val="20"/>
                <w:color w:val="auto"/>
              </w:rPr>
            </w:pPr>
            <w:r>
              <w:rPr>
                <w:rFonts w:ascii="Arial" w:cs="Arial" w:eastAsia="Arial" w:hAnsi="Arial"/>
                <w:sz w:val="14"/>
                <w:szCs w:val="14"/>
                <w:color w:val="auto"/>
              </w:rPr>
              <w:t>(18.4)%</w:t>
            </w:r>
          </w:p>
        </w:tc>
      </w:tr>
    </w:tbl>
    <w:p>
      <w:pPr>
        <w:spacing w:after="0" w:line="283"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decrease in Direct Operating Cost per Submission for the three months ended March 31, 2025 compared to the prior year period was primarily attributable to improvements in agent productivity through enhanced training programs and investment in our technology. Our focus on Direct Operating Cost per Submission enables us to effectively manage expenses and investment in a highly regulated industry where benefits change annually, contracting dynamics change annually and consumer behavior can vary.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00497F"/>
        </w:rPr>
        <w:t>Sales/Direct Operating Cost of Submission</w:t>
      </w:r>
    </w:p>
    <w:p>
      <w:pPr>
        <w:spacing w:after="0" w:line="248" w:lineRule="exact"/>
        <w:rPr>
          <w:sz w:val="20"/>
          <w:szCs w:val="20"/>
          <w:color w:val="auto"/>
        </w:rPr>
      </w:pPr>
    </w:p>
    <w:p>
      <w:pPr>
        <w:ind w:right="580"/>
        <w:spacing w:after="0" w:line="251" w:lineRule="auto"/>
        <w:rPr>
          <w:sz w:val="20"/>
          <w:szCs w:val="20"/>
          <w:color w:val="auto"/>
        </w:rPr>
      </w:pPr>
      <w:r>
        <w:rPr>
          <w:rFonts w:ascii="Arial" w:cs="Arial" w:eastAsia="Arial" w:hAnsi="Arial"/>
          <w:sz w:val="16"/>
          <w:szCs w:val="16"/>
          <w:color w:val="auto"/>
        </w:rPr>
        <w:t>Sales/Direct Operating Cost of Submission represents the numerator of Sales per Submission, as defined above, divided by Direct Operating Cost of Submission, as defined above.</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are our Direct Operating Cost of Submission (in thousands) and Sales/Direct Operating Cost of Submission for the periods presented:</w:t>
      </w:r>
    </w:p>
    <w:p>
      <w:pPr>
        <w:spacing w:after="0" w:line="27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760" w:type="dxa"/>
            <w:vAlign w:val="bottom"/>
            <w:gridSpan w:val="4"/>
          </w:tcPr>
          <w:p>
            <w:pPr>
              <w:jc w:val="right"/>
              <w:ind w:right="68"/>
              <w:spacing w:after="0"/>
              <w:rPr>
                <w:sz w:val="20"/>
                <w:szCs w:val="20"/>
                <w:color w:val="auto"/>
              </w:rPr>
            </w:pPr>
            <w:r>
              <w:rPr>
                <w:rFonts w:ascii="Arial" w:cs="Arial" w:eastAsia="Arial" w:hAnsi="Arial"/>
                <w:sz w:val="14"/>
                <w:szCs w:val="14"/>
                <w:color w:val="auto"/>
              </w:rPr>
              <w:t>Three months ended Mar. 31,</w:t>
            </w:r>
          </w:p>
        </w:tc>
        <w:tc>
          <w:tcPr>
            <w:tcW w:w="620" w:type="dxa"/>
            <w:vAlign w:val="bottom"/>
          </w:tcPr>
          <w:p>
            <w:pPr>
              <w:spacing w:after="0"/>
              <w:rPr>
                <w:sz w:val="17"/>
                <w:szCs w:val="17"/>
                <w:color w:val="auto"/>
              </w:rPr>
            </w:pPr>
          </w:p>
        </w:tc>
      </w:tr>
      <w:tr>
        <w:trPr>
          <w:trHeight w:val="192"/>
        </w:trPr>
        <w:tc>
          <w:tcPr>
            <w:tcW w:w="7740" w:type="dxa"/>
            <w:vAlign w:val="bottom"/>
          </w:tcPr>
          <w:p>
            <w:pPr>
              <w:spacing w:after="0"/>
              <w:rPr>
                <w:sz w:val="16"/>
                <w:szCs w:val="16"/>
                <w:color w:val="auto"/>
              </w:rPr>
            </w:pPr>
          </w:p>
        </w:tc>
        <w:tc>
          <w:tcPr>
            <w:tcW w:w="100" w:type="dxa"/>
            <w:vAlign w:val="bottom"/>
            <w:tcBorders>
              <w:bottom w:val="single" w:sz="8" w:color="929292"/>
            </w:tcBorders>
            <w:shd w:val="clear" w:color="auto" w:fill="929292"/>
          </w:tcPr>
          <w:p>
            <w:pPr>
              <w:spacing w:after="0"/>
              <w:rPr>
                <w:sz w:val="16"/>
                <w:szCs w:val="16"/>
                <w:color w:val="auto"/>
              </w:rPr>
            </w:pP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2025</w:t>
            </w:r>
          </w:p>
        </w:tc>
        <w:tc>
          <w:tcPr>
            <w:tcW w:w="620" w:type="dxa"/>
            <w:vAlign w:val="bottom"/>
            <w:tcBorders>
              <w:bottom w:val="single" w:sz="8" w:color="929292"/>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929292"/>
            </w:tcBorders>
          </w:tcPr>
          <w:p>
            <w:pPr>
              <w:jc w:val="right"/>
              <w:spacing w:after="0"/>
              <w:rPr>
                <w:sz w:val="20"/>
                <w:szCs w:val="20"/>
                <w:color w:val="auto"/>
              </w:rPr>
            </w:pPr>
            <w:r>
              <w:rPr>
                <w:rFonts w:ascii="Arial" w:cs="Arial" w:eastAsia="Arial" w:hAnsi="Arial"/>
                <w:sz w:val="14"/>
                <w:szCs w:val="14"/>
                <w:color w:val="auto"/>
              </w:rPr>
              <w:t>2024</w:t>
            </w:r>
          </w:p>
        </w:tc>
        <w:tc>
          <w:tcPr>
            <w:tcW w:w="620" w:type="dxa"/>
            <w:vAlign w:val="bottom"/>
            <w:tcBorders>
              <w:bottom w:val="single" w:sz="8" w:color="929292"/>
            </w:tcBorders>
          </w:tcPr>
          <w:p>
            <w:pPr>
              <w:spacing w:after="0"/>
              <w:rPr>
                <w:sz w:val="16"/>
                <w:szCs w:val="16"/>
                <w:color w:val="auto"/>
              </w:rPr>
            </w:pPr>
          </w:p>
        </w:tc>
      </w:tr>
      <w:tr>
        <w:trPr>
          <w:trHeight w:val="194"/>
        </w:trPr>
        <w:tc>
          <w:tcPr>
            <w:tcW w:w="7740" w:type="dxa"/>
            <w:vAlign w:val="bottom"/>
          </w:tcPr>
          <w:p>
            <w:pPr>
              <w:spacing w:after="0"/>
              <w:rPr>
                <w:sz w:val="20"/>
                <w:szCs w:val="20"/>
                <w:color w:val="auto"/>
              </w:rPr>
            </w:pPr>
            <w:r>
              <w:rPr>
                <w:rFonts w:ascii="Arial" w:cs="Arial" w:eastAsia="Arial" w:hAnsi="Arial"/>
                <w:sz w:val="14"/>
                <w:szCs w:val="14"/>
                <w:color w:val="auto"/>
              </w:rPr>
              <w:t>Direct Operating Cost of Submission</w:t>
            </w:r>
          </w:p>
        </w:tc>
        <w:tc>
          <w:tcPr>
            <w:tcW w:w="100" w:type="dxa"/>
            <w:vAlign w:val="bottom"/>
            <w:shd w:val="clear" w:color="auto" w:fill="929292"/>
          </w:tcPr>
          <w:p>
            <w:pPr>
              <w:spacing w:after="0"/>
              <w:rPr>
                <w:sz w:val="16"/>
                <w:szCs w:val="16"/>
                <w:color w:val="auto"/>
              </w:rPr>
            </w:pP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158,042</w:t>
            </w:r>
          </w:p>
        </w:tc>
        <w:tc>
          <w:tcPr>
            <w:tcW w:w="100" w:type="dxa"/>
            <w:vAlign w:val="bottom"/>
          </w:tcPr>
          <w:p>
            <w:pPr>
              <w:spacing w:after="0"/>
              <w:rPr>
                <w:sz w:val="16"/>
                <w:szCs w:val="16"/>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138,250</w:t>
            </w:r>
          </w:p>
        </w:tc>
      </w:tr>
      <w:tr>
        <w:trPr>
          <w:trHeight w:val="211"/>
        </w:trPr>
        <w:tc>
          <w:tcPr>
            <w:tcW w:w="7740" w:type="dxa"/>
            <w:vAlign w:val="bottom"/>
          </w:tcPr>
          <w:p>
            <w:pPr>
              <w:spacing w:after="0"/>
              <w:rPr>
                <w:sz w:val="20"/>
                <w:szCs w:val="20"/>
                <w:color w:val="auto"/>
              </w:rPr>
            </w:pPr>
            <w:r>
              <w:rPr>
                <w:rFonts w:ascii="Arial" w:cs="Arial" w:eastAsia="Arial" w:hAnsi="Arial"/>
                <w:sz w:val="14"/>
                <w:szCs w:val="14"/>
                <w:color w:val="auto"/>
              </w:rPr>
              <w:t>Sales/Direct Operating Cost of Submission</w:t>
            </w:r>
          </w:p>
        </w:tc>
        <w:tc>
          <w:tcPr>
            <w:tcW w:w="100" w:type="dxa"/>
            <w:vAlign w:val="bottom"/>
            <w:shd w:val="clear" w:color="auto" w:fill="929292"/>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w:t>
            </w:r>
          </w:p>
        </w:tc>
      </w:tr>
    </w:tbl>
    <w:p>
      <w:pPr>
        <w:spacing w:after="0" w:line="283"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increase in Direct Operating Cost of Submission for the three months ended March 31, 2025 compared to the prior year period was primarily attributable to increases in revenue share, marketing and advertising and consumer care and enrollment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261620</wp:posOffset>
            </wp:positionV>
            <wp:extent cx="8255" cy="1289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261620</wp:posOffset>
            </wp:positionV>
            <wp:extent cx="8890" cy="1289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sectPr>
      </w:pPr>
    </w:p>
    <w:p>
      <w:pPr>
        <w:spacing w:after="0" w:line="200" w:lineRule="exact"/>
        <w:rPr>
          <w:sz w:val="20"/>
          <w:szCs w:val="20"/>
          <w:color w:val="auto"/>
        </w:rPr>
      </w:pPr>
    </w:p>
    <w:p>
      <w:pPr>
        <w:spacing w:after="0" w:line="216"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2025 Form 10-Q</w:t>
      </w:r>
      <w:r>
        <w:rPr>
          <w:sz w:val="20"/>
          <w:szCs w:val="20"/>
          <w:color w:val="auto"/>
        </w:rPr>
        <w:tab/>
      </w: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1" w:right="339" w:bottom="1440" w:gutter="0" w:footer="0" w:header="0"/>
          <w:type w:val="continuous"/>
        </w:sectPr>
      </w:pPr>
    </w:p>
    <w:bookmarkStart w:id="32" w:name="page33"/>
    <w:bookmarkEnd w:id="32"/>
    <w:p>
      <w:pPr>
        <w:ind w:right="80"/>
        <w:spacing w:after="0" w:line="286" w:lineRule="auto"/>
        <w:rPr>
          <w:sz w:val="20"/>
          <w:szCs w:val="20"/>
          <w:color w:val="auto"/>
        </w:rPr>
      </w:pPr>
      <w:r>
        <w:rPr>
          <w:rFonts w:ascii="Arial" w:cs="Arial" w:eastAsia="Arial" w:hAnsi="Arial"/>
          <w:sz w:val="16"/>
          <w:szCs w:val="16"/>
          <w:color w:val="auto"/>
        </w:rPr>
        <w:t>expenses. The increase in Sales/Direct Operating Cost of Submission compared to the prior year period was primarily attributable to improvements in agent productivity through enhanced training programs and investment in our technology.</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33"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Our liquidity needs primarily include working capital and debt service requirements. At March 31, 2025, cash and cash equivalents totaled $22.2 million. Short-term liquidity needs will primarily be funded through the Revolving Credit Facilities, if necessary. However, the Company’s Class A Revolving Credit Facility is scheduled to expire on June 30, 2025. Upon expiration, the Company will have access to the Class A-1 Revolving Credit Facility, which has a more limited borrowing capacity. Further, the Company is responsible for ongoing cash interest payments related to its outstanding borrowings. Absent more favorable developments, our current financial projections indicate that, based on our current business plan, there is a significant likelihood that our current sources of liquidity, which include cash and cash equivalents and funds available under the Credit Facilities and Revolving Credit Facilities, as further described in Note 4, “Long-Term Debt,” will not be sufficient to meet our projected operating and debt service requirements, including amounts due under the Class A Revolving Facility expiring on June 30, 2025, for the next twelve months. Management has developed mitigating plans to address the potential liquidity constraints, including cost control measures and renegotiation of the terms of its existing debt arrangements, but we cannot provide assurance that the Company will be successful in implementing these mitigating plans on acceptable terms, if at all. To the extent that our current liquidity is insufficient to fund future activities, we may need to raise additional funds, which may include the sale of equity securities or through debt financing arrangements. The incurrence of additional debt financing would result in debt service obligations and any future instruments governing such debt could provide for operating and financing covenants that could restrict our operations.</w:t>
      </w:r>
    </w:p>
    <w:p>
      <w:pPr>
        <w:spacing w:after="0" w:line="19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a summary of cash flows for the three months ended March 31, 2025 and 2024:</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640" w:type="dxa"/>
            <w:vAlign w:val="bottom"/>
          </w:tcPr>
          <w:p>
            <w:pPr>
              <w:spacing w:after="0"/>
              <w:rPr>
                <w:sz w:val="17"/>
                <w:szCs w:val="17"/>
                <w:color w:val="auto"/>
              </w:rPr>
            </w:pP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gridSpan w:val="4"/>
          </w:tcPr>
          <w:p>
            <w:pPr>
              <w:jc w:val="right"/>
              <w:ind w:right="228"/>
              <w:spacing w:after="0"/>
              <w:rPr>
                <w:sz w:val="20"/>
                <w:szCs w:val="20"/>
                <w:color w:val="auto"/>
              </w:rPr>
            </w:pPr>
            <w:r>
              <w:rPr>
                <w:rFonts w:ascii="Arial" w:cs="Arial" w:eastAsia="Arial" w:hAnsi="Arial"/>
                <w:sz w:val="14"/>
                <w:szCs w:val="14"/>
                <w:color w:val="auto"/>
              </w:rPr>
              <w:t>Three months ended Mar. 31,</w:t>
            </w:r>
          </w:p>
        </w:tc>
      </w:tr>
      <w:tr>
        <w:trPr>
          <w:trHeight w:val="194"/>
        </w:trPr>
        <w:tc>
          <w:tcPr>
            <w:tcW w:w="8640" w:type="dxa"/>
            <w:vAlign w:val="bottom"/>
            <w:tcBorders>
              <w:bottom w:val="single" w:sz="8" w:color="929292"/>
            </w:tcBorders>
          </w:tcPr>
          <w:p>
            <w:pPr>
              <w:ind w:left="20"/>
              <w:spacing w:after="0"/>
              <w:rPr>
                <w:sz w:val="20"/>
                <w:szCs w:val="20"/>
                <w:color w:val="auto"/>
              </w:rPr>
            </w:pPr>
            <w:r>
              <w:rPr>
                <w:rFonts w:ascii="Arial" w:cs="Arial" w:eastAsia="Arial" w:hAnsi="Arial"/>
                <w:sz w:val="14"/>
                <w:szCs w:val="14"/>
                <w:color w:val="auto"/>
              </w:rPr>
              <w:t>(in thousands)</w:t>
            </w:r>
          </w:p>
        </w:tc>
        <w:tc>
          <w:tcPr>
            <w:tcW w:w="100" w:type="dxa"/>
            <w:vAlign w:val="bottom"/>
            <w:tcBorders>
              <w:bottom w:val="single" w:sz="8" w:color="929292"/>
            </w:tcBorders>
            <w:shd w:val="clear" w:color="auto" w:fill="929292"/>
          </w:tcPr>
          <w:p>
            <w:pPr>
              <w:spacing w:after="0"/>
              <w:rPr>
                <w:sz w:val="16"/>
                <w:szCs w:val="16"/>
                <w:color w:val="auto"/>
              </w:rPr>
            </w:pPr>
          </w:p>
        </w:tc>
        <w:tc>
          <w:tcPr>
            <w:tcW w:w="200" w:type="dxa"/>
            <w:vAlign w:val="bottom"/>
            <w:tcBorders>
              <w:bottom w:val="single" w:sz="8" w:color="929292"/>
            </w:tcBorders>
          </w:tcPr>
          <w:p>
            <w:pPr>
              <w:spacing w:after="0"/>
              <w:rPr>
                <w:sz w:val="16"/>
                <w:szCs w:val="16"/>
                <w:color w:val="auto"/>
              </w:rPr>
            </w:pPr>
          </w:p>
        </w:tc>
        <w:tc>
          <w:tcPr>
            <w:tcW w:w="1000" w:type="dxa"/>
            <w:vAlign w:val="bottom"/>
            <w:tcBorders>
              <w:bottom w:val="single" w:sz="8" w:color="929292"/>
            </w:tcBorders>
          </w:tcPr>
          <w:p>
            <w:pPr>
              <w:jc w:val="right"/>
              <w:ind w:right="368"/>
              <w:spacing w:after="0"/>
              <w:rPr>
                <w:sz w:val="20"/>
                <w:szCs w:val="20"/>
                <w:color w:val="auto"/>
              </w:rPr>
            </w:pPr>
            <w:r>
              <w:rPr>
                <w:rFonts w:ascii="Arial" w:cs="Arial" w:eastAsia="Arial" w:hAnsi="Arial"/>
                <w:sz w:val="14"/>
                <w:szCs w:val="14"/>
                <w:color w:val="auto"/>
              </w:rPr>
              <w:t>2025</w:t>
            </w:r>
          </w:p>
        </w:tc>
        <w:tc>
          <w:tcPr>
            <w:tcW w:w="100" w:type="dxa"/>
            <w:vAlign w:val="bottom"/>
          </w:tcPr>
          <w:p>
            <w:pPr>
              <w:spacing w:after="0"/>
              <w:rPr>
                <w:sz w:val="16"/>
                <w:szCs w:val="16"/>
                <w:color w:val="auto"/>
              </w:rPr>
            </w:pPr>
          </w:p>
        </w:tc>
        <w:tc>
          <w:tcPr>
            <w:tcW w:w="260" w:type="dxa"/>
            <w:vAlign w:val="bottom"/>
            <w:tcBorders>
              <w:bottom w:val="single" w:sz="8" w:color="929292"/>
            </w:tcBorders>
          </w:tcPr>
          <w:p>
            <w:pPr>
              <w:spacing w:after="0"/>
              <w:rPr>
                <w:sz w:val="16"/>
                <w:szCs w:val="16"/>
                <w:color w:val="auto"/>
              </w:rPr>
            </w:pPr>
          </w:p>
        </w:tc>
        <w:tc>
          <w:tcPr>
            <w:tcW w:w="940" w:type="dxa"/>
            <w:vAlign w:val="bottom"/>
            <w:tcBorders>
              <w:bottom w:val="single" w:sz="8" w:color="929292"/>
            </w:tcBorders>
          </w:tcPr>
          <w:p>
            <w:pPr>
              <w:jc w:val="right"/>
              <w:ind w:right="368"/>
              <w:spacing w:after="0"/>
              <w:rPr>
                <w:sz w:val="20"/>
                <w:szCs w:val="20"/>
                <w:color w:val="auto"/>
              </w:rPr>
            </w:pPr>
            <w:r>
              <w:rPr>
                <w:rFonts w:ascii="Arial" w:cs="Arial" w:eastAsia="Arial" w:hAnsi="Arial"/>
                <w:sz w:val="14"/>
                <w:szCs w:val="14"/>
                <w:color w:val="auto"/>
              </w:rPr>
              <w:t>2024</w:t>
            </w:r>
          </w:p>
        </w:tc>
      </w:tr>
      <w:tr>
        <w:trPr>
          <w:trHeight w:val="192"/>
        </w:trPr>
        <w:tc>
          <w:tcPr>
            <w:tcW w:w="8640" w:type="dxa"/>
            <w:vAlign w:val="bottom"/>
          </w:tcPr>
          <w:p>
            <w:pPr>
              <w:ind w:left="20"/>
              <w:spacing w:after="0"/>
              <w:rPr>
                <w:sz w:val="20"/>
                <w:szCs w:val="20"/>
                <w:color w:val="auto"/>
              </w:rPr>
            </w:pPr>
            <w:r>
              <w:rPr>
                <w:rFonts w:ascii="Arial" w:cs="Arial" w:eastAsia="Arial" w:hAnsi="Arial"/>
                <w:sz w:val="14"/>
                <w:szCs w:val="14"/>
                <w:color w:val="auto"/>
              </w:rPr>
              <w:t>Net cash provided by (used in) operating activities</w:t>
            </w:r>
          </w:p>
        </w:tc>
        <w:tc>
          <w:tcPr>
            <w:tcW w:w="100" w:type="dxa"/>
            <w:vAlign w:val="bottom"/>
            <w:shd w:val="clear" w:color="auto" w:fill="929292"/>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(12,405)</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12,512</w:t>
            </w:r>
          </w:p>
        </w:tc>
      </w:tr>
      <w:tr>
        <w:trPr>
          <w:trHeight w:val="203"/>
        </w:trPr>
        <w:tc>
          <w:tcPr>
            <w:tcW w:w="8640" w:type="dxa"/>
            <w:vAlign w:val="bottom"/>
          </w:tcPr>
          <w:p>
            <w:pPr>
              <w:ind w:left="20"/>
              <w:spacing w:after="0"/>
              <w:rPr>
                <w:sz w:val="20"/>
                <w:szCs w:val="20"/>
                <w:color w:val="auto"/>
              </w:rPr>
            </w:pPr>
            <w:r>
              <w:rPr>
                <w:rFonts w:ascii="Arial" w:cs="Arial" w:eastAsia="Arial" w:hAnsi="Arial"/>
                <w:sz w:val="14"/>
                <w:szCs w:val="14"/>
                <w:color w:val="auto"/>
              </w:rPr>
              <w:t>Net cash provided by (used in) investing activities</w:t>
            </w:r>
          </w:p>
        </w:tc>
        <w:tc>
          <w:tcPr>
            <w:tcW w:w="100" w:type="dxa"/>
            <w:vAlign w:val="bottom"/>
            <w:shd w:val="clear" w:color="auto" w:fill="929292"/>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(3,048)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(4,556)</w:t>
            </w:r>
          </w:p>
        </w:tc>
      </w:tr>
      <w:tr>
        <w:trPr>
          <w:trHeight w:val="210"/>
        </w:trPr>
        <w:tc>
          <w:tcPr>
            <w:tcW w:w="8640" w:type="dxa"/>
            <w:vAlign w:val="bottom"/>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00" w:type="dxa"/>
            <w:vAlign w:val="bottom"/>
            <w:shd w:val="clear" w:color="auto" w:fill="929292"/>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(3,196)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(942)</w:t>
            </w:r>
          </w:p>
        </w:tc>
      </w:tr>
    </w:tbl>
    <w:p>
      <w:pPr>
        <w:spacing w:after="0" w:line="2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219" w:lineRule="exact"/>
        <w:rPr>
          <w:sz w:val="20"/>
          <w:szCs w:val="20"/>
          <w:color w:val="auto"/>
        </w:rPr>
      </w:pPr>
    </w:p>
    <w:p>
      <w:pPr>
        <w:ind w:right="820"/>
        <w:spacing w:after="0" w:line="275" w:lineRule="auto"/>
        <w:rPr>
          <w:sz w:val="20"/>
          <w:szCs w:val="20"/>
          <w:color w:val="auto"/>
        </w:rPr>
      </w:pPr>
      <w:r>
        <w:rPr>
          <w:rFonts w:ascii="Arial" w:cs="Arial" w:eastAsia="Arial" w:hAnsi="Arial"/>
          <w:sz w:val="16"/>
          <w:szCs w:val="16"/>
          <w:color w:val="auto"/>
        </w:rPr>
        <w:t>Cash provided by (used in) operating activities primarily consists of net income (loss) adjusted for certain non-cash items including share-based compensation, depreciation and amortization, amortization of intangible assets, amortization of debt discount and issuance costs, operating lease impairment charges, non-cash lease expense and the effect of changes in working capital and other activities.</w:t>
      </w:r>
    </w:p>
    <w:p>
      <w:pPr>
        <w:spacing w:after="0" w:line="164" w:lineRule="exact"/>
        <w:rPr>
          <w:sz w:val="20"/>
          <w:szCs w:val="20"/>
          <w:color w:val="auto"/>
        </w:rPr>
      </w:pPr>
    </w:p>
    <w:p>
      <w:pPr>
        <w:ind w:right="80"/>
        <w:spacing w:after="0" w:line="304" w:lineRule="auto"/>
        <w:rPr>
          <w:sz w:val="20"/>
          <w:szCs w:val="20"/>
          <w:color w:val="auto"/>
        </w:rPr>
      </w:pPr>
      <w:r>
        <w:rPr>
          <w:rFonts w:ascii="Arial" w:cs="Arial" w:eastAsia="Arial" w:hAnsi="Arial"/>
          <w:sz w:val="16"/>
          <w:szCs w:val="16"/>
          <w:color w:val="auto"/>
        </w:rPr>
        <w:t>Collection of commissions receivable depends upon the timing of the receipt of commission payments. If there were to be a delay in receiving a commission payment from a health plan partner within a quarter, the operating cash flows for that quarter could be adversely impacted.</w:t>
      </w:r>
    </w:p>
    <w:p>
      <w:pPr>
        <w:spacing w:after="0" w:line="141" w:lineRule="exact"/>
        <w:rPr>
          <w:sz w:val="20"/>
          <w:szCs w:val="20"/>
          <w:color w:val="auto"/>
        </w:rPr>
      </w:pPr>
    </w:p>
    <w:p>
      <w:pPr>
        <w:ind w:right="240"/>
        <w:spacing w:after="0" w:line="275" w:lineRule="auto"/>
        <w:rPr>
          <w:sz w:val="20"/>
          <w:szCs w:val="20"/>
          <w:color w:val="auto"/>
        </w:rPr>
      </w:pPr>
      <w:r>
        <w:rPr>
          <w:rFonts w:ascii="Arial" w:cs="Arial" w:eastAsia="Arial" w:hAnsi="Arial"/>
          <w:sz w:val="16"/>
          <w:szCs w:val="16"/>
          <w:color w:val="auto"/>
        </w:rPr>
        <w:t>A significant portion of marketing and advertising expense is driven by the number of qualified prospects required to generate the Submissions. Marketing and advertising costs are expensed and generally paid as incurred and since commissions revenue is recognized upon approval of a Submission but commission payments are paid to us over time, there are working capital requirements to fund the upfront cost of acquiring new policies.</w:t>
      </w:r>
    </w:p>
    <w:p>
      <w:pPr>
        <w:spacing w:after="0" w:line="164"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Net cash used in operating activities was $12.4 million for the three months ended March 31, 2025, compared to net cash provided by operating activities of $12.5 million for the three months ended March 31, 2024. The $24.9 million decrease was primarily driven by a decrease in cash from working capital components from prepaid expenses and other assets of $19.4 million, deferred revenue of $16.4 million, commissions receivable of $15.6 million and commissions payable of $12.1 million. The decrease was partially offset by net cash from working capital components from accounts payable of $17.6 million, accounts receivable of $7.5 million and other liabilities of $4.8 million, as well as an improvement in net income (loss) of $11.6 million.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233"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Net cash used in investing activities for the three months ended March 31, 2025 was $3.0 million, compared to net cash used in investing activities for the three months ended March 31, 2024 of $4.6 million. The $1.5 million decrease in net cash used was primarily driven by a decrease in capitalized internal-use software related to new technology, software and systems.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30</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3" w:name="page34"/>
    <w:bookmarkEnd w:id="33"/>
    <w:p>
      <w:pPr>
        <w:ind w:right="240"/>
        <w:spacing w:after="0" w:line="286" w:lineRule="auto"/>
        <w:rPr>
          <w:sz w:val="20"/>
          <w:szCs w:val="20"/>
          <w:color w:val="auto"/>
        </w:rPr>
      </w:pPr>
      <w:r>
        <w:rPr>
          <w:rFonts w:ascii="Arial" w:cs="Arial" w:eastAsia="Arial" w:hAnsi="Arial"/>
          <w:sz w:val="16"/>
          <w:szCs w:val="16"/>
          <w:color w:val="auto"/>
        </w:rPr>
        <w:t>Net cash used in financing activities for the three months ended March 31, 2025 and 2024 was $3.2 million and $0.9 million, respectively. The $2.3 million increase in net cash used was primarily driven by an increase in repayments of our Term Loan Facilities of $2.4 million.</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Term Loan Facilities</w:t>
      </w:r>
    </w:p>
    <w:p>
      <w:pPr>
        <w:spacing w:after="0" w:line="221" w:lineRule="exact"/>
        <w:rPr>
          <w:sz w:val="20"/>
          <w:szCs w:val="20"/>
          <w:color w:val="auto"/>
        </w:rPr>
      </w:pPr>
    </w:p>
    <w:p>
      <w:pPr>
        <w:ind w:right="540"/>
        <w:spacing w:after="0" w:line="304" w:lineRule="auto"/>
        <w:rPr>
          <w:sz w:val="20"/>
          <w:szCs w:val="20"/>
          <w:color w:val="auto"/>
        </w:rPr>
      </w:pPr>
      <w:r>
        <w:rPr>
          <w:rFonts w:ascii="Arial" w:cs="Arial" w:eastAsia="Arial" w:hAnsi="Arial"/>
          <w:sz w:val="16"/>
          <w:szCs w:val="16"/>
          <w:color w:val="auto"/>
        </w:rPr>
        <w:t>Significant changes and activity related to our long-term debt since our Annual Report on Form 10-K for the fiscal year ended December 31, 2024 are discussed below. Refer to Note 4, “Long-Term Debt, for further discussion on our debt agreements and activity.</w:t>
      </w:r>
    </w:p>
    <w:p>
      <w:pPr>
        <w:spacing w:after="0" w:line="141"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On November 4, 2024, Norvax (the “Borrower”) entered into the Amendment and Restatement Agreement (“Credit Agreement”) to provide for, among other items as further described below, a class of term loan facilities (the “Term Loan Facility”) in an aggregate principal amount equal to $475.0 million. Beginning on March 31, 2025, principal payments equal to 2.00% of the outstanding principal balance per annum of the Term Loan Facility will be paid in equal quarterly installments. To the extent not previously paid, the Term Loan Facility, together with all accrued and unpaid interest thereon, is due and payable on November 4, 2029.</w:t>
      </w:r>
    </w:p>
    <w:p>
      <w:pPr>
        <w:spacing w:after="0" w:line="17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As of March 31, 2025, the Borrower had a principal amount of $472.6 million outstanding under the Term Loan Facility. The effective interest rate of the Term Loan Facility was 11.82% as of March 31, 2025. During the three months ended March 31, 2025, the Company repaid $2.4 million of the outstanding term loans.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Revolving Credit Facilities</w:t>
      </w:r>
    </w:p>
    <w:p>
      <w:pPr>
        <w:spacing w:after="0" w:line="221"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In addition to the Term Loan Facility, the Credit Agreement provides for a revolving credit facility with a commitment amount of $88.5 million (the “Class A Revolving Credit Facility”) and a revolving credit facility with a commitment amount of $35.0 million (the “Class A-1 Revolving Credit Facility"). The Class A Revolving Credit Facility matures on June 30, 2025. The Class A-1 Revolving Credit Facility will be made available to the Borrower upon the termination of the Class A Revolving Credit Facility on or prior to June 30, 2025 (the “Class A Revolving Facility Termination Date”). Outstanding borrowings under the Class A-1 Revolving Credit Facility are due and payable on November 4, 2029.</w:t>
      </w:r>
    </w:p>
    <w:p>
      <w:pPr>
        <w:spacing w:after="0" w:line="172"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As of March 31, 2025, the Company had $30.0 million outstanding under the Class A Revolving Credit Facility and no amounts outstanding under the Class A-1 Revolving Credit Facility. The Class A Revolving Credit Facility and Class A-1 Revolving Credit Facility had a remaining capacity of $58.5 million and $35.0 million, respectively, as of both March 31, 2025 and December 31, 2024.</w:t>
      </w:r>
    </w:p>
    <w:p>
      <w:pPr>
        <w:spacing w:after="0" w:line="178" w:lineRule="exact"/>
        <w:rPr>
          <w:sz w:val="20"/>
          <w:szCs w:val="20"/>
          <w:color w:val="auto"/>
        </w:rPr>
      </w:pPr>
    </w:p>
    <w:p>
      <w:pPr>
        <w:ind w:right="300"/>
        <w:spacing w:after="0" w:line="286" w:lineRule="auto"/>
        <w:rPr>
          <w:sz w:val="20"/>
          <w:szCs w:val="20"/>
          <w:color w:val="auto"/>
        </w:rPr>
      </w:pPr>
      <w:r>
        <w:rPr>
          <w:rFonts w:ascii="Arial" w:cs="Arial" w:eastAsia="Arial" w:hAnsi="Arial"/>
          <w:sz w:val="16"/>
          <w:szCs w:val="16"/>
          <w:color w:val="auto"/>
        </w:rPr>
        <w:t>Subsequent to March 31, 2025, the Company has requested to borrow the remaining available balance of the Class A Revolving Credit Facility, up to the maximum capacity of $88.5 million.</w:t>
      </w:r>
    </w:p>
    <w:p>
      <w:pPr>
        <w:spacing w:after="0" w:line="169" w:lineRule="exact"/>
        <w:rPr>
          <w:sz w:val="20"/>
          <w:szCs w:val="20"/>
          <w:color w:val="auto"/>
        </w:rPr>
      </w:pPr>
    </w:p>
    <w:p>
      <w:pPr>
        <w:ind w:right="560"/>
        <w:spacing w:after="0" w:line="268" w:lineRule="auto"/>
        <w:rPr>
          <w:sz w:val="20"/>
          <w:szCs w:val="20"/>
          <w:color w:val="auto"/>
        </w:rPr>
      </w:pPr>
      <w:r>
        <w:rPr>
          <w:rFonts w:ascii="Arial" w:cs="Arial" w:eastAsia="Arial" w:hAnsi="Arial"/>
          <w:sz w:val="16"/>
          <w:szCs w:val="16"/>
          <w:color w:val="auto"/>
        </w:rPr>
        <w:t>See Note 4, “Long-Term Debt,” to the Condensed Consolidated Financial Statements in this Quarterly Report on Form 10-Q for additional information regarding the Company’s Term Loan Facilities and Revolving Credit Facilities.</w:t>
      </w:r>
    </w:p>
    <w:p>
      <w:pPr>
        <w:spacing w:after="0" w:line="18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See Note 1, “Description of Business and Significant Accounting Policies,” to the Condensed Consolidated Financial Statements in this Quarterly Report on Form 10-Q for additional information regarding the Company’s going concern assessment.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221"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For a discussion of new accounting pronouncements recently adopted and not yet adopted, see Part 1, Note 1, “Description of Business and Significant Accounting Policies,” to the Condensed Consolidated Financial Statements included elsewhere in this Quarterly Report on Form 10-Q.</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22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The preparation of the Condensed Consolidated Financial Statements and related disclosures in conformity with GAAP requires management to make estimates and assumptions that affect the reported amounts of revenues, expenses, assets, liabilities and the disclosure of contingent assets and liabilities. We regularly assess these estimates; however, actual amounts could differ from those estimates. The impact of changes in estimates is recorded in the period in which they become known.</w:t>
      </w:r>
    </w:p>
    <w:p>
      <w:pPr>
        <w:spacing w:after="0" w:line="186"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Our critical accounting policies are described under the heading “Management’s Discussion and Analysis of Financial Condition and Results of Operations— Critical Accounting Policies and Estimates” in our 2024 Annual Report on Form 10-K. During the three months ended March 31, 2025, there were no material changes to our critical accounting policies from those discussed in our 2024 Annual Report on Form 10-K.</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3. QUANTITATIVE AND QUALITATIVE DISCLOSURES ABOUT MARKET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31</w:t>
            </w:r>
          </w:p>
        </w:tc>
      </w:tr>
      <w:tr>
        <w:trPr>
          <w:trHeight w:val="209"/>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4" w:name="page35"/>
    <w:bookmarkEnd w:id="34"/>
    <w:p>
      <w:pPr>
        <w:spacing w:after="0"/>
        <w:rPr>
          <w:sz w:val="20"/>
          <w:szCs w:val="20"/>
          <w:color w:val="auto"/>
        </w:rPr>
      </w:pPr>
      <w:r>
        <w:rPr>
          <w:rFonts w:ascii="Arial" w:cs="Arial" w:eastAsia="Arial" w:hAnsi="Arial"/>
          <w:sz w:val="16"/>
          <w:szCs w:val="16"/>
          <w:color w:val="auto"/>
        </w:rPr>
        <w:t>As a smaller reporting company, we are not required to include disclosure under this item.</w:t>
      </w:r>
    </w:p>
    <w:p>
      <w:pPr>
        <w:spacing w:after="0" w:line="20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4. CONTROLS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Limitations on Effectiveness of Controls and Procedures</w:t>
      </w:r>
    </w:p>
    <w:p>
      <w:pPr>
        <w:spacing w:after="0" w:line="219"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not be detected.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246"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Internal control over financial reporting is a process designed under the supervision of the Company’s Chief Executive Officer and Chief Financial Officer, and effected by the Company’s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99" w:lineRule="exact"/>
        <w:rPr>
          <w:sz w:val="20"/>
          <w:szCs w:val="20"/>
          <w:color w:val="auto"/>
        </w:rPr>
      </w:pPr>
    </w:p>
    <w:p>
      <w:pPr>
        <w:ind w:left="660" w:right="340" w:hanging="328"/>
        <w:spacing w:after="0" w:line="304"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Pertain to the maintenance of records that in reasonable detail accurately and fairly reflect the transactions and dispositions of the assets of the Company;</w:t>
      </w:r>
    </w:p>
    <w:p>
      <w:pPr>
        <w:spacing w:after="0" w:line="168" w:lineRule="exact"/>
        <w:rPr>
          <w:rFonts w:ascii="Arial" w:cs="Arial" w:eastAsia="Arial" w:hAnsi="Arial"/>
          <w:sz w:val="16"/>
          <w:szCs w:val="16"/>
          <w:color w:val="auto"/>
        </w:rPr>
      </w:pPr>
    </w:p>
    <w:p>
      <w:pPr>
        <w:ind w:left="660" w:right="100" w:hanging="328"/>
        <w:spacing w:after="0" w:line="275"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Provide reasonable assurance that transactions are recorded as necessary to permit preparation of financial statements in accordance with GAAP, and that receipts and expenditures of the Company are being made only in accordance with authorizations of management and directors of the Company; and</w:t>
      </w:r>
    </w:p>
    <w:p>
      <w:pPr>
        <w:spacing w:after="0" w:line="191" w:lineRule="exact"/>
        <w:rPr>
          <w:rFonts w:ascii="Arial" w:cs="Arial" w:eastAsia="Arial" w:hAnsi="Arial"/>
          <w:sz w:val="16"/>
          <w:szCs w:val="16"/>
          <w:color w:val="auto"/>
        </w:rPr>
      </w:pPr>
    </w:p>
    <w:p>
      <w:pPr>
        <w:ind w:left="660" w:hanging="328"/>
        <w:spacing w:after="0" w:line="286"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Provide reasonable assurance regarding prevention or timely detection of unauthorized acquisition, use, or disposition of the Company’s assets that could have a material effect on the financial statements.</w:t>
      </w:r>
    </w:p>
    <w:p>
      <w:pPr>
        <w:spacing w:after="0" w:line="19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Our management conducted an evaluation of the effectiveness of our internal control over financial reporting as of March 31, 2025, utilizing the framework in Internal Control-Integrated Framework (2013) established by the Committee of Sponsoring Organizations (COSO) of the Treadway Commission. Our internal control over financial reporting includes policies and procedures that are designed to provide reasonable assurance regarding the reliability of financial reporting and the preparation of financial statements for external reporting purposes in accordance with GAAP. Based on this evaluation and those criteria, our management concluded that our internal control over financial reporting was effective as of March 31, 2025.</w:t>
      </w:r>
    </w:p>
    <w:p>
      <w:pPr>
        <w:spacing w:after="0" w:line="21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management has concluded that the Condensed Consolidated Financial Statements included in this Quarterly Report on Form 10-Q fairly present, in all material respects, our financial position, results of operations and cash flows as of the dates, and for the periods presented, in conformity with GAAP.</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219"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On September 30, 2024 we completed the acquisition of e-TeleQuote. Under guidelines established by the Securities and Exchange Commission, companies are permitted to exclude acquisitions from their assessment of internal control over financial reporting during the first year of an acquisition while integrating the acquired company. In conducting our evaluation of the effectiveness of our internal control over financial reporting, we excluded e-TeleQuote from our evaluation for the quarter ended March 31, 2025.</w:t>
      </w:r>
    </w:p>
    <w:p>
      <w:pPr>
        <w:spacing w:after="0" w:line="186"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Other than the foregoing, there were no changes in our internal controls over financial reporting identified in management’s evaluation pursuant to Rules 13a-15(d) or 15d-15(d) of the Exchange Act during the quarter ended March 31, 2025 that materially affected, or are reasonably likely to materially affect, our internal control over financial reporting.</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32</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7" w:right="33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6"/>
          <w:szCs w:val="16"/>
          <w:b w:val="1"/>
          <w:bCs w:val="1"/>
          <w:color w:val="0A2299"/>
        </w:rPr>
        <w:drawing>
          <wp:anchor simplePos="0" relativeHeight="251657728" behindDoc="1" locked="0" layoutInCell="0" allowOverlap="1">
            <wp:simplePos x="0" y="0"/>
            <wp:positionH relativeFrom="page">
              <wp:posOffset>208280</wp:posOffset>
            </wp:positionH>
            <wp:positionV relativeFrom="page">
              <wp:posOffset>868680</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t>PART II -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1. LEGAL PROCEEDINGS.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6" w:lineRule="exact"/>
        <w:rPr>
          <w:sz w:val="20"/>
          <w:szCs w:val="20"/>
          <w:color w:val="auto"/>
        </w:rPr>
      </w:pPr>
    </w:p>
    <w:p>
      <w:pPr>
        <w:ind w:right="720"/>
        <w:spacing w:after="0" w:line="304" w:lineRule="auto"/>
        <w:rPr>
          <w:sz w:val="20"/>
          <w:szCs w:val="20"/>
          <w:color w:val="auto"/>
        </w:rPr>
      </w:pPr>
      <w:r>
        <w:rPr>
          <w:rFonts w:ascii="Arial" w:cs="Arial" w:eastAsia="Arial" w:hAnsi="Arial"/>
          <w:sz w:val="16"/>
          <w:szCs w:val="16"/>
          <w:color w:val="auto"/>
        </w:rPr>
        <w:t>Refer to Note 11, “Commitments and Contingencies,” of the Notes to the Condensed Consolidated Financial Statements for information about legal proceedings.</w:t>
      </w:r>
    </w:p>
    <w:p>
      <w:pPr>
        <w:spacing w:after="0" w:line="12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1A. RISK 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23" w:lineRule="exact"/>
        <w:rPr>
          <w:sz w:val="20"/>
          <w:szCs w:val="20"/>
          <w:color w:val="auto"/>
        </w:rPr>
      </w:pPr>
    </w:p>
    <w:p>
      <w:pPr>
        <w:ind w:right="120"/>
        <w:spacing w:after="0" w:line="268" w:lineRule="auto"/>
        <w:rPr>
          <w:sz w:val="20"/>
          <w:szCs w:val="20"/>
          <w:color w:val="auto"/>
        </w:rPr>
      </w:pPr>
      <w:r>
        <w:rPr>
          <w:rFonts w:ascii="Arial" w:cs="Arial" w:eastAsia="Arial" w:hAnsi="Arial"/>
          <w:sz w:val="16"/>
          <w:szCs w:val="16"/>
          <w:color w:val="auto"/>
        </w:rPr>
        <w:t>We refer you to our 2024 Annual Report on Form 10-K for a discussion of the risk factors that affect our business and financial results. Except as discussed below, there have been no material changes in our risk factors from those disclosed in our 2024 Annual Report on Form 10-K.</w:t>
      </w:r>
    </w:p>
    <w:p>
      <w:pPr>
        <w:spacing w:after="0" w:line="199" w:lineRule="exact"/>
        <w:rPr>
          <w:sz w:val="20"/>
          <w:szCs w:val="20"/>
          <w:color w:val="auto"/>
        </w:rPr>
      </w:pPr>
    </w:p>
    <w:p>
      <w:pPr>
        <w:ind w:right="660"/>
        <w:spacing w:after="0" w:line="276" w:lineRule="auto"/>
        <w:rPr>
          <w:sz w:val="20"/>
          <w:szCs w:val="20"/>
          <w:color w:val="auto"/>
        </w:rPr>
      </w:pPr>
      <w:r>
        <w:rPr>
          <w:rFonts w:ascii="Arial" w:cs="Arial" w:eastAsia="Arial" w:hAnsi="Arial"/>
          <w:sz w:val="16"/>
          <w:szCs w:val="16"/>
          <w:b w:val="1"/>
          <w:bCs w:val="1"/>
          <w:i w:val="1"/>
          <w:iCs w:val="1"/>
          <w:color w:val="auto"/>
        </w:rPr>
        <w:t>From time to time we are subject to various legal proceedings which could adversely affect our business, financial condition or results of operations.</w:t>
      </w:r>
    </w:p>
    <w:p>
      <w:pPr>
        <w:spacing w:after="0" w:line="182" w:lineRule="exact"/>
        <w:rPr>
          <w:sz w:val="20"/>
          <w:szCs w:val="20"/>
          <w:color w:val="auto"/>
        </w:rPr>
      </w:pPr>
    </w:p>
    <w:p>
      <w:pPr>
        <w:spacing w:after="0" w:line="239" w:lineRule="auto"/>
        <w:rPr>
          <w:sz w:val="20"/>
          <w:szCs w:val="20"/>
          <w:color w:val="auto"/>
        </w:rPr>
      </w:pPr>
      <w:r>
        <w:rPr>
          <w:rFonts w:ascii="Arial" w:cs="Arial" w:eastAsia="Arial" w:hAnsi="Arial"/>
          <w:sz w:val="16"/>
          <w:szCs w:val="16"/>
          <w:color w:val="auto"/>
        </w:rPr>
        <w:t>We are, and may in the future become, involved in various legal proceedings and governmental inquiries, including labor and employment-related claims, claims relating to our marketing or sale of health insurance, intellectual property claims and claims relating to our compliance with securities laws. For example, in August 2022, we received a subpoena from the U.S. Attorney’s Office for the District of Massachusetts (the “U.S. Attorney’s Office”), seeking, among other things, information relating to our arrangements with certain insurance health plan partners, and, on May 1, 2025, the U.S. Attorney’s Office filed a complaint partially intervening in a qui tam action against the Company related to certain of our sales and marketing practices. Such matters can be time-consuming, divert management’s attention and resources, cause us to incur significant expenses, impact our working capital and cash flow, and harm our relationships or financial arrangements with health plan partners, vendors, lenders and investors. Our insurance and indemnities may not cover all claims that may be asserted against us, and any claims asserted against us, regardless of merit or eventual outcome, may harm our reputation. If we are unsuccessful in our defense in these litigation matters or any other legal proceeding, we may be forced to pay damages, fines or penalties, including revocation of our licenses to sell insurance, may be required to enter into consent decrees, stop offering our services or change our business practices, or may lose our relationships with health plan partners, any of which could adversely affect our business, financial condition or results of operations.</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liquidity position raises substantial doubt about our ability to continue as a going concern.</w:t>
      </w:r>
    </w:p>
    <w:p>
      <w:pPr>
        <w:spacing w:after="0" w:line="246" w:lineRule="exact"/>
        <w:rPr>
          <w:sz w:val="20"/>
          <w:szCs w:val="20"/>
          <w:color w:val="auto"/>
        </w:rPr>
      </w:pPr>
    </w:p>
    <w:p>
      <w:pPr>
        <w:ind w:right="40"/>
        <w:spacing w:after="0"/>
        <w:rPr>
          <w:sz w:val="20"/>
          <w:szCs w:val="20"/>
          <w:color w:val="auto"/>
        </w:rPr>
      </w:pPr>
      <w:r>
        <w:rPr>
          <w:rFonts w:ascii="Arial" w:cs="Arial" w:eastAsia="Arial" w:hAnsi="Arial"/>
          <w:sz w:val="16"/>
          <w:szCs w:val="16"/>
          <w:color w:val="auto"/>
        </w:rPr>
        <w:t>The Company is at risk of insufficient funding to meet its obligations as they become due within the next twelve months, which raises substantial doubt about our ability to continue as a going concern. Under the terms of our Credit Agreement, the Company is required to meet certain financial covenants and make scheduled principal and interest payments. Our current financial projections indicate that, based on our current business plan, there is a significant likelihood that we will be unable to maintain compliance with our covenants and make scheduled principal and interest payments, including amounts due under the Class A Revolving Facility expiring on June 30, 2025 within the next twelve months, unless the mitigating plans described below are implemented successfully. If we are unable to meet our covenants or make scheduled principal and interests payments, our lenders could declare us in default and accelerate all amounts owing under our Credit Agreement. We do not expect we would have sufficient liquidity to repay such amounts. Management has developed mitigating plans to address the potential liquidity constraints, including cost control measures and renegotiation of the terms of its existing debt arrangements. However, the Company may not be successful in implementing these mitigating plans on acceptable terms, if at all.</w:t>
      </w:r>
    </w:p>
    <w:p>
      <w:pPr>
        <w:spacing w:after="0" w:line="221" w:lineRule="exact"/>
        <w:rPr>
          <w:sz w:val="20"/>
          <w:szCs w:val="20"/>
          <w:color w:val="auto"/>
        </w:rPr>
      </w:pPr>
    </w:p>
    <w:p>
      <w:pPr>
        <w:ind w:right="500"/>
        <w:spacing w:after="0" w:line="268" w:lineRule="auto"/>
        <w:rPr>
          <w:sz w:val="20"/>
          <w:szCs w:val="20"/>
          <w:color w:val="auto"/>
        </w:rPr>
      </w:pPr>
      <w:r>
        <w:rPr>
          <w:rFonts w:ascii="Arial" w:cs="Arial" w:eastAsia="Arial" w:hAnsi="Arial"/>
          <w:sz w:val="16"/>
          <w:szCs w:val="16"/>
          <w:color w:val="auto"/>
        </w:rPr>
        <w:t>Our Condensed Consolidated Financial Statements do not include any adjustments to the carrying amounts and classification of assets, liabilities, and reported expenses that may be necessary if the Company were unable to continue as a going concern.</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2. UNREGISTERED SALES OF EQUITY SECURITIES AND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3. DEFAULTS UPON SENIOR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4. MINE SAFETY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96" w:lineRule="exact"/>
        <w:rPr>
          <w:sz w:val="20"/>
          <w:szCs w:val="20"/>
          <w:color w:val="auto"/>
        </w:rPr>
      </w:pPr>
    </w:p>
    <w:p>
      <w:pPr>
        <w:spacing w:after="0"/>
        <w:rPr>
          <w:sz w:val="20"/>
          <w:szCs w:val="20"/>
          <w:color w:val="auto"/>
        </w:rPr>
      </w:pPr>
      <w:r>
        <w:rPr>
          <w:rFonts w:ascii="Arial" w:cs="Arial" w:eastAsia="Arial" w:hAnsi="Arial"/>
          <w:sz w:val="16"/>
          <w:szCs w:val="16"/>
          <w:color w:val="auto"/>
        </w:rPr>
        <w:t>None.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FFFFFF"/>
        </w:rPr>
        <w:t>ITEM 5. 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4068445</wp:posOffset>
            </wp:positionH>
            <wp:positionV relativeFrom="paragraph">
              <wp:posOffset>535305</wp:posOffset>
            </wp:positionV>
            <wp:extent cx="8255" cy="1289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255" cy="128905"/>
                    </a:xfrm>
                    <a:prstGeom prst="rect">
                      <a:avLst/>
                    </a:prstGeom>
                    <a:noFill/>
                  </pic:spPr>
                </pic:pic>
              </a:graphicData>
            </a:graphic>
          </wp:anchor>
        </w:drawing>
        <w:drawing>
          <wp:anchor simplePos="0" relativeHeight="251657728" behindDoc="1" locked="0" layoutInCell="0" allowOverlap="1">
            <wp:simplePos x="0" y="0"/>
            <wp:positionH relativeFrom="column">
              <wp:posOffset>3074035</wp:posOffset>
            </wp:positionH>
            <wp:positionV relativeFrom="paragraph">
              <wp:posOffset>535305</wp:posOffset>
            </wp:positionV>
            <wp:extent cx="8890"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12890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660"/>
        <w:spacing w:after="0"/>
        <w:tabs>
          <w:tab w:leader="none" w:pos="5080" w:val="left"/>
          <w:tab w:leader="none" w:pos="6500" w:val="left"/>
        </w:tabs>
        <w:rPr>
          <w:sz w:val="20"/>
          <w:szCs w:val="20"/>
          <w:color w:val="auto"/>
        </w:rPr>
      </w:pPr>
      <w:r>
        <w:rPr>
          <w:rFonts w:ascii="Arial" w:cs="Arial" w:eastAsia="Arial" w:hAnsi="Arial"/>
          <w:sz w:val="14"/>
          <w:szCs w:val="14"/>
          <w:color w:val="auto"/>
        </w:rPr>
        <w:t>GoHealth, Inc.</w:t>
      </w:r>
      <w:r>
        <w:rPr>
          <w:sz w:val="20"/>
          <w:szCs w:val="20"/>
          <w:color w:val="auto"/>
        </w:rPr>
        <w:tab/>
      </w:r>
      <w:r>
        <w:rPr>
          <w:rFonts w:ascii="Arial" w:cs="Arial" w:eastAsia="Arial" w:hAnsi="Arial"/>
          <w:sz w:val="14"/>
          <w:szCs w:val="14"/>
          <w:color w:val="auto"/>
        </w:rPr>
        <w:t>2025 Form 10-Q</w:t>
      </w:r>
      <w:r>
        <w:rPr>
          <w:sz w:val="20"/>
          <w:szCs w:val="20"/>
          <w:color w:val="auto"/>
        </w:rPr>
        <w:tab/>
      </w: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1" w:right="339" w:bottom="1440" w:gutter="0" w:footer="0" w:header="0"/>
          <w:type w:val="continuous"/>
        </w:sectPr>
      </w:pPr>
    </w:p>
    <w:bookmarkStart w:id="36" w:name="page37"/>
    <w:bookmarkEnd w:id="36"/>
    <w:p>
      <w:pPr>
        <w:ind w:right="220"/>
        <w:spacing w:after="0" w:line="268" w:lineRule="auto"/>
        <w:rPr>
          <w:sz w:val="20"/>
          <w:szCs w:val="20"/>
          <w:color w:val="auto"/>
        </w:rPr>
      </w:pPr>
      <w:r>
        <w:rPr>
          <w:rFonts w:ascii="Arial" w:cs="Arial" w:eastAsia="Arial" w:hAnsi="Arial"/>
          <w:sz w:val="16"/>
          <w:szCs w:val="16"/>
          <w:color w:val="auto"/>
        </w:rPr>
        <w:t>During the first quarter ended March 31, 2025, none of our directors or officers (as defined in Rule 16a-1(f) under the Exchange Act) adopted, modified, or terminated a Rule 10b5-1 trading plan or a non-Rule 10b5-1 trading arrangement for our securities (as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60" w:type="dxa"/>
            <w:vAlign w:val="bottom"/>
            <w:tcBorders>
              <w:right w:val="single" w:sz="8" w:color="auto"/>
            </w:tcBorders>
          </w:tcPr>
          <w:p>
            <w:pPr>
              <w:ind w:left="3660"/>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4820" w:type="dxa"/>
            <w:vAlign w:val="bottom"/>
          </w:tcPr>
          <w:p>
            <w:pPr>
              <w:jc w:val="right"/>
              <w:ind w:right="4488"/>
              <w:spacing w:after="0"/>
              <w:rPr>
                <w:sz w:val="20"/>
                <w:szCs w:val="20"/>
                <w:color w:val="auto"/>
              </w:rPr>
            </w:pPr>
            <w:r>
              <w:rPr>
                <w:rFonts w:ascii="Arial" w:cs="Arial" w:eastAsia="Arial" w:hAnsi="Arial"/>
                <w:sz w:val="14"/>
                <w:szCs w:val="14"/>
                <w:color w:val="auto"/>
              </w:rPr>
              <w:t>34</w:t>
            </w:r>
          </w:p>
        </w:tc>
      </w:tr>
      <w:tr>
        <w:trPr>
          <w:trHeight w:val="210"/>
        </w:trPr>
        <w:tc>
          <w:tcPr>
            <w:tcW w:w="48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4820" w:type="dxa"/>
            <w:vAlign w:val="bottom"/>
            <w:tcBorders>
              <w:bottom w:val="single" w:sz="8" w:color="9A9A9A"/>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7" w:right="339" w:bottom="1440" w:gutter="0" w:footer="0" w:header="0"/>
        </w:sectPr>
      </w:pPr>
    </w:p>
    <w:bookmarkStart w:id="37" w:name="page38"/>
    <w:bookmarkEnd w:id="37"/>
    <w:p>
      <w:pPr>
        <w:ind w:left="20"/>
        <w:spacing w:after="0"/>
        <w:rPr>
          <w:sz w:val="20"/>
          <w:szCs w:val="20"/>
          <w:color w:val="auto"/>
        </w:rPr>
      </w:pPr>
      <w:r>
        <w:rPr>
          <w:rFonts w:ascii="Arial" w:cs="Arial" w:eastAsia="Arial" w:hAnsi="Arial"/>
          <w:sz w:val="16"/>
          <w:szCs w:val="16"/>
          <w:b w:val="1"/>
          <w:bCs w:val="1"/>
          <w:color w:val="FFFFFF"/>
        </w:rPr>
        <w:t>ITEM 6.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13716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Exhibit Index</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1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Incorporated by Reference</w:t>
            </w:r>
          </w:p>
        </w:tc>
        <w:tc>
          <w:tcPr>
            <w:tcW w:w="1040" w:type="dxa"/>
            <w:vAlign w:val="bottom"/>
            <w:tcBorders>
              <w:bottom w:val="single" w:sz="8" w:color="auto"/>
            </w:tcBorders>
          </w:tcPr>
          <w:p>
            <w:pPr>
              <w:spacing w:after="0"/>
              <w:rPr>
                <w:sz w:val="17"/>
                <w:szCs w:val="17"/>
                <w:color w:val="auto"/>
              </w:rPr>
            </w:pPr>
          </w:p>
        </w:tc>
      </w:tr>
      <w:tr>
        <w:trPr>
          <w:trHeight w:val="342"/>
        </w:trPr>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Filing</w:t>
            </w:r>
          </w:p>
        </w:tc>
      </w:tr>
      <w:tr>
        <w:trPr>
          <w:trHeight w:val="205"/>
        </w:trPr>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gridSpan w:val="11"/>
          </w:tcPr>
          <w:p>
            <w:pPr>
              <w:ind w:left="5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17"/>
                <w:szCs w:val="17"/>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00" w:type="dxa"/>
            <w:vAlign w:val="bottom"/>
          </w:tcPr>
          <w:p>
            <w:pPr>
              <w:spacing w:after="0"/>
              <w:rPr>
                <w:sz w:val="17"/>
                <w:szCs w:val="17"/>
                <w:color w:val="auto"/>
              </w:rPr>
            </w:pP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7"/>
                <w:szCs w:val="17"/>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Date</w:t>
            </w:r>
          </w:p>
        </w:tc>
      </w:tr>
      <w:tr>
        <w:trPr>
          <w:trHeight w:val="175"/>
        </w:trPr>
        <w:tc>
          <w:tcPr>
            <w:tcW w:w="1020" w:type="dxa"/>
            <w:vAlign w:val="bottom"/>
          </w:tcPr>
          <w:p>
            <w:pPr>
              <w:jc w:val="center"/>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960" w:type="dxa"/>
            <w:vAlign w:val="bottom"/>
            <w:gridSpan w:val="15"/>
          </w:tcPr>
          <w:p>
            <w:pPr>
              <w:spacing w:after="0"/>
              <w:rPr>
                <w:rFonts w:ascii="Arial" w:cs="Arial" w:eastAsia="Arial" w:hAnsi="Arial"/>
                <w:sz w:val="14"/>
                <w:szCs w:val="14"/>
                <w:color w:val="0000FF"/>
              </w:rPr>
            </w:pPr>
            <w:hyperlink r:id="rId140">
              <w:r>
                <w:rPr>
                  <w:rFonts w:ascii="Arial" w:cs="Arial" w:eastAsia="Arial" w:hAnsi="Arial"/>
                  <w:sz w:val="14"/>
                  <w:szCs w:val="14"/>
                  <w:color w:val="0000FF"/>
                </w:rPr>
                <w:t>Amended and Restated Certificate of Incorporation of GoHealth, Inc.</w:t>
              </w:r>
            </w:hyperlink>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10-Q</w:t>
            </w:r>
          </w:p>
        </w:tc>
        <w:tc>
          <w:tcPr>
            <w:tcW w:w="120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1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8/20/2020</w:t>
            </w:r>
          </w:p>
        </w:tc>
      </w:tr>
      <w:tr>
        <w:trPr>
          <w:trHeight w:val="209"/>
        </w:trPr>
        <w:tc>
          <w:tcPr>
            <w:tcW w:w="1020" w:type="dxa"/>
            <w:vAlign w:val="bottom"/>
          </w:tcPr>
          <w:p>
            <w:pPr>
              <w:jc w:val="center"/>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140" w:type="dxa"/>
            <w:vAlign w:val="bottom"/>
            <w:tcBorders>
              <w:top w:val="single" w:sz="8" w:color="0000FF"/>
              <w:bottom w:val="single" w:sz="8" w:color="0000FF"/>
            </w:tcBorders>
            <w:gridSpan w:val="5"/>
          </w:tcPr>
          <w:p>
            <w:pPr>
              <w:spacing w:after="0"/>
              <w:rPr>
                <w:rFonts w:ascii="Arial" w:cs="Arial" w:eastAsia="Arial" w:hAnsi="Arial"/>
                <w:sz w:val="14"/>
                <w:szCs w:val="14"/>
                <w:color w:val="0000FF"/>
              </w:rPr>
            </w:pPr>
            <w:hyperlink r:id="rId141">
              <w:r>
                <w:rPr>
                  <w:rFonts w:ascii="Arial" w:cs="Arial" w:eastAsia="Arial" w:hAnsi="Arial"/>
                  <w:sz w:val="14"/>
                  <w:szCs w:val="14"/>
                  <w:color w:val="0000FF"/>
                </w:rPr>
                <w:t>Amended and Restated Bylaws of GoHealth, Inc.</w:t>
              </w:r>
            </w:hyperlink>
          </w:p>
        </w:tc>
        <w:tc>
          <w:tcPr>
            <w:tcW w:w="1220" w:type="dxa"/>
            <w:vAlign w:val="bottom"/>
            <w:tcBorders>
              <w:top w:val="single" w:sz="8" w:color="0000FF"/>
            </w:tcBorders>
            <w:gridSpan w:val="2"/>
          </w:tcPr>
          <w:p>
            <w:pPr>
              <w:spacing w:after="0"/>
              <w:rPr>
                <w:sz w:val="18"/>
                <w:szCs w:val="18"/>
                <w:color w:val="auto"/>
              </w:rPr>
            </w:pPr>
          </w:p>
        </w:tc>
        <w:tc>
          <w:tcPr>
            <w:tcW w:w="600" w:type="dxa"/>
            <w:vAlign w:val="bottom"/>
            <w:gridSpan w:val="8"/>
          </w:tcPr>
          <w:p>
            <w:pPr>
              <w:spacing w:after="0"/>
              <w:rPr>
                <w:sz w:val="18"/>
                <w:szCs w:val="18"/>
                <w:color w:val="auto"/>
              </w:rPr>
            </w:pPr>
          </w:p>
        </w:tc>
        <w:tc>
          <w:tcPr>
            <w:tcW w:w="760" w:type="dxa"/>
            <w:vAlign w:val="bottom"/>
            <w:gridSpan w:val="2"/>
          </w:tcPr>
          <w:p>
            <w:pPr>
              <w:jc w:val="center"/>
              <w:ind w:right="120"/>
              <w:spacing w:after="0"/>
              <w:rPr>
                <w:sz w:val="20"/>
                <w:szCs w:val="20"/>
                <w:color w:val="auto"/>
              </w:rPr>
            </w:pPr>
            <w:r>
              <w:rPr>
                <w:rFonts w:ascii="Arial" w:cs="Arial" w:eastAsia="Arial" w:hAnsi="Arial"/>
                <w:sz w:val="14"/>
                <w:szCs w:val="14"/>
                <w:color w:val="auto"/>
              </w:rPr>
              <w:t>10-Q</w:t>
            </w:r>
          </w:p>
        </w:tc>
        <w:tc>
          <w:tcPr>
            <w:tcW w:w="120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8/20/2020</w:t>
            </w:r>
          </w:p>
        </w:tc>
      </w:tr>
      <w:tr>
        <w:trPr>
          <w:trHeight w:val="210"/>
        </w:trPr>
        <w:tc>
          <w:tcPr>
            <w:tcW w:w="1020" w:type="dxa"/>
            <w:vAlign w:val="bottom"/>
          </w:tcPr>
          <w:p>
            <w:pPr>
              <w:jc w:val="center"/>
              <w:spacing w:after="0"/>
              <w:rPr>
                <w:sz w:val="20"/>
                <w:szCs w:val="20"/>
                <w:color w:val="auto"/>
              </w:rPr>
            </w:pPr>
            <w:r>
              <w:rPr>
                <w:rFonts w:ascii="Arial" w:cs="Arial" w:eastAsia="Arial" w:hAnsi="Arial"/>
                <w:sz w:val="14"/>
                <w:szCs w:val="14"/>
                <w:color w:val="auto"/>
              </w:rPr>
              <w:t>3.3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500" w:type="dxa"/>
            <w:vAlign w:val="bottom"/>
            <w:tcBorders>
              <w:bottom w:val="single" w:sz="8" w:color="0000FF"/>
            </w:tcBorders>
            <w:gridSpan w:val="9"/>
          </w:tcPr>
          <w:p>
            <w:pPr>
              <w:spacing w:after="0"/>
              <w:rPr>
                <w:rFonts w:ascii="Arial" w:cs="Arial" w:eastAsia="Arial" w:hAnsi="Arial"/>
                <w:sz w:val="14"/>
                <w:szCs w:val="14"/>
                <w:color w:val="0000FF"/>
              </w:rPr>
            </w:pPr>
            <w:hyperlink r:id="rId142">
              <w:r>
                <w:rPr>
                  <w:rFonts w:ascii="Arial" w:cs="Arial" w:eastAsia="Arial" w:hAnsi="Arial"/>
                  <w:sz w:val="14"/>
                  <w:szCs w:val="14"/>
                  <w:color w:val="0000FF"/>
                </w:rPr>
                <w:t>Certificate of Designations of Series A Convertible Perpetual Preferred</w:t>
              </w:r>
            </w:hyperlink>
          </w:p>
        </w:tc>
        <w:tc>
          <w:tcPr>
            <w:tcW w:w="460" w:type="dxa"/>
            <w:vAlign w:val="bottom"/>
            <w:gridSpan w:val="6"/>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0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9/26/2022</w:t>
            </w:r>
          </w:p>
        </w:tc>
      </w:tr>
      <w:tr>
        <w:trPr>
          <w:trHeight w:val="155"/>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gridSpan w:val="15"/>
          </w:tcPr>
          <w:p>
            <w:pPr>
              <w:spacing w:after="0" w:line="155" w:lineRule="exact"/>
              <w:rPr>
                <w:rFonts w:ascii="Arial" w:cs="Arial" w:eastAsia="Arial" w:hAnsi="Arial"/>
                <w:sz w:val="14"/>
                <w:szCs w:val="14"/>
                <w:color w:val="0000FF"/>
              </w:rPr>
            </w:pPr>
            <w:hyperlink r:id="rId142">
              <w:r>
                <w:rPr>
                  <w:rFonts w:ascii="Arial" w:cs="Arial" w:eastAsia="Arial" w:hAnsi="Arial"/>
                  <w:sz w:val="14"/>
                  <w:szCs w:val="14"/>
                  <w:color w:val="0000FF"/>
                </w:rPr>
                <w:t>Stock of GoHealth, Inc.</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Arial" w:cs="Arial" w:eastAsia="Arial" w:hAnsi="Arial"/>
                <w:sz w:val="14"/>
                <w:szCs w:val="14"/>
                <w:color w:val="auto"/>
              </w:rPr>
              <w:t>3.4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740" w:type="dxa"/>
            <w:vAlign w:val="bottom"/>
            <w:tcBorders>
              <w:bottom w:val="single" w:sz="8" w:color="0000FF"/>
            </w:tcBorders>
            <w:gridSpan w:val="13"/>
          </w:tcPr>
          <w:p>
            <w:pPr>
              <w:spacing w:after="0"/>
              <w:rPr>
                <w:rFonts w:ascii="Arial" w:cs="Arial" w:eastAsia="Arial" w:hAnsi="Arial"/>
                <w:sz w:val="14"/>
                <w:szCs w:val="14"/>
                <w:color w:val="0000FF"/>
              </w:rPr>
            </w:pPr>
            <w:hyperlink r:id="rId143">
              <w:r>
                <w:rPr>
                  <w:rFonts w:ascii="Arial" w:cs="Arial" w:eastAsia="Arial" w:hAnsi="Arial"/>
                  <w:sz w:val="14"/>
                  <w:szCs w:val="14"/>
                  <w:color w:val="0000FF"/>
                </w:rPr>
                <w:t>Certificate of Designations of Series A-1 Convertible Non-Voting Perpetual</w:t>
              </w:r>
            </w:hyperlink>
          </w:p>
        </w:tc>
        <w:tc>
          <w:tcPr>
            <w:tcW w:w="220" w:type="dxa"/>
            <w:vAlign w:val="bottom"/>
            <w:gridSpan w:val="2"/>
          </w:tcPr>
          <w:p>
            <w:pPr>
              <w:spacing w:after="0"/>
              <w:rPr>
                <w:sz w:val="18"/>
                <w:szCs w:val="18"/>
                <w:color w:val="auto"/>
              </w:rPr>
            </w:pPr>
          </w:p>
        </w:tc>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8-K</w:t>
            </w:r>
          </w:p>
        </w:tc>
        <w:tc>
          <w:tcPr>
            <w:tcW w:w="1200" w:type="dxa"/>
            <w:vAlign w:val="bottom"/>
          </w:tcPr>
          <w:p>
            <w:pPr>
              <w:jc w:val="center"/>
              <w:spacing w:after="0"/>
              <w:rPr>
                <w:sz w:val="20"/>
                <w:szCs w:val="20"/>
                <w:color w:val="auto"/>
              </w:rPr>
            </w:pPr>
            <w:r>
              <w:rPr>
                <w:rFonts w:ascii="Arial" w:cs="Arial" w:eastAsia="Arial" w:hAnsi="Arial"/>
                <w:sz w:val="14"/>
                <w:szCs w:val="14"/>
                <w:color w:val="auto"/>
              </w:rPr>
              <w:t>001-39390</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9/26/2022</w:t>
            </w:r>
          </w:p>
        </w:tc>
      </w:tr>
      <w:tr>
        <w:trPr>
          <w:trHeight w:val="155"/>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60" w:type="dxa"/>
            <w:vAlign w:val="bottom"/>
            <w:gridSpan w:val="15"/>
          </w:tcPr>
          <w:p>
            <w:pPr>
              <w:spacing w:after="0" w:line="155" w:lineRule="exact"/>
              <w:rPr>
                <w:rFonts w:ascii="Arial" w:cs="Arial" w:eastAsia="Arial" w:hAnsi="Arial"/>
                <w:sz w:val="14"/>
                <w:szCs w:val="14"/>
                <w:color w:val="0000FF"/>
              </w:rPr>
            </w:pPr>
            <w:hyperlink r:id="rId143">
              <w:r>
                <w:rPr>
                  <w:rFonts w:ascii="Arial" w:cs="Arial" w:eastAsia="Arial" w:hAnsi="Arial"/>
                  <w:sz w:val="14"/>
                  <w:szCs w:val="14"/>
                  <w:color w:val="0000FF"/>
                </w:rPr>
                <w:t>Preferred Stock of GoHealth, Inc.</w:t>
              </w:r>
            </w:hyperlink>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0"/>
        </w:trPr>
        <w:tc>
          <w:tcPr>
            <w:tcW w:w="1020" w:type="dxa"/>
            <w:vAlign w:val="bottom"/>
          </w:tcPr>
          <w:p>
            <w:pPr>
              <w:jc w:val="center"/>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960" w:type="dxa"/>
            <w:vAlign w:val="bottom"/>
            <w:gridSpan w:val="15"/>
          </w:tcPr>
          <w:p>
            <w:pPr>
              <w:spacing w:after="0"/>
              <w:rPr>
                <w:rFonts w:ascii="Arial" w:cs="Arial" w:eastAsia="Arial" w:hAnsi="Arial"/>
                <w:sz w:val="14"/>
                <w:szCs w:val="14"/>
                <w:color w:val="0000FF"/>
              </w:rPr>
            </w:pPr>
            <w:hyperlink r:id="rId144">
              <w:r>
                <w:rPr>
                  <w:rFonts w:ascii="Arial" w:cs="Arial" w:eastAsia="Arial" w:hAnsi="Arial"/>
                  <w:sz w:val="14"/>
                  <w:szCs w:val="14"/>
                  <w:color w:val="0000FF"/>
                </w:rPr>
                <w:t>Specimen Stock Certificate evidencing the shares of Class A common</w:t>
              </w:r>
            </w:hyperlink>
          </w:p>
        </w:tc>
        <w:tc>
          <w:tcPr>
            <w:tcW w:w="760" w:type="dxa"/>
            <w:vAlign w:val="bottom"/>
            <w:gridSpan w:val="2"/>
          </w:tcPr>
          <w:p>
            <w:pPr>
              <w:jc w:val="center"/>
              <w:ind w:right="100"/>
              <w:spacing w:after="0"/>
              <w:rPr>
                <w:sz w:val="20"/>
                <w:szCs w:val="20"/>
                <w:color w:val="auto"/>
              </w:rPr>
            </w:pPr>
            <w:r>
              <w:rPr>
                <w:rFonts w:ascii="Arial" w:cs="Arial" w:eastAsia="Arial" w:hAnsi="Arial"/>
                <w:sz w:val="14"/>
                <w:szCs w:val="14"/>
                <w:color w:val="auto"/>
              </w:rPr>
              <w:t>S-1</w:t>
            </w:r>
          </w:p>
        </w:tc>
        <w:tc>
          <w:tcPr>
            <w:tcW w:w="1200" w:type="dxa"/>
            <w:vAlign w:val="bottom"/>
          </w:tcPr>
          <w:p>
            <w:pPr>
              <w:jc w:val="center"/>
              <w:spacing w:after="0"/>
              <w:rPr>
                <w:sz w:val="20"/>
                <w:szCs w:val="20"/>
                <w:color w:val="auto"/>
              </w:rPr>
            </w:pPr>
            <w:r>
              <w:rPr>
                <w:rFonts w:ascii="Arial" w:cs="Arial" w:eastAsia="Arial" w:hAnsi="Arial"/>
                <w:sz w:val="14"/>
                <w:szCs w:val="14"/>
                <w:color w:val="auto"/>
              </w:rPr>
              <w:t>333-239287</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6/19/2020</w:t>
            </w:r>
          </w:p>
        </w:tc>
      </w:tr>
      <w:tr>
        <w:trPr>
          <w:trHeight w:val="156"/>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60" w:type="dxa"/>
            <w:vAlign w:val="bottom"/>
            <w:tcBorders>
              <w:top w:val="single" w:sz="8" w:color="0000FF"/>
            </w:tcBorders>
            <w:gridSpan w:val="8"/>
          </w:tcPr>
          <w:p>
            <w:pPr>
              <w:spacing w:after="0" w:line="155" w:lineRule="exact"/>
              <w:rPr>
                <w:rFonts w:ascii="Arial" w:cs="Arial" w:eastAsia="Arial" w:hAnsi="Arial"/>
                <w:sz w:val="14"/>
                <w:szCs w:val="14"/>
                <w:color w:val="0000FF"/>
              </w:rPr>
            </w:pPr>
            <w:hyperlink r:id="rId144">
              <w:r>
                <w:rPr>
                  <w:rFonts w:ascii="Arial" w:cs="Arial" w:eastAsia="Arial" w:hAnsi="Arial"/>
                  <w:sz w:val="14"/>
                  <w:szCs w:val="14"/>
                  <w:color w:val="0000FF"/>
                </w:rPr>
                <w:t>stock.</w:t>
              </w:r>
            </w:hyperlink>
          </w:p>
        </w:tc>
        <w:tc>
          <w:tcPr>
            <w:tcW w:w="500" w:type="dxa"/>
            <w:vAlign w:val="bottom"/>
            <w:gridSpan w:val="7"/>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331"/>
        </w:trPr>
        <w:tc>
          <w:tcPr>
            <w:tcW w:w="1020" w:type="dxa"/>
            <w:vAlign w:val="bottom"/>
          </w:tcPr>
          <w:p>
            <w:pPr>
              <w:jc w:val="center"/>
              <w:spacing w:after="0"/>
              <w:rPr>
                <w:sz w:val="20"/>
                <w:szCs w:val="20"/>
                <w:color w:val="auto"/>
              </w:rPr>
            </w:pPr>
            <w:r>
              <w:rPr>
                <w:rFonts w:ascii="Arial" w:cs="Arial" w:eastAsia="Arial" w:hAnsi="Arial"/>
                <w:sz w:val="14"/>
                <w:szCs w:val="14"/>
                <w:color w:val="auto"/>
              </w:rPr>
              <w:t>31.1</w:t>
            </w:r>
          </w:p>
        </w:tc>
        <w:tc>
          <w:tcPr>
            <w:tcW w:w="80" w:type="dxa"/>
            <w:vAlign w:val="bottom"/>
          </w:tcPr>
          <w:p>
            <w:pPr>
              <w:spacing w:after="0"/>
              <w:rPr>
                <w:sz w:val="24"/>
                <w:szCs w:val="24"/>
                <w:color w:val="auto"/>
              </w:rPr>
            </w:pPr>
          </w:p>
        </w:tc>
        <w:tc>
          <w:tcPr>
            <w:tcW w:w="5000" w:type="dxa"/>
            <w:vAlign w:val="bottom"/>
            <w:gridSpan w:val="17"/>
          </w:tcPr>
          <w:p>
            <w:pPr>
              <w:spacing w:after="0"/>
              <w:rPr>
                <w:sz w:val="20"/>
                <w:szCs w:val="20"/>
                <w:color w:val="auto"/>
              </w:rPr>
            </w:pPr>
            <w:r>
              <w:rPr>
                <w:rFonts w:ascii="Arial" w:cs="Arial" w:eastAsia="Arial" w:hAnsi="Arial"/>
                <w:sz w:val="14"/>
                <w:szCs w:val="14"/>
                <w:color w:val="0000FF"/>
              </w:rPr>
              <w:t>Certification of Chief Executive Officer pursuant to Exchange Act Rule 13a-</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56"/>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760" w:type="dxa"/>
            <w:vAlign w:val="bottom"/>
            <w:tcBorders>
              <w:top w:val="single" w:sz="8" w:color="0000FF"/>
            </w:tcBorders>
            <w:gridSpan w:val="14"/>
          </w:tcPr>
          <w:p>
            <w:pPr>
              <w:spacing w:after="0" w:line="155" w:lineRule="exact"/>
              <w:rPr>
                <w:sz w:val="20"/>
                <w:szCs w:val="20"/>
                <w:color w:val="auto"/>
              </w:rPr>
            </w:pPr>
            <w:r>
              <w:rPr>
                <w:rFonts w:ascii="Arial" w:cs="Arial" w:eastAsia="Arial" w:hAnsi="Arial"/>
                <w:sz w:val="14"/>
                <w:szCs w:val="14"/>
                <w:color w:val="0000FF"/>
              </w:rPr>
              <w:t>14(a).</w:t>
            </w:r>
          </w:p>
        </w:tc>
        <w:tc>
          <w:tcPr>
            <w:tcW w:w="240" w:type="dxa"/>
            <w:vAlign w:val="bottom"/>
            <w:gridSpan w:val="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4"/>
                <w:szCs w:val="14"/>
                <w:color w:val="auto"/>
              </w:rPr>
              <w:t>31.2</w:t>
            </w:r>
          </w:p>
        </w:tc>
        <w:tc>
          <w:tcPr>
            <w:tcW w:w="80" w:type="dxa"/>
            <w:vAlign w:val="bottom"/>
          </w:tcPr>
          <w:p>
            <w:pPr>
              <w:spacing w:after="0"/>
              <w:rPr>
                <w:sz w:val="18"/>
                <w:szCs w:val="18"/>
                <w:color w:val="auto"/>
              </w:rPr>
            </w:pPr>
          </w:p>
        </w:tc>
        <w:tc>
          <w:tcPr>
            <w:tcW w:w="4720" w:type="dxa"/>
            <w:vAlign w:val="bottom"/>
            <w:tcBorders>
              <w:bottom w:val="single" w:sz="8" w:color="0000FF"/>
            </w:tcBorders>
            <w:gridSpan w:val="13"/>
          </w:tcPr>
          <w:p>
            <w:pPr>
              <w:spacing w:after="0"/>
              <w:rPr>
                <w:sz w:val="20"/>
                <w:szCs w:val="20"/>
                <w:color w:val="auto"/>
              </w:rPr>
            </w:pPr>
            <w:r>
              <w:rPr>
                <w:rFonts w:ascii="Arial" w:cs="Arial" w:eastAsia="Arial" w:hAnsi="Arial"/>
                <w:sz w:val="14"/>
                <w:szCs w:val="14"/>
                <w:color w:val="0000FF"/>
              </w:rPr>
              <w:t>Certification of Chief Financial Officer pursuant to Exchange Act Rule 13a-</w:t>
            </w:r>
          </w:p>
        </w:tc>
        <w:tc>
          <w:tcPr>
            <w:tcW w:w="280" w:type="dxa"/>
            <w:vAlign w:val="bottom"/>
            <w:gridSpan w:val="4"/>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56"/>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0" w:type="dxa"/>
            <w:vAlign w:val="bottom"/>
            <w:gridSpan w:val="17"/>
          </w:tcPr>
          <w:p>
            <w:pPr>
              <w:spacing w:after="0" w:line="155" w:lineRule="exact"/>
              <w:rPr>
                <w:sz w:val="20"/>
                <w:szCs w:val="20"/>
                <w:color w:val="auto"/>
              </w:rPr>
            </w:pPr>
            <w:r>
              <w:rPr>
                <w:rFonts w:ascii="Arial" w:cs="Arial" w:eastAsia="Arial" w:hAnsi="Arial"/>
                <w:sz w:val="14"/>
                <w:szCs w:val="14"/>
                <w:color w:val="0000FF"/>
              </w:rPr>
              <w:t>14(a).</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180" w:type="dxa"/>
            <w:vAlign w:val="bottom"/>
            <w:gridSpan w:val="4"/>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4"/>
                <w:szCs w:val="14"/>
                <w:color w:val="auto"/>
              </w:rPr>
              <w:t>32.1</w:t>
            </w:r>
          </w:p>
        </w:tc>
        <w:tc>
          <w:tcPr>
            <w:tcW w:w="80" w:type="dxa"/>
            <w:vAlign w:val="bottom"/>
          </w:tcPr>
          <w:p>
            <w:pPr>
              <w:spacing w:after="0"/>
              <w:rPr>
                <w:sz w:val="18"/>
                <w:szCs w:val="18"/>
                <w:color w:val="auto"/>
              </w:rPr>
            </w:pPr>
          </w:p>
        </w:tc>
        <w:tc>
          <w:tcPr>
            <w:tcW w:w="4060" w:type="dxa"/>
            <w:vAlign w:val="bottom"/>
            <w:tcBorders>
              <w:bottom w:val="single" w:sz="8" w:color="0000FF"/>
            </w:tcBorders>
            <w:gridSpan w:val="8"/>
          </w:tcPr>
          <w:p>
            <w:pPr>
              <w:spacing w:after="0"/>
              <w:rPr>
                <w:sz w:val="20"/>
                <w:szCs w:val="20"/>
                <w:color w:val="auto"/>
              </w:rPr>
            </w:pPr>
            <w:r>
              <w:rPr>
                <w:rFonts w:ascii="Arial" w:cs="Arial" w:eastAsia="Arial" w:hAnsi="Arial"/>
                <w:sz w:val="14"/>
                <w:szCs w:val="14"/>
                <w:color w:val="0000FF"/>
              </w:rPr>
              <w:t>Certification of Principal Executive Officer pursuant to 18 U.S.C.</w:t>
            </w:r>
          </w:p>
        </w:tc>
        <w:tc>
          <w:tcPr>
            <w:tcW w:w="940" w:type="dxa"/>
            <w:vAlign w:val="bottom"/>
            <w:gridSpan w:val="9"/>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56"/>
        </w:trPr>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bottom w:val="single" w:sz="8" w:color="0000FF"/>
            </w:tcBorders>
            <w:gridSpan w:val="4"/>
          </w:tcPr>
          <w:p>
            <w:pPr>
              <w:spacing w:after="0" w:line="155" w:lineRule="exact"/>
              <w:rPr>
                <w:sz w:val="20"/>
                <w:szCs w:val="20"/>
                <w:color w:val="auto"/>
              </w:rPr>
            </w:pPr>
            <w:r>
              <w:rPr>
                <w:rFonts w:ascii="Arial" w:cs="Arial" w:eastAsia="Arial" w:hAnsi="Arial"/>
                <w:sz w:val="14"/>
                <w:szCs w:val="14"/>
                <w:color w:val="0000FF"/>
              </w:rPr>
              <w:t>Section 1350.</w:t>
            </w:r>
          </w:p>
        </w:tc>
        <w:tc>
          <w:tcPr>
            <w:tcW w:w="4120" w:type="dxa"/>
            <w:vAlign w:val="bottom"/>
            <w:gridSpan w:val="13"/>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209"/>
        </w:trPr>
        <w:tc>
          <w:tcPr>
            <w:tcW w:w="1020" w:type="dxa"/>
            <w:vAlign w:val="bottom"/>
          </w:tcPr>
          <w:p>
            <w:pPr>
              <w:jc w:val="center"/>
              <w:spacing w:after="0"/>
              <w:rPr>
                <w:sz w:val="20"/>
                <w:szCs w:val="20"/>
                <w:color w:val="auto"/>
              </w:rPr>
            </w:pPr>
            <w:r>
              <w:rPr>
                <w:rFonts w:ascii="Arial" w:cs="Arial" w:eastAsia="Arial" w:hAnsi="Arial"/>
                <w:sz w:val="14"/>
                <w:szCs w:val="14"/>
                <w:color w:val="auto"/>
              </w:rPr>
              <w:t>32.2</w:t>
            </w:r>
          </w:p>
        </w:tc>
        <w:tc>
          <w:tcPr>
            <w:tcW w:w="80" w:type="dxa"/>
            <w:vAlign w:val="bottom"/>
          </w:tcPr>
          <w:p>
            <w:pPr>
              <w:spacing w:after="0"/>
              <w:rPr>
                <w:sz w:val="18"/>
                <w:szCs w:val="18"/>
                <w:color w:val="auto"/>
              </w:rPr>
            </w:pPr>
          </w:p>
        </w:tc>
        <w:tc>
          <w:tcPr>
            <w:tcW w:w="5000" w:type="dxa"/>
            <w:vAlign w:val="bottom"/>
            <w:gridSpan w:val="17"/>
          </w:tcPr>
          <w:p>
            <w:pPr>
              <w:spacing w:after="0"/>
              <w:rPr>
                <w:sz w:val="20"/>
                <w:szCs w:val="20"/>
                <w:color w:val="auto"/>
              </w:rPr>
            </w:pPr>
            <w:r>
              <w:rPr>
                <w:rFonts w:ascii="Arial" w:cs="Arial" w:eastAsia="Arial" w:hAnsi="Arial"/>
                <w:sz w:val="14"/>
                <w:szCs w:val="14"/>
                <w:color w:val="0000FF"/>
              </w:rPr>
              <w:t>Certification of Chief Financial Officer pursuant to 18 U.S.C. Section 1350.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
        </w:trPr>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700" w:type="dxa"/>
            <w:vAlign w:val="bottom"/>
            <w:gridSpan w:val="12"/>
            <w:shd w:val="clear" w:color="auto" w:fill="0000FF"/>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27"/>
        </w:trPr>
        <w:tc>
          <w:tcPr>
            <w:tcW w:w="1020" w:type="dxa"/>
            <w:vAlign w:val="bottom"/>
          </w:tcPr>
          <w:p>
            <w:pPr>
              <w:jc w:val="center"/>
              <w:spacing w:after="0"/>
              <w:rPr>
                <w:sz w:val="20"/>
                <w:szCs w:val="20"/>
                <w:color w:val="auto"/>
              </w:rPr>
            </w:pPr>
            <w:r>
              <w:rPr>
                <w:rFonts w:ascii="Arial" w:cs="Arial" w:eastAsia="Arial" w:hAnsi="Arial"/>
                <w:sz w:val="14"/>
                <w:szCs w:val="14"/>
                <w:color w:val="auto"/>
              </w:rPr>
              <w:t>101.INS</w:t>
            </w:r>
          </w:p>
        </w:tc>
        <w:tc>
          <w:tcPr>
            <w:tcW w:w="80" w:type="dxa"/>
            <w:vAlign w:val="bottom"/>
          </w:tcPr>
          <w:p>
            <w:pPr>
              <w:spacing w:after="0"/>
              <w:rPr>
                <w:sz w:val="19"/>
                <w:szCs w:val="19"/>
                <w:color w:val="auto"/>
              </w:rPr>
            </w:pPr>
          </w:p>
        </w:tc>
        <w:tc>
          <w:tcPr>
            <w:tcW w:w="5000" w:type="dxa"/>
            <w:vAlign w:val="bottom"/>
            <w:gridSpan w:val="17"/>
          </w:tcPr>
          <w:p>
            <w:pPr>
              <w:spacing w:after="0"/>
              <w:rPr>
                <w:sz w:val="20"/>
                <w:szCs w:val="20"/>
                <w:color w:val="auto"/>
              </w:rPr>
            </w:pPr>
            <w:r>
              <w:rPr>
                <w:rFonts w:ascii="Arial" w:cs="Arial" w:eastAsia="Arial" w:hAnsi="Arial"/>
                <w:sz w:val="14"/>
                <w:szCs w:val="14"/>
                <w:color w:val="auto"/>
              </w:rPr>
              <w:t>Inline XBRL Instance Document – the instance document does not appear in</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62"/>
        </w:trPr>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0" w:type="dxa"/>
            <w:vAlign w:val="bottom"/>
            <w:gridSpan w:val="17"/>
          </w:tcPr>
          <w:p>
            <w:pPr>
              <w:spacing w:after="0"/>
              <w:rPr>
                <w:sz w:val="20"/>
                <w:szCs w:val="20"/>
                <w:color w:val="auto"/>
              </w:rPr>
            </w:pPr>
            <w:r>
              <w:rPr>
                <w:rFonts w:ascii="Arial" w:cs="Arial" w:eastAsia="Arial" w:hAnsi="Arial"/>
                <w:sz w:val="14"/>
                <w:szCs w:val="14"/>
                <w:color w:val="auto"/>
              </w:rPr>
              <w:t>the Interactive Data File because its XBRL tags are embedded within the</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0"/>
        </w:trPr>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0" w:type="dxa"/>
            <w:vAlign w:val="bottom"/>
            <w:gridSpan w:val="17"/>
          </w:tcPr>
          <w:p>
            <w:pPr>
              <w:spacing w:after="0"/>
              <w:rPr>
                <w:sz w:val="20"/>
                <w:szCs w:val="20"/>
                <w:color w:val="auto"/>
              </w:rPr>
            </w:pPr>
            <w:r>
              <w:rPr>
                <w:rFonts w:ascii="Arial" w:cs="Arial" w:eastAsia="Arial" w:hAnsi="Arial"/>
                <w:sz w:val="14"/>
                <w:szCs w:val="14"/>
                <w:color w:val="auto"/>
              </w:rPr>
              <w:t>Inline XBRL document.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29"/>
        </w:trPr>
        <w:tc>
          <w:tcPr>
            <w:tcW w:w="1020" w:type="dxa"/>
            <w:vAlign w:val="bottom"/>
          </w:tcPr>
          <w:p>
            <w:pPr>
              <w:jc w:val="center"/>
              <w:spacing w:after="0"/>
              <w:rPr>
                <w:sz w:val="20"/>
                <w:szCs w:val="20"/>
                <w:color w:val="auto"/>
              </w:rPr>
            </w:pPr>
            <w:r>
              <w:rPr>
                <w:rFonts w:ascii="Arial" w:cs="Arial" w:eastAsia="Arial" w:hAnsi="Arial"/>
                <w:sz w:val="14"/>
                <w:szCs w:val="14"/>
                <w:color w:val="auto"/>
              </w:rPr>
              <w:t>101.SCH</w:t>
            </w:r>
          </w:p>
        </w:tc>
        <w:tc>
          <w:tcPr>
            <w:tcW w:w="80" w:type="dxa"/>
            <w:vAlign w:val="bottom"/>
          </w:tcPr>
          <w:p>
            <w:pPr>
              <w:spacing w:after="0"/>
              <w:rPr>
                <w:sz w:val="19"/>
                <w:szCs w:val="19"/>
                <w:color w:val="auto"/>
              </w:rPr>
            </w:pPr>
          </w:p>
        </w:tc>
        <w:tc>
          <w:tcPr>
            <w:tcW w:w="5000" w:type="dxa"/>
            <w:vAlign w:val="bottom"/>
            <w:gridSpan w:val="17"/>
          </w:tcPr>
          <w:p>
            <w:pPr>
              <w:spacing w:after="0"/>
              <w:rPr>
                <w:sz w:val="20"/>
                <w:szCs w:val="20"/>
                <w:color w:val="auto"/>
              </w:rPr>
            </w:pPr>
            <w:r>
              <w:rPr>
                <w:rFonts w:ascii="Arial" w:cs="Arial" w:eastAsia="Arial" w:hAnsi="Arial"/>
                <w:sz w:val="14"/>
                <w:szCs w:val="14"/>
                <w:color w:val="auto"/>
              </w:rPr>
              <w:t>Inline XBRL Taxonomy Extension Schema Document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1020" w:type="dxa"/>
            <w:vAlign w:val="bottom"/>
          </w:tcPr>
          <w:p>
            <w:pPr>
              <w:jc w:val="center"/>
              <w:spacing w:after="0"/>
              <w:rPr>
                <w:sz w:val="20"/>
                <w:szCs w:val="20"/>
                <w:color w:val="auto"/>
              </w:rPr>
            </w:pPr>
            <w:r>
              <w:rPr>
                <w:rFonts w:ascii="Arial" w:cs="Arial" w:eastAsia="Arial" w:hAnsi="Arial"/>
                <w:sz w:val="14"/>
                <w:szCs w:val="14"/>
                <w:color w:val="auto"/>
              </w:rPr>
              <w:t>101.CAL</w:t>
            </w:r>
          </w:p>
        </w:tc>
        <w:tc>
          <w:tcPr>
            <w:tcW w:w="80" w:type="dxa"/>
            <w:vAlign w:val="bottom"/>
          </w:tcPr>
          <w:p>
            <w:pPr>
              <w:spacing w:after="0"/>
              <w:rPr>
                <w:sz w:val="19"/>
                <w:szCs w:val="19"/>
                <w:color w:val="auto"/>
              </w:rPr>
            </w:pPr>
          </w:p>
        </w:tc>
        <w:tc>
          <w:tcPr>
            <w:tcW w:w="5000" w:type="dxa"/>
            <w:vAlign w:val="bottom"/>
            <w:gridSpan w:val="17"/>
          </w:tcPr>
          <w:p>
            <w:pPr>
              <w:spacing w:after="0"/>
              <w:rPr>
                <w:sz w:val="20"/>
                <w:szCs w:val="20"/>
                <w:color w:val="auto"/>
              </w:rPr>
            </w:pPr>
            <w:r>
              <w:rPr>
                <w:rFonts w:ascii="Arial" w:cs="Arial" w:eastAsia="Arial" w:hAnsi="Arial"/>
                <w:sz w:val="14"/>
                <w:szCs w:val="14"/>
                <w:color w:val="auto"/>
              </w:rPr>
              <w:t>Inline XBRL Taxonomy Extension Calculation Linkbase Document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1020" w:type="dxa"/>
            <w:vAlign w:val="bottom"/>
          </w:tcPr>
          <w:p>
            <w:pPr>
              <w:jc w:val="center"/>
              <w:spacing w:after="0"/>
              <w:rPr>
                <w:sz w:val="20"/>
                <w:szCs w:val="20"/>
                <w:color w:val="auto"/>
              </w:rPr>
            </w:pPr>
            <w:r>
              <w:rPr>
                <w:rFonts w:ascii="Arial" w:cs="Arial" w:eastAsia="Arial" w:hAnsi="Arial"/>
                <w:sz w:val="14"/>
                <w:szCs w:val="14"/>
                <w:color w:val="auto"/>
              </w:rPr>
              <w:t>101.DEF</w:t>
            </w:r>
          </w:p>
        </w:tc>
        <w:tc>
          <w:tcPr>
            <w:tcW w:w="80" w:type="dxa"/>
            <w:vAlign w:val="bottom"/>
          </w:tcPr>
          <w:p>
            <w:pPr>
              <w:spacing w:after="0"/>
              <w:rPr>
                <w:sz w:val="19"/>
                <w:szCs w:val="19"/>
                <w:color w:val="auto"/>
              </w:rPr>
            </w:pPr>
          </w:p>
        </w:tc>
        <w:tc>
          <w:tcPr>
            <w:tcW w:w="5000" w:type="dxa"/>
            <w:vAlign w:val="bottom"/>
            <w:gridSpan w:val="17"/>
          </w:tcPr>
          <w:p>
            <w:pPr>
              <w:spacing w:after="0"/>
              <w:rPr>
                <w:sz w:val="20"/>
                <w:szCs w:val="20"/>
                <w:color w:val="auto"/>
              </w:rPr>
            </w:pPr>
            <w:r>
              <w:rPr>
                <w:rFonts w:ascii="Arial" w:cs="Arial" w:eastAsia="Arial" w:hAnsi="Arial"/>
                <w:sz w:val="14"/>
                <w:szCs w:val="14"/>
                <w:color w:val="auto"/>
              </w:rPr>
              <w:t>Inline XBRL Taxonomy Extension Definition Linkbase Document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1020" w:type="dxa"/>
            <w:vAlign w:val="bottom"/>
          </w:tcPr>
          <w:p>
            <w:pPr>
              <w:jc w:val="center"/>
              <w:spacing w:after="0"/>
              <w:rPr>
                <w:sz w:val="20"/>
                <w:szCs w:val="20"/>
                <w:color w:val="auto"/>
              </w:rPr>
            </w:pPr>
            <w:r>
              <w:rPr>
                <w:rFonts w:ascii="Arial" w:cs="Arial" w:eastAsia="Arial" w:hAnsi="Arial"/>
                <w:sz w:val="14"/>
                <w:szCs w:val="14"/>
                <w:color w:val="auto"/>
              </w:rPr>
              <w:t>101.LAB</w:t>
            </w:r>
          </w:p>
        </w:tc>
        <w:tc>
          <w:tcPr>
            <w:tcW w:w="80" w:type="dxa"/>
            <w:vAlign w:val="bottom"/>
          </w:tcPr>
          <w:p>
            <w:pPr>
              <w:spacing w:after="0"/>
              <w:rPr>
                <w:sz w:val="19"/>
                <w:szCs w:val="19"/>
                <w:color w:val="auto"/>
              </w:rPr>
            </w:pPr>
          </w:p>
        </w:tc>
        <w:tc>
          <w:tcPr>
            <w:tcW w:w="5000" w:type="dxa"/>
            <w:vAlign w:val="bottom"/>
            <w:gridSpan w:val="17"/>
          </w:tcPr>
          <w:p>
            <w:pPr>
              <w:spacing w:after="0"/>
              <w:rPr>
                <w:sz w:val="20"/>
                <w:szCs w:val="20"/>
                <w:color w:val="auto"/>
              </w:rPr>
            </w:pPr>
            <w:r>
              <w:rPr>
                <w:rFonts w:ascii="Arial" w:cs="Arial" w:eastAsia="Arial" w:hAnsi="Arial"/>
                <w:sz w:val="14"/>
                <w:szCs w:val="14"/>
                <w:color w:val="auto"/>
              </w:rPr>
              <w:t>Inline XBRL Taxonomy Extension Label Linkbase Document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1020" w:type="dxa"/>
            <w:vAlign w:val="bottom"/>
          </w:tcPr>
          <w:p>
            <w:pPr>
              <w:jc w:val="center"/>
              <w:spacing w:after="0"/>
              <w:rPr>
                <w:sz w:val="20"/>
                <w:szCs w:val="20"/>
                <w:color w:val="auto"/>
              </w:rPr>
            </w:pPr>
            <w:r>
              <w:rPr>
                <w:rFonts w:ascii="Arial" w:cs="Arial" w:eastAsia="Arial" w:hAnsi="Arial"/>
                <w:sz w:val="14"/>
                <w:szCs w:val="14"/>
                <w:color w:val="auto"/>
              </w:rPr>
              <w:t>101.PRE</w:t>
            </w:r>
          </w:p>
        </w:tc>
        <w:tc>
          <w:tcPr>
            <w:tcW w:w="80" w:type="dxa"/>
            <w:vAlign w:val="bottom"/>
          </w:tcPr>
          <w:p>
            <w:pPr>
              <w:spacing w:after="0"/>
              <w:rPr>
                <w:sz w:val="19"/>
                <w:szCs w:val="19"/>
                <w:color w:val="auto"/>
              </w:rPr>
            </w:pPr>
          </w:p>
        </w:tc>
        <w:tc>
          <w:tcPr>
            <w:tcW w:w="5000" w:type="dxa"/>
            <w:vAlign w:val="bottom"/>
            <w:gridSpan w:val="17"/>
          </w:tcPr>
          <w:p>
            <w:pPr>
              <w:spacing w:after="0"/>
              <w:rPr>
                <w:sz w:val="20"/>
                <w:szCs w:val="20"/>
                <w:color w:val="auto"/>
              </w:rPr>
            </w:pPr>
            <w:r>
              <w:rPr>
                <w:rFonts w:ascii="Arial" w:cs="Arial" w:eastAsia="Arial" w:hAnsi="Arial"/>
                <w:sz w:val="14"/>
                <w:szCs w:val="14"/>
                <w:color w:val="auto"/>
              </w:rPr>
              <w:t>Inline XBRL Taxonomy Extension Presentation Linkbase Document</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r>
    </w:tbl>
    <w:p>
      <w:pPr>
        <w:spacing w:after="0" w:line="39" w:lineRule="exact"/>
        <w:rPr>
          <w:sz w:val="20"/>
          <w:szCs w:val="20"/>
          <w:color w:val="auto"/>
        </w:rPr>
      </w:pPr>
    </w:p>
    <w:p>
      <w:pPr>
        <w:ind w:left="1100" w:right="4060" w:hanging="733"/>
        <w:spacing w:after="0" w:line="305" w:lineRule="auto"/>
        <w:tabs>
          <w:tab w:leader="none" w:pos="1100" w:val="left"/>
        </w:tabs>
        <w:numPr>
          <w:ilvl w:val="1"/>
          <w:numId w:val="13"/>
        </w:numPr>
        <w:rPr>
          <w:rFonts w:ascii="Arial" w:cs="Arial" w:eastAsia="Arial" w:hAnsi="Arial"/>
          <w:sz w:val="14"/>
          <w:szCs w:val="14"/>
          <w:color w:val="auto"/>
        </w:rPr>
      </w:pPr>
      <w:r>
        <w:rPr>
          <w:rFonts w:ascii="Arial" w:cs="Arial" w:eastAsia="Arial" w:hAnsi="Arial"/>
          <w:sz w:val="14"/>
          <w:szCs w:val="14"/>
          <w:color w:val="auto"/>
        </w:rPr>
        <w:t>Cover Page Interactive Data File (formatted as Inline XBRL and contained in Exhibit 101)</w:t>
      </w:r>
    </w:p>
    <w:p>
      <w:pPr>
        <w:spacing w:after="0" w:line="4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Filed herewith.</w:t>
      </w:r>
    </w:p>
    <w:p>
      <w:pPr>
        <w:spacing w:after="0" w:line="28" w:lineRule="exact"/>
        <w:rPr>
          <w:rFonts w:ascii="Arial" w:cs="Arial" w:eastAsia="Arial" w:hAnsi="Arial"/>
          <w:sz w:val="14"/>
          <w:szCs w:val="14"/>
          <w:color w:val="auto"/>
        </w:rPr>
      </w:pPr>
    </w:p>
    <w:p>
      <w:pPr>
        <w:ind w:left="280" w:hanging="272"/>
        <w:spacing w:after="0"/>
        <w:tabs>
          <w:tab w:leader="none" w:pos="2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Furnished herewith.</w:t>
      </w:r>
    </w:p>
    <w:p>
      <w:pPr>
        <w:spacing w:after="0" w:line="15" w:lineRule="exact"/>
        <w:rPr>
          <w:sz w:val="20"/>
          <w:szCs w:val="20"/>
          <w:color w:val="auto"/>
        </w:rPr>
      </w:pPr>
    </w:p>
    <w:p>
      <w:pPr>
        <w:ind w:left="240" w:hanging="232"/>
        <w:spacing w:after="0"/>
        <w:tabs>
          <w:tab w:leader="none" w:pos="2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Indicates management contract or compensatory plan.</w:t>
      </w:r>
    </w:p>
    <w:p>
      <w:pPr>
        <w:spacing w:after="0" w:line="200" w:lineRule="exact"/>
        <w:rPr>
          <w:sz w:val="20"/>
          <w:szCs w:val="20"/>
          <w:color w:val="auto"/>
        </w:rPr>
      </w:pPr>
    </w:p>
    <w:p>
      <w:pPr>
        <w:spacing w:after="0" w:line="282" w:lineRule="exact"/>
        <w:rPr>
          <w:sz w:val="20"/>
          <w:szCs w:val="20"/>
          <w:color w:val="auto"/>
        </w:rPr>
      </w:pPr>
    </w:p>
    <w:tbl>
      <w:tblPr>
        <w:tblLayout w:type="fixed"/>
        <w:tblInd w:w="3660" w:type="dxa"/>
        <w:tblCellMar>
          <w:top w:w="0" w:type="dxa"/>
          <w:left w:w="0" w:type="dxa"/>
          <w:bottom w:w="0" w:type="dxa"/>
          <w:right w:w="0" w:type="dxa"/>
        </w:tblCellMar>
      </w:tblPr>
      <w:tr>
        <w:trPr>
          <w:trHeight w:val="203"/>
        </w:trPr>
        <w:tc>
          <w:tcPr>
            <w:tcW w:w="1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260" w:type="dxa"/>
            <w:vAlign w:val="bottom"/>
          </w:tcPr>
          <w:p>
            <w:pPr>
              <w:jc w:val="right"/>
              <w:spacing w:after="0"/>
              <w:rPr>
                <w:sz w:val="20"/>
                <w:szCs w:val="20"/>
                <w:color w:val="auto"/>
              </w:rPr>
            </w:pPr>
            <w:r>
              <w:rPr>
                <w:rFonts w:ascii="Arial" w:cs="Arial" w:eastAsia="Arial" w:hAnsi="Arial"/>
                <w:sz w:val="14"/>
                <w:szCs w:val="14"/>
                <w:color w:val="auto"/>
              </w:rPr>
              <w:t>35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116205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line="287" w:lineRule="auto"/>
        <w:rPr>
          <w:sz w:val="20"/>
          <w:szCs w:val="20"/>
          <w:color w:val="auto"/>
        </w:rPr>
      </w:pPr>
      <w:r>
        <w:rPr>
          <w:rFonts w:ascii="Arial" w:cs="Arial" w:eastAsia="Arial" w:hAnsi="Arial"/>
          <w:sz w:val="14"/>
          <w:szCs w:val="14"/>
          <w:b w:val="1"/>
          <w:bCs w:val="1"/>
          <w:color w:val="auto"/>
        </w:rPr>
        <w:t>Filed/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-17145</wp:posOffset>
            </wp:positionV>
            <wp:extent cx="7029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6">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244" w:lineRule="exact"/>
        <w:rPr>
          <w:sz w:val="20"/>
          <w:szCs w:val="20"/>
          <w:color w:val="auto"/>
        </w:rPr>
      </w:pPr>
    </w:p>
    <w:p>
      <w:pPr>
        <w:ind w:left="300"/>
        <w:spacing w:after="0"/>
        <w:rPr>
          <w:sz w:val="20"/>
          <w:szCs w:val="20"/>
          <w:color w:val="auto"/>
        </w:rPr>
      </w:pPr>
      <w:r>
        <w:rPr>
          <w:rFonts w:ascii="Arial" w:cs="Arial" w:eastAsia="Arial" w:hAnsi="Arial"/>
          <w:sz w:val="14"/>
          <w:szCs w:val="14"/>
          <w:color w:val="auto"/>
        </w:rPr>
        <w:t>**</w:t>
      </w:r>
    </w:p>
    <w:p>
      <w:pPr>
        <w:spacing w:after="0" w:line="163" w:lineRule="exact"/>
        <w:rPr>
          <w:sz w:val="20"/>
          <w:szCs w:val="20"/>
          <w:color w:val="auto"/>
        </w:rPr>
      </w:pPr>
    </w:p>
    <w:p>
      <w:pPr>
        <w:ind w:left="300"/>
        <w:spacing w:after="0"/>
        <w:rPr>
          <w:sz w:val="20"/>
          <w:szCs w:val="20"/>
          <w:color w:val="auto"/>
        </w:rPr>
      </w:pPr>
      <w:r>
        <w:rPr>
          <w:rFonts w:ascii="Arial" w:cs="Arial" w:eastAsia="Arial" w:hAnsi="Arial"/>
          <w:sz w:val="14"/>
          <w:szCs w:val="14"/>
          <w:color w:val="auto"/>
        </w:rPr>
        <w:t>**</w:t>
      </w:r>
    </w:p>
    <w:p>
      <w:pPr>
        <w:spacing w:after="0" w:line="23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24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pacing w:after="0" w:line="15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w:t>
      </w:r>
    </w:p>
    <w:p>
      <w:pPr>
        <w:sectPr>
          <w:pgSz w:w="11900" w:h="16838" w:orient="portrait"/>
          <w:cols w:equalWidth="0" w:num="2">
            <w:col w:w="10020" w:space="320"/>
            <w:col w:w="700"/>
          </w:cols>
          <w:pgMar w:left="320" w:top="1367" w:right="5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00497F"/>
        </w:rPr>
        <w:t>SIGNATURES</w:t>
      </w:r>
    </w:p>
    <w:p>
      <w:pPr>
        <w:spacing w:after="0" w:line="221" w:lineRule="exact"/>
        <w:rPr>
          <w:sz w:val="20"/>
          <w:szCs w:val="20"/>
          <w:color w:val="auto"/>
        </w:rPr>
      </w:pPr>
    </w:p>
    <w:p>
      <w:pPr>
        <w:spacing w:after="0" w:line="304"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9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GoHealth, Inc.</w:t>
      </w:r>
    </w:p>
    <w:p>
      <w:pPr>
        <w:spacing w:after="0" w:line="35" w:lineRule="exact"/>
        <w:rPr>
          <w:sz w:val="20"/>
          <w:szCs w:val="20"/>
          <w:color w:val="auto"/>
        </w:rPr>
      </w:pPr>
    </w:p>
    <w:p>
      <w:pPr>
        <w:ind w:left="5380"/>
        <w:spacing w:after="0"/>
        <w:rPr>
          <w:sz w:val="20"/>
          <w:szCs w:val="20"/>
          <w:color w:val="auto"/>
        </w:rPr>
      </w:pPr>
      <w:r>
        <w:rPr>
          <w:rFonts w:ascii="Arial" w:cs="Arial" w:eastAsia="Arial" w:hAnsi="Arial"/>
          <w:sz w:val="16"/>
          <w:szCs w:val="16"/>
          <w:b w:val="1"/>
          <w:bCs w:val="1"/>
          <w:color w:val="auto"/>
        </w:rPr>
        <w:t>(Registrant)</w:t>
      </w:r>
    </w:p>
    <w:p>
      <w:pPr>
        <w:spacing w:after="0" w:line="151"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May 16, 2025</w:t>
      </w:r>
      <w:r>
        <w:rPr>
          <w:sz w:val="20"/>
          <w:szCs w:val="20"/>
          <w:color w:val="auto"/>
        </w:rPr>
        <w:tab/>
      </w:r>
      <w:r>
        <w:rPr>
          <w:rFonts w:ascii="Arial" w:cs="Arial" w:eastAsia="Arial" w:hAnsi="Arial"/>
          <w:sz w:val="15"/>
          <w:szCs w:val="15"/>
          <w:color w:val="auto"/>
        </w:rPr>
        <w:t>By: /s/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7">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Vijay Kotte</w:t>
      </w:r>
    </w:p>
    <w:p>
      <w:pPr>
        <w:spacing w:after="0" w:line="31"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Executive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Executive Officer)</w:t>
      </w:r>
    </w:p>
    <w:p>
      <w:pPr>
        <w:spacing w:after="0" w:line="151" w:lineRule="exact"/>
        <w:rPr>
          <w:sz w:val="20"/>
          <w:szCs w:val="20"/>
          <w:color w:val="auto"/>
        </w:rPr>
      </w:pPr>
    </w:p>
    <w:p>
      <w:pPr>
        <w:ind w:left="240"/>
        <w:spacing w:after="0"/>
        <w:tabs>
          <w:tab w:leader="none" w:pos="5740" w:val="left"/>
        </w:tabs>
        <w:rPr>
          <w:sz w:val="20"/>
          <w:szCs w:val="20"/>
          <w:color w:val="auto"/>
        </w:rPr>
      </w:pPr>
      <w:r>
        <w:rPr>
          <w:rFonts w:ascii="Arial" w:cs="Arial" w:eastAsia="Arial" w:hAnsi="Arial"/>
          <w:sz w:val="16"/>
          <w:szCs w:val="16"/>
          <w:color w:val="auto"/>
        </w:rPr>
        <w:t>Date: May 16, 2025</w:t>
      </w:r>
      <w:r>
        <w:rPr>
          <w:sz w:val="20"/>
          <w:szCs w:val="20"/>
          <w:color w:val="auto"/>
        </w:rPr>
        <w:tab/>
      </w:r>
      <w:r>
        <w:rPr>
          <w:rFonts w:ascii="Arial" w:cs="Arial" w:eastAsia="Arial" w:hAnsi="Arial"/>
          <w:sz w:val="16"/>
          <w:szCs w:val="16"/>
          <w:color w:val="auto"/>
        </w:rPr>
        <w:t>By: /s/ Brendan Shanahan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3811270</wp:posOffset>
            </wp:positionH>
            <wp:positionV relativeFrom="paragraph">
              <wp:posOffset>29210</wp:posOffset>
            </wp:positionV>
            <wp:extent cx="332613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8">
                      <a:extLst>
                        <a:ext uri="{28A0092B-C50C-407E-A947-70E740481C1C}"/>
                      </a:extLst>
                    </a:blip>
                    <a:srcRect/>
                    <a:stretch>
                      <a:fillRect/>
                    </a:stretch>
                  </pic:blipFill>
                  <pic:spPr bwMode="auto">
                    <a:xfrm>
                      <a:off x="0" y="0"/>
                      <a:ext cx="3326130" cy="8255"/>
                    </a:xfrm>
                    <a:prstGeom prst="rect">
                      <a:avLst/>
                    </a:prstGeom>
                    <a:noFill/>
                  </pic:spPr>
                </pic:pic>
              </a:graphicData>
            </a:graphic>
          </wp:anchor>
        </w:drawing>
      </w:r>
    </w:p>
    <w:p>
      <w:pPr>
        <w:spacing w:after="0" w:line="53"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Brendan Shanahan</w:t>
      </w:r>
    </w:p>
    <w:p>
      <w:pPr>
        <w:spacing w:after="0" w:line="31" w:lineRule="exact"/>
        <w:rPr>
          <w:sz w:val="20"/>
          <w:szCs w:val="20"/>
          <w:color w:val="auto"/>
        </w:rPr>
      </w:pPr>
    </w:p>
    <w:p>
      <w:pPr>
        <w:ind w:left="6020"/>
        <w:spacing w:after="0"/>
        <w:rPr>
          <w:sz w:val="20"/>
          <w:szCs w:val="20"/>
          <w:color w:val="auto"/>
        </w:rPr>
      </w:pPr>
      <w:r>
        <w:rPr>
          <w:rFonts w:ascii="Arial" w:cs="Arial" w:eastAsia="Arial" w:hAnsi="Arial"/>
          <w:sz w:val="16"/>
          <w:szCs w:val="16"/>
          <w:color w:val="auto"/>
        </w:rPr>
        <w:t>Chief Financial Officer</w:t>
      </w:r>
    </w:p>
    <w:p>
      <w:pPr>
        <w:spacing w:after="0" w:line="9" w:lineRule="exact"/>
        <w:rPr>
          <w:sz w:val="20"/>
          <w:szCs w:val="20"/>
          <w:color w:val="auto"/>
        </w:rPr>
      </w:pPr>
    </w:p>
    <w:p>
      <w:pPr>
        <w:ind w:left="602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397" w:lineRule="exact"/>
        <w:rPr>
          <w:sz w:val="20"/>
          <w:szCs w:val="20"/>
          <w:color w:val="auto"/>
        </w:rPr>
      </w:pPr>
    </w:p>
    <w:tbl>
      <w:tblPr>
        <w:tblLayout w:type="fixed"/>
        <w:tblInd w:w="3660" w:type="dxa"/>
        <w:tblCellMar>
          <w:top w:w="0" w:type="dxa"/>
          <w:left w:w="0" w:type="dxa"/>
          <w:bottom w:w="0" w:type="dxa"/>
          <w:right w:w="0" w:type="dxa"/>
        </w:tblCellMar>
      </w:tblPr>
      <w:tr>
        <w:trPr>
          <w:trHeight w:val="203"/>
        </w:trPr>
        <w:tc>
          <w:tcPr>
            <w:tcW w:w="12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GoHealth, Inc.</w:t>
            </w:r>
          </w:p>
        </w:tc>
        <w:tc>
          <w:tcPr>
            <w:tcW w:w="1560" w:type="dxa"/>
            <w:vAlign w:val="bottom"/>
            <w:tcBorders>
              <w:right w:val="single" w:sz="8" w:color="auto"/>
            </w:tcBorders>
          </w:tcPr>
          <w:p>
            <w:pPr>
              <w:ind w:left="240"/>
              <w:spacing w:after="0"/>
              <w:rPr>
                <w:sz w:val="20"/>
                <w:szCs w:val="20"/>
                <w:color w:val="auto"/>
              </w:rPr>
            </w:pPr>
            <w:r>
              <w:rPr>
                <w:rFonts w:ascii="Arial" w:cs="Arial" w:eastAsia="Arial" w:hAnsi="Arial"/>
                <w:sz w:val="14"/>
                <w:szCs w:val="14"/>
                <w:color w:val="auto"/>
              </w:rPr>
              <w:t>2025 Form 10-Q</w:t>
            </w:r>
          </w:p>
        </w:tc>
        <w:tc>
          <w:tcPr>
            <w:tcW w:w="260" w:type="dxa"/>
            <w:vAlign w:val="bottom"/>
          </w:tcPr>
          <w:p>
            <w:pPr>
              <w:jc w:val="right"/>
              <w:spacing w:after="0"/>
              <w:rPr>
                <w:sz w:val="20"/>
                <w:szCs w:val="20"/>
                <w:color w:val="auto"/>
              </w:rPr>
            </w:pPr>
            <w:r>
              <w:rPr>
                <w:rFonts w:ascii="Arial" w:cs="Arial" w:eastAsia="Arial" w:hAnsi="Arial"/>
                <w:sz w:val="14"/>
                <w:szCs w:val="14"/>
                <w:color w:val="auto"/>
              </w:rPr>
              <w:t>36</w:t>
            </w:r>
          </w:p>
        </w:tc>
      </w:tr>
    </w:tbl>
    <w:p>
      <w:pPr>
        <w:sectPr>
          <w:pgSz w:w="11900" w:h="16838" w:orient="portrait"/>
          <w:cols w:equalWidth="0" w:num="1">
            <w:col w:w="10340"/>
          </w:cols>
          <w:pgMar w:left="320" w:top="1327" w:right="1239" w:bottom="1440" w:gutter="0" w:footer="0" w:header="0"/>
        </w:sectPr>
      </w:pPr>
    </w:p>
    <w:bookmarkStart w:id="39" w:name="page40"/>
    <w:bookmarkEnd w:id="39"/>
    <w:p>
      <w:pPr>
        <w:jc w:val="right"/>
        <w:spacing w:after="0"/>
        <w:rPr>
          <w:sz w:val="20"/>
          <w:szCs w:val="20"/>
          <w:color w:val="auto"/>
        </w:rPr>
      </w:pPr>
      <w:r>
        <w:rPr>
          <w:rFonts w:ascii="Arial" w:cs="Arial" w:eastAsia="Arial" w:hAnsi="Arial"/>
          <w:sz w:val="16"/>
          <w:szCs w:val="16"/>
          <w:b w:val="1"/>
          <w:bCs w:val="1"/>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 Vijay Kotte, certify that:</w:t>
      </w:r>
    </w:p>
    <w:p>
      <w:pPr>
        <w:spacing w:after="0" w:line="221" w:lineRule="exact"/>
        <w:rPr>
          <w:sz w:val="20"/>
          <w:szCs w:val="20"/>
          <w:color w:val="auto"/>
        </w:rPr>
      </w:pPr>
    </w:p>
    <w:p>
      <w:pPr>
        <w:ind w:left="980" w:hanging="486"/>
        <w:spacing w:after="0"/>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GoHealth, Inc.;</w:t>
      </w:r>
    </w:p>
    <w:p>
      <w:pPr>
        <w:spacing w:after="0" w:line="234" w:lineRule="exact"/>
        <w:rPr>
          <w:rFonts w:ascii="Arial" w:cs="Arial" w:eastAsia="Arial" w:hAnsi="Arial"/>
          <w:sz w:val="16"/>
          <w:szCs w:val="16"/>
          <w:color w:val="auto"/>
        </w:rPr>
      </w:pPr>
    </w:p>
    <w:p>
      <w:pPr>
        <w:jc w:val="both"/>
        <w:ind w:left="980" w:right="60" w:hanging="486"/>
        <w:spacing w:after="0" w:line="266"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980" w:right="180" w:hanging="486"/>
        <w:spacing w:after="0" w:line="286"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980" w:right="80" w:hanging="486"/>
        <w:spacing w:after="0" w:line="286"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55" w:lineRule="exact"/>
        <w:rPr>
          <w:rFonts w:ascii="Arial" w:cs="Arial" w:eastAsia="Arial" w:hAnsi="Arial"/>
          <w:sz w:val="16"/>
          <w:szCs w:val="16"/>
          <w:color w:val="auto"/>
        </w:rPr>
      </w:pPr>
    </w:p>
    <w:p>
      <w:pPr>
        <w:ind w:left="1460" w:right="80" w:hanging="480"/>
        <w:spacing w:after="0" w:line="275" w:lineRule="auto"/>
        <w:tabs>
          <w:tab w:leader="none" w:pos="1455"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460" w:hanging="480"/>
        <w:spacing w:after="0"/>
        <w:tabs>
          <w:tab w:leader="none" w:pos="14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[omitted];</w:t>
      </w:r>
    </w:p>
    <w:p>
      <w:pPr>
        <w:spacing w:after="0" w:line="234" w:lineRule="exact"/>
        <w:rPr>
          <w:rFonts w:ascii="Arial" w:cs="Arial" w:eastAsia="Arial" w:hAnsi="Arial"/>
          <w:sz w:val="16"/>
          <w:szCs w:val="16"/>
          <w:color w:val="auto"/>
        </w:rPr>
      </w:pPr>
    </w:p>
    <w:p>
      <w:pPr>
        <w:jc w:val="both"/>
        <w:ind w:left="1460" w:hanging="480"/>
        <w:spacing w:after="0" w:line="286" w:lineRule="auto"/>
        <w:tabs>
          <w:tab w:leader="none" w:pos="1460"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1460" w:right="200" w:hanging="480"/>
        <w:spacing w:after="0" w:line="266" w:lineRule="auto"/>
        <w:tabs>
          <w:tab w:leader="none" w:pos="1455"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980" w:right="120" w:hanging="486"/>
        <w:spacing w:after="0" w:line="286" w:lineRule="auto"/>
        <w:tabs>
          <w:tab w:leader="none" w:pos="9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6"/>
          <w:szCs w:val="16"/>
          <w:color w:val="auto"/>
        </w:rPr>
      </w:pPr>
    </w:p>
    <w:p>
      <w:pPr>
        <w:ind w:left="1460" w:right="480" w:hanging="480"/>
        <w:spacing w:after="0" w:line="286" w:lineRule="auto"/>
        <w:tabs>
          <w:tab w:leader="none" w:pos="1455"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460" w:right="120" w:hanging="480"/>
        <w:spacing w:after="0" w:line="304" w:lineRule="auto"/>
        <w:tabs>
          <w:tab w:leader="none" w:pos="1455"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16, 2025</w:t>
      </w:r>
      <w:r>
        <w:rPr>
          <w:sz w:val="20"/>
          <w:szCs w:val="20"/>
          <w:color w:val="auto"/>
        </w:rPr>
        <w:tab/>
      </w:r>
      <w:r>
        <w:rPr>
          <w:rFonts w:ascii="Arial" w:cs="Arial" w:eastAsia="Arial" w:hAnsi="Arial"/>
          <w:sz w:val="16"/>
          <w:szCs w:val="16"/>
          <w:color w:val="auto"/>
        </w:rPr>
        <w:t>By:</w:t>
        <w:tab/>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29210</wp:posOffset>
            </wp:positionV>
            <wp:extent cx="321437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Vijay Kotte</w:t>
      </w:r>
    </w:p>
    <w:p>
      <w:pPr>
        <w:spacing w:after="0" w:line="3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Executive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11"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6"/>
          <w:szCs w:val="16"/>
          <w:b w:val="1"/>
          <w:bCs w:val="1"/>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w:t>
      </w:r>
    </w:p>
    <w:p>
      <w:pPr>
        <w:spacing w:after="0" w:line="235" w:lineRule="exact"/>
        <w:rPr>
          <w:sz w:val="20"/>
          <w:szCs w:val="20"/>
          <w:color w:val="auto"/>
        </w:rPr>
      </w:pPr>
    </w:p>
    <w:p>
      <w:pPr>
        <w:spacing w:after="0"/>
        <w:rPr>
          <w:sz w:val="20"/>
          <w:szCs w:val="20"/>
          <w:color w:val="auto"/>
        </w:rPr>
      </w:pPr>
      <w:r>
        <w:rPr>
          <w:rFonts w:ascii="Arial" w:cs="Arial" w:eastAsia="Arial" w:hAnsi="Arial"/>
          <w:sz w:val="16"/>
          <w:szCs w:val="16"/>
          <w:color w:val="auto"/>
        </w:rPr>
        <w:t>I, Brendan Shanahan, certify that:</w:t>
      </w:r>
    </w:p>
    <w:p>
      <w:pPr>
        <w:spacing w:after="0" w:line="221" w:lineRule="exact"/>
        <w:rPr>
          <w:sz w:val="20"/>
          <w:szCs w:val="20"/>
          <w:color w:val="auto"/>
        </w:rPr>
      </w:pPr>
    </w:p>
    <w:p>
      <w:pPr>
        <w:ind w:left="980" w:hanging="486"/>
        <w:spacing w:after="0"/>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GoHealth, Inc.;</w:t>
      </w:r>
    </w:p>
    <w:p>
      <w:pPr>
        <w:spacing w:after="0" w:line="234" w:lineRule="exact"/>
        <w:rPr>
          <w:rFonts w:ascii="Arial" w:cs="Arial" w:eastAsia="Arial" w:hAnsi="Arial"/>
          <w:sz w:val="16"/>
          <w:szCs w:val="16"/>
          <w:color w:val="auto"/>
        </w:rPr>
      </w:pPr>
    </w:p>
    <w:p>
      <w:pPr>
        <w:jc w:val="both"/>
        <w:ind w:left="980" w:right="60" w:hanging="486"/>
        <w:spacing w:after="0" w:line="266"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Arial" w:cs="Arial" w:eastAsia="Arial" w:hAnsi="Arial"/>
          <w:sz w:val="16"/>
          <w:szCs w:val="16"/>
          <w:color w:val="auto"/>
        </w:rPr>
      </w:pPr>
    </w:p>
    <w:p>
      <w:pPr>
        <w:ind w:left="980" w:right="180" w:hanging="486"/>
        <w:spacing w:after="0" w:line="286"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9" w:lineRule="exact"/>
        <w:rPr>
          <w:rFonts w:ascii="Arial" w:cs="Arial" w:eastAsia="Arial" w:hAnsi="Arial"/>
          <w:sz w:val="16"/>
          <w:szCs w:val="16"/>
          <w:color w:val="auto"/>
        </w:rPr>
      </w:pPr>
    </w:p>
    <w:p>
      <w:pPr>
        <w:ind w:left="980" w:right="80" w:hanging="486"/>
        <w:spacing w:after="0" w:line="286"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for the registrant and have:</w:t>
      </w:r>
    </w:p>
    <w:p>
      <w:pPr>
        <w:spacing w:after="0" w:line="155" w:lineRule="exact"/>
        <w:rPr>
          <w:rFonts w:ascii="Arial" w:cs="Arial" w:eastAsia="Arial" w:hAnsi="Arial"/>
          <w:sz w:val="16"/>
          <w:szCs w:val="16"/>
          <w:color w:val="auto"/>
        </w:rPr>
      </w:pPr>
    </w:p>
    <w:p>
      <w:pPr>
        <w:ind w:left="1460" w:right="80" w:hanging="480"/>
        <w:spacing w:after="0" w:line="275" w:lineRule="auto"/>
        <w:tabs>
          <w:tab w:leader="none" w:pos="1455"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4" w:lineRule="exact"/>
        <w:rPr>
          <w:rFonts w:ascii="Arial" w:cs="Arial" w:eastAsia="Arial" w:hAnsi="Arial"/>
          <w:sz w:val="16"/>
          <w:szCs w:val="16"/>
          <w:color w:val="auto"/>
        </w:rPr>
      </w:pPr>
    </w:p>
    <w:p>
      <w:pPr>
        <w:ind w:left="1460" w:hanging="480"/>
        <w:spacing w:after="0"/>
        <w:tabs>
          <w:tab w:leader="none" w:pos="14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[omitted];</w:t>
      </w:r>
    </w:p>
    <w:p>
      <w:pPr>
        <w:spacing w:after="0" w:line="234" w:lineRule="exact"/>
        <w:rPr>
          <w:rFonts w:ascii="Arial" w:cs="Arial" w:eastAsia="Arial" w:hAnsi="Arial"/>
          <w:sz w:val="16"/>
          <w:szCs w:val="16"/>
          <w:color w:val="auto"/>
        </w:rPr>
      </w:pPr>
    </w:p>
    <w:p>
      <w:pPr>
        <w:jc w:val="both"/>
        <w:ind w:left="1460" w:hanging="480"/>
        <w:spacing w:after="0" w:line="286" w:lineRule="auto"/>
        <w:tabs>
          <w:tab w:leader="none" w:pos="14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9" w:lineRule="exact"/>
        <w:rPr>
          <w:rFonts w:ascii="Arial" w:cs="Arial" w:eastAsia="Arial" w:hAnsi="Arial"/>
          <w:sz w:val="16"/>
          <w:szCs w:val="16"/>
          <w:color w:val="auto"/>
        </w:rPr>
      </w:pPr>
    </w:p>
    <w:p>
      <w:pPr>
        <w:ind w:left="1460" w:right="200" w:hanging="480"/>
        <w:spacing w:after="0" w:line="266" w:lineRule="auto"/>
        <w:tabs>
          <w:tab w:leader="none" w:pos="1455" w:val="left"/>
        </w:tabs>
        <w:numPr>
          <w:ilvl w:val="1"/>
          <w:numId w:val="17"/>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4" w:lineRule="exact"/>
        <w:rPr>
          <w:rFonts w:ascii="Arial" w:cs="Arial" w:eastAsia="Arial" w:hAnsi="Arial"/>
          <w:sz w:val="16"/>
          <w:szCs w:val="16"/>
          <w:color w:val="auto"/>
        </w:rPr>
      </w:pPr>
    </w:p>
    <w:p>
      <w:pPr>
        <w:ind w:left="980" w:right="120" w:hanging="486"/>
        <w:spacing w:after="0" w:line="286" w:lineRule="auto"/>
        <w:tabs>
          <w:tab w:leader="none" w:pos="9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9" w:lineRule="exact"/>
        <w:rPr>
          <w:rFonts w:ascii="Arial" w:cs="Arial" w:eastAsia="Arial" w:hAnsi="Arial"/>
          <w:sz w:val="16"/>
          <w:szCs w:val="16"/>
          <w:color w:val="auto"/>
        </w:rPr>
      </w:pPr>
    </w:p>
    <w:p>
      <w:pPr>
        <w:ind w:left="1460" w:right="480" w:hanging="480"/>
        <w:spacing w:after="0" w:line="286" w:lineRule="auto"/>
        <w:tabs>
          <w:tab w:leader="none" w:pos="1455"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6"/>
          <w:szCs w:val="16"/>
          <w:color w:val="auto"/>
        </w:rPr>
      </w:pPr>
    </w:p>
    <w:p>
      <w:pPr>
        <w:ind w:left="1460" w:right="120" w:hanging="480"/>
        <w:spacing w:after="0" w:line="304" w:lineRule="auto"/>
        <w:tabs>
          <w:tab w:leader="none" w:pos="1455"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95"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16, 2025</w:t>
      </w:r>
      <w:r>
        <w:rPr>
          <w:sz w:val="20"/>
          <w:szCs w:val="20"/>
          <w:color w:val="auto"/>
        </w:rPr>
        <w:tab/>
      </w:r>
      <w:r>
        <w:rPr>
          <w:rFonts w:ascii="Arial" w:cs="Arial" w:eastAsia="Arial" w:hAnsi="Arial"/>
          <w:sz w:val="16"/>
          <w:szCs w:val="16"/>
          <w:color w:val="auto"/>
        </w:rPr>
        <w:t>By:</w:t>
        <w:tab/>
        <w:t>/s/ Brendan Shanahan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29210</wp:posOffset>
            </wp:positionV>
            <wp:extent cx="32143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0">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Brendan Shanahan</w:t>
      </w:r>
    </w:p>
    <w:p>
      <w:pPr>
        <w:spacing w:after="0" w:line="3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Financial and Accounting Officer)</w:t>
      </w:r>
    </w:p>
    <w:p>
      <w:pPr>
        <w:sectPr>
          <w:pgSz w:w="11900" w:h="16838" w:orient="portrait"/>
          <w:cols w:equalWidth="0" w:num="1">
            <w:col w:w="11240"/>
          </w:cols>
          <w:pgMar w:left="320" w:top="1111"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6"/>
          <w:szCs w:val="16"/>
          <w:b w:val="1"/>
          <w:bCs w:val="1"/>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73"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9"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5"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In connection with the Quarterly Report on Form 10-Q of GoHealth, Inc. (the “Company”) for the period ended March 31, 2025 as filed with the Securities and Exchange Commission on the date hereof (the “Report”), I certify, pursuant to 18 U.S.C. § 1350, as adopted pursuant to § 906 of the Sarbanes-Oxley Act of 2002, that:</w:t>
      </w:r>
    </w:p>
    <w:p>
      <w:pPr>
        <w:spacing w:after="0" w:line="185" w:lineRule="exact"/>
        <w:rPr>
          <w:sz w:val="20"/>
          <w:szCs w:val="20"/>
          <w:color w:val="auto"/>
        </w:rPr>
      </w:pPr>
    </w:p>
    <w:p>
      <w:pPr>
        <w:ind w:left="980" w:hanging="567"/>
        <w:spacing w:after="0"/>
        <w:tabs>
          <w:tab w:leader="none" w:pos="9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980" w:right="740" w:hanging="567"/>
        <w:spacing w:after="0" w:line="304" w:lineRule="auto"/>
        <w:tabs>
          <w:tab w:leader="none" w:pos="97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16, 2025</w:t>
      </w:r>
      <w:r>
        <w:rPr>
          <w:sz w:val="20"/>
          <w:szCs w:val="20"/>
          <w:color w:val="auto"/>
        </w:rPr>
        <w:tab/>
      </w:r>
      <w:r>
        <w:rPr>
          <w:rFonts w:ascii="Arial" w:cs="Arial" w:eastAsia="Arial" w:hAnsi="Arial"/>
          <w:sz w:val="16"/>
          <w:szCs w:val="16"/>
          <w:color w:val="auto"/>
        </w:rPr>
        <w:t>By:</w:t>
        <w:tab/>
        <w:t>/s/ Vijay Kotte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29210</wp:posOffset>
            </wp:positionV>
            <wp:extent cx="32143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Vijay Kotte</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Executive Officer</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Executive Officer)</w:t>
      </w:r>
    </w:p>
    <w:p>
      <w:pPr>
        <w:sectPr>
          <w:pgSz w:w="11900" w:h="16838" w:orient="portrait"/>
          <w:cols w:equalWidth="0" w:num="1">
            <w:col w:w="11240"/>
          </w:cols>
          <w:pgMar w:left="320" w:top="1111" w:right="339" w:bottom="1440" w:gutter="0" w:footer="0" w:header="0"/>
        </w:sectPr>
      </w:pPr>
    </w:p>
    <w:bookmarkStart w:id="42" w:name="page43"/>
    <w:bookmarkEnd w:id="42"/>
    <w:p>
      <w:pPr>
        <w:jc w:val="right"/>
        <w:spacing w:after="0"/>
        <w:rPr>
          <w:sz w:val="20"/>
          <w:szCs w:val="20"/>
          <w:color w:val="auto"/>
        </w:rPr>
      </w:pPr>
      <w:r>
        <w:rPr>
          <w:rFonts w:ascii="Arial" w:cs="Arial" w:eastAsia="Arial" w:hAnsi="Arial"/>
          <w:sz w:val="16"/>
          <w:szCs w:val="16"/>
          <w:b w:val="1"/>
          <w:bCs w:val="1"/>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73" w:lineRule="exact"/>
        <w:rPr>
          <w:sz w:val="20"/>
          <w:szCs w:val="20"/>
          <w:color w:val="auto"/>
        </w:rPr>
      </w:pPr>
    </w:p>
    <w:p>
      <w:pPr>
        <w:ind w:left="3800"/>
        <w:spacing w:after="0"/>
        <w:rPr>
          <w:sz w:val="20"/>
          <w:szCs w:val="20"/>
          <w:color w:val="auto"/>
        </w:rPr>
      </w:pPr>
      <w:r>
        <w:rPr>
          <w:rFonts w:ascii="Arial" w:cs="Arial" w:eastAsia="Arial" w:hAnsi="Arial"/>
          <w:sz w:val="16"/>
          <w:szCs w:val="16"/>
          <w:b w:val="1"/>
          <w:bCs w:val="1"/>
          <w:color w:val="auto"/>
        </w:rPr>
        <w:t>18 U.S.C. Section 1350, as Adopted Pursuant to</w:t>
      </w:r>
    </w:p>
    <w:p>
      <w:pPr>
        <w:spacing w:after="0" w:line="59" w:lineRule="exact"/>
        <w:rPr>
          <w:sz w:val="20"/>
          <w:szCs w:val="20"/>
          <w:color w:val="auto"/>
        </w:rPr>
      </w:pPr>
    </w:p>
    <w:p>
      <w:pPr>
        <w:ind w:left="3840"/>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35" w:lineRule="exact"/>
        <w:rPr>
          <w:sz w:val="20"/>
          <w:szCs w:val="20"/>
          <w:color w:val="auto"/>
        </w:rPr>
      </w:pPr>
    </w:p>
    <w:p>
      <w:pPr>
        <w:jc w:val="both"/>
        <w:ind w:right="240"/>
        <w:spacing w:after="0" w:line="266" w:lineRule="auto"/>
        <w:rPr>
          <w:sz w:val="20"/>
          <w:szCs w:val="20"/>
          <w:color w:val="auto"/>
        </w:rPr>
      </w:pPr>
      <w:r>
        <w:rPr>
          <w:rFonts w:ascii="Arial" w:cs="Arial" w:eastAsia="Arial" w:hAnsi="Arial"/>
          <w:sz w:val="16"/>
          <w:szCs w:val="16"/>
          <w:color w:val="auto"/>
        </w:rPr>
        <w:t>In connection with the Quarterly Report on Form 10-Q of GoHealth, Inc. (the “Company”) for the period ended March 31, 2025 as filed with the Securities and Exchange Commission on the date hereof (the “Report”), I certify, pursuant to 18 U.S.C. § 1350, as adopted pursuant to § 906 of the Sarbanes-Oxley Act of 2002, that:</w:t>
      </w:r>
    </w:p>
    <w:p>
      <w:pPr>
        <w:spacing w:after="0" w:line="185" w:lineRule="exact"/>
        <w:rPr>
          <w:sz w:val="20"/>
          <w:szCs w:val="20"/>
          <w:color w:val="auto"/>
        </w:rPr>
      </w:pPr>
    </w:p>
    <w:p>
      <w:pPr>
        <w:ind w:left="980" w:hanging="567"/>
        <w:spacing w:after="0"/>
        <w:tabs>
          <w:tab w:leader="none" w:pos="9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21" w:lineRule="exact"/>
        <w:rPr>
          <w:rFonts w:ascii="Arial" w:cs="Arial" w:eastAsia="Arial" w:hAnsi="Arial"/>
          <w:sz w:val="16"/>
          <w:szCs w:val="16"/>
          <w:color w:val="auto"/>
        </w:rPr>
      </w:pPr>
    </w:p>
    <w:p>
      <w:pPr>
        <w:ind w:left="980" w:right="740" w:hanging="567"/>
        <w:spacing w:after="0" w:line="304" w:lineRule="auto"/>
        <w:tabs>
          <w:tab w:leader="none" w:pos="97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5" w:lineRule="exact"/>
        <w:rPr>
          <w:sz w:val="20"/>
          <w:szCs w:val="20"/>
          <w:color w:val="auto"/>
        </w:rPr>
      </w:pPr>
    </w:p>
    <w:p>
      <w:pPr>
        <w:ind w:left="20"/>
        <w:spacing w:after="0"/>
        <w:tabs>
          <w:tab w:leader="none" w:pos="720" w:val="left"/>
          <w:tab w:leader="none" w:pos="5720" w:val="left"/>
          <w:tab w:leader="none" w:pos="618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May 16, 2025</w:t>
      </w:r>
      <w:r>
        <w:rPr>
          <w:sz w:val="20"/>
          <w:szCs w:val="20"/>
          <w:color w:val="auto"/>
        </w:rPr>
        <w:tab/>
      </w:r>
      <w:r>
        <w:rPr>
          <w:rFonts w:ascii="Arial" w:cs="Arial" w:eastAsia="Arial" w:hAnsi="Arial"/>
          <w:sz w:val="16"/>
          <w:szCs w:val="16"/>
          <w:color w:val="auto"/>
        </w:rPr>
        <w:t>By:</w:t>
        <w:tab/>
        <w:t>/s/ Brendan Shanahan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29210</wp:posOffset>
            </wp:positionV>
            <wp:extent cx="321437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5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Brendan Shanahan</w:t>
      </w:r>
    </w:p>
    <w:p>
      <w:pPr>
        <w:spacing w:after="0" w:line="21"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Chief Financial Officer</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6"/>
          <w:szCs w:val="16"/>
          <w:i w:val="1"/>
          <w:iCs w:val="1"/>
          <w:color w:val="auto"/>
        </w:rPr>
        <w:t>(Principal Financial and Accounting Officer)</w:t>
      </w:r>
    </w:p>
    <w:sectPr>
      <w:pgSz w:w="11900" w:h="16838" w:orient="portrait"/>
      <w:cols w:equalWidth="0" w:num="1">
        <w:col w:w="11240"/>
      </w:cols>
      <w:pgMar w:left="320" w:top="1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
      <w:numFmt w:val="bullet"/>
      <w:start w:val="1"/>
    </w:lvl>
    <w:lvl w:ilvl="1">
      <w:lvlJc w:val="left"/>
      <w:lvlText w:val="%2"/>
      <w:numFmt w:val="decimal"/>
      <w:start w:val="104"/>
    </w:lvl>
  </w:abstractNum>
  <w:abstractNum w:abstractNumId="13">
    <w:nsid w:val="4E6AFB66"/>
    <w:multiLevelType w:val="hybridMultilevel"/>
    <w:lvl w:ilvl="0">
      <w:lvlJc w:val="left"/>
      <w:lvlText w:val="**"/>
      <w:numFmt w:val="bullet"/>
      <w:start w:val="1"/>
    </w:lvl>
    <w:lvl w:ilvl="1">
      <w:lvlJc w:val="left"/>
      <w:lvlText w:val="%2"/>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5" Type="http://schemas.openxmlformats.org/officeDocument/2006/relationships/image" Target="media/image133.png"/><Relationship Id="rId146" Type="http://schemas.openxmlformats.org/officeDocument/2006/relationships/image" Target="media/image134.png"/><Relationship Id="rId147" Type="http://schemas.openxmlformats.org/officeDocument/2006/relationships/image" Target="media/image135.png"/><Relationship Id="rId148" Type="http://schemas.openxmlformats.org/officeDocument/2006/relationships/image" Target="media/image136.png"/><Relationship Id="rId149" Type="http://schemas.openxmlformats.org/officeDocument/2006/relationships/image" Target="media/image137.png"/><Relationship Id="rId150" Type="http://schemas.openxmlformats.org/officeDocument/2006/relationships/image" Target="media/image138.png"/><Relationship Id="rId151" Type="http://schemas.openxmlformats.org/officeDocument/2006/relationships/image" Target="media/image139.png"/><Relationship Id="rId152" Type="http://schemas.openxmlformats.org/officeDocument/2006/relationships/image" Target="media/image140.png"/><Relationship Id="rId140" Type="http://schemas.openxmlformats.org/officeDocument/2006/relationships/hyperlink" Target="https://www.sec.gov/Archives/edgar/data/1808220/000119312520224832/d935246dex31.htm" TargetMode="External"/><Relationship Id="rId141" Type="http://schemas.openxmlformats.org/officeDocument/2006/relationships/hyperlink" Target="https://www.sec.gov/Archives/edgar/data/1808220/000119312520224832/d935246dex32.htm" TargetMode="External"/><Relationship Id="rId142" Type="http://schemas.openxmlformats.org/officeDocument/2006/relationships/hyperlink" Target="https://www.sec.gov/Archives/edgar/data/1808220/000119312522250700/d299834dex31.htm" TargetMode="External"/><Relationship Id="rId143" Type="http://schemas.openxmlformats.org/officeDocument/2006/relationships/hyperlink" Target="https://www.sec.gov/Archives/edgar/data/1808220/000119312522250700/d299834dex32.htm" TargetMode="External"/><Relationship Id="rId144" Type="http://schemas.openxmlformats.org/officeDocument/2006/relationships/hyperlink" Target="https://www.sec.gov/Archives/edgar/data/1808220/000119312520173051/d797183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2025-05-16T16:13:08Z</dcterms:created>
  <dcterms:modified xsi:type="dcterms:W3CDTF">2025-05-16T16:13:08Z</dcterms:modified>
</cp:coreProperties>
</file>