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826135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852170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2" w:lineRule="exact"/>
        <w:rPr>
          <w:sz w:val="24"/>
          <w:szCs w:val="24"/>
          <w:color w:val="auto"/>
        </w:rPr>
      </w:pPr>
    </w:p>
    <w:p>
      <w:pPr>
        <w:ind w:left="400" w:right="300" w:hanging="374"/>
        <w:spacing w:after="0" w:line="275" w:lineRule="auto"/>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-333375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400" w:right="280" w:hanging="374"/>
        <w:spacing w:after="0" w:line="275" w:lineRule="auto"/>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-333375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46"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001-39390</w:t>
      </w:r>
    </w:p>
    <w:p>
      <w:pPr>
        <w:spacing w:after="0" w:line="8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4760" w:type="dxa"/>
            <w:vAlign w:val="bottom"/>
          </w:tcPr>
          <w:p>
            <w:pPr>
              <w:jc w:val="right"/>
              <w:ind w:right="2079"/>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365"/>
        </w:trPr>
        <w:tc>
          <w:tcPr>
            <w:tcW w:w="262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60" w:type="dxa"/>
            <w:vAlign w:val="bottom"/>
          </w:tcPr>
          <w:p>
            <w:pPr>
              <w:jc w:val="center"/>
              <w:ind w:left="3559"/>
              <w:spacing w:after="0"/>
              <w:rPr>
                <w:sz w:val="20"/>
                <w:szCs w:val="20"/>
                <w:color w:val="auto"/>
              </w:rPr>
            </w:pPr>
            <w:r>
              <w:rPr>
                <w:rFonts w:ascii="Times New Roman" w:cs="Times New Roman" w:eastAsia="Times New Roman" w:hAnsi="Times New Roman"/>
                <w:sz w:val="18"/>
                <w:szCs w:val="18"/>
                <w:b w:val="1"/>
                <w:bCs w:val="1"/>
                <w:color w:val="auto"/>
              </w:rPr>
              <w:t>85-0563805</w:t>
            </w:r>
          </w:p>
        </w:tc>
      </w:tr>
      <w:tr>
        <w:trPr>
          <w:trHeight w:val="191"/>
        </w:trPr>
        <w:tc>
          <w:tcPr>
            <w:tcW w:w="26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760" w:type="dxa"/>
            <w:vAlign w:val="bottom"/>
          </w:tcPr>
          <w:p>
            <w:pPr>
              <w:jc w:val="center"/>
              <w:ind w:left="355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760" w:type="dxa"/>
            <w:vAlign w:val="bottom"/>
          </w:tcPr>
          <w:p>
            <w:pPr>
              <w:jc w:val="center"/>
              <w:ind w:left="35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9"/>
        </w:trPr>
        <w:tc>
          <w:tcPr>
            <w:tcW w:w="262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214 West Huron St.</w:t>
            </w:r>
          </w:p>
        </w:tc>
        <w:tc>
          <w:tcPr>
            <w:tcW w:w="4760" w:type="dxa"/>
            <w:vAlign w:val="bottom"/>
          </w:tcPr>
          <w:p>
            <w:pPr>
              <w:spacing w:after="0"/>
              <w:rPr>
                <w:sz w:val="24"/>
                <w:szCs w:val="24"/>
                <w:color w:val="auto"/>
              </w:rPr>
            </w:pPr>
          </w:p>
        </w:tc>
      </w:tr>
      <w:tr>
        <w:trPr>
          <w:trHeight w:val="270"/>
        </w:trPr>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Chicago, Illinois</w:t>
            </w:r>
          </w:p>
        </w:tc>
        <w:tc>
          <w:tcPr>
            <w:tcW w:w="4760" w:type="dxa"/>
            <w:vAlign w:val="bottom"/>
          </w:tcPr>
          <w:p>
            <w:pPr>
              <w:jc w:val="center"/>
              <w:ind w:left="3539"/>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220"/>
        </w:trPr>
        <w:tc>
          <w:tcPr>
            <w:tcW w:w="26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60" w:type="dxa"/>
            <w:vAlign w:val="bottom"/>
          </w:tcPr>
          <w:p>
            <w:pPr>
              <w:jc w:val="center"/>
              <w:ind w:left="35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386-8200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4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4"/>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GOCO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$0.0001 par value per share</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pacing w:after="0" w:line="3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1926590</wp:posOffset>
            </wp:positionH>
            <wp:positionV relativeFrom="paragraph">
              <wp:posOffset>-146050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-146050</wp:posOffset>
            </wp:positionV>
            <wp:extent cx="95250" cy="96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53" w:lineRule="exact"/>
        <w:rPr>
          <w:sz w:val="24"/>
          <w:szCs w:val="24"/>
          <w:color w:val="auto"/>
        </w:rPr>
      </w:pPr>
    </w:p>
    <w:p>
      <w:pPr>
        <w:ind w:right="6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612775</wp:posOffset>
            </wp:positionH>
            <wp:positionV relativeFrom="paragraph">
              <wp:posOffset>-145415</wp:posOffset>
            </wp:positionV>
            <wp:extent cx="95250" cy="96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-145415</wp:posOffset>
            </wp:positionV>
            <wp:extent cx="95250" cy="96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54" w:lineRule="exact"/>
        <w:rPr>
          <w:sz w:val="24"/>
          <w:szCs w:val="24"/>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440" w:right="37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1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540"/>
              <w:spacing w:after="0" w:line="201" w:lineRule="exact"/>
              <w:rPr>
                <w:sz w:val="20"/>
                <w:szCs w:val="20"/>
                <w:color w:val="auto"/>
              </w:rPr>
            </w:pPr>
            <w:r>
              <w:rPr>
                <w:rFonts w:ascii="MS PGothic" w:cs="MS PGothic" w:eastAsia="MS PGothic" w:hAnsi="MS PGothic"/>
                <w:sz w:val="20"/>
                <w:szCs w:val="20"/>
                <w:color w:val="auto"/>
              </w:rPr>
              <w:t>☐</w:t>
            </w: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540"/>
              <w:spacing w:after="0" w:line="201" w:lineRule="exact"/>
              <w:rPr>
                <w:sz w:val="20"/>
                <w:szCs w:val="20"/>
                <w:color w:val="auto"/>
              </w:rPr>
            </w:pPr>
            <w:r>
              <w:rPr>
                <w:rFonts w:ascii="MS PGothic" w:cs="MS PGothic" w:eastAsia="MS PGothic" w:hAnsi="MS PGothic"/>
                <w:sz w:val="20"/>
                <w:szCs w:val="20"/>
                <w:color w:val="auto"/>
              </w:rPr>
              <w:t>☒</w:t>
            </w: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8"/>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-575310</wp:posOffset>
            </wp:positionV>
            <wp:extent cx="95250" cy="96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6885940</wp:posOffset>
            </wp:positionH>
            <wp:positionV relativeFrom="paragraph">
              <wp:posOffset>-575310</wp:posOffset>
            </wp:positionV>
            <wp:extent cx="95250" cy="96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-361315</wp:posOffset>
            </wp:positionV>
            <wp:extent cx="95250" cy="96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6885940</wp:posOffset>
            </wp:positionH>
            <wp:positionV relativeFrom="paragraph">
              <wp:posOffset>-361315</wp:posOffset>
            </wp:positionV>
            <wp:extent cx="95250" cy="96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6885940</wp:posOffset>
            </wp:positionH>
            <wp:positionV relativeFrom="paragraph">
              <wp:posOffset>-146685</wp:posOffset>
            </wp:positionV>
            <wp:extent cx="95250" cy="96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273" w:lineRule="exact"/>
        <w:rPr>
          <w:sz w:val="20"/>
          <w:szCs w:val="20"/>
          <w:color w:val="auto"/>
        </w:rPr>
      </w:pPr>
    </w:p>
    <w:p>
      <w:pPr>
        <w:ind w:firstLine="445"/>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-146685</wp:posOffset>
            </wp:positionV>
            <wp:extent cx="95250" cy="96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16" w:lineRule="exact"/>
        <w:rPr>
          <w:sz w:val="20"/>
          <w:szCs w:val="20"/>
          <w:color w:val="auto"/>
        </w:rPr>
      </w:pPr>
    </w:p>
    <w:p>
      <w:pPr>
        <w:ind w:left="460"/>
        <w:spacing w:after="0" w:line="219"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5822950</wp:posOffset>
            </wp:positionH>
            <wp:positionV relativeFrom="paragraph">
              <wp:posOffset>-88900</wp:posOffset>
            </wp:positionV>
            <wp:extent cx="95250" cy="96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-88900</wp:posOffset>
            </wp:positionV>
            <wp:extent cx="95250" cy="96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2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November 6, 2020, the registrant had 84,182,961 shares of Class A common stock, $0.0001 par value per share, outstanding and 236,997,109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114300</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139700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rFonts w:ascii="Times New Roman" w:cs="Times New Roman" w:eastAsia="Times New Roman" w:hAnsi="Times New Roman"/>
                <w:sz w:val="18"/>
                <w:szCs w:val="18"/>
                <w:b w:val="1"/>
                <w:bCs w:val="1"/>
                <w:color w:val="auto"/>
              </w:rPr>
            </w:pPr>
            <w:hyperlink w:anchor="page6">
              <w:r>
                <w:rPr>
                  <w:rFonts w:ascii="Times New Roman" w:cs="Times New Roman" w:eastAsia="Times New Roman" w:hAnsi="Times New Roman"/>
                  <w:sz w:val="18"/>
                  <w:szCs w:val="18"/>
                  <w:b w:val="1"/>
                  <w:bCs w:val="1"/>
                  <w:color w:val="auto"/>
                </w:rPr>
                <w:t>PART I.</w:t>
              </w:r>
            </w:hyperlink>
          </w:p>
        </w:tc>
        <w:tc>
          <w:tcPr>
            <w:tcW w:w="9520" w:type="dxa"/>
            <w:vAlign w:val="bottom"/>
            <w:gridSpan w:val="3"/>
            <w:vMerge w:val="restart"/>
          </w:tcPr>
          <w:p>
            <w:pPr>
              <w:ind w:left="200"/>
              <w:spacing w:after="0"/>
              <w:rPr>
                <w:rFonts w:ascii="Times New Roman" w:cs="Times New Roman" w:eastAsia="Times New Roman" w:hAnsi="Times New Roman"/>
                <w:sz w:val="18"/>
                <w:szCs w:val="18"/>
                <w:b w:val="1"/>
                <w:bCs w:val="1"/>
                <w:u w:val="single" w:color="auto"/>
                <w:color w:val="0000FF"/>
              </w:rPr>
            </w:pPr>
            <w:hyperlink w:anchor="page6">
              <w:r>
                <w:rPr>
                  <w:rFonts w:ascii="Times New Roman" w:cs="Times New Roman" w:eastAsia="Times New Roman" w:hAnsi="Times New Roman"/>
                  <w:sz w:val="18"/>
                  <w:szCs w:val="18"/>
                  <w:b w:val="1"/>
                  <w:bCs w:val="1"/>
                  <w:u w:val="single" w:color="auto"/>
                  <w:color w:val="0000FF"/>
                </w:rPr>
                <w:t>FINANCIAL INFORMATION</w:t>
              </w:r>
            </w:hyperlink>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vMerge w:val="continue"/>
          </w:tcPr>
          <w:p>
            <w:pPr>
              <w:spacing w:after="0"/>
              <w:rPr>
                <w:sz w:val="20"/>
                <w:szCs w:val="20"/>
                <w:color w:val="auto"/>
              </w:rPr>
            </w:pPr>
          </w:p>
        </w:tc>
        <w:tc>
          <w:tcPr>
            <w:tcW w:w="9520" w:type="dxa"/>
            <w:vAlign w:val="bottom"/>
            <w:gridSpan w:val="3"/>
            <w:vMerge w:val="continue"/>
          </w:tcPr>
          <w:p>
            <w:pPr>
              <w:spacing w:after="0"/>
              <w:rPr>
                <w:sz w:val="20"/>
                <w:szCs w:val="20"/>
                <w:color w:val="auto"/>
              </w:rPr>
            </w:pPr>
          </w:p>
        </w:tc>
        <w:tc>
          <w:tcPr>
            <w:tcW w:w="78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Item 1.</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Financial Statements (Unaudited)</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GoHealth, Inc.</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520" w:type="dxa"/>
            <w:vAlign w:val="bottom"/>
            <w:gridSpan w:val="3"/>
          </w:tcPr>
          <w:p>
            <w:pPr>
              <w:ind w:left="52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Condensed consolidated statements of operations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520" w:type="dxa"/>
            <w:vAlign w:val="bottom"/>
            <w:gridSpan w:val="3"/>
          </w:tcPr>
          <w:p>
            <w:pPr>
              <w:ind w:left="52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Condensed consolidated statements of comprehensive loss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520" w:type="dxa"/>
            <w:vAlign w:val="bottom"/>
            <w:gridSpan w:val="3"/>
          </w:tcPr>
          <w:p>
            <w:pPr>
              <w:ind w:left="5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Condensed consolidated balance sheets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gridSpan w:val="3"/>
          </w:tcPr>
          <w:p>
            <w:pPr>
              <w:ind w:left="520"/>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u w:val="single" w:color="auto"/>
                  <w:color w:val="0000FF"/>
                </w:rPr>
                <w:t>Condensed consolidated statements of changes in</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stockholders'/</w:t>
            </w:r>
            <w:hyperlink w:anchor="page9">
              <w:r>
                <w:rPr>
                  <w:rFonts w:ascii="Times New Roman" w:cs="Times New Roman" w:eastAsia="Times New Roman" w:hAnsi="Times New Roman"/>
                  <w:sz w:val="18"/>
                  <w:szCs w:val="18"/>
                  <w:color w:val="0000FF"/>
                </w:rPr>
                <w:t xml:space="preserve">members’ </w:t>
              </w:r>
              <w:r>
                <w:rPr>
                  <w:rFonts w:ascii="Times New Roman" w:cs="Times New Roman" w:eastAsia="Times New Roman" w:hAnsi="Times New Roman"/>
                  <w:sz w:val="18"/>
                  <w:szCs w:val="18"/>
                  <w:u w:val="single" w:color="auto"/>
                  <w:color w:val="0000FF"/>
                </w:rPr>
                <w:t>equity</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0" w:type="dxa"/>
            <w:vAlign w:val="bottom"/>
          </w:tcPr>
          <w:p>
            <w:pPr>
              <w:spacing w:after="0"/>
              <w:rPr>
                <w:sz w:val="24"/>
                <w:szCs w:val="24"/>
                <w:color w:val="auto"/>
              </w:rPr>
            </w:pPr>
          </w:p>
        </w:tc>
        <w:tc>
          <w:tcPr>
            <w:tcW w:w="9520" w:type="dxa"/>
            <w:vAlign w:val="bottom"/>
            <w:gridSpan w:val="3"/>
          </w:tcPr>
          <w:p>
            <w:pPr>
              <w:ind w:left="520"/>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Condensed consolidated statements of cash flows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3">
              <w:r>
                <w:rPr>
                  <w:rFonts w:ascii="Times New Roman" w:cs="Times New Roman" w:eastAsia="Times New Roman" w:hAnsi="Times New Roman"/>
                  <w:sz w:val="18"/>
                  <w:szCs w:val="18"/>
                  <w:color w:val="auto"/>
                </w:rPr>
                <w:t>12</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520" w:type="dxa"/>
            <w:vAlign w:val="bottom"/>
            <w:gridSpan w:val="3"/>
          </w:tcPr>
          <w:p>
            <w:pPr>
              <w:ind w:left="52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Notes to condensed consolidated financial statements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13</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Item 2.</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33</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Item 3.</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Quantitative and Qualitative Disclosures About Market Risk</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53</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Item 4.</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Controls and Procedures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54</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b w:val="1"/>
                <w:bCs w:val="1"/>
                <w:color w:val="auto"/>
              </w:rPr>
            </w:pPr>
            <w:hyperlink w:anchor="page56">
              <w:r>
                <w:rPr>
                  <w:rFonts w:ascii="Times New Roman" w:cs="Times New Roman" w:eastAsia="Times New Roman" w:hAnsi="Times New Roman"/>
                  <w:sz w:val="18"/>
                  <w:szCs w:val="18"/>
                  <w:b w:val="1"/>
                  <w:bCs w:val="1"/>
                  <w:color w:val="auto"/>
                </w:rPr>
                <w:t>PART II.</w:t>
              </w:r>
            </w:hyperlink>
          </w:p>
        </w:tc>
        <w:tc>
          <w:tcPr>
            <w:tcW w:w="9520" w:type="dxa"/>
            <w:vAlign w:val="bottom"/>
            <w:gridSpan w:val="3"/>
          </w:tcPr>
          <w:p>
            <w:pPr>
              <w:ind w:left="200"/>
              <w:spacing w:after="0"/>
              <w:rPr>
                <w:rFonts w:ascii="Times New Roman" w:cs="Times New Roman" w:eastAsia="Times New Roman" w:hAnsi="Times New Roman"/>
                <w:sz w:val="18"/>
                <w:szCs w:val="18"/>
                <w:b w:val="1"/>
                <w:bCs w:val="1"/>
                <w:u w:val="single" w:color="auto"/>
                <w:color w:val="0000FF"/>
              </w:rPr>
            </w:pPr>
            <w:hyperlink w:anchor="page56">
              <w:r>
                <w:rPr>
                  <w:rFonts w:ascii="Times New Roman" w:cs="Times New Roman" w:eastAsia="Times New Roman" w:hAnsi="Times New Roman"/>
                  <w:sz w:val="18"/>
                  <w:szCs w:val="18"/>
                  <w:b w:val="1"/>
                  <w:bCs w:val="1"/>
                  <w:u w:val="single" w:color="auto"/>
                  <w:color w:val="0000FF"/>
                </w:rPr>
                <w:t>OTHER INFORMATION</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55</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Item 1.</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Legal Proceedings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55</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Item 1A.</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Risk Factors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55</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Item 2.</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Unregistered Sales of Equity Securities and Use of Proceeds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91</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Item 3.</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Defaults Upon Senior Securities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91</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Item 4.</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Mine Safety Disclosures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91</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Item 5.</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Other Information</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91</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Item 6.</w:t>
              </w:r>
            </w:hyperlink>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Exhibits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3">
              <w:r>
                <w:rPr>
                  <w:rFonts w:ascii="Times New Roman" w:cs="Times New Roman" w:eastAsia="Times New Roman" w:hAnsi="Times New Roman"/>
                  <w:sz w:val="18"/>
                  <w:szCs w:val="18"/>
                  <w:color w:val="auto"/>
                </w:rPr>
                <w:t>91</w:t>
              </w:r>
            </w:hyperlink>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520" w:type="dxa"/>
            <w:vAlign w:val="bottom"/>
            <w:gridSpan w:val="3"/>
          </w:tcPr>
          <w:p>
            <w:pPr>
              <w:ind w:left="200"/>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Signatures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93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7"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9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w:t>
      </w:r>
    </w:p>
    <w:p>
      <w:pPr>
        <w:spacing w:after="0" w:line="115" w:lineRule="exact"/>
        <w:rPr>
          <w:sz w:val="20"/>
          <w:szCs w:val="20"/>
          <w:color w:val="auto"/>
        </w:rPr>
      </w:pPr>
    </w:p>
    <w:p>
      <w:pPr>
        <w:ind w:left="420" w:right="80" w:hanging="331"/>
        <w:spacing w:after="0" w:line="261"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“us,” “our,” the “Company,” “GoHealth” </w:t>
      </w:r>
      <w:r>
        <w:rPr>
          <w:rFonts w:ascii="Times New Roman" w:cs="Times New Roman" w:eastAsia="Times New Roman" w:hAnsi="Times New Roman"/>
          <w:sz w:val="18"/>
          <w:szCs w:val="18"/>
          <w:color w:val="auto"/>
        </w:rPr>
        <w:t>and similar references refer: (1) following the consummation of the Transactions,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public offering, or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the Predecessor.</w:t>
      </w:r>
    </w:p>
    <w:p>
      <w:pPr>
        <w:spacing w:after="0" w:line="71" w:lineRule="exact"/>
        <w:rPr>
          <w:rFonts w:ascii="Times New Roman" w:cs="Times New Roman" w:eastAsia="Times New Roman" w:hAnsi="Times New Roman"/>
          <w:sz w:val="18"/>
          <w:szCs w:val="18"/>
          <w:color w:val="auto"/>
        </w:rPr>
      </w:pPr>
    </w:p>
    <w:p>
      <w:pPr>
        <w:ind w:left="420" w:right="200" w:hanging="331"/>
        <w:spacing w:after="0" w:line="284"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Blocker Company</w:t>
      </w:r>
      <w:r>
        <w:rPr>
          <w:rFonts w:ascii="Times New Roman" w:cs="Times New Roman" w:eastAsia="Times New Roman" w:hAnsi="Times New Roman"/>
          <w:sz w:val="18"/>
          <w:szCs w:val="18"/>
          <w:color w:val="auto"/>
        </w:rPr>
        <w:t>” refers to an entity affiliated with Centerbridge that was an indirect owner of LLC Interests in GoHealth Holdings, LLC prior to the Transactions and is taxable as a corporation for U.S. federal income tax purposes.</w:t>
      </w:r>
    </w:p>
    <w:p>
      <w:pPr>
        <w:spacing w:after="0" w:line="50" w:lineRule="exact"/>
        <w:rPr>
          <w:rFonts w:ascii="Times New Roman" w:cs="Times New Roman" w:eastAsia="Times New Roman" w:hAnsi="Times New Roman"/>
          <w:sz w:val="18"/>
          <w:szCs w:val="18"/>
          <w:color w:val="auto"/>
        </w:rPr>
      </w:pPr>
    </w:p>
    <w:p>
      <w:pPr>
        <w:jc w:val="both"/>
        <w:ind w:left="420" w:right="220" w:hanging="331"/>
        <w:spacing w:after="0" w:line="315" w:lineRule="auto"/>
        <w:tabs>
          <w:tab w:leader="none" w:pos="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Blocker Shareholders</w:t>
      </w:r>
      <w:r>
        <w:rPr>
          <w:rFonts w:ascii="Times New Roman" w:cs="Times New Roman" w:eastAsia="Times New Roman" w:hAnsi="Times New Roman"/>
          <w:sz w:val="17"/>
          <w:szCs w:val="17"/>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26" w:lineRule="exact"/>
        <w:rPr>
          <w:rFonts w:ascii="Times New Roman" w:cs="Times New Roman" w:eastAsia="Times New Roman" w:hAnsi="Times New Roman"/>
          <w:sz w:val="17"/>
          <w:szCs w:val="17"/>
          <w:color w:val="auto"/>
        </w:rPr>
      </w:pPr>
    </w:p>
    <w:p>
      <w:pPr>
        <w:ind w:left="420" w:right="380" w:hanging="331"/>
        <w:spacing w:after="0" w:line="267"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“Centerbridge” </w:t>
      </w:r>
      <w:r>
        <w:rPr>
          <w:rFonts w:ascii="Times New Roman" w:cs="Times New Roman" w:eastAsia="Times New Roman" w:hAnsi="Times New Roman"/>
          <w:sz w:val="18"/>
          <w:szCs w:val="18"/>
          <w:color w:val="auto"/>
        </w:rPr>
        <w:t>refers to Centerbridge Capital Partners III, L.P., our sponsor and a Delaware limited partnership, certain funds affiliated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Centerbridge Capital Partners III, L.P. and other entities over which Centerbridge Capital Partners III, L.P. has voting control (including any such fund or entity formed to hold shares of Class A common stock for the Blocker Shareholders).</w:t>
      </w:r>
    </w:p>
    <w:p>
      <w:pPr>
        <w:spacing w:after="0" w:line="65" w:lineRule="exact"/>
        <w:rPr>
          <w:rFonts w:ascii="Times New Roman" w:cs="Times New Roman" w:eastAsia="Times New Roman" w:hAnsi="Times New Roman"/>
          <w:sz w:val="18"/>
          <w:szCs w:val="18"/>
          <w:color w:val="auto"/>
        </w:rPr>
      </w:pPr>
    </w:p>
    <w:p>
      <w:pPr>
        <w:ind w:left="420" w:right="120" w:hanging="331"/>
        <w:spacing w:after="0" w:line="284"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Centerbridge Acquisition</w:t>
      </w:r>
      <w:r>
        <w:rPr>
          <w:rFonts w:ascii="Times New Roman" w:cs="Times New Roman" w:eastAsia="Times New Roman" w:hAnsi="Times New Roman"/>
          <w:sz w:val="18"/>
          <w:szCs w:val="18"/>
          <w:color w:val="auto"/>
        </w:rPr>
        <w:t>” refers to the acquisition, on September 13, 2019, by Centerbridge, indirectly through a subsidiary of GoHealth Holdings, LLC (formerly known as Blizzard Parent, LLC), an entity formed in contemplation of the acquisition, of a 100% interest in Norvax.</w:t>
      </w:r>
    </w:p>
    <w:p>
      <w:pPr>
        <w:spacing w:after="0" w:line="50" w:lineRule="exact"/>
        <w:rPr>
          <w:rFonts w:ascii="Times New Roman" w:cs="Times New Roman" w:eastAsia="Times New Roman" w:hAnsi="Times New Roman"/>
          <w:sz w:val="18"/>
          <w:szCs w:val="18"/>
          <w:color w:val="auto"/>
        </w:rPr>
      </w:pPr>
    </w:p>
    <w:p>
      <w:pPr>
        <w:ind w:left="420" w:right="140" w:hanging="331"/>
        <w:spacing w:after="0" w:line="258"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Equity Owners” </w:t>
      </w:r>
      <w:r>
        <w:rPr>
          <w:rFonts w:ascii="Times New Roman" w:cs="Times New Roman" w:eastAsia="Times New Roman" w:hAnsi="Times New Roman"/>
          <w:sz w:val="18"/>
          <w:szCs w:val="18"/>
          <w:color w:val="auto"/>
        </w:rPr>
        <w:t>refer collectively to direct or indirect holders of LLC Interests and our Class B common stock immediately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including Centerbridge, Norwest,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right="260"/>
        <w:spacing w:after="0" w:line="312" w:lineRule="auto"/>
        <w:rPr>
          <w:sz w:val="20"/>
          <w:szCs w:val="20"/>
          <w:color w:val="auto"/>
        </w:rPr>
      </w:pPr>
      <w:r>
        <w:rPr>
          <w:rFonts w:ascii="Times New Roman" w:cs="Times New Roman" w:eastAsia="Times New Roman" w:hAnsi="Times New Roman"/>
          <w:sz w:val="17"/>
          <w:szCs w:val="17"/>
          <w:color w:val="auto"/>
        </w:rPr>
        <w:t>(and such shares shall be immediately cancelled)) for, at our election (determined solely by our independent directors (within the meaning of the listing rules of The Nasdaq Global Market, or the Nasdaq rules) who are disinterested), cash or newly-issued shares of our Class A common stock.</w:t>
      </w:r>
    </w:p>
    <w:p>
      <w:pPr>
        <w:spacing w:after="0" w:line="30" w:lineRule="exact"/>
        <w:rPr>
          <w:sz w:val="20"/>
          <w:szCs w:val="20"/>
          <w:color w:val="auto"/>
        </w:rPr>
      </w:pPr>
    </w:p>
    <w:p>
      <w:pPr>
        <w:ind w:left="420" w:right="120" w:hanging="331"/>
        <w:spacing w:after="0" w:line="284" w:lineRule="auto"/>
        <w:tabs>
          <w:tab w:leader="none" w:pos="4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Founders</w:t>
      </w:r>
      <w:r>
        <w:rPr>
          <w:rFonts w:ascii="Times New Roman" w:cs="Times New Roman" w:eastAsia="Times New Roman" w:hAnsi="Times New Roman"/>
          <w:sz w:val="18"/>
          <w:szCs w:val="18"/>
          <w:color w:val="auto"/>
        </w:rPr>
        <w:t>” refer to Brandon M. Cruz, our Co-Founder and Chief Strategy Officer and Special Advisor to the Executive Team, and Clinton P. Jones, our Co-Founder and Chief Executive Officer.</w:t>
      </w:r>
    </w:p>
    <w:p>
      <w:pPr>
        <w:spacing w:after="0" w:line="50" w:lineRule="exact"/>
        <w:rPr>
          <w:rFonts w:ascii="Times New Roman" w:cs="Times New Roman" w:eastAsia="Times New Roman" w:hAnsi="Times New Roman"/>
          <w:sz w:val="18"/>
          <w:szCs w:val="18"/>
          <w:color w:val="auto"/>
        </w:rPr>
      </w:pPr>
    </w:p>
    <w:p>
      <w:pPr>
        <w:ind w:left="420" w:right="20" w:hanging="331"/>
        <w:spacing w:after="0" w:line="257" w:lineRule="auto"/>
        <w:tabs>
          <w:tab w:leader="none" w:pos="4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“Former Profits Unit Holders” </w:t>
      </w:r>
      <w:r>
        <w:rPr>
          <w:rFonts w:ascii="Times New Roman" w:cs="Times New Roman" w:eastAsia="Times New Roman" w:hAnsi="Times New Roman"/>
          <w:sz w:val="18"/>
          <w:szCs w:val="18"/>
          <w:color w:val="auto"/>
        </w:rPr>
        <w:t>refers collectively to certain of our directors and certain current and former officers and employees, in each case,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spacing w:after="0" w:line="74" w:lineRule="exact"/>
        <w:rPr>
          <w:rFonts w:ascii="Times New Roman" w:cs="Times New Roman" w:eastAsia="Times New Roman" w:hAnsi="Times New Roman"/>
          <w:sz w:val="18"/>
          <w:szCs w:val="18"/>
          <w:color w:val="auto"/>
        </w:rPr>
      </w:pPr>
    </w:p>
    <w:p>
      <w:pPr>
        <w:ind w:left="420" w:right="540" w:hanging="331"/>
        <w:spacing w:after="0" w:line="284" w:lineRule="auto"/>
        <w:tabs>
          <w:tab w:leader="none" w:pos="4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“GoHealth Holdings, LLC Agreement” </w:t>
      </w:r>
      <w:r>
        <w:rPr>
          <w:rFonts w:ascii="Times New Roman" w:cs="Times New Roman" w:eastAsia="Times New Roman" w:hAnsi="Times New Roman"/>
          <w:sz w:val="18"/>
          <w:szCs w:val="18"/>
          <w:color w:val="auto"/>
        </w:rPr>
        <w:t>refers to GoHealth Holdings, LLC’s amended and restated limited liability company agreement,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became effective substantially concurrently with or prior to the consummation of our IPO.</w:t>
      </w:r>
    </w:p>
    <w:p>
      <w:pPr>
        <w:spacing w:after="0" w:line="50" w:lineRule="exact"/>
        <w:rPr>
          <w:rFonts w:ascii="Times New Roman" w:cs="Times New Roman" w:eastAsia="Times New Roman" w:hAnsi="Times New Roman"/>
          <w:sz w:val="18"/>
          <w:szCs w:val="18"/>
          <w:color w:val="auto"/>
        </w:rPr>
      </w:pPr>
    </w:p>
    <w:p>
      <w:pPr>
        <w:ind w:left="420" w:right="260" w:hanging="331"/>
        <w:spacing w:after="0" w:line="284" w:lineRule="auto"/>
        <w:tabs>
          <w:tab w:leader="none" w:pos="4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“LLC Interests” </w:t>
      </w:r>
      <w:r>
        <w:rPr>
          <w:rFonts w:ascii="Times New Roman" w:cs="Times New Roman" w:eastAsia="Times New Roman" w:hAnsi="Times New Roman"/>
          <w:sz w:val="18"/>
          <w:szCs w:val="18"/>
          <w:color w:val="auto"/>
        </w:rPr>
        <w:t>refer to the common units of GoHealth Holdings, LLC, including those that we purchased with a portion of the net proceeds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IPO.</w:t>
      </w:r>
    </w:p>
    <w:p>
      <w:pPr>
        <w:spacing w:after="0" w:line="50"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Norwest</w:t>
      </w:r>
      <w:r>
        <w:rPr>
          <w:rFonts w:ascii="Times New Roman" w:cs="Times New Roman" w:eastAsia="Times New Roman" w:hAnsi="Times New Roman"/>
          <w:sz w:val="18"/>
          <w:szCs w:val="18"/>
          <w:color w:val="auto"/>
        </w:rPr>
        <w:t>” refers to Norwest Equity Partners and certain funds affiliated with Norwest Equity Partners.</w:t>
      </w:r>
    </w:p>
    <w:p>
      <w:pPr>
        <w:spacing w:after="0" w:line="11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“Norvax” or “Predecessor” </w:t>
      </w:r>
      <w:r>
        <w:rPr>
          <w:rFonts w:ascii="Times New Roman" w:cs="Times New Roman" w:eastAsia="Times New Roman" w:hAnsi="Times New Roman"/>
          <w:sz w:val="18"/>
          <w:szCs w:val="18"/>
          <w:color w:val="auto"/>
        </w:rPr>
        <w:t>refers to Norvax, LLC, a Delaware limited liability company and a subsidiary of GoHealth Holdings, LLC.</w:t>
      </w:r>
    </w:p>
    <w:p>
      <w:pPr>
        <w:spacing w:after="0" w:line="11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“NVX Holdings” </w:t>
      </w:r>
      <w:r>
        <w:rPr>
          <w:rFonts w:ascii="Times New Roman" w:cs="Times New Roman" w:eastAsia="Times New Roman" w:hAnsi="Times New Roman"/>
          <w:sz w:val="18"/>
          <w:szCs w:val="18"/>
          <w:color w:val="auto"/>
        </w:rPr>
        <w:t>refers to NVX Holdings, Inc., a Delaware corporation that is controlled by the Founders.</w:t>
      </w:r>
    </w:p>
    <w:p>
      <w:pPr>
        <w:spacing w:after="0" w:line="117" w:lineRule="exact"/>
        <w:rPr>
          <w:rFonts w:ascii="Times New Roman" w:cs="Times New Roman" w:eastAsia="Times New Roman" w:hAnsi="Times New Roman"/>
          <w:sz w:val="18"/>
          <w:szCs w:val="18"/>
          <w:color w:val="auto"/>
        </w:rPr>
      </w:pPr>
    </w:p>
    <w:p>
      <w:pPr>
        <w:ind w:left="420" w:right="760" w:hanging="331"/>
        <w:spacing w:after="0" w:line="315" w:lineRule="auto"/>
        <w:tabs>
          <w:tab w:leader="none" w:pos="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“Original Equity Owners” </w:t>
      </w:r>
      <w:r>
        <w:rPr>
          <w:rFonts w:ascii="Times New Roman" w:cs="Times New Roman" w:eastAsia="Times New Roman" w:hAnsi="Times New Roman"/>
          <w:sz w:val="17"/>
          <w:szCs w:val="17"/>
          <w:color w:val="auto"/>
        </w:rPr>
        <w:t>refer to the owners of LLC Interests in GoHealth Holdings, LLC prior to the consummation of the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collectively, which include Centerbridge, Norwest, our Founders and certain executive officers, employees and other minority investors.</w:t>
      </w:r>
    </w:p>
    <w:p>
      <w:pPr>
        <w:spacing w:after="0" w:line="26" w:lineRule="exact"/>
        <w:rPr>
          <w:rFonts w:ascii="Times New Roman" w:cs="Times New Roman" w:eastAsia="Times New Roman" w:hAnsi="Times New Roman"/>
          <w:sz w:val="17"/>
          <w:szCs w:val="17"/>
          <w:color w:val="auto"/>
        </w:rPr>
      </w:pPr>
    </w:p>
    <w:p>
      <w:pPr>
        <w:ind w:left="420" w:right="180" w:hanging="331"/>
        <w:spacing w:after="0" w:line="284" w:lineRule="auto"/>
        <w:tabs>
          <w:tab w:leader="none" w:pos="4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xml:space="preserve"> refer to our IPO and certain organizational transactions that were effected in connection with our IPO, and the application of the net proceeds therefrom. See Note 1 to the condensed consolidated financial statements for a description of the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GoHealth, Inc. is a holding company and the sole managing member of GoHealth Holdings, LLC, and its principal asset consists of LLC Interests.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TERMS AND PERFORMANCE INDICATORS; NON-GAAP FINANCIAL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Quarterly Report on Form 10-Q, we use a number of key terms and provide a number of key performance indicators used by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these terms and key performance indicators as follows:</w:t>
      </w:r>
    </w:p>
    <w:p>
      <w:pPr>
        <w:spacing w:after="0" w:line="97" w:lineRule="exact"/>
        <w:rPr>
          <w:sz w:val="20"/>
          <w:szCs w:val="20"/>
          <w:color w:val="auto"/>
        </w:rPr>
      </w:pPr>
    </w:p>
    <w:p>
      <w:pPr>
        <w:ind w:left="400" w:hanging="311"/>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Approved Submissions</w:t>
      </w:r>
      <w:r>
        <w:rPr>
          <w:rFonts w:ascii="Times New Roman" w:cs="Times New Roman" w:eastAsia="Times New Roman" w:hAnsi="Times New Roman"/>
          <w:sz w:val="18"/>
          <w:szCs w:val="18"/>
          <w:color w:val="auto"/>
        </w:rPr>
        <w:t>” refer to Submitted Policies approved by carriers for the identified product during the indicated period.</w:t>
      </w:r>
    </w:p>
    <w:p>
      <w:pPr>
        <w:spacing w:after="0" w:line="117" w:lineRule="exact"/>
        <w:rPr>
          <w:rFonts w:ascii="Times New Roman" w:cs="Times New Roman" w:eastAsia="Times New Roman" w:hAnsi="Times New Roman"/>
          <w:sz w:val="18"/>
          <w:szCs w:val="18"/>
          <w:color w:val="auto"/>
        </w:rPr>
      </w:pPr>
    </w:p>
    <w:p>
      <w:pPr>
        <w:ind w:left="420" w:hanging="331"/>
        <w:spacing w:after="0" w:line="315" w:lineRule="auto"/>
        <w:tabs>
          <w:tab w:leader="none" w:pos="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represents, as applicable for the period, EBITDA as further adjusted for share-based compensation expense, change in fair value of contingent consideration liability, Centerbridge Acquisition costs, severance costs and incremental organizational costs in connection with our IPO.</w:t>
      </w:r>
    </w:p>
    <w:p>
      <w:pPr>
        <w:spacing w:after="0" w:line="26"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18"/>
          <w:szCs w:val="18"/>
          <w:color w:val="auto"/>
        </w:rPr>
        <w:t>” refers to Adjusted EBITDA divided by net revenues.</w:t>
      </w:r>
    </w:p>
    <w:p>
      <w:pPr>
        <w:spacing w:after="0" w:line="11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Consumer interactions</w:t>
      </w:r>
      <w:r>
        <w:rPr>
          <w:rFonts w:ascii="Times New Roman" w:cs="Times New Roman" w:eastAsia="Times New Roman" w:hAnsi="Times New Roman"/>
          <w:sz w:val="18"/>
          <w:szCs w:val="18"/>
          <w:color w:val="auto"/>
        </w:rPr>
        <w:t>” refer to the number of times a consumer calls us or visits us online.</w:t>
      </w:r>
    </w:p>
    <w:p>
      <w:pPr>
        <w:spacing w:after="0" w:line="11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Consumer lead</w:t>
      </w:r>
      <w:r>
        <w:rPr>
          <w:rFonts w:ascii="Times New Roman" w:cs="Times New Roman" w:eastAsia="Times New Roman" w:hAnsi="Times New Roman"/>
          <w:sz w:val="18"/>
          <w:szCs w:val="18"/>
          <w:color w:val="auto"/>
        </w:rPr>
        <w:t>” refers to a consumer for which we have collected some personally identifiable information related to health insurance.</w:t>
      </w:r>
    </w:p>
    <w:p>
      <w:pPr>
        <w:spacing w:after="0" w:line="11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represents net income (loss) before interest expense, income tax expense (benefit) and depreciation and amortization expense.</w:t>
      </w:r>
    </w:p>
    <w:p>
      <w:pPr>
        <w:spacing w:after="0" w:line="117" w:lineRule="exact"/>
        <w:rPr>
          <w:rFonts w:ascii="Times New Roman" w:cs="Times New Roman" w:eastAsia="Times New Roman" w:hAnsi="Times New Roman"/>
          <w:sz w:val="18"/>
          <w:szCs w:val="18"/>
          <w:color w:val="auto"/>
        </w:rPr>
      </w:pPr>
    </w:p>
    <w:p>
      <w:pPr>
        <w:ind w:left="420" w:right="340" w:hanging="331"/>
        <w:spacing w:after="0" w:line="284"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Impressions</w:t>
      </w:r>
      <w:r>
        <w:rPr>
          <w:rFonts w:ascii="Times New Roman" w:cs="Times New Roman" w:eastAsia="Times New Roman" w:hAnsi="Times New Roman"/>
          <w:sz w:val="18"/>
          <w:szCs w:val="18"/>
          <w:color w:val="auto"/>
        </w:rPr>
        <w:t>” refer to the number of times our advertisement is shown to consumers through any medium, regardless of whether such consumers have viewed, clicked through or otherwise interacted with the advertisement.</w:t>
      </w:r>
    </w:p>
    <w:p>
      <w:pPr>
        <w:spacing w:after="0" w:line="50" w:lineRule="exact"/>
        <w:rPr>
          <w:rFonts w:ascii="Times New Roman" w:cs="Times New Roman" w:eastAsia="Times New Roman" w:hAnsi="Times New Roman"/>
          <w:sz w:val="18"/>
          <w:szCs w:val="18"/>
          <w:color w:val="auto"/>
        </w:rPr>
      </w:pPr>
    </w:p>
    <w:p>
      <w:pPr>
        <w:ind w:left="420" w:right="840" w:hanging="331"/>
        <w:spacing w:after="0" w:line="284"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LTV Per Approved Submission</w:t>
      </w:r>
      <w:r>
        <w:rPr>
          <w:rFonts w:ascii="Times New Roman" w:cs="Times New Roman" w:eastAsia="Times New Roman" w:hAnsi="Times New Roman"/>
          <w:sz w:val="18"/>
          <w:szCs w:val="18"/>
          <w:color w:val="auto"/>
        </w:rPr>
        <w:t>” refers to the Lifetime Value of Commissions per Approved Submission, which we define as (i) aggregate commissions estimated to be collected over the estimated life of all commissionable Approved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right="280"/>
        <w:spacing w:after="0" w:line="282" w:lineRule="auto"/>
        <w:rPr>
          <w:sz w:val="20"/>
          <w:szCs w:val="20"/>
          <w:color w:val="auto"/>
        </w:rPr>
      </w:pPr>
      <w:r>
        <w:rPr>
          <w:rFonts w:ascii="Times New Roman" w:cs="Times New Roman" w:eastAsia="Times New Roman" w:hAnsi="Times New Roman"/>
          <w:sz w:val="18"/>
          <w:szCs w:val="18"/>
          <w:color w:val="auto"/>
        </w:rPr>
        <w:t>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52" w:lineRule="exact"/>
        <w:rPr>
          <w:sz w:val="20"/>
          <w:szCs w:val="20"/>
          <w:color w:val="auto"/>
        </w:rPr>
      </w:pPr>
    </w:p>
    <w:p>
      <w:pPr>
        <w:ind w:left="420" w:hanging="331"/>
        <w:spacing w:after="0" w:line="257"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LTV/CAC</w:t>
      </w:r>
      <w:r>
        <w:rPr>
          <w:rFonts w:ascii="Times New Roman" w:cs="Times New Roman" w:eastAsia="Times New Roman" w:hAnsi="Times New Roman"/>
          <w:sz w:val="18"/>
          <w:szCs w:val="18"/>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w:t>
      </w:r>
    </w:p>
    <w:p>
      <w:pPr>
        <w:spacing w:after="0" w:line="74" w:lineRule="exact"/>
        <w:rPr>
          <w:rFonts w:ascii="Times New Roman" w:cs="Times New Roman" w:eastAsia="Times New Roman" w:hAnsi="Times New Roman"/>
          <w:sz w:val="18"/>
          <w:szCs w:val="18"/>
          <w:color w:val="auto"/>
        </w:rPr>
      </w:pPr>
    </w:p>
    <w:p>
      <w:pPr>
        <w:ind w:left="420" w:right="420" w:hanging="331"/>
        <w:spacing w:after="0" w:line="284"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prospect</w:t>
      </w:r>
      <w:r>
        <w:rPr>
          <w:rFonts w:ascii="Times New Roman" w:cs="Times New Roman" w:eastAsia="Times New Roman" w:hAnsi="Times New Roman"/>
          <w:sz w:val="18"/>
          <w:szCs w:val="18"/>
          <w:color w:val="auto"/>
        </w:rPr>
        <w:t>” refers to a consumer that has confirmed an interest to us in shopping for health insurance over the phone, online or via live transfer to our agents, both through the internal and external channels.</w:t>
      </w:r>
    </w:p>
    <w:p>
      <w:pPr>
        <w:spacing w:after="0" w:line="50" w:lineRule="exact"/>
        <w:rPr>
          <w:rFonts w:ascii="Times New Roman" w:cs="Times New Roman" w:eastAsia="Times New Roman" w:hAnsi="Times New Roman"/>
          <w:sz w:val="18"/>
          <w:szCs w:val="18"/>
          <w:color w:val="auto"/>
        </w:rPr>
      </w:pPr>
    </w:p>
    <w:p>
      <w:pPr>
        <w:ind w:left="420" w:right="420" w:hanging="331"/>
        <w:spacing w:after="0" w:line="284"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Submitted Policies</w:t>
      </w:r>
      <w:r>
        <w:rPr>
          <w:rFonts w:ascii="Times New Roman" w:cs="Times New Roman" w:eastAsia="Times New Roman" w:hAnsi="Times New Roman"/>
          <w:sz w:val="18"/>
          <w:szCs w:val="18"/>
          <w:color w:val="auto"/>
        </w:rPr>
        <w:t>” refer to completed applications that, with respect to each such application, the consumer has authorized us to submit to the carrier.</w:t>
      </w:r>
    </w:p>
    <w:p>
      <w:pPr>
        <w:spacing w:after="0" w:line="160"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16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Adjusted EBITDA represents EBITDA as further adjusted for share-based compensation, expense related to the accelerated vesting of certain equity awards, change in fair value of contingent consideration liability, Centerbridge Acquisition costs, severance costs and incremental organizational costs in connection with the IPO. Adjusted EBITDA margin represents Adjusted EBITDA divided by net revenues.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93"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amounts,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right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8"/>
                <w:szCs w:val="18"/>
                <w:color w:val="auto"/>
              </w:rPr>
            </w:pPr>
          </w:p>
        </w:tc>
        <w:tc>
          <w:tcPr>
            <w:tcW w:w="2240" w:type="dxa"/>
            <w:vAlign w:val="bottom"/>
            <w:tcBorders>
              <w:right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8"/>
                <w:szCs w:val="18"/>
                <w:color w:val="auto"/>
              </w:rPr>
            </w:pPr>
          </w:p>
        </w:tc>
        <w:tc>
          <w:tcPr>
            <w:tcW w:w="10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right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right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2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Period from July</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1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8"/>
                <w:szCs w:val="8"/>
                <w:color w:val="auto"/>
              </w:rPr>
            </w:pPr>
          </w:p>
        </w:tc>
        <w:tc>
          <w:tcPr>
            <w:tcW w:w="1080" w:type="dxa"/>
            <w:vAlign w:val="bottom"/>
            <w:tcBorders>
              <w:right w:val="single" w:sz="8" w:color="auto"/>
            </w:tcBorders>
          </w:tcPr>
          <w:p>
            <w:pPr>
              <w:jc w:val="center"/>
              <w:ind w:right="34"/>
              <w:spacing w:after="0" w:line="95" w:lineRule="exact"/>
              <w:rPr>
                <w:sz w:val="20"/>
                <w:szCs w:val="20"/>
                <w:color w:val="auto"/>
              </w:rPr>
            </w:pPr>
            <w:r>
              <w:rPr>
                <w:rFonts w:ascii="Times New Roman" w:cs="Times New Roman" w:eastAsia="Times New Roman" w:hAnsi="Times New Roman"/>
                <w:sz w:val="10"/>
                <w:szCs w:val="10"/>
                <w:b w:val="1"/>
                <w:bCs w:val="1"/>
                <w:color w:val="auto"/>
              </w:rPr>
              <w:t>September 13,</w:t>
            </w:r>
          </w:p>
        </w:tc>
        <w:tc>
          <w:tcPr>
            <w:tcW w:w="120" w:type="dxa"/>
            <w:vAlign w:val="bottom"/>
          </w:tcPr>
          <w:p>
            <w:pPr>
              <w:spacing w:after="0"/>
              <w:rPr>
                <w:sz w:val="8"/>
                <w:szCs w:val="8"/>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 2019 through</w:t>
            </w:r>
          </w:p>
        </w:tc>
        <w:tc>
          <w:tcPr>
            <w:tcW w:w="160" w:type="dxa"/>
            <w:vAlign w:val="bottom"/>
          </w:tcPr>
          <w:p>
            <w:pPr>
              <w:spacing w:after="0"/>
              <w:rPr>
                <w:sz w:val="8"/>
                <w:szCs w:val="8"/>
                <w:color w:val="auto"/>
              </w:rPr>
            </w:pPr>
          </w:p>
        </w:tc>
        <w:tc>
          <w:tcPr>
            <w:tcW w:w="102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40" w:type="dxa"/>
            <w:vAlign w:val="bottom"/>
          </w:tcPr>
          <w:p>
            <w:pPr>
              <w:spacing w:after="0"/>
              <w:rPr>
                <w:sz w:val="8"/>
                <w:szCs w:val="8"/>
                <w:color w:val="auto"/>
              </w:rPr>
            </w:pPr>
          </w:p>
        </w:tc>
        <w:tc>
          <w:tcPr>
            <w:tcW w:w="1080" w:type="dxa"/>
            <w:vAlign w:val="bottom"/>
            <w:tcBorders>
              <w:right w:val="single" w:sz="8" w:color="auto"/>
            </w:tcBorders>
          </w:tcPr>
          <w:p>
            <w:pPr>
              <w:jc w:val="center"/>
              <w:ind w:right="74"/>
              <w:spacing w:after="0" w:line="95" w:lineRule="exact"/>
              <w:rPr>
                <w:sz w:val="20"/>
                <w:szCs w:val="20"/>
                <w:color w:val="auto"/>
              </w:rPr>
            </w:pPr>
            <w:r>
              <w:rPr>
                <w:rFonts w:ascii="Times New Roman" w:cs="Times New Roman" w:eastAsia="Times New Roman" w:hAnsi="Times New Roman"/>
                <w:sz w:val="10"/>
                <w:szCs w:val="10"/>
                <w:b w:val="1"/>
                <w:bCs w:val="1"/>
                <w:color w:val="auto"/>
              </w:rPr>
              <w:t>September 13,</w:t>
            </w:r>
          </w:p>
        </w:tc>
        <w:tc>
          <w:tcPr>
            <w:tcW w:w="120" w:type="dxa"/>
            <w:vAlign w:val="bottom"/>
          </w:tcPr>
          <w:p>
            <w:pPr>
              <w:spacing w:after="0"/>
              <w:rPr>
                <w:sz w:val="8"/>
                <w:szCs w:val="8"/>
                <w:color w:val="auto"/>
              </w:rPr>
            </w:pPr>
          </w:p>
        </w:tc>
        <w:tc>
          <w:tcPr>
            <w:tcW w:w="106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83"/>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Borders>
              <w:right w:val="single" w:sz="8" w:color="auto"/>
            </w:tcBorders>
            <w:vMerge w:val="restart"/>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2019 through</w:t>
            </w: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Borders>
              <w:right w:val="single" w:sz="8" w:color="auto"/>
            </w:tcBorders>
            <w:vMerge w:val="restart"/>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2019 through</w:t>
            </w: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000" w:type="dxa"/>
            <w:vAlign w:val="bottom"/>
          </w:tcPr>
          <w:p>
            <w:pPr>
              <w:spacing w:after="0"/>
              <w:rPr>
                <w:sz w:val="4"/>
                <w:szCs w:val="4"/>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w:t>
            </w:r>
          </w:p>
        </w:tc>
        <w:tc>
          <w:tcPr>
            <w:tcW w:w="120" w:type="dxa"/>
            <w:vAlign w:val="bottom"/>
          </w:tcPr>
          <w:p>
            <w:pPr>
              <w:spacing w:after="0"/>
              <w:rPr>
                <w:sz w:val="4"/>
                <w:szCs w:val="4"/>
                <w:color w:val="auto"/>
              </w:rPr>
            </w:pPr>
          </w:p>
        </w:tc>
        <w:tc>
          <w:tcPr>
            <w:tcW w:w="10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12,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w:t>
            </w:r>
          </w:p>
        </w:tc>
        <w:tc>
          <w:tcPr>
            <w:tcW w:w="140" w:type="dxa"/>
            <w:vAlign w:val="bottom"/>
          </w:tcPr>
          <w:p>
            <w:pPr>
              <w:spacing w:after="0"/>
              <w:rPr>
                <w:sz w:val="4"/>
                <w:szCs w:val="4"/>
                <w:color w:val="auto"/>
              </w:rPr>
            </w:pPr>
          </w:p>
        </w:tc>
        <w:tc>
          <w:tcPr>
            <w:tcW w:w="108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September 12,</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right w:val="single" w:sz="8" w:color="auto"/>
            </w:tcBorders>
          </w:tcPr>
          <w:p>
            <w:pPr>
              <w:jc w:val="center"/>
              <w:ind w:right="34"/>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Commission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13,723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175,834</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Enterprise</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61,970</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120,921</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6,067</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55,176</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163,360</w:t>
            </w:r>
          </w:p>
        </w:tc>
        <w:tc>
          <w:tcPr>
            <w:tcW w:w="120" w:type="dxa"/>
            <w:vAlign w:val="bottom"/>
          </w:tcPr>
          <w:p>
            <w:pPr>
              <w:spacing w:after="0"/>
              <w:rPr>
                <w:sz w:val="22"/>
                <w:szCs w:val="22"/>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431,427</w:t>
            </w:r>
          </w:p>
        </w:tc>
        <w:tc>
          <w:tcPr>
            <w:tcW w:w="140" w:type="dxa"/>
            <w:vAlign w:val="bottom"/>
          </w:tcPr>
          <w:p>
            <w:pPr>
              <w:spacing w:after="0"/>
              <w:rPr>
                <w:sz w:val="22"/>
                <w:szCs w:val="22"/>
                <w:color w:val="auto"/>
              </w:rPr>
            </w:pPr>
          </w:p>
        </w:tc>
        <w:tc>
          <w:tcPr>
            <w:tcW w:w="108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19,790</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231,010</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12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104,520</w:t>
            </w:r>
          </w:p>
        </w:tc>
        <w:tc>
          <w:tcPr>
            <w:tcW w:w="140" w:type="dxa"/>
            <w:vAlign w:val="bottom"/>
          </w:tcPr>
          <w:p>
            <w:pPr>
              <w:spacing w:after="0"/>
              <w:rPr>
                <w:sz w:val="23"/>
                <w:szCs w:val="23"/>
                <w:color w:val="auto"/>
              </w:rPr>
            </w:pPr>
          </w:p>
        </w:tc>
        <w:tc>
          <w:tcPr>
            <w:tcW w:w="108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4,737</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79,169</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62,848</w:t>
            </w:r>
          </w:p>
        </w:tc>
        <w:tc>
          <w:tcPr>
            <w:tcW w:w="120" w:type="dxa"/>
            <w:vAlign w:val="bottom"/>
            <w:shd w:val="clear" w:color="auto" w:fill="CCEEFF"/>
          </w:tcPr>
          <w:p>
            <w:pPr>
              <w:spacing w:after="0"/>
              <w:rPr>
                <w:sz w:val="23"/>
                <w:szCs w:val="23"/>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110,556</w:t>
            </w:r>
          </w:p>
        </w:tc>
        <w:tc>
          <w:tcPr>
            <w:tcW w:w="140" w:type="dxa"/>
            <w:vAlign w:val="bottom"/>
            <w:shd w:val="clear" w:color="auto" w:fill="CCEEFF"/>
          </w:tcPr>
          <w:p>
            <w:pPr>
              <w:spacing w:after="0"/>
              <w:rPr>
                <w:sz w:val="23"/>
                <w:szCs w:val="23"/>
                <w:color w:val="auto"/>
              </w:rPr>
            </w:pPr>
          </w:p>
        </w:tc>
        <w:tc>
          <w:tcPr>
            <w:tcW w:w="1080" w:type="dxa"/>
            <w:vAlign w:val="bottom"/>
            <w:tcBorders>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37,769</w:t>
            </w:r>
          </w:p>
        </w:tc>
        <w:tc>
          <w:tcPr>
            <w:tcW w:w="0" w:type="dxa"/>
            <w:vAlign w:val="bottom"/>
          </w:tcPr>
          <w:p>
            <w:pPr>
              <w:spacing w:after="0"/>
              <w:rPr>
                <w:sz w:val="1"/>
                <w:szCs w:val="1"/>
                <w:color w:val="auto"/>
              </w:rPr>
            </w:pPr>
          </w:p>
        </w:tc>
      </w:tr>
      <w:tr>
        <w:trPr>
          <w:trHeight w:val="270"/>
        </w:trPr>
        <w:tc>
          <w:tcPr>
            <w:tcW w:w="4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Customer care and enrollment</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52,896</w:t>
            </w:r>
          </w:p>
        </w:tc>
        <w:tc>
          <w:tcPr>
            <w:tcW w:w="12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105,267</w:t>
            </w:r>
          </w:p>
        </w:tc>
        <w:tc>
          <w:tcPr>
            <w:tcW w:w="140" w:type="dxa"/>
            <w:vAlign w:val="bottom"/>
          </w:tcPr>
          <w:p>
            <w:pPr>
              <w:spacing w:after="0"/>
              <w:rPr>
                <w:sz w:val="23"/>
                <w:szCs w:val="23"/>
                <w:color w:val="auto"/>
              </w:rPr>
            </w:pPr>
          </w:p>
        </w:tc>
        <w:tc>
          <w:tcPr>
            <w:tcW w:w="108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4,625</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49,149</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39,520</w:t>
            </w:r>
          </w:p>
        </w:tc>
        <w:tc>
          <w:tcPr>
            <w:tcW w:w="120" w:type="dxa"/>
            <w:vAlign w:val="bottom"/>
            <w:shd w:val="clear" w:color="auto" w:fill="CCEEFF"/>
          </w:tcPr>
          <w:p>
            <w:pPr>
              <w:spacing w:after="0"/>
              <w:rPr>
                <w:sz w:val="23"/>
                <w:szCs w:val="23"/>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49,818</w:t>
            </w:r>
          </w:p>
        </w:tc>
        <w:tc>
          <w:tcPr>
            <w:tcW w:w="140" w:type="dxa"/>
            <w:vAlign w:val="bottom"/>
            <w:shd w:val="clear" w:color="auto" w:fill="CCEEFF"/>
          </w:tcPr>
          <w:p>
            <w:pPr>
              <w:spacing w:after="0"/>
              <w:rPr>
                <w:sz w:val="23"/>
                <w:szCs w:val="23"/>
                <w:color w:val="auto"/>
              </w:rPr>
            </w:pPr>
          </w:p>
        </w:tc>
        <w:tc>
          <w:tcPr>
            <w:tcW w:w="1080" w:type="dxa"/>
            <w:vAlign w:val="bottom"/>
            <w:tcBorders>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40,312</w:t>
            </w:r>
          </w:p>
        </w:tc>
        <w:tc>
          <w:tcPr>
            <w:tcW w:w="0" w:type="dxa"/>
            <w:vAlign w:val="bottom"/>
          </w:tcPr>
          <w:p>
            <w:pPr>
              <w:spacing w:after="0"/>
              <w:rPr>
                <w:sz w:val="1"/>
                <w:szCs w:val="1"/>
                <w:color w:val="auto"/>
              </w:rPr>
            </w:pPr>
          </w:p>
        </w:tc>
      </w:tr>
      <w:tr>
        <w:trPr>
          <w:trHeight w:val="270"/>
        </w:trPr>
        <w:tc>
          <w:tcPr>
            <w:tcW w:w="4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156,551</w:t>
            </w:r>
          </w:p>
        </w:tc>
        <w:tc>
          <w:tcPr>
            <w:tcW w:w="12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177,400</w:t>
            </w:r>
          </w:p>
        </w:tc>
        <w:tc>
          <w:tcPr>
            <w:tcW w:w="140" w:type="dxa"/>
            <w:vAlign w:val="bottom"/>
          </w:tcPr>
          <w:p>
            <w:pPr>
              <w:spacing w:after="0"/>
              <w:rPr>
                <w:sz w:val="23"/>
                <w:szCs w:val="23"/>
                <w:color w:val="auto"/>
              </w:rPr>
            </w:pPr>
          </w:p>
        </w:tc>
        <w:tc>
          <w:tcPr>
            <w:tcW w:w="108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79,219</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consideration liability</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40" w:type="dxa"/>
            <w:vAlign w:val="bottom"/>
            <w:shd w:val="clear" w:color="auto" w:fill="CCEEFF"/>
          </w:tcPr>
          <w:p>
            <w:pPr>
              <w:spacing w:after="0"/>
              <w:rPr>
                <w:sz w:val="22"/>
                <w:szCs w:val="22"/>
                <w:color w:val="auto"/>
              </w:rPr>
            </w:pPr>
          </w:p>
        </w:tc>
        <w:tc>
          <w:tcPr>
            <w:tcW w:w="1080" w:type="dxa"/>
            <w:vAlign w:val="bottom"/>
            <w:tcBorders>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12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2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70,543</w:t>
            </w:r>
          </w:p>
        </w:tc>
        <w:tc>
          <w:tcPr>
            <w:tcW w:w="140" w:type="dxa"/>
            <w:vAlign w:val="bottom"/>
          </w:tcPr>
          <w:p>
            <w:pPr>
              <w:spacing w:after="0"/>
              <w:rPr>
                <w:sz w:val="23"/>
                <w:szCs w:val="23"/>
                <w:color w:val="auto"/>
              </w:rPr>
            </w:pPr>
          </w:p>
        </w:tc>
        <w:tc>
          <w:tcPr>
            <w:tcW w:w="108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4,703</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Acquisition related transaction costs</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6,245</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361,156</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164,730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637,804</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30,254</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287,885</w:t>
            </w: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(197,796)</w:t>
            </w:r>
          </w:p>
        </w:tc>
        <w:tc>
          <w:tcPr>
            <w:tcW w:w="120" w:type="dxa"/>
            <w:vAlign w:val="bottom"/>
            <w:shd w:val="clear" w:color="auto" w:fill="CCEEFF"/>
          </w:tcPr>
          <w:p>
            <w:pPr>
              <w:spacing w:after="0"/>
              <w:rPr>
                <w:sz w:val="22"/>
                <w:szCs w:val="22"/>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(206,377)</w:t>
            </w:r>
          </w:p>
        </w:tc>
        <w:tc>
          <w:tcPr>
            <w:tcW w:w="140" w:type="dxa"/>
            <w:vAlign w:val="bottom"/>
            <w:shd w:val="clear" w:color="auto" w:fill="CCEEFF"/>
          </w:tcPr>
          <w:p>
            <w:pPr>
              <w:spacing w:after="0"/>
              <w:rPr>
                <w:sz w:val="22"/>
                <w:szCs w:val="22"/>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2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40" w:type="dxa"/>
            <w:vAlign w:val="bottom"/>
          </w:tcPr>
          <w:p>
            <w:pPr>
              <w:spacing w:after="0"/>
              <w:rPr>
                <w:sz w:val="23"/>
                <w:szCs w:val="23"/>
                <w:color w:val="auto"/>
              </w:rPr>
            </w:pPr>
          </w:p>
        </w:tc>
        <w:tc>
          <w:tcPr>
            <w:tcW w:w="108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(206,434)</w:t>
            </w:r>
          </w:p>
        </w:tc>
        <w:tc>
          <w:tcPr>
            <w:tcW w:w="120" w:type="dxa"/>
            <w:vAlign w:val="bottom"/>
          </w:tcPr>
          <w:p>
            <w:pPr>
              <w:spacing w:after="0"/>
              <w:rPr>
                <w:sz w:val="22"/>
                <w:szCs w:val="22"/>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(230,261)</w:t>
            </w:r>
          </w:p>
        </w:tc>
        <w:tc>
          <w:tcPr>
            <w:tcW w:w="140" w:type="dxa"/>
            <w:vAlign w:val="bottom"/>
          </w:tcPr>
          <w:p>
            <w:pPr>
              <w:spacing w:after="0"/>
              <w:rPr>
                <w:sz w:val="22"/>
                <w:szCs w:val="22"/>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(150,076)</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(150,076)</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GoHealth,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(Note 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loss per share of Class A common stock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 and diluted (1)</w:t>
            </w:r>
          </w:p>
        </w:tc>
        <w:tc>
          <w:tcPr>
            <w:tcW w:w="1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Weighted-average shares of Class A common</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84,182,961</w:t>
            </w:r>
          </w:p>
        </w:tc>
        <w:tc>
          <w:tcPr>
            <w:tcW w:w="120" w:type="dxa"/>
            <w:vAlign w:val="bottom"/>
            <w:shd w:val="clear" w:color="auto" w:fill="CCEEFF"/>
          </w:tcPr>
          <w:p>
            <w:pPr>
              <w:spacing w:after="0"/>
              <w:rPr>
                <w:sz w:val="15"/>
                <w:szCs w:val="15"/>
                <w:color w:val="auto"/>
              </w:rPr>
            </w:pPr>
          </w:p>
        </w:tc>
        <w:tc>
          <w:tcPr>
            <w:tcW w:w="108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84,182,961</w:t>
            </w:r>
          </w:p>
        </w:tc>
        <w:tc>
          <w:tcPr>
            <w:tcW w:w="140" w:type="dxa"/>
            <w:vAlign w:val="bottom"/>
            <w:shd w:val="clear" w:color="auto" w:fill="CCEEFF"/>
          </w:tcPr>
          <w:p>
            <w:pPr>
              <w:spacing w:after="0"/>
              <w:rPr>
                <w:sz w:val="15"/>
                <w:szCs w:val="15"/>
                <w:color w:val="auto"/>
              </w:rPr>
            </w:pPr>
          </w:p>
        </w:tc>
        <w:tc>
          <w:tcPr>
            <w:tcW w:w="108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outstanding—basic and diluted</w:t>
            </w: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340" w:right="440" w:hanging="332"/>
        <w:spacing w:after="0" w:line="245"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share of Class A common stock—basic and diluted is the same for both the three and nine months ended September 30, 2020 as both periods are based on the post-IPO net loss from July 17, 2020 to September 30, 2020.</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Borders>
              <w:right w:val="single" w:sz="8" w:color="auto"/>
            </w:tcBorders>
            <w:gridSpan w:val="3"/>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40" w:type="dxa"/>
            <w:vAlign w:val="bottom"/>
          </w:tcPr>
          <w:p>
            <w:pPr>
              <w:spacing w:after="0"/>
              <w:rPr>
                <w:sz w:val="18"/>
                <w:szCs w:val="18"/>
                <w:color w:val="auto"/>
              </w:rPr>
            </w:pPr>
          </w:p>
        </w:tc>
        <w:tc>
          <w:tcPr>
            <w:tcW w:w="2320" w:type="dxa"/>
            <w:vAlign w:val="bottom"/>
            <w:tcBorders>
              <w:right w:val="single" w:sz="8" w:color="auto"/>
            </w:tcBorders>
            <w:gridSpan w:val="3"/>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8"/>
                <w:szCs w:val="18"/>
                <w:color w:val="auto"/>
              </w:rPr>
            </w:pPr>
          </w:p>
        </w:tc>
        <w:tc>
          <w:tcPr>
            <w:tcW w:w="11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13, 2019</w:t>
            </w: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 July 1,</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13, 2019</w:t>
            </w:r>
          </w:p>
        </w:tc>
        <w:tc>
          <w:tcPr>
            <w:tcW w:w="14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2019 through</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16"/>
                <w:szCs w:val="16"/>
                <w:color w:val="auto"/>
              </w:rPr>
            </w:pPr>
          </w:p>
        </w:tc>
        <w:tc>
          <w:tcPr>
            <w:tcW w:w="1120" w:type="dxa"/>
            <w:vAlign w:val="bottom"/>
            <w:tcBorders>
              <w:right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12, 2019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16"/>
                <w:szCs w:val="16"/>
                <w:color w:val="auto"/>
              </w:rPr>
            </w:pPr>
          </w:p>
        </w:tc>
        <w:tc>
          <w:tcPr>
            <w:tcW w:w="1140" w:type="dxa"/>
            <w:vAlign w:val="bottom"/>
            <w:tcBorders>
              <w:right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40" w:type="dxa"/>
            <w:vAlign w:val="bottom"/>
          </w:tcPr>
          <w:p>
            <w:pPr>
              <w:spacing w:after="0"/>
              <w:rPr>
                <w:sz w:val="16"/>
                <w:szCs w:val="16"/>
                <w:color w:val="auto"/>
              </w:rPr>
            </w:pPr>
          </w:p>
        </w:tc>
        <w:tc>
          <w:tcPr>
            <w:tcW w:w="11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12, 2019</w:t>
            </w:r>
          </w:p>
        </w:tc>
        <w:tc>
          <w:tcPr>
            <w:tcW w:w="0" w:type="dxa"/>
            <w:vAlign w:val="bottom"/>
          </w:tcPr>
          <w:p>
            <w:pPr>
              <w:spacing w:after="0"/>
              <w:rPr>
                <w:sz w:val="1"/>
                <w:szCs w:val="1"/>
                <w:color w:val="auto"/>
              </w:rPr>
            </w:pPr>
          </w:p>
        </w:tc>
      </w:tr>
      <w:tr>
        <w:trPr>
          <w:trHeight w:val="23"/>
        </w:trPr>
        <w:tc>
          <w:tcPr>
            <w:tcW w:w="3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(206,496)</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(230,299)</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(206,581)</w:t>
            </w: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(230,286)</w:t>
            </w:r>
          </w:p>
        </w:tc>
        <w:tc>
          <w:tcPr>
            <w:tcW w:w="200" w:type="dxa"/>
            <w:vAlign w:val="bottom"/>
          </w:tcPr>
          <w:p>
            <w:pPr>
              <w:spacing w:after="0"/>
              <w:rPr>
                <w:sz w:val="21"/>
                <w:szCs w:val="21"/>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(57,095)</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loss attributable to</w:t>
            </w: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(150,145)</w:t>
            </w:r>
          </w:p>
        </w:tc>
        <w:tc>
          <w:tcPr>
            <w:tcW w:w="200" w:type="dxa"/>
            <w:vAlign w:val="bottom"/>
            <w:shd w:val="clear" w:color="auto" w:fill="CCEEFF"/>
          </w:tcPr>
          <w:p>
            <w:pPr>
              <w:spacing w:after="0"/>
              <w:rPr>
                <w:sz w:val="15"/>
                <w:szCs w:val="15"/>
                <w:color w:val="auto"/>
              </w:rPr>
            </w:pP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(150,145)</w:t>
            </w:r>
          </w:p>
        </w:tc>
        <w:tc>
          <w:tcPr>
            <w:tcW w:w="200" w:type="dxa"/>
            <w:vAlign w:val="bottom"/>
            <w:shd w:val="clear" w:color="auto" w:fill="CCEEFF"/>
          </w:tcPr>
          <w:p>
            <w:pPr>
              <w:spacing w:after="0"/>
              <w:rPr>
                <w:sz w:val="15"/>
                <w:szCs w:val="15"/>
                <w:color w:val="auto"/>
              </w:rPr>
            </w:pP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loss attributable to</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(77,319)</w:t>
            </w:r>
          </w:p>
        </w:tc>
        <w:tc>
          <w:tcPr>
            <w:tcW w:w="12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(80,141)</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(57,095)</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GoHealth, Inc.</w:t>
            </w:r>
          </w:p>
        </w:tc>
        <w:tc>
          <w:tcPr>
            <w:tcW w:w="3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thousands, except share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center"/>
              <w:ind w:right="92"/>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0" w:type="dxa"/>
            <w:vAlign w:val="bottom"/>
          </w:tcPr>
          <w:p>
            <w:pPr>
              <w:spacing w:after="0"/>
              <w:rPr>
                <w:sz w:val="1"/>
                <w:szCs w:val="1"/>
                <w:color w:val="auto"/>
              </w:rPr>
            </w:pPr>
          </w:p>
        </w:tc>
      </w:tr>
      <w:tr>
        <w:trPr>
          <w:trHeight w:val="27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$522 in 2020 and $904 in 2019</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24,461</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receivable – current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101,078</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143,769</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receivable – non-current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281,853</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capitalized software, net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782,783</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386,553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386,553</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1,602,295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stockholders/members’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0" w:type="dxa"/>
            <w:vAlign w:val="bottom"/>
          </w:tcPr>
          <w:p>
            <w:pPr>
              <w:spacing w:after="0"/>
              <w:rPr>
                <w:sz w:val="1"/>
                <w:szCs w:val="1"/>
                <w:color w:val="auto"/>
              </w:rPr>
            </w:pPr>
          </w:p>
        </w:tc>
      </w:tr>
      <w:tr>
        <w:trPr>
          <w:trHeight w:val="27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Commissions payable – current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56,003</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0" w:type="dxa"/>
            <w:vAlign w:val="bottom"/>
          </w:tcPr>
          <w:p>
            <w:pPr>
              <w:spacing w:after="0"/>
              <w:rPr>
                <w:sz w:val="1"/>
                <w:szCs w:val="1"/>
                <w:color w:val="auto"/>
              </w:rPr>
            </w:pPr>
          </w:p>
        </w:tc>
      </w:tr>
      <w:tr>
        <w:trPr>
          <w:trHeight w:val="27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5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113,065</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Commissions payable – non-current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97,489</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288,233</w:t>
            </w:r>
          </w:p>
        </w:tc>
        <w:tc>
          <w:tcPr>
            <w:tcW w:w="0" w:type="dxa"/>
            <w:vAlign w:val="bottom"/>
          </w:tcPr>
          <w:p>
            <w:pPr>
              <w:spacing w:after="0"/>
              <w:rPr>
                <w:sz w:val="1"/>
                <w:szCs w:val="1"/>
                <w:color w:val="auto"/>
              </w:rPr>
            </w:pPr>
          </w:p>
        </w:tc>
      </w:tr>
      <w:tr>
        <w:trPr>
          <w:trHeight w:val="27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242,700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5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629,086</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Stockholders’/members’ equity:</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Members’ interest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860,161</w:t>
            </w:r>
          </w:p>
        </w:tc>
        <w:tc>
          <w:tcPr>
            <w:tcW w:w="0" w:type="dxa"/>
            <w:vAlign w:val="bottom"/>
          </w:tcPr>
          <w:p>
            <w:pPr>
              <w:spacing w:after="0"/>
              <w:rPr>
                <w:sz w:val="1"/>
                <w:szCs w:val="1"/>
                <w:color w:val="auto"/>
              </w:rPr>
            </w:pPr>
          </w:p>
        </w:tc>
      </w:tr>
      <w:tr>
        <w:trPr>
          <w:trHeight w:val="225"/>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 $0.0001 par value; 1,100,000,000 shares authorized; 84,182,961 shares issued and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 – $0.0001 par value; 619,003,717 shares authorized; 236,997,109 shares issued and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$0.0001 par value; 20,000,000 shares authorized; no shares issued and outstanding at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September 30, 2020</w:t>
            </w: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 attributable to GoHealth, Inc./members’ equity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860,144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stockholders’/members’ equity</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860,144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stockholders’/members’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1,602,295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00"/>
          </w:cols>
          <w:pgMar w:left="320" w:top="1066" w:right="379" w:bottom="686"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6" w:right="379" w:bottom="686"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thousands,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2020</w:t>
            </w: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52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Non-</w:t>
            </w: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Members’</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Stockholders’/Members’</w:t>
            </w: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96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9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Balance at June 30,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1,047,513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prior to the Transactions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 prior to</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Transactions</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prior to the Transactions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the Transactions</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(1,045,802)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307,980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(524,977)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1,570,748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1,045,802</w:t>
            </w: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sold in IPO, net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offering costs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852,403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852,407</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the Blocker Merger</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(96,165)</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purchase of LLC Interests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(508,318)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(508,320)</w:t>
            </w: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Settlement of Senior Preferred Earnout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Assumption of contingent consideration</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liability by significant shareholder</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62,400</w:t>
            </w: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 upon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performance-based profit units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209,300</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subsequent to the Transactions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(150,076)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(204,834)</w:t>
            </w: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subsequent to the Transactions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subsequent to the Transactions</w:t>
            </w: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15"/>
        </w:trPr>
        <w:tc>
          <w:tcPr>
            <w:tcW w:w="26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at September 30,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84,183</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236,997</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392,490</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(54,758)</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925,490</w:t>
            </w:r>
          </w:p>
        </w:tc>
        <w:tc>
          <w:tcPr>
            <w:tcW w:w="80" w:type="dxa"/>
            <w:vAlign w:val="bottom"/>
          </w:tcPr>
          <w:p>
            <w:pPr>
              <w:spacing w:after="0"/>
              <w:rPr>
                <w:sz w:val="10"/>
                <w:szCs w:val="10"/>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1,263,169</w:t>
            </w:r>
          </w:p>
        </w:tc>
        <w:tc>
          <w:tcPr>
            <w:tcW w:w="0" w:type="dxa"/>
            <w:vAlign w:val="bottom"/>
          </w:tcPr>
          <w:p>
            <w:pPr>
              <w:spacing w:after="0"/>
              <w:rPr>
                <w:sz w:val="1"/>
                <w:szCs w:val="1"/>
                <w:color w:val="auto"/>
              </w:rPr>
            </w:pPr>
          </w:p>
        </w:tc>
      </w:tr>
      <w:tr>
        <w:trPr>
          <w:trHeight w:val="162"/>
        </w:trPr>
        <w:tc>
          <w:tcPr>
            <w:tcW w:w="2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4"/>
          </w:tcPr>
          <w:p>
            <w:pPr>
              <w:ind w:left="360"/>
              <w:spacing w:after="0"/>
              <w:rPr>
                <w:sz w:val="20"/>
                <w:szCs w:val="20"/>
                <w:color w:val="auto"/>
              </w:rPr>
            </w:pPr>
            <w:r>
              <w:rPr>
                <w:rFonts w:ascii="Times New Roman" w:cs="Times New Roman" w:eastAsia="Times New Roman" w:hAnsi="Times New Roman"/>
                <w:sz w:val="13"/>
                <w:szCs w:val="13"/>
                <w:b w:val="1"/>
                <w:bCs w:val="1"/>
                <w:color w:val="auto"/>
              </w:rPr>
              <w:t>Period from September 13, 2019 through September 30, 2019</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13, 2019</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847,263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847,263</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(3,545)</w:t>
            </w: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(11,706)</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(11,706)</w:t>
            </w:r>
          </w:p>
        </w:tc>
        <w:tc>
          <w:tcPr>
            <w:tcW w:w="0" w:type="dxa"/>
            <w:vAlign w:val="bottom"/>
          </w:tcPr>
          <w:p>
            <w:pPr>
              <w:spacing w:after="0"/>
              <w:rPr>
                <w:sz w:val="1"/>
                <w:szCs w:val="1"/>
                <w:color w:val="auto"/>
              </w:rPr>
            </w:pPr>
          </w:p>
        </w:tc>
      </w:tr>
      <w:tr>
        <w:trPr>
          <w:trHeight w:val="169"/>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832,012</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832,010</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Stockholders'/Members’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thousands, 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600" w:type="dxa"/>
            <w:vAlign w:val="bottom"/>
            <w:tcBorders>
              <w:top w:val="single" w:sz="8" w:color="auto"/>
              <w:bottom w:val="single" w:sz="8" w:color="auto"/>
            </w:tcBorders>
            <w:gridSpan w:val="11"/>
          </w:tcPr>
          <w:p>
            <w:pPr>
              <w:jc w:val="center"/>
              <w:ind w:left="450"/>
              <w:spacing w:after="0"/>
              <w:rPr>
                <w:sz w:val="20"/>
                <w:szCs w:val="20"/>
                <w:color w:val="auto"/>
              </w:rPr>
            </w:pPr>
            <w:r>
              <w:rPr>
                <w:rFonts w:ascii="Times New Roman" w:cs="Times New Roman" w:eastAsia="Times New Roman" w:hAnsi="Times New Roman"/>
                <w:sz w:val="13"/>
                <w:szCs w:val="13"/>
                <w:b w:val="1"/>
                <w:bCs w:val="1"/>
                <w:color w:val="auto"/>
                <w:w w:val="97"/>
              </w:rPr>
              <w:t>Period from July 1, 2019 through September 12, 2019</w:t>
            </w:r>
          </w:p>
        </w:tc>
        <w:tc>
          <w:tcPr>
            <w:tcW w:w="1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5"/>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680" w:type="dxa"/>
            <w:vAlign w:val="bottom"/>
            <w:gridSpan w:val="6"/>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80" w:type="dxa"/>
            <w:vAlign w:val="bottom"/>
            <w:gridSpan w:val="6"/>
            <w:vMerge w:val="continue"/>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Non-</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60" w:type="dxa"/>
            <w:vAlign w:val="bottom"/>
            <w:gridSpan w:val="3"/>
          </w:tcPr>
          <w:p>
            <w:pPr>
              <w:jc w:val="center"/>
              <w:ind w:right="268"/>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4"/>
          </w:tcPr>
          <w:p>
            <w:pPr>
              <w:jc w:val="center"/>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Predecessor:</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July 1, 2019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(296,428)</w:t>
            </w: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Redeemable Class B unit</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Conversion of Redeemable</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384,404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384,404</w:t>
            </w:r>
          </w:p>
        </w:tc>
        <w:tc>
          <w:tcPr>
            <w:tcW w:w="0" w:type="dxa"/>
            <w:vAlign w:val="bottom"/>
          </w:tcPr>
          <w:p>
            <w:pPr>
              <w:spacing w:after="0"/>
              <w:rPr>
                <w:sz w:val="1"/>
                <w:szCs w:val="1"/>
                <w:color w:val="auto"/>
              </w:rPr>
            </w:pPr>
          </w:p>
        </w:tc>
      </w:tr>
      <w:tr>
        <w:trPr>
          <w:trHeight w:val="189"/>
        </w:trPr>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Units</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(77,340)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(77,340)</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12,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386,839</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(384,569)</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Stockholders'/Members’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thousands,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Stockholders’/Members’</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860,144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Senior Preferred Earnout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Earnout Units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Units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prior to the Transactions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prior to the Transactions</w:t>
            </w: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prior to the Transactions</w:t>
            </w: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the Transactions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(1,045,802)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307,980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(524,977)</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1,570,748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1,045,802</w:t>
            </w:r>
          </w:p>
        </w:tc>
        <w:tc>
          <w:tcPr>
            <w:tcW w:w="0" w:type="dxa"/>
            <w:vAlign w:val="bottom"/>
          </w:tcPr>
          <w:p>
            <w:pPr>
              <w:spacing w:after="0"/>
              <w:rPr>
                <w:sz w:val="1"/>
                <w:szCs w:val="1"/>
                <w:color w:val="auto"/>
              </w:rPr>
            </w:pPr>
          </w:p>
        </w:tc>
      </w:tr>
      <w:tr>
        <w:trPr>
          <w:trHeight w:val="135"/>
        </w:trPr>
        <w:tc>
          <w:tcPr>
            <w:tcW w:w="24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sold in IPO,</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852,403</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852,407</w:t>
            </w:r>
          </w:p>
        </w:tc>
        <w:tc>
          <w:tcPr>
            <w:tcW w:w="0" w:type="dxa"/>
            <w:vAlign w:val="bottom"/>
          </w:tcPr>
          <w:p>
            <w:pPr>
              <w:spacing w:after="0"/>
              <w:rPr>
                <w:sz w:val="1"/>
                <w:szCs w:val="1"/>
                <w:color w:val="auto"/>
              </w:rPr>
            </w:pPr>
          </w:p>
        </w:tc>
      </w:tr>
      <w:tr>
        <w:trPr>
          <w:trHeight w:val="189"/>
        </w:trPr>
        <w:tc>
          <w:tcPr>
            <w:tcW w:w="2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offering costs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the Blocker Merger</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(45,503)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(96,165)</w:t>
            </w:r>
          </w:p>
        </w:tc>
        <w:tc>
          <w:tcPr>
            <w:tcW w:w="0" w:type="dxa"/>
            <w:vAlign w:val="bottom"/>
          </w:tcPr>
          <w:p>
            <w:pPr>
              <w:spacing w:after="0"/>
              <w:rPr>
                <w:sz w:val="1"/>
                <w:szCs w:val="1"/>
                <w:color w:val="auto"/>
              </w:rPr>
            </w:pPr>
          </w:p>
        </w:tc>
      </w:tr>
      <w:tr>
        <w:trPr>
          <w:trHeight w:val="189"/>
        </w:trPr>
        <w:tc>
          <w:tcPr>
            <w:tcW w:w="2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purchase of LLC Interests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(25,480)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(508,318)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(508,320)</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Settlement of Senior Preferred Earnout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Assumption of contingent consideration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62,400</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62,400</w:t>
            </w:r>
          </w:p>
        </w:tc>
        <w:tc>
          <w:tcPr>
            <w:tcW w:w="0" w:type="dxa"/>
            <w:vAlign w:val="bottom"/>
          </w:tcPr>
          <w:p>
            <w:pPr>
              <w:spacing w:after="0"/>
              <w:rPr>
                <w:sz w:val="1"/>
                <w:szCs w:val="1"/>
                <w:color w:val="auto"/>
              </w:rPr>
            </w:pPr>
          </w:p>
        </w:tc>
      </w:tr>
      <w:tr>
        <w:trPr>
          <w:trHeight w:val="189"/>
        </w:trPr>
        <w:tc>
          <w:tcPr>
            <w:tcW w:w="2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liability by significant shareholder</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upon vesting of performance-based</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209,300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209,300</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profit units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subsequent to the Transactions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(204,834)</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subsequent to the Transactions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subsequent to the Transactions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84,183</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8</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236,997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392,490</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(54,758)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925,490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1,263,169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Condensed Consolidated Statements of Changes in Stockholders'/Members’ Equity (continued)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and shares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30" w:lineRule="exact"/>
        <w:rPr>
          <w:sz w:val="20"/>
          <w:szCs w:val="20"/>
          <w:color w:val="auto"/>
        </w:rPr>
      </w:pPr>
    </w:p>
    <w:p>
      <w:pPr>
        <w:ind w:left="220" w:hanging="215"/>
        <w:spacing w:after="0" w:line="295" w:lineRule="auto"/>
        <w:rPr>
          <w:sz w:val="20"/>
          <w:szCs w:val="20"/>
          <w:color w:val="auto"/>
        </w:rPr>
      </w:pPr>
      <w:r>
        <w:rPr>
          <w:rFonts w:ascii="Times New Roman" w:cs="Times New Roman" w:eastAsia="Times New Roman" w:hAnsi="Times New Roman"/>
          <w:sz w:val="14"/>
          <w:szCs w:val="14"/>
          <w:color w:val="auto"/>
        </w:rPr>
        <w:t>Balance at January 1, 2019 Redeemable Class B unit accretion Conversion of Redeemable Class B Units Foreign currency translation adjustment Net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September 12, 2019</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Period from January 1, 2019 through September 12,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0"/>
                <w:szCs w:val="10"/>
                <w:color w:val="auto"/>
              </w:rPr>
            </w:pPr>
          </w:p>
        </w:tc>
        <w:tc>
          <w:tcPr>
            <w:tcW w:w="980" w:type="dxa"/>
            <w:vAlign w:val="bottom"/>
            <w:tcBorders>
              <w:top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Non-</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35"/>
        </w:trPr>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78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4"/>
          </w:tcPr>
          <w:p>
            <w:pPr>
              <w:jc w:val="center"/>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48"/>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(189,102)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(186,653)</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(138,404)</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384,404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384,404</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94"/>
        </w:trPr>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(57,063)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(57,063)</w:t>
            </w:r>
          </w:p>
        </w:tc>
        <w:tc>
          <w:tcPr>
            <w:tcW w:w="0" w:type="dxa"/>
            <w:vAlign w:val="bottom"/>
          </w:tcPr>
          <w:p>
            <w:pPr>
              <w:spacing w:after="0"/>
              <w:rPr>
                <w:sz w:val="1"/>
                <w:szCs w:val="1"/>
                <w:color w:val="auto"/>
              </w:rPr>
            </w:pPr>
          </w:p>
        </w:tc>
      </w:tr>
      <w:tr>
        <w:trPr>
          <w:trHeight w:val="187"/>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386,839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(384,569)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center"/>
              <w:ind w:left="54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-882015</wp:posOffset>
            </wp:positionV>
            <wp:extent cx="713232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-641985</wp:posOffset>
            </wp:positionV>
            <wp:extent cx="713232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-401955</wp:posOffset>
            </wp:positionV>
            <wp:extent cx="713232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-161925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200"/>
            <w:col w:w="8360"/>
          </w:cols>
          <w:pgMar w:left="340" w:top="10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66" w:right="339" w:bottom="1440" w:gutter="0" w:footer="0" w:header="0"/>
          <w:type w:val="continuous"/>
        </w:sectPr>
      </w:pPr>
    </w:p>
    <w:bookmarkStart w:id="13" w:name="page14"/>
    <w:bookmarkEnd w:id="13"/>
    <w:p>
      <w:pPr>
        <w:jc w:val="center"/>
        <w:ind w:right="-159"/>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 in thousands, unaudited)</w:t>
      </w:r>
    </w:p>
    <w:p>
      <w:pPr>
        <w:sectPr>
          <w:pgSz w:w="11900" w:h="16838" w:orient="portrait"/>
          <w:cols w:equalWidth="0" w:num="1">
            <w:col w:w="11040"/>
          </w:cols>
          <w:pgMar w:left="340" w:top="12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0205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Depreciation and amortization</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Other non-cash items</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color w:val="auto"/>
        </w:rPr>
        <w:t>Commissions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color w:val="auto"/>
        </w:rPr>
        <w:t>Accrued liabilities</w:t>
      </w:r>
    </w:p>
    <w:p>
      <w:pPr>
        <w:spacing w:after="0" w:line="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color w:val="auto"/>
        </w:rPr>
        <w:t>Commissions payable</w:t>
      </w:r>
    </w:p>
    <w:p>
      <w:pPr>
        <w:spacing w:after="0" w:line="5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3"/>
          <w:szCs w:val="13"/>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0560" cy="12827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Acquisition of business, net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020560" cy="111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0560" cy="1111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Purchases of property,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cash used in investing activities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p>
      <w:pPr>
        <w:spacing w:after="0" w:line="42" w:lineRule="exact"/>
        <w:rPr>
          <w:sz w:val="20"/>
          <w:szCs w:val="20"/>
          <w:color w:val="auto"/>
        </w:rPr>
      </w:pPr>
    </w:p>
    <w:p>
      <w:pPr>
        <w:ind w:right="1320"/>
        <w:spacing w:after="0" w:line="281" w:lineRule="auto"/>
        <w:rPr>
          <w:sz w:val="20"/>
          <w:szCs w:val="20"/>
          <w:color w:val="auto"/>
        </w:rPr>
      </w:pPr>
      <w:r>
        <w:rPr>
          <w:rFonts w:ascii="Times New Roman" w:cs="Times New Roman" w:eastAsia="Times New Roman" w:hAnsi="Times New Roman"/>
          <w:sz w:val="13"/>
          <w:szCs w:val="13"/>
          <w:color w:val="auto"/>
        </w:rPr>
        <w:t>Proceeds from issuance of Class A common stock sold in initial public offering, net of offering costs Payment of partial consideration to Blocker Shareholders in the Blocker Merger Purchase of LLC Interests from Continuing Equity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020560"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056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-106680</wp:posOffset>
            </wp:positionV>
            <wp:extent cx="702056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0560" cy="1111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Settlement of Senior Preferred Earnout Units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Proceeds received upon issuance of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020560"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0560" cy="1111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Proceeds received upon issuance of common units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Borrowings under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020560"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20560" cy="1111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Principal payments under term loans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Borrowings under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02056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0560" cy="1111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Payments under revolving credit facilities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Debt issuance cost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020560"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0560" cy="1111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Principal payments under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2056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 in cash and cash equivalents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056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020560"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0560" cy="12827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Non-cash investing and financing activities: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Purchases of property, equipment and software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Purchases of property, equipment and software under capital leases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Issuance of senior preferred earnout units to settle contingent consideration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Issuance of common A and B units to settle contingent consideration liability</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Net issuance of Class A and Class B common stock in connection with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020560" cy="128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0560" cy="12827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Settlement of contingent consideration liability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gridSpan w:val="3"/>
          </w:tcPr>
          <w:p>
            <w:pPr>
              <w:jc w:val="right"/>
              <w:ind w:right="997"/>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r>
      <w:tr>
        <w:trPr>
          <w:trHeight w:val="155"/>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Period from</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8"/>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September 13, 2019</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Period from January 1,</w:t>
            </w:r>
          </w:p>
        </w:tc>
      </w:tr>
      <w:tr>
        <w:trPr>
          <w:trHeight w:val="149"/>
        </w:trPr>
        <w:tc>
          <w:tcPr>
            <w:tcW w:w="100" w:type="dxa"/>
            <w:vAlign w:val="bottom"/>
          </w:tcPr>
          <w:p>
            <w:pPr>
              <w:spacing w:after="0"/>
              <w:rPr>
                <w:sz w:val="12"/>
                <w:szCs w:val="12"/>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13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through September 30,</w:t>
            </w:r>
          </w:p>
        </w:tc>
        <w:tc>
          <w:tcPr>
            <w:tcW w:w="100" w:type="dxa"/>
            <w:vAlign w:val="bottom"/>
          </w:tcPr>
          <w:p>
            <w:pPr>
              <w:spacing w:after="0"/>
              <w:rPr>
                <w:sz w:val="12"/>
                <w:szCs w:val="12"/>
                <w:color w:val="auto"/>
              </w:rPr>
            </w:pPr>
          </w:p>
        </w:tc>
        <w:tc>
          <w:tcPr>
            <w:tcW w:w="12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2019 through</w:t>
            </w:r>
          </w:p>
        </w:tc>
      </w:tr>
      <w:tr>
        <w:trPr>
          <w:trHeight w:val="166"/>
        </w:trPr>
        <w:tc>
          <w:tcPr>
            <w:tcW w:w="10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September 30, 2020</w:t>
            </w:r>
          </w:p>
        </w:tc>
        <w:tc>
          <w:tcPr>
            <w:tcW w:w="100" w:type="dxa"/>
            <w:vAlign w:val="bottom"/>
          </w:tcPr>
          <w:p>
            <w:pPr>
              <w:spacing w:after="0"/>
              <w:rPr>
                <w:sz w:val="14"/>
                <w:szCs w:val="14"/>
                <w:color w:val="auto"/>
              </w:rPr>
            </w:pPr>
          </w:p>
        </w:tc>
        <w:tc>
          <w:tcPr>
            <w:tcW w:w="1220" w:type="dxa"/>
            <w:vAlign w:val="bottom"/>
            <w:tcBorders>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Pr>
          <w:p>
            <w:pPr>
              <w:spacing w:after="0"/>
              <w:rPr>
                <w:sz w:val="14"/>
                <w:szCs w:val="14"/>
                <w:color w:val="auto"/>
              </w:rPr>
            </w:pPr>
          </w:p>
        </w:tc>
        <w:tc>
          <w:tcPr>
            <w:tcW w:w="12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September 12, 2019</w:t>
            </w:r>
          </w:p>
        </w:tc>
      </w:tr>
      <w:tr>
        <w:trPr>
          <w:trHeight w:val="29"/>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69"/>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(230,299)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(11,706)</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(57,063)</w:t>
            </w:r>
          </w:p>
        </w:tc>
      </w:tr>
      <w:tr>
        <w:trPr>
          <w:trHeight w:val="405"/>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213,146</w:t>
            </w:r>
          </w:p>
        </w:tc>
        <w:tc>
          <w:tcPr>
            <w:tcW w:w="100" w:type="dxa"/>
            <w:vAlign w:val="bottom"/>
          </w:tcPr>
          <w:p>
            <w:pPr>
              <w:spacing w:after="0"/>
              <w:rPr>
                <w:sz w:val="24"/>
                <w:szCs w:val="24"/>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87,060</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4,247</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70,543</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4,703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19,700</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405"/>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17,552</w:t>
            </w:r>
          </w:p>
        </w:tc>
        <w:tc>
          <w:tcPr>
            <w:tcW w:w="100" w:type="dxa"/>
            <w:vAlign w:val="bottom"/>
          </w:tcPr>
          <w:p>
            <w:pPr>
              <w:spacing w:after="0"/>
              <w:rPr>
                <w:sz w:val="24"/>
                <w:szCs w:val="24"/>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(117,888)</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(15,405)</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(63,448)</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(13,576)</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(4,402)</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3,276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(5,028)</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17,860</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40,188</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18,098</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27,983</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8,283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19,228</w:t>
            </w:r>
          </w:p>
        </w:tc>
      </w:tr>
      <w:tr>
        <w:trPr>
          <w:trHeight w:val="212"/>
        </w:trPr>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4,138</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13,728</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3"/>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28,835</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16,143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9,281</w:t>
            </w:r>
          </w:p>
        </w:tc>
      </w:tr>
      <w:tr>
        <w:trPr>
          <w:trHeight w:val="378"/>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(807,591)</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2"/>
        </w:trPr>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(12,023)</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(5,597)</w:t>
            </w:r>
          </w:p>
        </w:tc>
      </w:tr>
      <w:tr>
        <w:trPr>
          <w:trHeight w:val="173"/>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(12,023)</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(808,404)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(5,597)</w:t>
            </w:r>
          </w:p>
        </w:tc>
      </w:tr>
      <w:tr>
        <w:trPr>
          <w:trHeight w:val="378"/>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852,407</w:t>
            </w:r>
          </w:p>
        </w:tc>
        <w:tc>
          <w:tcPr>
            <w:tcW w:w="100" w:type="dxa"/>
            <w:vAlign w:val="bottom"/>
          </w:tcPr>
          <w:p>
            <w:pPr>
              <w:spacing w:after="0"/>
              <w:rPr>
                <w:sz w:val="24"/>
                <w:szCs w:val="24"/>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(96,165)</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(508,320)</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541,263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117,000</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56,534</w:t>
            </w:r>
          </w:p>
        </w:tc>
      </w:tr>
      <w:tr>
        <w:trPr>
          <w:trHeight w:val="175"/>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(59,915)</w:t>
            </w:r>
          </w:p>
        </w:tc>
      </w:tr>
      <w:tr>
        <w:trPr>
          <w:trHeight w:val="176"/>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(6,291)</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(9,283)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73"/>
        </w:trPr>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265,578</w:t>
            </w:r>
          </w:p>
        </w:tc>
        <w:tc>
          <w:tcPr>
            <w:tcW w:w="100" w:type="dxa"/>
            <w:vAlign w:val="bottom"/>
          </w:tcPr>
          <w:p>
            <w:pPr>
              <w:spacing w:after="0"/>
              <w:rPr>
                <w:sz w:val="15"/>
                <w:szCs w:val="15"/>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831,710</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(3,449)</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203"/>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282,322</w:t>
            </w:r>
          </w:p>
        </w:tc>
        <w:tc>
          <w:tcPr>
            <w:tcW w:w="100" w:type="dxa"/>
            <w:vAlign w:val="bottom"/>
          </w:tcPr>
          <w:p>
            <w:pPr>
              <w:spacing w:after="0"/>
              <w:rPr>
                <w:sz w:val="17"/>
                <w:szCs w:val="17"/>
                <w:color w:val="auto"/>
              </w:rPr>
            </w:pP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39,447</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r>
      <w:tr>
        <w:trPr>
          <w:trHeight w:val="212"/>
        </w:trPr>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12,276</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w:t>
            </w:r>
          </w:p>
        </w:tc>
      </w:tr>
      <w:tr>
        <w:trPr>
          <w:trHeight w:val="170"/>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294,598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40,155</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w:t>
            </w: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58"/>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203"/>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w:t>
            </w:r>
          </w:p>
        </w:tc>
      </w:tr>
      <w:tr>
        <w:trPr>
          <w:trHeight w:val="203"/>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9"/>
        </w:trPr>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62,400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ectPr>
          <w:pgSz w:w="11900" w:h="16838" w:orient="portrait"/>
          <w:cols w:equalWidth="0" w:num="2">
            <w:col w:w="6400" w:space="720"/>
            <w:col w:w="3920"/>
          </w:cols>
          <w:pgMar w:left="340" w:top="1255" w:right="519" w:bottom="1440" w:gutter="0" w:footer="0" w:header="0"/>
          <w:type w:val="continuous"/>
        </w:sectPr>
      </w:pPr>
    </w:p>
    <w:p>
      <w:pPr>
        <w:spacing w:after="0" w:line="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040"/>
          </w:cols>
          <w:pgMar w:left="340" w:top="1255" w:right="51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1255" w:right="519" w:bottom="1440" w:gutter="0" w:footer="0" w:header="0"/>
          <w:type w:val="continuous"/>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right="4660" w:firstLine="8"/>
        <w:spacing w:after="0" w:line="378"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SIGNIFICANT ACCOUNTING POLICIES Description of Business</w:t>
      </w:r>
    </w:p>
    <w:p>
      <w:pPr>
        <w:spacing w:after="0" w:line="256" w:lineRule="auto"/>
        <w:rPr>
          <w:sz w:val="20"/>
          <w:szCs w:val="20"/>
          <w:color w:val="auto"/>
        </w:rPr>
      </w:pPr>
      <w:r>
        <w:rPr>
          <w:rFonts w:ascii="Times New Roman" w:cs="Times New Roman" w:eastAsia="Times New Roman" w:hAnsi="Times New Roman"/>
          <w:sz w:val="18"/>
          <w:szCs w:val="18"/>
          <w:color w:val="auto"/>
        </w:rPr>
        <w:t>GoHealth, Inc.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was incorporated in Delaware on March 27, 2020 for the purpose of facilitating an initial public offering and other related transactions in order to carry on the business of GoHealth Holdings, LLC (formerly known as Blizzard Parent, LLC), a Delaware limited liability company, and its wholly owned subsidiaries (collectively, "GHH, LLC"). On July 17, 2020, the Company completed an initial public offering of 43,500,000 shares of its Class A common stock at a public offering price of $21.00 per share (“the IPO”), receiving approximately $852.4 million in net proceeds, after deducting the underwriting discount and offering expenses.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Company’s IPO, the Company completed a series of organizational transactions (the “Transactions”). The Transactions included:</w:t>
      </w:r>
    </w:p>
    <w:p>
      <w:pPr>
        <w:spacing w:after="0" w:line="117" w:lineRule="exact"/>
        <w:rPr>
          <w:sz w:val="20"/>
          <w:szCs w:val="20"/>
          <w:color w:val="auto"/>
        </w:rPr>
      </w:pPr>
    </w:p>
    <w:p>
      <w:pPr>
        <w:ind w:left="980" w:hanging="486"/>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the existing limited liability company agreement of GHH, LLC to, among other things, (1) recapitalize all existing ownership interests in GHH, LLC (including profits units awarded under the existing limited liability company agreement of GHH, LLC) and (2) appoint the Company as the sole managing member of GHH, LLC upon its acquisition of LLC Interests in connection with the IPO;</w:t>
      </w:r>
    </w:p>
    <w:p>
      <w:pPr>
        <w:spacing w:after="0" w:line="71" w:lineRule="exact"/>
        <w:rPr>
          <w:rFonts w:ascii="Times New Roman" w:cs="Times New Roman" w:eastAsia="Times New Roman" w:hAnsi="Times New Roman"/>
          <w:sz w:val="18"/>
          <w:szCs w:val="18"/>
          <w:color w:val="auto"/>
        </w:rPr>
      </w:pPr>
    </w:p>
    <w:p>
      <w:pPr>
        <w:ind w:left="980" w:hanging="486"/>
        <w:spacing w:after="0" w:line="25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the Company’s certificate of incorporation to, among other things, provide for (1) Class A common stock, with each share of the Company’s Class A common stock entitling its holder to economic rights and one vote per share on all matters presented to stockholders generally and (2) Class B common stock, with each share of the Company’s Class B common stock being a non-economic share but entitling its holder to one vote per share on all matters presented to stockholders generally (provided that shares of Class B common stock may only be held by the Continuing Equity Owners and their respective permitted transferees);</w:t>
      </w:r>
    </w:p>
    <w:p>
      <w:pPr>
        <w:spacing w:after="0" w:line="75" w:lineRule="exact"/>
        <w:rPr>
          <w:rFonts w:ascii="Times New Roman" w:cs="Times New Roman" w:eastAsia="Times New Roman" w:hAnsi="Times New Roman"/>
          <w:sz w:val="18"/>
          <w:szCs w:val="18"/>
          <w:color w:val="auto"/>
        </w:rPr>
      </w:pPr>
    </w:p>
    <w:p>
      <w:pPr>
        <w:ind w:left="980" w:right="400" w:hanging="486"/>
        <w:spacing w:after="0" w:line="25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307,980,070 shares of the Company's Class B common stock, including the issuance of 229,399,322 such shares to the Continuing Equity Owners, which is equal to the number of LLC Interests held directly or indirectly by such Continuing Equity Owners immediately following the Transactions, for nominal consideration;</w:t>
      </w:r>
    </w:p>
    <w:p>
      <w:pPr>
        <w:spacing w:after="0" w:line="68" w:lineRule="exact"/>
        <w:rPr>
          <w:rFonts w:ascii="Times New Roman" w:cs="Times New Roman" w:eastAsia="Times New Roman" w:hAnsi="Times New Roman"/>
          <w:sz w:val="18"/>
          <w:szCs w:val="18"/>
          <w:color w:val="auto"/>
        </w:rPr>
      </w:pPr>
    </w:p>
    <w:p>
      <w:pPr>
        <w:ind w:left="980" w:right="12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43,500,000 shares of the Company’s Class A common stock to the purchasers in the IPO in exchange for net proceeds, after taking into account the underwriting discount and offering expenses payable by the Company, of approximately $852.4 million;</w:t>
      </w:r>
    </w:p>
    <w:p>
      <w:pPr>
        <w:spacing w:after="0" w:line="40" w:lineRule="exact"/>
        <w:rPr>
          <w:rFonts w:ascii="Times New Roman" w:cs="Times New Roman" w:eastAsia="Times New Roman" w:hAnsi="Times New Roman"/>
          <w:sz w:val="18"/>
          <w:szCs w:val="18"/>
          <w:color w:val="auto"/>
        </w:rPr>
      </w:pPr>
    </w:p>
    <w:p>
      <w:pPr>
        <w:ind w:left="980" w:right="360" w:hanging="486"/>
        <w:spacing w:after="0" w:line="232" w:lineRule="auto"/>
        <w:tabs>
          <w:tab w:leader="none" w:pos="97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acquisition by the Company of the Blocker Company in a merger transaction (the “Blocker Merger”), which Blocker Company held 45,503,276 LLC interests and a corresponding amount of the Company’s Class B common stock (which shares were cancelled after the Blocker Merger), in exchange for 40,682,961 shares of the Company’s Class A common stock and payment of $96.2 million in cash to Blocker Shareholders;</w:t>
      </w:r>
    </w:p>
    <w:p>
      <w:pPr>
        <w:spacing w:after="0" w:line="76" w:lineRule="exact"/>
        <w:rPr>
          <w:rFonts w:ascii="Arial" w:cs="Arial" w:eastAsia="Arial" w:hAnsi="Arial"/>
          <w:sz w:val="18"/>
          <w:szCs w:val="18"/>
          <w:color w:val="auto"/>
        </w:rPr>
      </w:pPr>
    </w:p>
    <w:p>
      <w:pPr>
        <w:ind w:left="980" w:right="220" w:hanging="486"/>
        <w:spacing w:after="0" w:line="215" w:lineRule="auto"/>
        <w:tabs>
          <w:tab w:leader="none" w:pos="97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use of the remaining net proceeds from the IPO to (i) pay $508.3 million in cash to redeem 25,479,685 LLC Interests held directly or indirectly by the Continuing Equity Owners, (ii) satisfy in full $100.0 million in aggregate face amount of senior preferred earnout units in connection with the Transactions, and (iii) use for general corporate purposes.</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15" w:name="page16"/>
    <w:bookmarkEnd w:id="15"/>
    <w:p>
      <w:pPr>
        <w:ind w:left="980" w:right="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(1) a stockholders’ agreement with Centerbridge and NVX Holdings, (2) a registration rights agreement with certain of the Continuing Equity Owners and (3) a tax receivable agreement with GHH, LLC, the Continuing Equity Owners and the Blocker Shareholders.</w:t>
      </w:r>
    </w:p>
    <w:p>
      <w:pPr>
        <w:spacing w:after="0" w:line="17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 connection with the IPO, the Company became the sole managing member of GHH, LLC and controls the management of GHH, LLC. As a result, the Company consolidates GHH, LLC’s financial results in its consolidated financial statements and reports a 73.3% non-controlling interest for the economic interest in GHH, LLC held by the Continuing Equity Owners. As of September 30, 2020, the Company owned approximately 26.7% of GHH, LLC.</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Transactions were considered transactions between entities under common control. As a result, the financial statements for periods prior to the IPO and the Transactions have been adjusted to combine the previously separate entities for presentation purposes.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GHH, LLC is a holding company with no operating assets or operations and was formed to acquire a 100% equity interest in Norvax, LLC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GHH, LLC are carried out by Norvax. On August 15, 2019, GHH, LLC entered a series of arrangements to acquire 100% of the equity interest in Norvax. On September 13, 2019, Blizzard Merger Sub LLC, a transitory merger company of Blizzard Midco, LLC, merged into Norvax, with Norvax continuing as the surviving limited liability company and GHH, LLC's operating entity (the “Acquisition”).</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Acquisition, which is discussed further in Note 2 – Acquisition, Norvax was determined to be the accounting acquirer and Norvax’s historical assets and liabilities are reflected at fair value as of the acquisition date. The financial information for the period after September 13, 2019, represents the condensed consolidated financial information of the “Successor” company. Prior to September 13, 2019, the condensed consolidated financial statements include the accounts of the “Predecessor” company. Due to the change in the basis of accounting resulting from the application of the acquisition method of accounting, the Predecessor’s condensed consolidated financial statements and the Successor’s condensed consolidated financial statements are not necessarily comparable.</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(“U.S. GAAP”) for interim financial information, but do not include all information and footnote disclosures required under U.S.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Company’s audited consolidated financial statements and notes thereto included in the prospectus dated July 14, 2020, filed with the Securities and Exchange Commission (“SEC”) in accordance with Rule 424(b) of the Securities Act of 1933, as amended, on July 16, 2020. Interim results are not necessarily indicative of results for the full fiscal year due to seasonality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2019.</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considers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accounts in the United States are insured by the Federal Deposit Insurance Corporation (“FDIC”) up to $250,000. As of September 30, 2020 and December 31, 2019, the Company’s cash balances in the United States exceeded the FDIC-insured limits by $294.3 million and $12.0 million, respectively. The Company also has an immaterial amount of cash held in Europe to fund its Slovakian operations. The Company does not believe it is exposed to any significant risk with respect to cash balances.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require collateral or other security in granting credit. As of September 30, 2020, three customers each represented 10% or more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accounts receivable and, in aggregate, represented 94%, or $7.5 million, of the Company’s total accounts receivable.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five customers each represented 10% or more of the Company’s total accounts receivable and, in aggregate, represented 87%, or $21.2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the Company’s total accounts receivable.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2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Receivable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Commissions receivable are contract assets that represent estimated variable consideration for renewal commissions to be received from insurance carriers for performance obligations that have been satisfied. The current portion of commissions receivable are future renewal commissions expected to be received within one year, while the non-current portion of commissions receivable are expected to be received beyond one year. The Company assesses impairment for uncollectible consideration when information available indicates it is probable that an asset has been impaired. There were no impairments recorded during the three and nine months ended September 30, 2020, the period from July 1, 2019 through September 12, 2019, the period from September 13, 2019 through September 30, 2019, or the period from January 1, 2019 through September 12, 2019.</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fees relating to the IPO. Deferred offering costs totaling $7.7 million at June 30, 2020, included in prepaid expenses and other assets, were offset against the proceeds upon the completion of the IPO in July 2020. Total offering costs relating to the IPO were $61.1 million, including the underwriting discount.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it refers to as enterprise revenue and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17" w:name="page18"/>
    <w:bookmarkEnd w:id="17"/>
    <w:p>
      <w:pPr>
        <w:ind w:right="140"/>
        <w:spacing w:after="0" w:line="266" w:lineRule="auto"/>
        <w:rPr>
          <w:sz w:val="20"/>
          <w:szCs w:val="20"/>
          <w:color w:val="auto"/>
        </w:rPr>
      </w:pPr>
      <w:r>
        <w:rPr>
          <w:rFonts w:ascii="Times New Roman" w:cs="Times New Roman" w:eastAsia="Times New Roman" w:hAnsi="Times New Roman"/>
          <w:sz w:val="18"/>
          <w:szCs w:val="18"/>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68" w:lineRule="exact"/>
        <w:rPr>
          <w:sz w:val="20"/>
          <w:szCs w:val="20"/>
          <w:color w:val="auto"/>
        </w:rPr>
      </w:pPr>
    </w:p>
    <w:p>
      <w:pPr>
        <w:ind w:left="980" w:right="40" w:hanging="486"/>
        <w:spacing w:after="0" w:line="25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policy effective date. Payment terms from non-commission revenue are typically 30 days from the invoice date.</w:t>
      </w:r>
    </w:p>
    <w:p>
      <w:pPr>
        <w:spacing w:after="0" w:line="79" w:lineRule="exact"/>
        <w:rPr>
          <w:rFonts w:ascii="Times New Roman" w:cs="Times New Roman" w:eastAsia="Times New Roman" w:hAnsi="Times New Roman"/>
          <w:sz w:val="18"/>
          <w:szCs w:val="18"/>
          <w:color w:val="auto"/>
        </w:rPr>
      </w:pPr>
    </w:p>
    <w:p>
      <w:pPr>
        <w:jc w:val="both"/>
        <w:ind w:left="980" w:right="20" w:hanging="486"/>
        <w:spacing w:after="0" w:line="281" w:lineRule="auto"/>
        <w:tabs>
          <w:tab w:leader="none" w:pos="9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56" w:lineRule="exact"/>
        <w:rPr>
          <w:rFonts w:ascii="Times New Roman" w:cs="Times New Roman" w:eastAsia="Times New Roman" w:hAnsi="Times New Roman"/>
          <w:sz w:val="17"/>
          <w:szCs w:val="17"/>
          <w:color w:val="auto"/>
        </w:rPr>
      </w:pPr>
    </w:p>
    <w:p>
      <w:pPr>
        <w:ind w:left="980" w:right="12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53" w:lineRule="exact"/>
        <w:rPr>
          <w:rFonts w:ascii="Times New Roman" w:cs="Times New Roman" w:eastAsia="Times New Roman" w:hAnsi="Times New Roman"/>
          <w:sz w:val="18"/>
          <w:szCs w:val="18"/>
          <w:color w:val="auto"/>
        </w:rPr>
      </w:pPr>
    </w:p>
    <w:p>
      <w:pPr>
        <w:ind w:left="980" w:right="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67" w:lineRule="exact"/>
        <w:rPr>
          <w:rFonts w:ascii="Times New Roman" w:cs="Times New Roman" w:eastAsia="Times New Roman" w:hAnsi="Times New Roman"/>
          <w:sz w:val="18"/>
          <w:szCs w:val="18"/>
          <w:color w:val="auto"/>
        </w:rPr>
      </w:pPr>
    </w:p>
    <w:p>
      <w:pPr>
        <w:ind w:left="980" w:right="16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recognizes commission revenue from the sale of insurance products at the point when carriers approve an insurance application produced by the Company.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Company typically enters into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commission contracts with customers.</w:t>
      </w:r>
    </w:p>
    <w:p>
      <w:pPr>
        <w:spacing w:after="0" w:line="1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18" w:name="page19"/>
    <w:bookmarkEnd w:id="18"/>
    <w:p>
      <w:pPr>
        <w:ind w:right="80"/>
        <w:spacing w:after="0" w:line="282" w:lineRule="auto"/>
        <w:rPr>
          <w:sz w:val="20"/>
          <w:szCs w:val="20"/>
          <w:color w:val="auto"/>
        </w:rPr>
      </w:pPr>
      <w:r>
        <w:rPr>
          <w:rFonts w:ascii="Times New Roman" w:cs="Times New Roman" w:eastAsia="Times New Roman" w:hAnsi="Times New Roman"/>
          <w:sz w:val="18"/>
          <w:szCs w:val="18"/>
          <w:color w:val="auto"/>
        </w:rPr>
        <w:t>allows the Company to estimate the commissions it expects to collect for each cohort by evaluating various factors, including but not limited to, contracted commission rates, carrier mix, and expected member churn.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re-estimates LTV at a cohort level for outstanding cohorts, reviews and monitors changes in the data used to estimate LTV, as well as the cash received for each cohort as compared to the original estimates. The difference between cash received for each cohort and the respective estimated LTV can be significant and may or may not be indicative of the need to adjust revenue for prior period cohorts. Changes in LTV may result in an increase or a decrease to revenue and a corresponding increase or decrease to commissions receivable. The Company analyzes these differences and, to the extent the Company believes differences in the estimates of the cash received are indicative of an increase or decrease to prior period LTVs, the Company will adjust revenue for the affected cohorts at the time such determination is made and when it is probable that a significant reversal in the amount of cumulative revenue recognized will not occur. For the three and nine months ended September 30, 2020, the Company did not recognize any revenue adjustment related to prior period cohorts.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refers to all non-commission revenue collectively as enterprise revenue, which includes the services and products described below.</w:t>
      </w:r>
    </w:p>
    <w:p>
      <w:pPr>
        <w:spacing w:after="0" w:line="23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Within the Company’s Medicare and Individual Family Plans, or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210" w:lineRule="exact"/>
        <w:rPr>
          <w:sz w:val="20"/>
          <w:szCs w:val="20"/>
          <w:color w:val="auto"/>
        </w:rPr>
      </w:pPr>
    </w:p>
    <w:p>
      <w:pPr>
        <w:jc w:val="both"/>
        <w:ind w:right="600"/>
        <w:spacing w:after="0" w:line="250" w:lineRule="auto"/>
        <w:rPr>
          <w:sz w:val="20"/>
          <w:szCs w:val="20"/>
          <w:color w:val="auto"/>
        </w:rPr>
      </w:pPr>
      <w:r>
        <w:rPr>
          <w:rFonts w:ascii="Times New Roman" w:cs="Times New Roman" w:eastAsia="Times New Roman" w:hAnsi="Times New Roman"/>
          <w:sz w:val="18"/>
          <w:szCs w:val="18"/>
          <w:color w:val="auto"/>
        </w:rPr>
        <w:t>The Company also provides services to its members and other customers in the Medicare—Internal and External segments related to its Encompass Platform. The Encompass Platform offerings include value-based care provider engagement, health risk assessments, social determinants of health screening, and preferred pharmacy programs. The Company recognizes revenue as it satisfies the related performance obligation.</w:t>
      </w:r>
    </w:p>
    <w:p>
      <w:pPr>
        <w:spacing w:after="0" w:line="17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Additionally, the Company earns development funds, based on delivering call volumes or providing marketing services to certain insurance carriers. The Company recognizes revenue as it satisfies the related performance obligation.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depicts the disaggregation of revenue by product, and is consistent with how the Company evaluates its financial performance: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61"/>
        </w:trPr>
        <w:tc>
          <w:tcPr>
            <w:tcW w:w="3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July</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20" w:type="dxa"/>
            <w:vAlign w:val="bottom"/>
          </w:tcPr>
          <w:p>
            <w:pPr>
              <w:spacing w:after="0"/>
              <w:rPr>
                <w:sz w:val="13"/>
                <w:szCs w:val="13"/>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62"/>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13, 2019</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2019 through</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13, 2019</w:t>
            </w:r>
          </w:p>
        </w:tc>
        <w:tc>
          <w:tcPr>
            <w:tcW w:w="120" w:type="dxa"/>
            <w:vAlign w:val="bottom"/>
          </w:tcPr>
          <w:p>
            <w:pPr>
              <w:spacing w:after="0"/>
              <w:rPr>
                <w:sz w:val="14"/>
                <w:szCs w:val="14"/>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January 1, 2019</w:t>
            </w:r>
          </w:p>
        </w:tc>
      </w:tr>
      <w:tr>
        <w:trPr>
          <w:trHeight w:val="162"/>
        </w:trPr>
        <w:tc>
          <w:tcPr>
            <w:tcW w:w="31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6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 September</w:t>
            </w:r>
          </w:p>
        </w:tc>
      </w:tr>
      <w:tr>
        <w:trPr>
          <w:trHeight w:val="190"/>
        </w:trPr>
        <w:tc>
          <w:tcPr>
            <w:tcW w:w="31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16"/>
                <w:szCs w:val="16"/>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Pr>
          <w:p>
            <w:pPr>
              <w:spacing w:after="0"/>
              <w:rPr>
                <w:sz w:val="16"/>
                <w:szCs w:val="16"/>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12, 2019</w:t>
            </w:r>
          </w:p>
        </w:tc>
      </w:tr>
      <w:tr>
        <w:trPr>
          <w:trHeight w:val="23"/>
        </w:trPr>
        <w:tc>
          <w:tcPr>
            <w:tcW w:w="3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revenue:</w:t>
            </w: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 Advantage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282,251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119,828</w:t>
            </w:r>
          </w:p>
        </w:tc>
      </w:tr>
      <w:tr>
        <w:trPr>
          <w:trHeight w:val="27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Medicare Supplement</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r>
      <w:tr>
        <w:trPr>
          <w:trHeight w:val="270"/>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Prescription Drug Plans</w:t>
            </w: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50"/>
        </w:trPr>
        <w:tc>
          <w:tcPr>
            <w:tcW w:w="3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Medicare</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96,831</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288,897</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130,668</w:t>
            </w: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 and Family Plan:</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Indemnity</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35,320</w:t>
            </w:r>
          </w:p>
        </w:tc>
      </w:tr>
      <w:tr>
        <w:trPr>
          <w:trHeight w:val="270"/>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 Term</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70"/>
        </w:trPr>
        <w:tc>
          <w:tcPr>
            <w:tcW w:w="3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Major Medical</w:t>
            </w: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50"/>
        </w:trPr>
        <w:tc>
          <w:tcPr>
            <w:tcW w:w="3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Individual and Family Plan</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38,638</w:t>
            </w:r>
          </w:p>
        </w:tc>
      </w:tr>
      <w:tr>
        <w:trPr>
          <w:trHeight w:val="27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Ancillary</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r>
      <w:tr>
        <w:trPr>
          <w:trHeight w:val="27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Group</w:t>
            </w: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Commission Revenue</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101,390</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310,506</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175,834</w:t>
            </w:r>
          </w:p>
        </w:tc>
      </w:tr>
      <w:tr>
        <w:trPr>
          <w:trHeight w:val="27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Revenue</w:t>
            </w: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61,970</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120,921</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55,176</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163,360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19,790</w:t>
            </w:r>
          </w:p>
        </w:tc>
        <w:tc>
          <w:tcPr>
            <w:tcW w:w="120" w:type="dxa"/>
            <w:vAlign w:val="bottom"/>
            <w:tcBorders>
              <w:right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431,427</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19,790</w:t>
            </w:r>
          </w:p>
        </w:tc>
        <w:tc>
          <w:tcPr>
            <w:tcW w:w="140" w:type="dxa"/>
            <w:vAlign w:val="bottom"/>
            <w:tcBorders>
              <w:right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231,010</w:t>
            </w:r>
          </w:p>
        </w:tc>
      </w:tr>
      <w:tr>
        <w:trPr>
          <w:trHeight w:val="20"/>
        </w:trPr>
        <w:tc>
          <w:tcPr>
            <w:tcW w:w="3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recognized $14.8 million of revenue that was deferred as of December 31, 2019. The Company generally recognizes deferred revenue over a three- to six-month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typically highest in the Company’s fourth quarter.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majority of the Company’s individual and family health insurance plans are sold in its fourth quarter during the annual open enrollment period as defined under the federal Patient Protection and Affordable Care Act and related amendments in the Health Care and 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Disclosure Framework – Changes to the Disclosure Requirements for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w:t>
      </w:r>
      <w:r>
        <w:rPr>
          <w:rFonts w:ascii="Times New Roman" w:cs="Times New Roman" w:eastAsia="Times New Roman" w:hAnsi="Times New Roman"/>
          <w:sz w:val="18"/>
          <w:szCs w:val="18"/>
          <w:color w:val="auto"/>
        </w:rPr>
        <w:t>t (Topic 820), which amended the disclosure requirements under ASC 820. This update clarifies and unifies the disclosure of Level 3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This guidance is effective for fiscal years beginning after December 15, 2019 and for interim periods within those fiscal years, although early adoption is permitted for either the entire standard or only the provisions that eliminate or modify the requirements. The Company adopted this standard on January 1, 2020, and the adoption did not have a material effect on our condensed consolidated financial statements.</w:t>
      </w:r>
    </w:p>
    <w:p>
      <w:pPr>
        <w:spacing w:after="0" w:line="183"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In June 2018, the FASB issued ASU 2018-7, </w:t>
      </w:r>
      <w:r>
        <w:rPr>
          <w:rFonts w:ascii="Times New Roman" w:cs="Times New Roman" w:eastAsia="Times New Roman" w:hAnsi="Times New Roman"/>
          <w:sz w:val="18"/>
          <w:szCs w:val="18"/>
          <w:i w:val="1"/>
          <w:iCs w:val="1"/>
          <w:color w:val="auto"/>
        </w:rPr>
        <w:t>Stock Compensation – Improvements to Nonemployee Share-Based Payment Accounting (</w:t>
      </w:r>
      <w:r>
        <w:rPr>
          <w:rFonts w:ascii="Times New Roman" w:cs="Times New Roman" w:eastAsia="Times New Roman" w:hAnsi="Times New Roman"/>
          <w:sz w:val="18"/>
          <w:szCs w:val="18"/>
          <w:color w:val="auto"/>
        </w:rPr>
        <w:t>Topic 718). This guidance expands the scope of Topic 718 to include share-based payment transactions for</w:t>
      </w:r>
    </w:p>
    <w:p>
      <w:pPr>
        <w:sectPr>
          <w:pgSz w:w="11900" w:h="16838" w:orient="portrait"/>
          <w:cols w:equalWidth="0" w:num="1">
            <w:col w:w="11240"/>
          </w:cols>
          <w:pgMar w:left="320" w:top="1386"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20" w:name="page21"/>
    <w:bookmarkEnd w:id="20"/>
    <w:p>
      <w:pPr>
        <w:ind w:right="120"/>
        <w:spacing w:after="0" w:line="261" w:lineRule="auto"/>
        <w:rPr>
          <w:sz w:val="20"/>
          <w:szCs w:val="20"/>
          <w:color w:val="auto"/>
        </w:rPr>
      </w:pPr>
      <w:r>
        <w:rPr>
          <w:rFonts w:ascii="Times New Roman" w:cs="Times New Roman" w:eastAsia="Times New Roman" w:hAnsi="Times New Roman"/>
          <w:sz w:val="18"/>
          <w:szCs w:val="18"/>
          <w:color w:val="auto"/>
        </w:rPr>
        <w:t>acquiring goods and services from nonemployees. Per ASU 2019-8, issued November 2019, the guidance is effective for fiscal years beginning after December 15, 2019, and interim periods within fiscal years beginning after December 15, 2019. Early adoption is permitted, but no earlier than an entity’s adoption date of Topic 606. The Company adopted this standard on January 1, 2020, and the adoption did not have a material effect on our condensed consolidated financial statements.</w:t>
      </w:r>
    </w:p>
    <w:p>
      <w:pPr>
        <w:spacing w:after="0" w:line="1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2020-5, </w:t>
      </w:r>
      <w:r>
        <w:rPr>
          <w:rFonts w:ascii="Times New Roman" w:cs="Times New Roman" w:eastAsia="Times New Roman" w:hAnsi="Times New Roman"/>
          <w:sz w:val="18"/>
          <w:szCs w:val="18"/>
          <w:i w:val="1"/>
          <w:iCs w:val="1"/>
          <w:color w:val="auto"/>
        </w:rPr>
        <w:t>Revenue from Contracts with Customers (Topic 606) and Leases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Dates for Certain Entities</w:t>
      </w:r>
      <w:r>
        <w:rPr>
          <w:rFonts w:ascii="Times New Roman" w:cs="Times New Roman" w:eastAsia="Times New Roman" w:hAnsi="Times New Roman"/>
          <w:sz w:val="18"/>
          <w:szCs w:val="18"/>
          <w:color w:val="auto"/>
        </w:rPr>
        <w:t>, issued June 2020, the guidance in ASU 2016-2, as amended, is effective for fiscal years beginning after December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and interim periods within fiscal years beginning after December 15, 2022. Early adoption is permitted. The Company is currently evaluating the new guidance to determine the impact it will have on its condensed consolidated financial statements.</w:t>
      </w:r>
    </w:p>
    <w:p>
      <w:pPr>
        <w:spacing w:after="0" w:line="1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2019, the FASB issued ASU 2019-11,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condensed consolidated financial statements.</w:t>
      </w:r>
    </w:p>
    <w:p>
      <w:pPr>
        <w:spacing w:after="0" w:line="288" w:lineRule="exact"/>
        <w:rPr>
          <w:sz w:val="20"/>
          <w:szCs w:val="20"/>
          <w:color w:val="auto"/>
        </w:rPr>
      </w:pPr>
    </w:p>
    <w:p>
      <w:pPr>
        <w:ind w:right="9080" w:firstLine="8"/>
        <w:spacing w:after="0" w:line="377"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Acquisition of Norvax, LLC</w:t>
      </w:r>
    </w:p>
    <w:p>
      <w:pPr>
        <w:spacing w:after="0" w:line="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September 13, 2019, GHH, LLC acquired a 100% interest in Norvax, for $807.6 million in cash and $306.0 million in equity. In connection with the Acquisition, GHH, LLC also agreed to pay additional consideration of up to $275.0 million in additional GHH, LLC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The elements of the purchase consideration are as follows: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21"/>
        </w:trPr>
        <w:tc>
          <w:tcPr>
            <w:tcW w:w="9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807,591</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GHH, LLC Class A and B Common Units issued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306,000</w:t>
            </w:r>
          </w:p>
        </w:tc>
      </w:tr>
      <w:tr>
        <w:trPr>
          <w:trHeight w:val="27"/>
        </w:trPr>
        <w:tc>
          <w:tcPr>
            <w:tcW w:w="9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r>
      <w:tr>
        <w:trPr>
          <w:trHeight w:val="26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1,285,591</w:t>
            </w:r>
          </w:p>
        </w:tc>
      </w:tr>
      <w:tr>
        <w:trPr>
          <w:trHeight w:val="20"/>
        </w:trPr>
        <w:tc>
          <w:tcPr>
            <w:tcW w:w="9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contingent consideration liability of $172.0 million represents the acquisition date fair value of the Earnout payments to Norvax’s selling shareholders and remeasured at each reporting date until settled. The contingent consideration was to be settled in GHH, LLC Common and Senior Preferred Earnout Units within 60 days of the issuance of the 2019 and 2020 audited financial statements. The Senior Preferred Earnout Units earned an annual coupon of 10.3% that provides for the accrual of additional units. Changes in the fair value of the contingent consideration are recognized in the consolidated statement of operations.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full amount available relative to the 2019 target was earned as of December 31, 2019. On May 15, 2020, the contingent consideration related to the 2019 target of $200.0 million was settled with the issuance of 113,407,000 GHH, LLC Class A Common Units, 48,644,750 GHH, LLC Class B Common Units, and 100,000,000 GHH, LLC Senior Preferred Earnout Units.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Company satisfied in full the GHH, LLC Senior Preferred Earnout Units issued in connection with the 2019 Earnout through the use of proceeds raised in the IPO in the amount of $100.0 million. In addition, in connection with the IPO a significant shareholder assumed the liability associated with the 2020 Earnout, which was $62.4 million as of the IPO closing date. After the completion of the IPO, the full amount of the Company’s liabilities with respect to the 2019 and 2020 Earnouts accrued in connection with the Acquisition were settled.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Allocation of Purchase Price</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is based on the fair value of assets acquired and liabilities assumed as of the acquisition date. The components of the purchase price allocation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working capital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receivable – non-current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113,565</w:t>
            </w:r>
          </w:p>
        </w:tc>
      </w:tr>
      <w:tr>
        <w:trPr>
          <w:trHeight w:val="27"/>
        </w:trPr>
        <w:tc>
          <w:tcPr>
            <w:tcW w:w="9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9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83,000</w:t>
            </w:r>
          </w:p>
        </w:tc>
      </w:tr>
      <w:tr>
        <w:trPr>
          <w:trHeight w:val="27"/>
        </w:trPr>
        <w:tc>
          <w:tcPr>
            <w:tcW w:w="9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232,000</w:t>
            </w:r>
          </w:p>
        </w:tc>
      </w:tr>
      <w:tr>
        <w:trPr>
          <w:trHeight w:val="27"/>
        </w:trPr>
        <w:tc>
          <w:tcPr>
            <w:tcW w:w="9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386,553</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7"/>
        </w:trPr>
        <w:tc>
          <w:tcPr>
            <w:tcW w:w="9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payable – non-current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(44,728)</w:t>
            </w:r>
          </w:p>
        </w:tc>
      </w:tr>
      <w:tr>
        <w:trPr>
          <w:trHeight w:val="26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1,285,591</w:t>
            </w:r>
          </w:p>
        </w:tc>
      </w:tr>
      <w:tr>
        <w:trPr>
          <w:trHeight w:val="21"/>
        </w:trPr>
        <w:tc>
          <w:tcPr>
            <w:tcW w:w="9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Goodwill represents the excess of the consideration paid over the estimated fair value of assets acquired and liabilities assumed in a business combination and is primarily attributable to future growth and the assembled workforce. The purchase price allocation was final as of September 30, 2020 with no adjustments made in the measurement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receivable activity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99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58"/>
        </w:trPr>
        <w:tc>
          <w:tcPr>
            <w:tcW w:w="9920" w:type="dxa"/>
            <w:vAlign w:val="bottom"/>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9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3"/>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382,931</w:t>
            </w:r>
          </w:p>
        </w:tc>
      </w:tr>
      <w:tr>
        <w:trPr>
          <w:trHeight w:val="243"/>
        </w:trPr>
        <w:tc>
          <w:tcPr>
            <w:tcW w:w="9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Commission revenue for the period</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310,506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receipts for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(192,618)</w:t>
            </w:r>
          </w:p>
        </w:tc>
      </w:tr>
      <w:tr>
        <w:trPr>
          <w:trHeight w:val="23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500,819</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Commissions receivable – current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95,122</w:t>
            </w:r>
          </w:p>
        </w:tc>
      </w:tr>
      <w:tr>
        <w:trPr>
          <w:trHeight w:val="26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receivable – non-current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405,697</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pacing w:after="0" w:line="18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Level 1 Inputs</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w:t>
      </w:r>
    </w:p>
    <w:p>
      <w:pPr>
        <w:spacing w:after="0" w:line="11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Level 2 Inputs</w:t>
      </w:r>
      <w:r>
        <w:rPr>
          <w:sz w:val="20"/>
          <w:szCs w:val="20"/>
          <w:color w:val="auto"/>
        </w:rPr>
        <w:tab/>
      </w:r>
      <w:r>
        <w:rPr>
          <w:rFonts w:ascii="Times New Roman" w:cs="Times New Roman" w:eastAsia="Times New Roman" w:hAnsi="Times New Roman"/>
          <w:sz w:val="17"/>
          <w:szCs w:val="17"/>
          <w:color w:val="auto"/>
        </w:rPr>
        <w:t>Unadjusted quoted prices in active markets for similar assets or liabilities; unadjusted quoted prices for identical or similar assets or</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liabilities in markets that are not active; inputs other than quoted prices that are observable for the asset or liability.</w:t>
      </w:r>
    </w:p>
    <w:p>
      <w:pPr>
        <w:spacing w:after="0" w:line="9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Level 3 Inputs</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ectPr>
          <w:pgSz w:w="11900" w:h="16838" w:orient="portrait"/>
          <w:cols w:equalWidth="0" w:num="1">
            <w:col w:w="11240"/>
          </w:cols>
          <w:pgMar w:left="320" w:top="138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fair value of the acquired developed technology was estimated as of the acquisition date of September 13, 2019. Such fair value was estimated using the multi-period excess earnings model. This method discounts the amount of excess cash flows generated by the asset. The fair value of the acquired trade names was estimated using the relief from-royalty method which required that GHH, LLC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the acquired customer relationships was estimated as of the acquisition date of September 13, 2019 and does not represent the fair value as of September 30, 2020. Such fair value was estimated using the distributor method under the income approach, which included Level 3 inputs such as revenue, attrition, margin and contributory asset charges.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contingent consideration liability was measured using a Monte Carlo simulation and is discounted using a rate that appropriately captures the risk associated with the obligation. As discussed in </w:t>
      </w:r>
      <w:r>
        <w:rPr>
          <w:rFonts w:ascii="Times New Roman" w:cs="Times New Roman" w:eastAsia="Times New Roman" w:hAnsi="Times New Roman"/>
          <w:sz w:val="18"/>
          <w:szCs w:val="18"/>
          <w:i w:val="1"/>
          <w:iCs w:val="1"/>
          <w:color w:val="auto"/>
        </w:rPr>
        <w:t>Note 2 – Acquisition,</w:t>
      </w:r>
      <w:r>
        <w:rPr>
          <w:rFonts w:ascii="Times New Roman" w:cs="Times New Roman" w:eastAsia="Times New Roman" w:hAnsi="Times New Roman"/>
          <w:sz w:val="18"/>
          <w:szCs w:val="18"/>
          <w:color w:val="auto"/>
        </w:rPr>
        <w:t xml:space="preserve"> in connection with the IPO, a significant shareholder assumed the liability associated with the 2020 Earnout. The Company recorded the settlement of the $64.2 million liability as an increase to additional paid-in capital. The following table sets forth the changes to the fair value of the contingent consideration for the nine months ended September 30, 2020.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99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28"/>
        </w:trPr>
        <w:tc>
          <w:tcPr>
            <w:tcW w:w="9920" w:type="dxa"/>
            <w:vAlign w:val="bottom"/>
          </w:tcPr>
          <w:p>
            <w:pPr>
              <w:spacing w:after="0"/>
              <w:rPr>
                <w:sz w:val="11"/>
                <w:szCs w:val="11"/>
                <w:color w:val="auto"/>
              </w:rPr>
            </w:pPr>
          </w:p>
        </w:tc>
        <w:tc>
          <w:tcPr>
            <w:tcW w:w="13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99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242,700</w:t>
            </w:r>
          </w:p>
        </w:tc>
      </w:tr>
      <w:tr>
        <w:trPr>
          <w:trHeight w:val="230"/>
        </w:trPr>
        <w:tc>
          <w:tcPr>
            <w:tcW w:w="9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of 2019 earnout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2020 earnout fair value adjustment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r>
      <w:tr>
        <w:trPr>
          <w:trHeight w:val="229"/>
        </w:trPr>
        <w:tc>
          <w:tcPr>
            <w:tcW w:w="9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Settlement of 2020 earnout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(62,400)</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carrying amount of certain financial instruments, including cash and cash equivalents, accounts receivable,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gross carrying amounts, accumulated amortization, and net carrying amounts of the Company’s definite-lived amortizable intangible assets, as well as its indefinite-lived intangible trademarks, are presented in the tables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6"/>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September 30, 2020 (Successor)</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5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subject to amortization</w:t>
            </w:r>
          </w:p>
        </w:tc>
        <w:tc>
          <w:tcPr>
            <w:tcW w:w="2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629,240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Indefinite-lived trademarks</w:t>
            </w: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4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712,240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6"/>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December 31, 2019 (Successor)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197"/>
              <w:spacing w:after="0" w:line="158"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0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0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474,743</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225,040</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subject to amortization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28,217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699,783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Indefinite-lived trademarks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782,783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There was no impairment of goodwill or intangible assets for the three and nine months ended September 30, 2020, and for the period from September 13, 2019 through September 30,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 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62"/>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299,250</w:t>
            </w: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7"/>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291,233</w:t>
            </w: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7"/>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396,817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13, 2019, in connection with the Acquisition, Norvax, or the Borrower, entered into a first lien credit agreement (the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provides for the following:</w:t>
      </w:r>
    </w:p>
    <w:p>
      <w:pPr>
        <w:spacing w:after="0" w:line="99"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million aggregate principal amount senior secured term loan facility, or the Term Loan Facility;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aggregate principal amount senior secured revolving credit facility, or the Revolving Credit Facility.</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20, 2020, the Company entered into an amendment to the Credit Agreement, which provided $117.0 million of incremental term loans, or the “Incremental Term Loan Facility”. On March 23, 2020, the Company issued 6,666,667 of GHH, LLC Class B Common units to a lender that is party to the Company’s Credit Agreement for $10.0 million in proceeds.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7, 2020, the Company entered into a second amendment to the Credit Agreement, which provided $20.0 million of incremental revolving credit, or the “Incremental Revolving Credit Facility”.</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11, 2020, the Company entered into a third amendment to the Credit Agreement, which provided $8.0 million of incremental revolving credit, or the “Incremental No. 3 Revolving Credit Facility.”</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collectively refers to the Term Loan Facility, the Revolving Credit Facility, the Incremental Term Loan Facility, the Incremental Revolving Credit Facility, and the Incremental No. 3 Revolving Credit Facility as the “Credit Facilities”.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incurred $9.3 million, $6.0 million, $0.2 million and $0.1 million of debt issuance costs associated with the Term Loan Facility, the Incremental Term Loan Facility, the Incremental Revolving Credit Facility and the Incremental No. 3 Revolving Credit Facility, respectively, which are being amortized over the life of the debt to interest expense on a straight-line basis.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had a principal amount of $297.0 million and $116.4 million outstanding on the Term Loan Facility and Incremental Term Loan Facility, respectively. The effective interest rate was 7.5% and 8.4% at September 30, 2020 and December 31, 2019, respectively. The Company had no amounts outstanding on the Revolving Credit Facility,</w:t>
      </w:r>
    </w:p>
    <w:p>
      <w:pPr>
        <w:sectPr>
          <w:pgSz w:w="11900" w:h="16838" w:orient="portrait"/>
          <w:cols w:equalWidth="0" w:num="1">
            <w:col w:w="11240"/>
          </w:cols>
          <w:pgMar w:left="320" w:top="111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type w:val="continuous"/>
        </w:sectPr>
      </w:pPr>
    </w:p>
    <w:bookmarkStart w:id="24" w:name="page25"/>
    <w:bookmarkEnd w:id="24"/>
    <w:p>
      <w:pPr>
        <w:ind w:right="60"/>
        <w:spacing w:after="0" w:line="282" w:lineRule="auto"/>
        <w:rPr>
          <w:sz w:val="20"/>
          <w:szCs w:val="20"/>
          <w:color w:val="auto"/>
        </w:rPr>
      </w:pPr>
      <w:r>
        <w:rPr>
          <w:rFonts w:ascii="Times New Roman" w:cs="Times New Roman" w:eastAsia="Times New Roman" w:hAnsi="Times New Roman"/>
          <w:sz w:val="18"/>
          <w:szCs w:val="18"/>
          <w:color w:val="auto"/>
        </w:rPr>
        <w:t>Incremental Revolving Credit Facility, or Incremental No. 3 Revolving Credit Facility, which had a remaining capacity of $58.0 million in the aggregate as of September 30, 2020.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 and Fees</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of 5.50% per annum. Term loans and revolving loans comprising each LIBOR borrowing bear interest at the LIBOR plus an applicable rate of 6.50% per annum.</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the principal amounts outstanding under the Credit Facilities, the Borrower is required to pay a commitment fee of 0.50% per annum under the Revolving Credit Facility, Incremental Revolving Credit Facility, and Incremental No. 3 Revolving Credit Facility in respect of the unutilized commitments thereunder. The Borrower is also subject to customary letter of credit and agency fees.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Prepayments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Prepayment</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Final Maturity</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Term Loan Facility and Incremental Term Loan Facility are payable in quarterly installments in the principal amount of 0.25% of the original principal amount. The remaining unpaid balance on the Term Loan Facility and Incremental Term Loan Facility, together with all accrued and unpaid interest thereon, is due and payable on or prior to September 13, 2025. Outstanding borrowings under the Revolving Credit Facility, the Incremental Revolving Credit Facility and the Incremental No. 3 Revolving Credit Facility do not amortize and are due and payable on September 13,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Security</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Covenants and Other Matters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and subject to certain exceptions, restrict the Borrower’s and its restricted subsidiaries’ ability to:</w:t>
      </w:r>
    </w:p>
    <w:p>
      <w:pPr>
        <w:spacing w:after="0" w:line="54"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or otherwise dispose of assets;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equity interests, or redeem, repurchase or retire equity interests;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conducted by the Company and subsidiaries;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their fiscal year;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governing documents.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the Credit Agreement contains financial and non-financial covenants. The Company is in compliance with all covenants as of September 30, 2020.</w:t>
      </w:r>
    </w:p>
    <w:p>
      <w:pPr>
        <w:spacing w:after="0" w:line="162" w:lineRule="exact"/>
        <w:rPr>
          <w:sz w:val="20"/>
          <w:szCs w:val="20"/>
          <w:color w:val="auto"/>
        </w:rPr>
      </w:pPr>
    </w:p>
    <w:p>
      <w:pPr>
        <w:jc w:val="both"/>
        <w:ind w:right="440"/>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 The Predecessor Credit Facility provided for borrowings up to a maximum of $16.0 million based upon 80% of eligible trade accounts receivable, plus 40% of certain earned enrollment/commission fees. Norvax paid a variable interest rate on borrowings equal to, at Norvax’s discretion, Prime minus 50 basis points or LIBOR plus 250 basis points. The Predecessor Credit Facility was collateralized by substantially all the assets of Norvax and was subject to certain financial covenants.</w:t>
      </w:r>
    </w:p>
    <w:p>
      <w:pPr>
        <w:spacing w:after="0" w:line="287" w:lineRule="exact"/>
        <w:rPr>
          <w:sz w:val="20"/>
          <w:szCs w:val="20"/>
          <w:color w:val="auto"/>
        </w:rPr>
      </w:pPr>
    </w:p>
    <w:p>
      <w:pPr>
        <w:ind w:right="7260" w:firstLine="8"/>
        <w:spacing w:after="0" w:line="378" w:lineRule="auto"/>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AND MEMBERS’ EQUITY Successor</w:t>
      </w:r>
    </w:p>
    <w:p>
      <w:pPr>
        <w:ind w:right="100"/>
        <w:spacing w:after="0" w:line="242" w:lineRule="auto"/>
        <w:rPr>
          <w:sz w:val="20"/>
          <w:szCs w:val="20"/>
          <w:color w:val="auto"/>
        </w:rPr>
      </w:pPr>
      <w:r>
        <w:rPr>
          <w:rFonts w:ascii="Times New Roman" w:cs="Times New Roman" w:eastAsia="Times New Roman" w:hAnsi="Times New Roman"/>
          <w:sz w:val="18"/>
          <w:szCs w:val="18"/>
          <w:color w:val="auto"/>
        </w:rPr>
        <w:t>In connection with the Company’s IPO in July 2020, the Company’s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 and the number of shares authorized as of September 30, 2020 was 619,003,717.</w:t>
      </w:r>
    </w:p>
    <w:p>
      <w:pPr>
        <w:spacing w:after="0" w:line="32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and the GoHealth Holdings, LLC Agreement require that the Company and GoHealth Holdings,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our Class B common stock. Shares of Class B common stock are transferable for shares of Class A common stock only together with an equal number of LLC Interests.</w:t>
      </w:r>
    </w:p>
    <w:p>
      <w:pPr>
        <w:sectPr>
          <w:pgSz w:w="11900" w:h="16838" w:orient="portrait"/>
          <w:cols w:equalWidth="0" w:num="1">
            <w:col w:w="11240"/>
          </w:cols>
          <w:pgMar w:left="320" w:top="1388"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type w:val="continuous"/>
        </w:sectPr>
      </w:pPr>
    </w:p>
    <w:bookmarkStart w:id="26" w:name="page27"/>
    <w:bookmarkEnd w:id="26"/>
    <w:p>
      <w:pPr>
        <w:ind w:right="120"/>
        <w:spacing w:after="0" w:line="238" w:lineRule="auto"/>
        <w:rPr>
          <w:sz w:val="20"/>
          <w:szCs w:val="20"/>
          <w:color w:val="auto"/>
        </w:rPr>
      </w:pPr>
      <w:r>
        <w:rPr>
          <w:rFonts w:ascii="Times New Roman" w:cs="Times New Roman" w:eastAsia="Times New Roman" w:hAnsi="Times New Roman"/>
          <w:sz w:val="18"/>
          <w:szCs w:val="18"/>
          <w:color w:val="auto"/>
        </w:rPr>
        <w:t>Holders of shares of the Company’s Class A common stock are entitled to one vote for each share held of record on all matters submitted to a vote of stockholders. Each share of our Class B common stock entitles its holders to one vote per share on all matters presented to the Company’s stockholders generally. Holders of shares of our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Continuing Equity Owners may, subject to certain exceptions, from time to time at each of their options require GoHealth Holdings, LLC to redeem all or a portion of their LLC Interests in exchange for, at the Company’s election (determined by at least two of the Company’s independent directors who are disinterested), newly-issued shares of our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spacing w:after="0" w:line="212"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w:t>
      </w:r>
    </w:p>
    <w:p>
      <w:pPr>
        <w:spacing w:after="0" w:line="1" w:lineRule="exact"/>
        <w:rPr>
          <w:sz w:val="20"/>
          <w:szCs w:val="20"/>
          <w:color w:val="auto"/>
        </w:rPr>
      </w:pPr>
    </w:p>
    <w:p>
      <w:pPr>
        <w:ind w:right="760"/>
        <w:spacing w:after="0" w:line="255" w:lineRule="auto"/>
        <w:rPr>
          <w:sz w:val="20"/>
          <w:szCs w:val="20"/>
          <w:color w:val="auto"/>
        </w:rPr>
      </w:pPr>
      <w:r>
        <w:rPr>
          <w:rFonts w:ascii="Times New Roman" w:cs="Times New Roman" w:eastAsia="Times New Roman" w:hAnsi="Times New Roman"/>
          <w:sz w:val="18"/>
          <w:szCs w:val="18"/>
          <w:color w:val="auto"/>
        </w:rPr>
        <w:t xml:space="preserve">required a majority of members holding the outstanding Class A and Class B units, voting together as a single class. Class C units were nonvoting and represented profit interests’ units and entailed no initial capital contribution. Members were limited in their liability to their capital contributions. Immediately prior to the Acquisition described in </w:t>
      </w:r>
      <w:r>
        <w:rPr>
          <w:rFonts w:ascii="Times New Roman" w:cs="Times New Roman" w:eastAsia="Times New Roman" w:hAnsi="Times New Roman"/>
          <w:sz w:val="18"/>
          <w:szCs w:val="18"/>
          <w:i w:val="1"/>
          <w:iCs w:val="1"/>
          <w:color w:val="auto"/>
        </w:rPr>
        <w:t>Note 2 – Acquisition</w:t>
      </w:r>
      <w:r>
        <w:rPr>
          <w:rFonts w:ascii="Times New Roman" w:cs="Times New Roman" w:eastAsia="Times New Roman" w:hAnsi="Times New Roman"/>
          <w:sz w:val="18"/>
          <w:szCs w:val="18"/>
          <w:color w:val="auto"/>
        </w:rPr>
        <w:t>, all Class B units converted to Class A units.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Rights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Rights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Upon a liquidity event defined as: (a) sale or disposition of all or substantially all of the assets of Norvax; (b) the liquidation, dissolution or winding up of Norvax; or (c) any consolidation or merger of Norvax in which the Class A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Class B unit holders owned less than 50% of the voting power of the outstanding securities immediately after the consolidation or merger, the</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Class B units are first to be paid proceeds at a liquidation amount of $10.0 per unit, and from time to time, was decreased by subtracting distributions (other than tax distributions) made in respect of Class B units.</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Upon the occurrence of a Dissolution Event, Norvax continued solely for the purposes of winding up its affairs in an orderly manner, liquidating its assets, and satisfying the claims of its creditors and members. A Dissolution 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Involuntary Transfer Rights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First Refusal</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unit holder could transfer, sell, or assign any Class A or Class B units in a permitted transfer, given that Norvax first had the option to purchase the units being transferred.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Put Option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$8.4 million for the period from July 1, 2019 through September 12, 2019 and $138.4 million for the period from January 1, 2019 through September 12, 2019. These amounts appear as Redeemable Class B unit accretion on the condensed consolidated statements of changes in members’ equity.</w:t>
      </w:r>
    </w:p>
    <w:p>
      <w:pPr>
        <w:spacing w:after="0" w:line="18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Immediately prior to the Acquisition described in </w:t>
      </w:r>
      <w:r>
        <w:rPr>
          <w:rFonts w:ascii="Times New Roman" w:cs="Times New Roman" w:eastAsia="Times New Roman" w:hAnsi="Times New Roman"/>
          <w:sz w:val="18"/>
          <w:szCs w:val="18"/>
          <w:i w:val="1"/>
          <w:iCs w:val="1"/>
          <w:color w:val="auto"/>
        </w:rPr>
        <w:t>Note 2 – Acquisition</w:t>
      </w:r>
      <w:r>
        <w:rPr>
          <w:rFonts w:ascii="Times New Roman" w:cs="Times New Roman" w:eastAsia="Times New Roman" w:hAnsi="Times New Roman"/>
          <w:sz w:val="18"/>
          <w:szCs w:val="18"/>
          <w:color w:val="auto"/>
        </w:rPr>
        <w:t>, Norvax adjusted NEP’s Redeemable Class B units to their full redemption amounts and were then converted to Class A units.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share-based compensation expense by operating function: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 from July 1,</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00" w:type="dxa"/>
            <w:vAlign w:val="bottom"/>
            <w:tcBorders>
              <w:right w:val="single" w:sz="8" w:color="auto"/>
            </w:tcBorders>
          </w:tcPr>
          <w:p>
            <w:pPr>
              <w:spacing w:after="0"/>
              <w:rPr>
                <w:sz w:val="11"/>
                <w:szCs w:val="11"/>
                <w:color w:val="auto"/>
              </w:rPr>
            </w:pP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January</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Borders>
              <w:right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September 13, 2019</w:t>
            </w: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1"/>
                <w:szCs w:val="11"/>
                <w:color w:val="auto"/>
              </w:rPr>
            </w:pPr>
          </w:p>
        </w:tc>
        <w:tc>
          <w:tcPr>
            <w:tcW w:w="1420" w:type="dxa"/>
            <w:vAlign w:val="bottom"/>
            <w:tcBorders>
              <w:right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September 13, 2019</w:t>
            </w: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60" w:type="dxa"/>
            <w:vAlign w:val="bottom"/>
            <w:tcBorders>
              <w:right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10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2019 through</w:t>
            </w: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Borders>
              <w:right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120" w:type="dxa"/>
            <w:vAlign w:val="bottom"/>
          </w:tcPr>
          <w:p>
            <w:pPr>
              <w:spacing w:after="0"/>
              <w:rPr>
                <w:sz w:val="11"/>
                <w:szCs w:val="11"/>
                <w:color w:val="auto"/>
              </w:rPr>
            </w:pPr>
          </w:p>
        </w:tc>
        <w:tc>
          <w:tcPr>
            <w:tcW w:w="13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4"/>
                <w:szCs w:val="14"/>
                <w:b w:val="1"/>
                <w:bCs w:val="1"/>
                <w:color w:val="auto"/>
              </w:rPr>
              <w:t>1, 2019 through</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September 12, 2019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0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September 12, 2019</w:t>
            </w:r>
          </w:p>
        </w:tc>
        <w:tc>
          <w:tcPr>
            <w:tcW w:w="0" w:type="dxa"/>
            <w:vAlign w:val="bottom"/>
          </w:tcPr>
          <w:p>
            <w:pPr>
              <w:spacing w:after="0"/>
              <w:rPr>
                <w:sz w:val="1"/>
                <w:szCs w:val="1"/>
                <w:color w:val="auto"/>
              </w:rPr>
            </w:pPr>
          </w:p>
        </w:tc>
      </w:tr>
      <w:tr>
        <w:trPr>
          <w:trHeight w:val="25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7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care and enrollment</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340" w:type="dxa"/>
            <w:vAlign w:val="bottom"/>
          </w:tcPr>
          <w:p>
            <w:pPr>
              <w:spacing w:after="0"/>
              <w:rPr>
                <w:sz w:val="23"/>
                <w:szCs w:val="23"/>
                <w:color w:val="auto"/>
              </w:rPr>
            </w:pPr>
          </w:p>
        </w:tc>
        <w:tc>
          <w:tcPr>
            <w:tcW w:w="1220" w:type="dxa"/>
            <w:vAlign w:val="bottom"/>
            <w:tcBorders>
              <w:right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120" w:type="dxa"/>
            <w:vAlign w:val="bottom"/>
          </w:tcPr>
          <w:p>
            <w:pPr>
              <w:spacing w:after="0"/>
              <w:rPr>
                <w:sz w:val="23"/>
                <w:szCs w:val="23"/>
                <w:color w:val="auto"/>
              </w:rPr>
            </w:pPr>
          </w:p>
        </w:tc>
        <w:tc>
          <w:tcPr>
            <w:tcW w:w="1420" w:type="dxa"/>
            <w:vAlign w:val="bottom"/>
            <w:tcBorders>
              <w:right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32,748</w:t>
            </w:r>
          </w:p>
        </w:tc>
        <w:tc>
          <w:tcPr>
            <w:tcW w:w="340" w:type="dxa"/>
            <w:vAlign w:val="bottom"/>
            <w:shd w:val="clear" w:color="auto" w:fill="CCEEFF"/>
          </w:tcPr>
          <w:p>
            <w:pPr>
              <w:spacing w:after="0"/>
              <w:rPr>
                <w:sz w:val="23"/>
                <w:szCs w:val="23"/>
                <w:color w:val="auto"/>
              </w:rPr>
            </w:pPr>
          </w:p>
        </w:tc>
        <w:tc>
          <w:tcPr>
            <w:tcW w:w="1220" w:type="dxa"/>
            <w:vAlign w:val="bottom"/>
            <w:tcBorders>
              <w:right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32,907</w:t>
            </w:r>
          </w:p>
        </w:tc>
        <w:tc>
          <w:tcPr>
            <w:tcW w:w="120" w:type="dxa"/>
            <w:vAlign w:val="bottom"/>
            <w:shd w:val="clear" w:color="auto" w:fill="CCEEFF"/>
          </w:tcPr>
          <w:p>
            <w:pPr>
              <w:spacing w:after="0"/>
              <w:rPr>
                <w:sz w:val="23"/>
                <w:szCs w:val="23"/>
                <w:color w:val="auto"/>
              </w:rPr>
            </w:pPr>
          </w:p>
        </w:tc>
        <w:tc>
          <w:tcPr>
            <w:tcW w:w="1420" w:type="dxa"/>
            <w:vAlign w:val="bottom"/>
            <w:tcBorders>
              <w:right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0" w:type="dxa"/>
            <w:vAlign w:val="bottom"/>
          </w:tcPr>
          <w:p>
            <w:pPr>
              <w:spacing w:after="0"/>
              <w:rPr>
                <w:sz w:val="1"/>
                <w:szCs w:val="1"/>
                <w:color w:val="auto"/>
              </w:rPr>
            </w:pPr>
          </w:p>
        </w:tc>
      </w:tr>
      <w:tr>
        <w:trPr>
          <w:trHeight w:val="27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142,620</w:t>
            </w:r>
          </w:p>
        </w:tc>
        <w:tc>
          <w:tcPr>
            <w:tcW w:w="340" w:type="dxa"/>
            <w:vAlign w:val="bottom"/>
          </w:tcPr>
          <w:p>
            <w:pPr>
              <w:spacing w:after="0"/>
              <w:rPr>
                <w:sz w:val="23"/>
                <w:szCs w:val="23"/>
                <w:color w:val="auto"/>
              </w:rPr>
            </w:pPr>
          </w:p>
        </w:tc>
        <w:tc>
          <w:tcPr>
            <w:tcW w:w="1220" w:type="dxa"/>
            <w:vAlign w:val="bottom"/>
            <w:tcBorders>
              <w:right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143,360</w:t>
            </w:r>
          </w:p>
        </w:tc>
        <w:tc>
          <w:tcPr>
            <w:tcW w:w="120" w:type="dxa"/>
            <w:vAlign w:val="bottom"/>
          </w:tcPr>
          <w:p>
            <w:pPr>
              <w:spacing w:after="0"/>
              <w:rPr>
                <w:sz w:val="23"/>
                <w:szCs w:val="23"/>
                <w:color w:val="auto"/>
              </w:rPr>
            </w:pPr>
          </w:p>
        </w:tc>
        <w:tc>
          <w:tcPr>
            <w:tcW w:w="1420" w:type="dxa"/>
            <w:vAlign w:val="bottom"/>
            <w:tcBorders>
              <w:right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58,327</w:t>
            </w:r>
          </w:p>
        </w:tc>
        <w:tc>
          <w:tcPr>
            <w:tcW w:w="0" w:type="dxa"/>
            <w:vAlign w:val="bottom"/>
          </w:tcPr>
          <w:p>
            <w:pPr>
              <w:spacing w:after="0"/>
              <w:rPr>
                <w:sz w:val="1"/>
                <w:szCs w:val="1"/>
                <w:color w:val="auto"/>
              </w:rPr>
            </w:pPr>
          </w:p>
        </w:tc>
      </w:tr>
      <w:tr>
        <w:trPr>
          <w:trHeight w:val="205"/>
        </w:trPr>
        <w:tc>
          <w:tcPr>
            <w:tcW w:w="2440" w:type="dxa"/>
            <w:vAlign w:val="bottom"/>
            <w:tcBorders>
              <w:top w:val="single" w:sz="8" w:color="CCEEFF"/>
            </w:tcBorders>
            <w:shd w:val="clear" w:color="auto" w:fill="CCEEFF"/>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share-based</w:t>
            </w: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expense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212,070</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Successor</w:t>
      </w:r>
    </w:p>
    <w:p>
      <w:pPr>
        <w:spacing w:after="0" w:line="22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On July 7, 2020, the Company adopted the 2020 Incentive Award Plan, which became effective on July 14, 2020, under which 6,465,359 shares of the Company’s Class A common stock are initially reserved for issuance. The number of shares initially available for issuance will be increased by an annual increase on January 1 of each calendar year beginning in 2021 and ending in and including 2030, equal to the lesser of (A) 5% of the shares of our Class A common stock outstanding on the final day of the immediately preceding calendar year and (B) a smaller number of shares as determined by our board of directors.</w:t>
      </w:r>
    </w:p>
    <w:p>
      <w:pPr>
        <w:spacing w:after="0" w:line="18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connection with the IPO, the Company granted to its employees and non-employee directors 2,432,270 shares of Class A common stock issuable pursuant to stock options and 303,637 shares of Class A common stock issuable pursuant to restricted stock units. The Company measures expense for its share-based compensation based on the fair value of the awards on the grant date. The Company recognizes the grant date fair value of share-based awards as compensation expense on a straight-line basis over the requisite service period of each award.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September 13, 2019 and in conjunction with the Acquisition, the Company authorized the grants of non-voting Profit Units. The Profit Units were issued by Blizzard Management Feeder, LLC (“Feeder”), to employees on behalf of the Company. One-third of the Profit Units granted to each employee will vest in five equal installments on the first through fifth anniversaries of the date of grant, so long as the employee remains employed by the Company through the applicable vesting date (“Time-Vesting Units”). Two-thirds of the Profit Units granted to each individual were to vest upon a liquidity event based on certain predetermined criteria (“Performance-Vesting Units”). Following the completion of the Transactions, each of the members of Feeder will directly hold common units of Feeder that correspond to the LLC Interests (and associated shares of Class B common stock on a one-for-one basis) directly held by Feeder for each such member’s benefit.</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granted 1,464,674 Profit Units in the nine months ended September 30, 2020, of which 944,353 and 520,321 were Time-Vesting Units and Performance-Vesting Units, respectively.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Compensation expense for the Time-Vesting Units is recognized on a straight-line basis over the five-year requisite service period beginning on the grant date and will continue subsequent to the IPO.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June 2020, the Company modified the terms of the Performance-Vesting Units such that the performance targets were measured against the public offering price of the IPO, which resulted in a modification and remeasurement of the Performance-Vesting Units. The completion of the IPO in July 2020 satisfied the implied performance condition and triggered an accelerated vesting of 14,353,431 Performance-Vesting Units, which are issued and outstanding. The Company recorded the related share-based compensation expense of $209.3 million in the third quarter of 2020 with a corresponding increase to non-controlling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Predecessor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C Incentive Plan</w:t>
      </w:r>
    </w:p>
    <w:p>
      <w:pPr>
        <w:spacing w:after="0" w:line="11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September 13, 2019, GoHealth Holdings, LLC acquired a 100% interest in Norvax. Per the Class C Plan, all eligible unvested units became vested and the Company recorded $73.9 million of compensation expense in the period from July 1, 2019 through September 12,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Share Plan</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9" w:name="page30"/>
    <w:bookmarkEnd w:id="29"/>
    <w:p>
      <w:pPr>
        <w:ind w:right="320"/>
        <w:spacing w:after="0" w:line="282" w:lineRule="auto"/>
        <w:rPr>
          <w:sz w:val="20"/>
          <w:szCs w:val="20"/>
          <w:color w:val="auto"/>
        </w:rPr>
      </w:pPr>
      <w:r>
        <w:rPr>
          <w:rFonts w:ascii="Times New Roman" w:cs="Times New Roman" w:eastAsia="Times New Roman" w:hAnsi="Times New Roman"/>
          <w:sz w:val="18"/>
          <w:szCs w:val="18"/>
          <w:color w:val="auto"/>
        </w:rPr>
        <w:t>between the book value per share of Norvax’s stock on the date of the triggering event and the value per share on the grant date for each incentive share then triggered, as defined in the Incentive Share Plan.</w:t>
      </w:r>
    </w:p>
    <w:p>
      <w:pPr>
        <w:spacing w:after="0" w:line="162"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On September 13, 2019, GHH, LLC acquired a 100% interest in Norvax. Per the Incentive Share Plan, a change in control triggering event occurred and employees granted incentive shares under this plan became eligible for cash payments and as a result, the Company recorded $13.1 million in incentive share expense in the period from January 1, 2019 through September 12, 2019 and in the period from July 1, 2019 through September 12, 2019.</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LOSS PER SHARE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GoHealth,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Prior to the IPO, the GHH, LLC membership structure included Preferred units, Senior Preferred Earnout Units, Class A Common units, Class B Common units and Profit Units. The Company analyzed the calculation of earnings per unit for periods prior to the IPO using the two-class method and determined that it resulted in values that would not be meaningful to the users of these condensed consolidated financial statements. Therefore, earnings per share information has not been presented for periods prior to the IPO on July 17, 2020. The basic and diluted earnings per share represent only the period from July 17, 2020 to September 30,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Class A common stock is as follows:</w:t>
      </w:r>
    </w:p>
    <w:p>
      <w:pPr>
        <w:sectPr>
          <w:pgSz w:w="11900" w:h="16838" w:orient="portrait"/>
          <w:cols w:equalWidth="0" w:num="1">
            <w:col w:w="11240"/>
          </w:cols>
          <w:pgMar w:left="320" w:top="1174" w:right="339" w:bottom="1440" w:gutter="0" w:footer="0" w:header="0"/>
        </w:sectPr>
      </w:pPr>
    </w:p>
    <w:p>
      <w:pPr>
        <w:spacing w:after="0" w:line="151"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33655</wp:posOffset>
            </wp:positionV>
            <wp:extent cx="11144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9"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33655</wp:posOffset>
            </wp:positionV>
            <wp:extent cx="11226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49" w:lineRule="exact"/>
        <w:rPr>
          <w:sz w:val="20"/>
          <w:szCs w:val="20"/>
          <w:color w:val="auto"/>
        </w:rPr>
      </w:pPr>
    </w:p>
    <w:p>
      <w:pPr>
        <w:ind w:left="20" w:right="260" w:hanging="13"/>
        <w:spacing w:after="0" w:line="285" w:lineRule="auto"/>
        <w:rPr>
          <w:sz w:val="20"/>
          <w:szCs w:val="20"/>
          <w:color w:val="auto"/>
        </w:rPr>
      </w:pPr>
      <w:r>
        <w:rPr>
          <w:rFonts w:ascii="Times New Roman" w:cs="Times New Roman" w:eastAsia="Times New Roman" w:hAnsi="Times New Roman"/>
          <w:sz w:val="14"/>
          <w:szCs w:val="14"/>
          <w:b w:val="1"/>
          <w:bCs w:val="1"/>
          <w:color w:val="auto"/>
        </w:rPr>
        <w:t>Nine Months Ended September 30, 2020</w:t>
      </w:r>
    </w:p>
    <w:p>
      <w:pPr>
        <w:spacing w:after="0" w:line="2" w:lineRule="exact"/>
        <w:rPr>
          <w:sz w:val="20"/>
          <w:szCs w:val="20"/>
          <w:color w:val="auto"/>
        </w:rPr>
      </w:pPr>
    </w:p>
    <w:p>
      <w:pPr>
        <w:sectPr>
          <w:pgSz w:w="11900" w:h="16838" w:orient="portrait"/>
          <w:cols w:equalWidth="0" w:num="2">
            <w:col w:w="9140" w:space="600"/>
            <w:col w:w="1500"/>
          </w:cols>
          <w:pgMar w:left="320" w:top="117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(206,496)</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(230,299)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GoHealth, Inc. prior to the IPO</w:t>
            </w:r>
          </w:p>
        </w:tc>
        <w:tc>
          <w:tcPr>
            <w:tcW w:w="5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(25,465)</w:t>
            </w: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subsequent to the IPO</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(150,076)</w:t>
            </w:r>
          </w:p>
        </w:tc>
      </w:tr>
      <w:tr>
        <w:trPr>
          <w:trHeight w:val="27"/>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GoHealth, Inc.</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5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w:t>
            </w: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84,182,961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84,182,961</w:t>
            </w: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outstanding—diluted</w:t>
            </w:r>
          </w:p>
        </w:tc>
        <w:tc>
          <w:tcPr>
            <w:tcW w:w="5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84,182,961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84,182,961</w:t>
            </w:r>
          </w:p>
        </w:tc>
      </w:tr>
      <w:tr>
        <w:trPr>
          <w:trHeight w:val="237"/>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of Class A common stock—basic and diluted</w:t>
            </w: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7"/>
        </w:trPr>
        <w:tc>
          <w:tcPr>
            <w:tcW w:w="7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7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number of weighted-average potentially dilutive shares were excluded from the calculation of diluted loss per share because the effect of including such potentially dilutive shares would have been antidilutive:</w:t>
      </w:r>
    </w:p>
    <w:p>
      <w:pPr>
        <w:sectPr>
          <w:pgSz w:w="11900" w:h="16838" w:orient="portrait"/>
          <w:cols w:equalWidth="0" w:num="1">
            <w:col w:w="11240"/>
          </w:cols>
          <w:pgMar w:left="320" w:top="1174" w:right="339" w:bottom="1440" w:gutter="0" w:footer="0" w:header="0"/>
          <w:type w:val="continuous"/>
        </w:sectPr>
      </w:pPr>
    </w:p>
    <w:p>
      <w:pPr>
        <w:spacing w:after="0" w:line="209"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33655</wp:posOffset>
            </wp:positionV>
            <wp:extent cx="11144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88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33655</wp:posOffset>
            </wp:positionV>
            <wp:extent cx="11144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35" w:lineRule="exact"/>
        <w:rPr>
          <w:sz w:val="20"/>
          <w:szCs w:val="20"/>
          <w:color w:val="auto"/>
        </w:rPr>
      </w:pPr>
    </w:p>
    <w:p>
      <w:pPr>
        <w:ind w:left="20" w:right="280" w:hanging="13"/>
        <w:spacing w:after="0" w:line="244" w:lineRule="auto"/>
        <w:rPr>
          <w:sz w:val="20"/>
          <w:szCs w:val="20"/>
          <w:color w:val="auto"/>
        </w:rPr>
      </w:pPr>
      <w:r>
        <w:rPr>
          <w:rFonts w:ascii="Times New Roman" w:cs="Times New Roman" w:eastAsia="Times New Roman" w:hAnsi="Times New Roman"/>
          <w:sz w:val="14"/>
          <w:szCs w:val="14"/>
          <w:b w:val="1"/>
          <w:bCs w:val="1"/>
          <w:color w:val="auto"/>
        </w:rPr>
        <w:t>Nine Months Ended September 30, 2020</w:t>
      </w:r>
    </w:p>
    <w:p>
      <w:pPr>
        <w:spacing w:after="0" w:line="1" w:lineRule="exact"/>
        <w:rPr>
          <w:sz w:val="20"/>
          <w:szCs w:val="20"/>
          <w:color w:val="auto"/>
        </w:rPr>
      </w:pPr>
    </w:p>
    <w:p>
      <w:pPr>
        <w:sectPr>
          <w:pgSz w:w="11900" w:h="16838" w:orient="portrait"/>
          <w:cols w:equalWidth="0" w:num="2">
            <w:col w:w="9120" w:space="600"/>
            <w:col w:w="1520"/>
          </w:cols>
          <w:pgMar w:left="320" w:top="1174"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RSUs</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2,672,641</w:t>
            </w:r>
          </w:p>
        </w:tc>
        <w:tc>
          <w:tcPr>
            <w:tcW w:w="12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2,672,641</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236,997,109</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236,997,109</w:t>
            </w:r>
          </w:p>
        </w:tc>
      </w:tr>
    </w:tbl>
    <w:p>
      <w:pPr>
        <w:spacing w:after="0" w:line="27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Shares of Class B common stock do not share in earnings and are not participating securities. Accordingly, separate presentation of loss per share of Class B common stock under the two-class method has not been presented. Shares of Class B common stock are, however, considered potentially dilutive shares of Class A common stock. After evaluating the potential dilutive effect, shares of Class B common stock were determined to be anti-dilutive and have therefore been excluded from the computations of diluted earnings per share of Class A common stock.</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periods prior to the Transactions and the IPO, the reported income taxes represent those of GHH, LLC. As a result of the Transactions and the IPO, the Company became subject to U.S. federal and certain state and local income taxes with respect to</w:t>
      </w:r>
    </w:p>
    <w:p>
      <w:pPr>
        <w:sectPr>
          <w:pgSz w:w="11900" w:h="16838" w:orient="portrait"/>
          <w:cols w:equalWidth="0" w:num="1">
            <w:col w:w="11240"/>
          </w:cols>
          <w:pgMar w:left="320" w:top="1174" w:right="3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0" w:name="page31"/>
    <w:bookmarkEnd w:id="30"/>
    <w:p>
      <w:pPr>
        <w:ind w:right="20"/>
        <w:spacing w:after="0" w:line="250" w:lineRule="auto"/>
        <w:rPr>
          <w:sz w:val="20"/>
          <w:szCs w:val="20"/>
          <w:color w:val="auto"/>
        </w:rPr>
      </w:pPr>
      <w:r>
        <w:rPr>
          <w:rFonts w:ascii="Times New Roman" w:cs="Times New Roman" w:eastAsia="Times New Roman" w:hAnsi="Times New Roman"/>
          <w:sz w:val="18"/>
          <w:szCs w:val="18"/>
          <w:color w:val="auto"/>
        </w:rPr>
        <w:t>its allocable share of any taxable income or loss generated by GHH, LLC. There was no pro forma impact on loss per share to reflect income tax expense at an effective tax rate as the Company determined it is not more likely than not that the tax benefits associated with the deferred tax assets arising from the Transactions and the IPO will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consolidated financial statements.</w:t>
      </w:r>
    </w:p>
    <w:p>
      <w:pPr>
        <w:spacing w:after="0" w:line="187"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 Company’s effective tax rate for the three and nine months ended September 30, 2020, the Period from July 1, 2019 through September 12, 2019, the Period from September 13, 2019 through September 30, 2019 and the Period from January 1, 2019 through September 12, 2019 was (0.03)%, (0.02)%,</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0.10%, 0.32% and 0.12%, respectively. The effective tax rate for each period is lower than the statutory tax rate primarily due to the effect of loss entities for which the Company excludes from its effective tax rate calculation and loss attributable to non-controlling interest.</w:t>
      </w:r>
    </w:p>
    <w:p>
      <w:pPr>
        <w:spacing w:after="0" w:line="208"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As a result of the Transactions and the IPO, the Company acquired LLC Interests and have recognized a deferred tax asset for the difference between the financial reporting and tax basis of our investment in GHH, LLC. In addition, the Company generated other tax attributes based on current activity. Based on the lack of sufficient sources of taxable income, the Company has concluded these deferred tax assets will not be realized and have recorded a full valuation allowance against all deferred tax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w:t>
      </w:r>
    </w:p>
    <w:p>
      <w:pPr>
        <w:spacing w:after="0" w:line="19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amounts payable under the Tax Receivable Agreement will vary depending upon a number of factors, including the amount, character, and timing of the taxable income of the Company in the future. As of September 30, 2020, the Company has determined there is no resulting liability related to the Tax Receivable Agreement arising from the Transactions. Should the Company determine that the Tax Receivable Agreement liability be considered probable at a future date based on new information, any changes will be recorded within earnings at that time.</w:t>
      </w:r>
    </w:p>
    <w:p>
      <w:pPr>
        <w:spacing w:after="0" w:line="284" w:lineRule="exact"/>
        <w:rPr>
          <w:sz w:val="20"/>
          <w:szCs w:val="20"/>
          <w:color w:val="auto"/>
        </w:rPr>
      </w:pPr>
    </w:p>
    <w:p>
      <w:pPr>
        <w:ind w:right="7520" w:firstLine="8"/>
        <w:spacing w:after="0" w:line="378" w:lineRule="auto"/>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is party 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12. RELATED-PARTY TRANSACTIONS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three and nine months ended September 30, 2020, the Period from July 1, 2019 through September 12, 2019, the Period from September 13, 2019 through September 30, 2019 and the Period from January 1, 2019 through September 12, 2019, the Company made aggregate lease payments of $0.3 million, $1.0 million, $0.2 million, $0, and $0.8 million, respectively, under these leases.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$6,063.94 per flight hour for use of the aircraft. For the three and nine months ended September 30, 2020, the Company recorded expense of $0.3 million and $1.1 million under this lease, respectively.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12, 2020, the Company entered into a lease agreement with Wilson Tech 5, which is controlled by significant shareholders, for a proposed site in Lindon, Utah, beginning in 2022. The Company will not have access to the leased premises until construction is complete and is not deemed to be the owner during the construction period. This lease agreement expires on May 11, 2030. The Company did not make any lease payments during the three and nine months ended September 30, 2020 under this lease. The initial base annual rent will be approximately $4.6 million beginning in mid-2022.</w:t>
      </w:r>
    </w:p>
    <w:p>
      <w:pPr>
        <w:spacing w:after="0" w:line="176" w:lineRule="exact"/>
        <w:rPr>
          <w:sz w:val="20"/>
          <w:szCs w:val="20"/>
          <w:color w:val="auto"/>
        </w:rPr>
      </w:pPr>
    </w:p>
    <w:p>
      <w:pPr>
        <w:ind w:right="5880" w:firstLine="8"/>
        <w:spacing w:after="0" w:line="378"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SEGMENTS AND SIGNIFICANT CUSTOMERS Operating Segments</w:t>
      </w: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The Company’s business structure is comprised of four operating and reportable segments: Medicare Internal, Medicare External, Individual and Family Plan and Other (“IFP and Other”) Internal, and IFP and Other External.</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86"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following table presents summary results of the Company’s operating segments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20" w:type="dxa"/>
            <w:vAlign w:val="bottom"/>
            <w:tcBorders>
              <w:right w:val="single" w:sz="8" w:color="auto"/>
            </w:tcBorders>
          </w:tcPr>
          <w:p>
            <w:pPr>
              <w:spacing w:after="0"/>
              <w:rPr>
                <w:sz w:val="11"/>
                <w:szCs w:val="11"/>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 July 1,</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Borders>
              <w:right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September 13, 2019</w:t>
            </w:r>
          </w:p>
        </w:tc>
        <w:tc>
          <w:tcPr>
            <w:tcW w:w="1400" w:type="dxa"/>
            <w:vAlign w:val="bottom"/>
            <w:gridSpan w:val="3"/>
            <w:vMerge w:val="continue"/>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0" w:type="dxa"/>
            <w:vAlign w:val="bottom"/>
            <w:tcBorders>
              <w:right w:val="single" w:sz="8" w:color="auto"/>
            </w:tcBorders>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13, 2019</w:t>
            </w: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40" w:type="dxa"/>
            <w:vAlign w:val="bottom"/>
            <w:tcBorders>
              <w:right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2019 through</w:t>
            </w:r>
          </w:p>
        </w:tc>
        <w:tc>
          <w:tcPr>
            <w:tcW w:w="1300" w:type="dxa"/>
            <w:vAlign w:val="bottom"/>
            <w:gridSpan w:val="2"/>
            <w:vMerge w:val="continue"/>
          </w:tcPr>
          <w:p>
            <w:pPr>
              <w:spacing w:after="0"/>
              <w:rPr>
                <w:sz w:val="11"/>
                <w:szCs w:val="11"/>
                <w:color w:val="auto"/>
              </w:rPr>
            </w:pPr>
          </w:p>
        </w:tc>
        <w:tc>
          <w:tcPr>
            <w:tcW w:w="1400" w:type="dxa"/>
            <w:vAlign w:val="bottom"/>
            <w:tcBorders>
              <w:right w:val="single" w:sz="8" w:color="auto"/>
            </w:tcBorders>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1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20" w:type="dxa"/>
            <w:vAlign w:val="bottom"/>
            <w:tcBorders>
              <w:right w:val="single" w:sz="8" w:color="auto"/>
            </w:tcBorders>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12, 2019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12, 2019</w:t>
            </w:r>
          </w:p>
        </w:tc>
        <w:tc>
          <w:tcPr>
            <w:tcW w:w="0" w:type="dxa"/>
            <w:vAlign w:val="bottom"/>
          </w:tcPr>
          <w:p>
            <w:pPr>
              <w:spacing w:after="0"/>
              <w:rPr>
                <w:sz w:val="1"/>
                <w:szCs w:val="1"/>
                <w:color w:val="auto"/>
              </w:rPr>
            </w:pPr>
          </w:p>
        </w:tc>
      </w:tr>
      <w:tr>
        <w:trPr>
          <w:trHeight w:val="16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Medicare:</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Internal channel</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133,723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14,208</w:t>
            </w: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316,211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102,196</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External channel</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3,865</w:t>
            </w:r>
          </w:p>
        </w:tc>
        <w:tc>
          <w:tcPr>
            <w:tcW w:w="120" w:type="dxa"/>
            <w:vAlign w:val="bottom"/>
            <w:tcBorders>
              <w:bottom w:val="single" w:sz="8" w:color="CCEEFF"/>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77,305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55,981</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Medicare</w:t>
            </w: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153,975</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18,073</w:t>
            </w:r>
          </w:p>
        </w:tc>
        <w:tc>
          <w:tcPr>
            <w:tcW w:w="1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393,516</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18,073</w:t>
            </w: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158,177</w:t>
            </w:r>
          </w:p>
        </w:tc>
        <w:tc>
          <w:tcPr>
            <w:tcW w:w="0" w:type="dxa"/>
            <w:vAlign w:val="bottom"/>
          </w:tcPr>
          <w:p>
            <w:pPr>
              <w:spacing w:after="0"/>
              <w:rPr>
                <w:sz w:val="1"/>
                <w:szCs w:val="1"/>
                <w:color w:val="auto"/>
              </w:rPr>
            </w:pPr>
          </w:p>
        </w:tc>
      </w:tr>
      <w:tr>
        <w:trPr>
          <w:trHeight w:val="189"/>
        </w:trPr>
        <w:tc>
          <w:tcPr>
            <w:tcW w:w="3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Individual and Family Plan and Other:</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Internal channel</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21,798</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37,909</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External channel</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tcBorders>
              <w:bottom w:val="single" w:sz="8" w:color="CCEEFF"/>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34,924</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Individual and Family Plan and Other</w:t>
            </w:r>
          </w:p>
        </w:tc>
        <w:tc>
          <w:tcPr>
            <w:tcW w:w="4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1,717</w:t>
            </w:r>
          </w:p>
        </w:tc>
        <w:tc>
          <w:tcPr>
            <w:tcW w:w="120" w:type="dxa"/>
            <w:vAlign w:val="bottom"/>
            <w:tcBorders>
              <w:right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21,961</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37,911</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72,833</w:t>
            </w:r>
          </w:p>
        </w:tc>
        <w:tc>
          <w:tcPr>
            <w:tcW w:w="0" w:type="dxa"/>
            <w:vAlign w:val="bottom"/>
          </w:tcPr>
          <w:p>
            <w:pPr>
              <w:spacing w:after="0"/>
              <w:rPr>
                <w:sz w:val="1"/>
                <w:szCs w:val="1"/>
                <w:color w:val="auto"/>
              </w:rPr>
            </w:pPr>
          </w:p>
        </w:tc>
      </w:tr>
      <w:tr>
        <w:trPr>
          <w:trHeight w:val="182"/>
        </w:trPr>
        <w:tc>
          <w:tcPr>
            <w:tcW w:w="31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163,360</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19,790</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87,410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431,427</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19,790</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231,010</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profit (loss):</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Medicare:</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Internal channel</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49,464</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123,946</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40,024</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External channel</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Borders>
              <w:bottom w:val="single" w:sz="8" w:color="CCEEFF"/>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Medicare segment profit</w:t>
            </w: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50,184</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3,234</w:t>
            </w:r>
          </w:p>
        </w:tc>
        <w:tc>
          <w:tcPr>
            <w:tcW w:w="1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16,040</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124,838</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44,917</w:t>
            </w:r>
          </w:p>
        </w:tc>
        <w:tc>
          <w:tcPr>
            <w:tcW w:w="0" w:type="dxa"/>
            <w:vAlign w:val="bottom"/>
          </w:tcPr>
          <w:p>
            <w:pPr>
              <w:spacing w:after="0"/>
              <w:rPr>
                <w:sz w:val="1"/>
                <w:szCs w:val="1"/>
                <w:color w:val="auto"/>
              </w:rPr>
            </w:pPr>
          </w:p>
        </w:tc>
      </w:tr>
      <w:tr>
        <w:trPr>
          <w:trHeight w:val="189"/>
        </w:trPr>
        <w:tc>
          <w:tcPr>
            <w:tcW w:w="3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Individual and Family Plan and Other:</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Internal channel</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External channel</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Borders>
              <w:bottom w:val="single" w:sz="8" w:color="CCEEFF"/>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r>
        <w:trPr>
          <w:trHeight w:val="115"/>
        </w:trPr>
        <w:tc>
          <w:tcPr>
            <w:tcW w:w="3120" w:type="dxa"/>
            <w:vAlign w:val="bottom"/>
            <w:shd w:val="clear" w:color="auto" w:fill="CCEEFF"/>
          </w:tcPr>
          <w:p>
            <w:pPr>
              <w:ind w:left="520"/>
              <w:spacing w:after="0" w:line="116" w:lineRule="exact"/>
              <w:rPr>
                <w:sz w:val="20"/>
                <w:szCs w:val="20"/>
                <w:color w:val="auto"/>
              </w:rPr>
            </w:pPr>
            <w:r>
              <w:rPr>
                <w:rFonts w:ascii="Times New Roman" w:cs="Times New Roman" w:eastAsia="Times New Roman" w:hAnsi="Times New Roman"/>
                <w:sz w:val="13"/>
                <w:szCs w:val="13"/>
                <w:color w:val="auto"/>
              </w:rPr>
              <w:t>Total Individual and Family Plan and Other</w:t>
            </w:r>
          </w:p>
        </w:tc>
        <w:tc>
          <w:tcPr>
            <w:tcW w:w="4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2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segment profit (loss)</w:t>
            </w: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segment profit</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50,086</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1,283</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125,808</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48,860</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expense (1)</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224,368</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93,353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241,942</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103,469</w:t>
            </w:r>
          </w:p>
        </w:tc>
        <w:tc>
          <w:tcPr>
            <w:tcW w:w="0" w:type="dxa"/>
            <w:vAlign w:val="bottom"/>
          </w:tcPr>
          <w:p>
            <w:pPr>
              <w:spacing w:after="0"/>
              <w:rPr>
                <w:sz w:val="1"/>
                <w:szCs w:val="1"/>
                <w:color w:val="auto"/>
              </w:rPr>
            </w:pPr>
          </w:p>
        </w:tc>
      </w:tr>
      <w:tr>
        <w:trPr>
          <w:trHeight w:val="135"/>
        </w:trPr>
        <w:tc>
          <w:tcPr>
            <w:tcW w:w="312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Change in fair value of contingent</w:t>
            </w:r>
          </w:p>
        </w:tc>
        <w:tc>
          <w:tcPr>
            <w:tcW w:w="4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26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19,700</w:t>
            </w:r>
          </w:p>
        </w:tc>
        <w:tc>
          <w:tcPr>
            <w:tcW w:w="180" w:type="dxa"/>
            <w:vAlign w:val="bottom"/>
          </w:tcPr>
          <w:p>
            <w:pPr>
              <w:spacing w:after="0"/>
              <w:rPr>
                <w:sz w:val="11"/>
                <w:szCs w:val="11"/>
                <w:color w:val="auto"/>
              </w:rPr>
            </w:pPr>
          </w:p>
        </w:tc>
        <w:tc>
          <w:tcPr>
            <w:tcW w:w="12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consideration liability</w:t>
            </w:r>
          </w:p>
        </w:tc>
        <w:tc>
          <w:tcPr>
            <w:tcW w:w="4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23,514</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4,703</w:t>
            </w: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70,543</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related transaction costs</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6,245</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1,289</w:t>
            </w:r>
          </w:p>
        </w:tc>
        <w:tc>
          <w:tcPr>
            <w:tcW w:w="12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24,378</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(income) expense</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(206,434)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(230,261)</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340" w:right="20" w:hanging="332"/>
        <w:spacing w:after="0" w:line="237"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 months ended September 30, 2020 include $2.8 million and $3.8 million, respectively, of share-based compensation expense related to Time-Vesting Units, stock options and restricted stock units, and $209.3 million of share-based compensation expense associated with the accelerated vesting of the Performance-Vesting Units in connection with the IPO. The Periods from January 1, 2019 through September 12, 2019 and July 1, 2019 through September 12, 2019 include the Class C share-based compensation and incentive share plan expense recorded in connection with the Acquisition, and which totaled $87.1 million.</w:t>
      </w:r>
    </w:p>
    <w:p>
      <w:pPr>
        <w:spacing w:after="0" w:line="18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There are no internal revenue transactions between the Company’s operating segments. Substantially all revenue for the periods presented was generated from customers located in the United States. The Company’s CODM does not separately evaluate assets by segment, and therefore assets by segment are not presented. The Company’s assets are primarily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carriers representing 10% or more of the Company’s total revenue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64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0" w:type="dxa"/>
            <w:vAlign w:val="bottom"/>
            <w:shd w:val="clear" w:color="auto" w:fill="000000"/>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13, 2019</w:t>
            </w:r>
          </w:p>
        </w:tc>
        <w:tc>
          <w:tcPr>
            <w:tcW w:w="20" w:type="dxa"/>
            <w:vAlign w:val="bottom"/>
            <w:shd w:val="clear" w:color="auto" w:fill="000000"/>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July 1,</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20" w:type="dxa"/>
            <w:vAlign w:val="bottom"/>
            <w:shd w:val="clear" w:color="auto" w:fill="000000"/>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 through</w:t>
            </w:r>
          </w:p>
        </w:tc>
        <w:tc>
          <w:tcPr>
            <w:tcW w:w="0" w:type="dxa"/>
            <w:vAlign w:val="bottom"/>
          </w:tcPr>
          <w:p>
            <w:pPr>
              <w:spacing w:after="0"/>
              <w:rPr>
                <w:sz w:val="1"/>
                <w:szCs w:val="1"/>
                <w:color w:val="auto"/>
              </w:rPr>
            </w:pPr>
          </w:p>
        </w:tc>
      </w:tr>
      <w:tr>
        <w:trPr>
          <w:trHeight w:val="190"/>
        </w:trPr>
        <w:tc>
          <w:tcPr>
            <w:tcW w:w="7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12, 2019</w:t>
            </w:r>
          </w:p>
        </w:tc>
        <w:tc>
          <w:tcPr>
            <w:tcW w:w="0" w:type="dxa"/>
            <w:vAlign w:val="bottom"/>
          </w:tcPr>
          <w:p>
            <w:pPr>
              <w:spacing w:after="0"/>
              <w:rPr>
                <w:sz w:val="1"/>
                <w:szCs w:val="1"/>
                <w:color w:val="auto"/>
              </w:rPr>
            </w:pPr>
          </w:p>
        </w:tc>
      </w:tr>
      <w:tr>
        <w:trPr>
          <w:trHeight w:val="23"/>
        </w:trPr>
        <w:tc>
          <w:tcPr>
            <w:tcW w:w="7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Humana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Anthem</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21"/>
        </w:trPr>
        <w:tc>
          <w:tcPr>
            <w:tcW w:w="7160" w:type="dxa"/>
            <w:vAlign w:val="bottom"/>
          </w:tcPr>
          <w:p>
            <w:pPr>
              <w:spacing w:after="0"/>
              <w:rPr>
                <w:sz w:val="10"/>
                <w:szCs w:val="10"/>
                <w:color w:val="auto"/>
              </w:rPr>
            </w:pPr>
          </w:p>
        </w:tc>
        <w:tc>
          <w:tcPr>
            <w:tcW w:w="276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3"/>
        </w:trPr>
        <w:tc>
          <w:tcPr>
            <w:tcW w:w="7160" w:type="dxa"/>
            <w:vAlign w:val="bottom"/>
          </w:tcPr>
          <w:p>
            <w:pPr>
              <w:spacing w:after="0"/>
              <w:rPr>
                <w:sz w:val="16"/>
                <w:szCs w:val="16"/>
                <w:color w:val="auto"/>
              </w:rPr>
            </w:pPr>
          </w:p>
        </w:tc>
        <w:tc>
          <w:tcPr>
            <w:tcW w:w="2760" w:type="dxa"/>
            <w:vAlign w:val="bottom"/>
            <w:gridSpan w:val="3"/>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0" w:type="dxa"/>
            <w:vAlign w:val="bottom"/>
            <w:shd w:val="clear" w:color="auto" w:fill="000000"/>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79"/>
        </w:trPr>
        <w:tc>
          <w:tcPr>
            <w:tcW w:w="7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83"/>
        </w:trPr>
        <w:tc>
          <w:tcPr>
            <w:tcW w:w="7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2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13, 2019</w:t>
            </w:r>
          </w:p>
        </w:tc>
        <w:tc>
          <w:tcPr>
            <w:tcW w:w="20" w:type="dxa"/>
            <w:vAlign w:val="bottom"/>
            <w:shd w:val="clear" w:color="auto" w:fill="000000"/>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7160" w:type="dxa"/>
            <w:vAlign w:val="bottom"/>
          </w:tcPr>
          <w:p>
            <w:pPr>
              <w:spacing w:after="0"/>
              <w:rPr>
                <w:sz w:val="4"/>
                <w:szCs w:val="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20" w:type="dxa"/>
            <w:vAlign w:val="bottom"/>
            <w:gridSpan w:val="2"/>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35"/>
        </w:trPr>
        <w:tc>
          <w:tcPr>
            <w:tcW w:w="7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20" w:type="dxa"/>
            <w:vAlign w:val="bottom"/>
            <w:shd w:val="clear" w:color="auto" w:fill="000000"/>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1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12, 2019</w:t>
            </w:r>
          </w:p>
        </w:tc>
        <w:tc>
          <w:tcPr>
            <w:tcW w:w="0" w:type="dxa"/>
            <w:vAlign w:val="bottom"/>
          </w:tcPr>
          <w:p>
            <w:pPr>
              <w:spacing w:after="0"/>
              <w:rPr>
                <w:sz w:val="1"/>
                <w:szCs w:val="1"/>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Humana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Anthem</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7"/>
        </w:trPr>
        <w:tc>
          <w:tcPr>
            <w:tcW w:w="7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unaudited condensed consolidated financial statements and related notes, and should be read in conjunction with the accompanying tables and our annual audited financial statement in our final prospectus for our initial public offering, or IPO, filed with the Securities and Exchange Commission, or the SEC, on July 16, 2020 pursuant to Rule 424(b) under the Securities Act, or the Prospectus.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 We assume no obligation to update any of these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certain cases, numbers and percentages in the tables below may not foot due to rounding.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or agents, has enabled us to enroll millions of people in Medicare and individual and family plans since our inception. With over 10,000 Americans turning 65 years old every day and our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operating segments: (i) Medicare—Internal, (ii) Medicare—External, (iii) Individual and Family Plans, or IFP and Other—Internal and</w:t>
      </w:r>
    </w:p>
    <w:p>
      <w:pPr>
        <w:spacing w:after="0" w:line="27" w:lineRule="exact"/>
        <w:rPr>
          <w:sz w:val="20"/>
          <w:szCs w:val="20"/>
          <w:color w:val="auto"/>
        </w:rPr>
      </w:pPr>
    </w:p>
    <w:p>
      <w:pPr>
        <w:ind w:right="200" w:firstLine="8"/>
        <w:spacing w:after="0" w:line="253"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IFP and Other—External. We organize the segments by product type, Medicare and IFP and Other, as well as by distribution channel, 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74" w:lineRule="exact"/>
        <w:rPr>
          <w:rFonts w:ascii="Times New Roman" w:cs="Times New Roman" w:eastAsia="Times New Roman" w:hAnsi="Times New Roman"/>
          <w:sz w:val="18"/>
          <w:szCs w:val="18"/>
          <w:color w:val="auto"/>
        </w:rPr>
      </w:pPr>
    </w:p>
    <w:p>
      <w:pPr>
        <w:ind w:left="340" w:right="260" w:hanging="8"/>
        <w:spacing w:after="0" w:line="257" w:lineRule="auto"/>
        <w:tabs>
          <w:tab w:leader="none" w:pos="6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Medicare—Internal</w:t>
      </w:r>
      <w:r>
        <w:rPr>
          <w:rFonts w:ascii="Times New Roman" w:cs="Times New Roman" w:eastAsia="Times New Roman" w:hAnsi="Times New Roman"/>
          <w:sz w:val="18"/>
          <w:szCs w:val="18"/>
          <w:color w:val="auto"/>
        </w:rPr>
        <w:t>. The Medicare—Internal segment relates to sales of products and plans by GoHealth-employed agents offering qualified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 as well as enrollment fees, hourly fees and other fees for services performed for specific carriers and other partners.</w:t>
      </w:r>
    </w:p>
    <w:p>
      <w:pPr>
        <w:spacing w:after="0" w:line="74" w:lineRule="exact"/>
        <w:rPr>
          <w:rFonts w:ascii="Times New Roman" w:cs="Times New Roman" w:eastAsia="Times New Roman" w:hAnsi="Times New Roman"/>
          <w:sz w:val="18"/>
          <w:szCs w:val="18"/>
          <w:color w:val="auto"/>
        </w:rPr>
      </w:pPr>
    </w:p>
    <w:p>
      <w:pPr>
        <w:ind w:left="340" w:hanging="8"/>
        <w:spacing w:after="0" w:line="259" w:lineRule="auto"/>
        <w:tabs>
          <w:tab w:leader="none" w:pos="6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Medicare—External</w:t>
      </w:r>
      <w:r>
        <w:rPr>
          <w:rFonts w:ascii="Times New Roman" w:cs="Times New Roman" w:eastAsia="Times New Roman" w:hAnsi="Times New Roman"/>
          <w:sz w:val="18"/>
          <w:szCs w:val="18"/>
          <w:color w:val="auto"/>
        </w:rPr>
        <w:t>. The Medicare—External segment relates to sales of products and plans under GoHealth’s carrier contracts using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national network of agents or external 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w:t>
      </w:r>
    </w:p>
    <w:p>
      <w:pPr>
        <w:spacing w:after="0" w:line="71" w:lineRule="exact"/>
        <w:rPr>
          <w:rFonts w:ascii="Times New Roman" w:cs="Times New Roman" w:eastAsia="Times New Roman" w:hAnsi="Times New Roman"/>
          <w:sz w:val="18"/>
          <w:szCs w:val="18"/>
          <w:color w:val="auto"/>
        </w:rPr>
      </w:pPr>
    </w:p>
    <w:p>
      <w:pPr>
        <w:ind w:left="340" w:right="60" w:hanging="8"/>
        <w:spacing w:after="0" w:line="259" w:lineRule="auto"/>
        <w:tabs>
          <w:tab w:leader="none" w:pos="6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IFP and Other—Internal</w:t>
      </w:r>
      <w:r>
        <w:rPr>
          <w:rFonts w:ascii="Times New Roman" w:cs="Times New Roman" w:eastAsia="Times New Roman" w:hAnsi="Times New Roman"/>
          <w:sz w:val="18"/>
          <w:szCs w:val="18"/>
          <w:color w:val="auto"/>
        </w:rPr>
        <w:t>. The IFP and Other—Internal segment relates to sales of products and plans by GoHealth-employed agents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prospects plans from multiple carriers, GoHealth-employed agents offering qualified prospects plans on a carrier-specific basis, or DIY. In this segment, we sell individual and family plans, dental plans, vision plans and other ancillary plans to individuals who are not Medicare-eligible. We earn revenue in this segment through commissions paid by carriers based on sales we generate, as well as enrollment fees, and hourly fees and other fees for services performed for specific carriers and other partners.</w:t>
      </w:r>
    </w:p>
    <w:p>
      <w:pPr>
        <w:spacing w:after="0" w:line="71" w:lineRule="exact"/>
        <w:rPr>
          <w:rFonts w:ascii="Times New Roman" w:cs="Times New Roman" w:eastAsia="Times New Roman" w:hAnsi="Times New Roman"/>
          <w:sz w:val="18"/>
          <w:szCs w:val="18"/>
          <w:color w:val="auto"/>
        </w:rPr>
      </w:pPr>
    </w:p>
    <w:p>
      <w:pPr>
        <w:ind w:left="340" w:right="120" w:hanging="8"/>
        <w:spacing w:after="0" w:line="286" w:lineRule="auto"/>
        <w:tabs>
          <w:tab w:leader="none" w:pos="6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IFP and Other—External</w:t>
      </w:r>
      <w:r>
        <w:rPr>
          <w:rFonts w:ascii="Times New Roman" w:cs="Times New Roman" w:eastAsia="Times New Roman" w:hAnsi="Times New Roman"/>
          <w:sz w:val="18"/>
          <w:szCs w:val="18"/>
          <w:color w:val="auto"/>
        </w:rPr>
        <w:t>. The IFP and Other—External segment relates to sales of products and plans under GoHealth’s carrier contracts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external agencies, who use agents that are not employed by GoHealth. These agents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35" w:name="page36"/>
    <w:bookmarkEnd w:id="35"/>
    <w:p>
      <w:pPr>
        <w:jc w:val="both"/>
        <w:ind w:left="340" w:right="60"/>
        <w:spacing w:after="0" w:line="289" w:lineRule="auto"/>
        <w:rPr>
          <w:sz w:val="20"/>
          <w:szCs w:val="20"/>
          <w:color w:val="auto"/>
        </w:rPr>
      </w:pPr>
      <w:r>
        <w:rPr>
          <w:rFonts w:ascii="Times New Roman" w:cs="Times New Roman" w:eastAsia="Times New Roman" w:hAnsi="Times New Roman"/>
          <w:sz w:val="17"/>
          <w:szCs w:val="17"/>
          <w:color w:val="auto"/>
        </w:rPr>
        <w:t>utilize our technology and platform to enroll consumers in health insurance plans. We also sell consumer leads generated by us to external agencies. In this segment, we sell individual and family plans, dental plans, vision plans and other ancillary plans to individuals who are not Medicare-eligible. We earn revenue in this segment through commissions paid by carriers as a result of policy sales, as well as sales of consumer leads to external agencies.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percentages of revenues and profit (loss) generated by each of our operating segments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2720" w:type="dxa"/>
            <w:vAlign w:val="bottom"/>
            <w:tcBorders>
              <w:bottom w:val="single" w:sz="8" w:color="auto"/>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8"/>
                <w:szCs w:val="18"/>
                <w:color w:val="auto"/>
              </w:rPr>
            </w:pPr>
          </w:p>
        </w:tc>
        <w:tc>
          <w:tcPr>
            <w:tcW w:w="2760" w:type="dxa"/>
            <w:vAlign w:val="bottom"/>
            <w:tcBorders>
              <w:bottom w:val="single" w:sz="8" w:color="auto"/>
              <w:right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 July 1,</w:t>
            </w:r>
          </w:p>
        </w:tc>
        <w:tc>
          <w:tcPr>
            <w:tcW w:w="1340" w:type="dxa"/>
            <w:vAlign w:val="bottom"/>
          </w:tcPr>
          <w:p>
            <w:pPr>
              <w:spacing w:after="0"/>
              <w:rPr>
                <w:sz w:val="11"/>
                <w:szCs w:val="11"/>
                <w:color w:val="auto"/>
              </w:rPr>
            </w:pPr>
          </w:p>
        </w:tc>
        <w:tc>
          <w:tcPr>
            <w:tcW w:w="1420" w:type="dxa"/>
            <w:vAlign w:val="bottom"/>
            <w:tcBorders>
              <w:right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3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13, 2019</w:t>
            </w:r>
          </w:p>
        </w:tc>
        <w:tc>
          <w:tcPr>
            <w:tcW w:w="1420" w:type="dxa"/>
            <w:vAlign w:val="bottom"/>
            <w:gridSpan w:val="2"/>
            <w:vMerge w:val="continue"/>
          </w:tcPr>
          <w:p>
            <w:pPr>
              <w:spacing w:after="0"/>
              <w:rPr>
                <w:sz w:val="11"/>
                <w:szCs w:val="11"/>
                <w:color w:val="auto"/>
              </w:rPr>
            </w:pPr>
          </w:p>
        </w:tc>
        <w:tc>
          <w:tcPr>
            <w:tcW w:w="13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20" w:type="dxa"/>
            <w:vAlign w:val="bottom"/>
            <w:tcBorders>
              <w:right w:val="single" w:sz="8" w:color="auto"/>
            </w:tcBorders>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13, 2019</w:t>
            </w:r>
          </w:p>
        </w:tc>
        <w:tc>
          <w:tcPr>
            <w:tcW w:w="13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720" w:type="dxa"/>
            <w:vAlign w:val="bottom"/>
            <w:tcBorders>
              <w:right w:val="single" w:sz="8" w:color="auto"/>
            </w:tcBorders>
            <w:gridSpan w:val="3"/>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 ended through September</w:t>
            </w: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2019 through</w:t>
            </w:r>
          </w:p>
        </w:tc>
        <w:tc>
          <w:tcPr>
            <w:tcW w:w="1340" w:type="dxa"/>
            <w:vAlign w:val="bottom"/>
            <w:vMerge w:val="continue"/>
          </w:tcPr>
          <w:p>
            <w:pPr>
              <w:spacing w:after="0"/>
              <w:rPr>
                <w:sz w:val="11"/>
                <w:szCs w:val="11"/>
                <w:color w:val="auto"/>
              </w:rPr>
            </w:pPr>
          </w:p>
        </w:tc>
        <w:tc>
          <w:tcPr>
            <w:tcW w:w="1420" w:type="dxa"/>
            <w:vAlign w:val="bottom"/>
            <w:tcBorders>
              <w:right w:val="single" w:sz="8" w:color="auto"/>
            </w:tcBorders>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13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20" w:type="dxa"/>
            <w:vAlign w:val="bottom"/>
            <w:tcBorders>
              <w:right w:val="single" w:sz="8" w:color="auto"/>
            </w:tcBorders>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12, 2019</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40" w:type="dxa"/>
            <w:vAlign w:val="bottom"/>
            <w:tcBorders>
              <w:right w:val="single" w:sz="8" w:color="auto"/>
            </w:tcBorders>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12, 2019</w:t>
            </w:r>
          </w:p>
        </w:tc>
        <w:tc>
          <w:tcPr>
            <w:tcW w:w="0" w:type="dxa"/>
            <w:vAlign w:val="bottom"/>
          </w:tcPr>
          <w:p>
            <w:pPr>
              <w:spacing w:after="0"/>
              <w:rPr>
                <w:sz w:val="1"/>
                <w:szCs w:val="1"/>
                <w:color w:val="auto"/>
              </w:rPr>
            </w:pPr>
          </w:p>
        </w:tc>
      </w:tr>
      <w:tr>
        <w:trPr>
          <w:trHeight w:val="230"/>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 of Revenues:</w:t>
            </w: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Medicare—Internal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20" w:type="dxa"/>
            <w:vAlign w:val="bottom"/>
            <w:tcBorders>
              <w:right w:val="single" w:sz="8" w:color="auto"/>
            </w:tcBorders>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40" w:type="dxa"/>
            <w:vAlign w:val="bottom"/>
            <w:tcBorders>
              <w:right w:val="single" w:sz="8" w:color="auto"/>
            </w:tcBorders>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Medicare—External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Borders>
              <w:right w:val="single" w:sz="8" w:color="auto"/>
            </w:tcBorders>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40" w:type="dxa"/>
            <w:vAlign w:val="bottom"/>
            <w:tcBorders>
              <w:right w:val="single" w:sz="8" w:color="auto"/>
            </w:tcBorders>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70"/>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IFP and Other—Internal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right w:val="single" w:sz="8" w:color="auto"/>
            </w:tcBorders>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Borders>
              <w:right w:val="single" w:sz="8" w:color="auto"/>
            </w:tcBorders>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IFP and Other—External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right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tcBorders>
              <w:right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50"/>
        </w:trPr>
        <w:tc>
          <w:tcPr>
            <w:tcW w:w="3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 of Profit (Loss):</w:t>
            </w: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Medicare—Internal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194.9 %</w:t>
            </w:r>
          </w:p>
        </w:tc>
        <w:tc>
          <w:tcPr>
            <w:tcW w:w="120" w:type="dxa"/>
            <w:vAlign w:val="bottom"/>
            <w:tcBorders>
              <w:right w:val="single" w:sz="8" w:color="auto"/>
            </w:tcBorders>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194.9 %</w:t>
            </w:r>
          </w:p>
        </w:tc>
        <w:tc>
          <w:tcPr>
            <w:tcW w:w="140" w:type="dxa"/>
            <w:vAlign w:val="bottom"/>
            <w:tcBorders>
              <w:right w:val="single" w:sz="8" w:color="auto"/>
            </w:tcBorders>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Medicare—External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120" w:type="dxa"/>
            <w:vAlign w:val="bottom"/>
            <w:tcBorders>
              <w:right w:val="single" w:sz="8" w:color="auto"/>
            </w:tcBorders>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140" w:type="dxa"/>
            <w:vAlign w:val="bottom"/>
            <w:tcBorders>
              <w:right w:val="single" w:sz="8" w:color="auto"/>
            </w:tcBorders>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IFP and Other—Internal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tcBorders>
              <w:right w:val="single" w:sz="8" w:color="auto"/>
            </w:tcBorders>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40" w:type="dxa"/>
            <w:vAlign w:val="bottom"/>
            <w:tcBorders>
              <w:right w:val="single" w:sz="8" w:color="auto"/>
            </w:tcBorders>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IFP and Other—External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20" w:type="dxa"/>
            <w:vAlign w:val="bottom"/>
            <w:tcBorders>
              <w:right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40" w:type="dxa"/>
            <w:vAlign w:val="bottom"/>
            <w:tcBorders>
              <w:right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0"/>
        </w:trPr>
        <w:tc>
          <w:tcPr>
            <w:tcW w:w="3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historical results of operations prior to the completion of the Transactions, including the IPO, do not reflect certain items that we expect will affect our results of operations and financial condition after giving effect to the Transactions and the use of proceeds from the IPO.</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the completion of the Transactions, GoHealth, Inc. became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 non-controlling interest in a consolidated entity in GoHealth, Inc.’s consolidated financial statements for the economic interest in GoHealth Holdings, LLC held directly or indirectly by the Continuing Equity Owners. As of September 30, 2020, public investors collectively own 51.7% of our outstanding Class A common stock, consisting of 43,500,000 shares of Class A common stock. As of September 30, 2020, GoHealth, Inc. owns 84,182,961 LLC Interests, representing 26.7% of the LLC Interests, the Founders collectively own 97,301,472 LLC Interests, representing 30.9% of the LLC Interests, Centerbridge owns 80,792,677 LLC Interests, representing 25.7% of the LLC Interests, and the Continuing Equity Owners collectively own 52,628,532 LLC Interests, representing 16.7% of the LLC Interests. Accordingly, as of September 30, 2020, net income (loss) attributable to non-controlling interests represents 73.3% of the income (loss) before income tax benefit (expense) of GoHealth, Inc. GoHealth, Inc. is a holding company that conducts no operations and its principal asset is the LLC Interests we purchased from GoHealth Holdings, LLC.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Tax Receivable Agreement, which could be significant. We intend to cause GoHealth Holdings, LLC to make distributions to us in an amount sufficient to allow us to pay these expenses and fund any payments due under the Tax Receivable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COVID-19</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social distancing measures having been implemented to curtail the spread of COVID-19, we successfully transitioned our agents and other employees to a work from home working environment. We believe the investments we have made in our technology infrastructure have allowed for a seamless transition to a remote working environment without any material impacts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6" w:name="page37"/>
    <w:bookmarkEnd w:id="36"/>
    <w:p>
      <w:pPr>
        <w:spacing w:after="0" w:line="256" w:lineRule="auto"/>
        <w:rPr>
          <w:sz w:val="20"/>
          <w:szCs w:val="20"/>
          <w:color w:val="auto"/>
        </w:rPr>
      </w:pPr>
      <w:r>
        <w:rPr>
          <w:rFonts w:ascii="Times New Roman" w:cs="Times New Roman" w:eastAsia="Times New Roman" w:hAnsi="Times New Roman"/>
          <w:sz w:val="18"/>
          <w:szCs w:val="18"/>
          <w:color w:val="auto"/>
        </w:rPr>
        <w:t>to our business, highlighting the resilience of our business. We believe that a business like ours is well-suited to navigate the current environment in which consumers are particularly focused on healthcare issues and mortality and social distancing requirements push consumers to conduct business remotely, while the underlying demand dynamics for our core products remain unchanged. Additionally, because of our remote agent platform, we believe agents will continue to be attracted to our commission-based agent compensation model and the stable and attractive source of income it can provide, thereby allowing us to continue to retain and recruit agents. Further, as consumers become more comfortable with conducting business remotely, we believe consumer adoption of distribution models such as ours may continue to accelerate long after the COVID-19 pandemic ends.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result of the COVID-19 pandemic, we have fully transitioned our existing agents in Chicago, Salt Lake City and Charlotte to work from home, and have since opened four new virtual sites in Tampa, Columbus, Phoenix and Dallas. These locations were selected because of the depth of available licensed sales talent and our ability to work closely with state regulators and their vendors to expedite the licensing process for new agents and resolve delays related to the COVID-19 pandemic.</w:t>
      </w:r>
    </w:p>
    <w:p>
      <w:pPr>
        <w:spacing w:after="0" w:line="18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2"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See “Risk Factors—Risks Related to Our Business—The extent to which the COVID-19 outbreak and measures taken in response thereto impact our business, results of operations and financial condition will depend on future developments, which are highly uncertain and cannot be predicted.”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Compared to the Period from July 1, 2019 through September 12, 2019 and the Period from September 13, 2019 through September 30, 2019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1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2300" w:type="dxa"/>
            <w:vAlign w:val="bottom"/>
            <w:tcBorders>
              <w:right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 from September 13, 2019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Period from July 1, 2019 through</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Ended September 30, 2020</w:t>
            </w:r>
          </w:p>
        </w:tc>
        <w:tc>
          <w:tcPr>
            <w:tcW w:w="140" w:type="dxa"/>
            <w:vAlign w:val="bottom"/>
          </w:tcPr>
          <w:p>
            <w:pPr>
              <w:spacing w:after="0"/>
              <w:rPr>
                <w:sz w:val="16"/>
                <w:szCs w:val="16"/>
                <w:color w:val="auto"/>
              </w:rPr>
            </w:pPr>
          </w:p>
        </w:tc>
        <w:tc>
          <w:tcPr>
            <w:tcW w:w="2300" w:type="dxa"/>
            <w:vAlign w:val="bottom"/>
            <w:tcBorders>
              <w:right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through September 30, 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September 12, 2019</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right w:val="single" w:sz="8" w:color="auto"/>
            </w:tcBorders>
            <w:gridSpan w:val="2"/>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101,390</w:t>
            </w:r>
          </w:p>
        </w:tc>
        <w:tc>
          <w:tcPr>
            <w:tcW w:w="1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62.1 % $</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13,723</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64,542</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73.8 %</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Enterprise</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61,970</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6,067</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22,868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163,360</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19,790</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87,410</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25,827</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4,737</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25,055</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62,848</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7,140</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21,332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0" w:type="dxa"/>
            <w:vAlign w:val="bottom"/>
          </w:tcPr>
          <w:p>
            <w:pPr>
              <w:spacing w:after="0"/>
              <w:rPr>
                <w:sz w:val="1"/>
                <w:szCs w:val="1"/>
                <w:color w:val="auto"/>
              </w:rPr>
            </w:pP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Customer care and enrollment</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52,896</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4,625</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19,396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Technology</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39,520</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31,856</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36.4 %</w:t>
            </w:r>
          </w:p>
        </w:tc>
        <w:tc>
          <w:tcPr>
            <w:tcW w:w="0" w:type="dxa"/>
            <w:vAlign w:val="bottom"/>
          </w:tcPr>
          <w:p>
            <w:pPr>
              <w:spacing w:after="0"/>
              <w:rPr>
                <w:sz w:val="1"/>
                <w:szCs w:val="1"/>
                <w:color w:val="auto"/>
              </w:rPr>
            </w:pP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156,551</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2,286</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65,123</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74.5 %</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23,514</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4,703</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 related transaction costs</w:t>
            </w:r>
          </w:p>
        </w:tc>
        <w:tc>
          <w:tcPr>
            <w:tcW w:w="22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6,245</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361,156</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221.1 %</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30,254</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164,730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188.5 %</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(197,796)</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(10,464)</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(77,320)</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8,636</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(206,434)</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(11,743)</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(77,418)</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(206,496)</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(11,706)</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(77,340)</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22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(150,076)</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4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7"/>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GoHealth, Inc.</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(56,420)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(11,706)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(77,340)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Non-GAAP Financial Measures: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(173,021)</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(5,659)</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(76,183)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39,284</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15,569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and Adjusted EBITDA Margin</w:t>
      </w:r>
    </w:p>
    <w:p>
      <w:pPr>
        <w:spacing w:after="0" w:line="12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16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Adjusted EBITDA represents EBITDA as further adjusted for share-based compensation, expense related to the accelerated vesting of certain equity awards, change in fair value of contingent consideration liability, Centerbridge Acquisition costs, severance costs and incremental organizational costs in connection with the IPO. Adjusted EBITDA margin represents Adjusted EBITDA divided by net revenues.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The following table sets forth the reconciliations of GAAP net loss to EBITDA and Adjusted EBITDA for the periods indicated:</w:t>
      </w:r>
    </w:p>
    <w:p>
      <w:pPr>
        <w:sectPr>
          <w:pgSz w:w="11900" w:h="16838" w:orient="portrait"/>
          <w:cols w:equalWidth="0" w:num="1">
            <w:col w:w="11220"/>
          </w:cols>
          <w:pgMar w:left="320" w:top="1174" w:right="359" w:bottom="1440" w:gutter="0" w:footer="0" w:header="0"/>
        </w:sectPr>
      </w:pP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62"/>
        </w:trPr>
        <w:tc>
          <w:tcPr>
            <w:tcW w:w="6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13, 2019</w:t>
            </w:r>
          </w:p>
        </w:tc>
        <w:tc>
          <w:tcPr>
            <w:tcW w:w="0" w:type="dxa"/>
            <w:vAlign w:val="bottom"/>
          </w:tcPr>
          <w:p>
            <w:pPr>
              <w:spacing w:after="0"/>
              <w:rPr>
                <w:sz w:val="1"/>
                <w:szCs w:val="1"/>
                <w:color w:val="auto"/>
              </w:rPr>
            </w:pPr>
          </w:p>
        </w:tc>
      </w:tr>
      <w:tr>
        <w:trPr>
          <w:trHeight w:val="162"/>
        </w:trPr>
        <w:tc>
          <w:tcPr>
            <w:tcW w:w="66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3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23"/>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163,360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19,790</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(206,496)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(11,706)</w:t>
            </w:r>
          </w:p>
        </w:tc>
        <w:tc>
          <w:tcPr>
            <w:tcW w:w="0" w:type="dxa"/>
            <w:vAlign w:val="bottom"/>
          </w:tcPr>
          <w:p>
            <w:pPr>
              <w:spacing w:after="0"/>
              <w:rPr>
                <w:sz w:val="1"/>
                <w:szCs w:val="1"/>
                <w:color w:val="auto"/>
              </w:rPr>
            </w:pPr>
          </w:p>
        </w:tc>
      </w:tr>
      <w:tr>
        <w:trPr>
          <w:trHeight w:val="297"/>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4"/>
                <w:szCs w:val="24"/>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8,636</w:t>
            </w:r>
          </w:p>
        </w:tc>
        <w:tc>
          <w:tcPr>
            <w:tcW w:w="120" w:type="dxa"/>
            <w:vAlign w:val="bottom"/>
          </w:tcPr>
          <w:p>
            <w:pPr>
              <w:spacing w:after="0"/>
              <w:rPr>
                <w:sz w:val="24"/>
                <w:szCs w:val="24"/>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7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24,777</w:t>
            </w:r>
          </w:p>
        </w:tc>
        <w:tc>
          <w:tcPr>
            <w:tcW w:w="12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(173,021)</w:t>
            </w:r>
          </w:p>
        </w:tc>
        <w:tc>
          <w:tcPr>
            <w:tcW w:w="120" w:type="dxa"/>
            <w:vAlign w:val="bottom"/>
          </w:tcPr>
          <w:p>
            <w:pPr>
              <w:spacing w:after="0"/>
              <w:rPr>
                <w:sz w:val="20"/>
                <w:szCs w:val="20"/>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7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 (1)</w:t>
            </w:r>
          </w:p>
        </w:tc>
        <w:tc>
          <w:tcPr>
            <w:tcW w:w="20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Accelerated vesting of certain equity awards (2)</w:t>
            </w:r>
          </w:p>
        </w:tc>
        <w:tc>
          <w:tcPr>
            <w:tcW w:w="20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209,300</w:t>
            </w:r>
          </w:p>
        </w:tc>
        <w:tc>
          <w:tcPr>
            <w:tcW w:w="12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Centerbridge Acquisition costs (3)</w:t>
            </w:r>
          </w:p>
        </w:tc>
        <w:tc>
          <w:tcPr>
            <w:tcW w:w="20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7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IPO transaction costs (4)</w:t>
            </w:r>
          </w:p>
        </w:tc>
        <w:tc>
          <w:tcPr>
            <w:tcW w:w="20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Severance costs (5)</w:t>
            </w:r>
          </w:p>
        </w:tc>
        <w:tc>
          <w:tcPr>
            <w:tcW w:w="20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39,284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2957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95783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2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Period from July 1,</w:t>
      </w:r>
    </w:p>
    <w:p>
      <w:pPr>
        <w:spacing w:after="0" w:line="19" w:lineRule="exact"/>
        <w:rPr>
          <w:sz w:val="20"/>
          <w:szCs w:val="20"/>
          <w:color w:val="auto"/>
        </w:rPr>
      </w:pPr>
    </w:p>
    <w:p>
      <w:pPr>
        <w:jc w:val="both"/>
        <w:ind w:left="267" w:right="260" w:firstLine="31"/>
        <w:spacing w:after="0" w:line="258" w:lineRule="auto"/>
        <w:rPr>
          <w:sz w:val="20"/>
          <w:szCs w:val="20"/>
          <w:color w:val="auto"/>
        </w:rPr>
      </w:pPr>
      <w:r>
        <w:rPr>
          <w:rFonts w:ascii="Times New Roman" w:cs="Times New Roman" w:eastAsia="Times New Roman" w:hAnsi="Times New Roman"/>
          <w:sz w:val="14"/>
          <w:szCs w:val="14"/>
          <w:b w:val="1"/>
          <w:bCs w:val="1"/>
          <w:color w:val="auto"/>
        </w:rPr>
        <w:t>2019 through September 12,</w:t>
      </w:r>
    </w:p>
    <w:p>
      <w:pPr>
        <w:spacing w:after="0" w:line="27"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14"/>
          <w:szCs w:val="14"/>
          <w:b w:val="1"/>
          <w:bCs w:val="1"/>
          <w:color w:val="auto"/>
        </w:rPr>
        <w:t>2019</w:t>
      </w:r>
    </w:p>
    <w:p>
      <w:pPr>
        <w:spacing w:after="0" w:line="75" w:lineRule="exact"/>
        <w:rPr>
          <w:sz w:val="20"/>
          <w:szCs w:val="20"/>
          <w:color w:val="auto"/>
        </w:rPr>
      </w:pPr>
    </w:p>
    <w:p>
      <w:pPr>
        <w:ind w:left="707" w:hanging="707"/>
        <w:spacing w:after="0"/>
        <w:tabs>
          <w:tab w:leader="none" w:pos="7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87,410</w:t>
      </w:r>
    </w:p>
    <w:p>
      <w:pPr>
        <w:spacing w:after="0" w:line="117" w:lineRule="exact"/>
        <w:rPr>
          <w:sz w:val="20"/>
          <w:szCs w:val="20"/>
          <w:color w:val="auto"/>
        </w:rPr>
      </w:pPr>
    </w:p>
    <w:p>
      <w:pPr>
        <w:ind w:left="647" w:hanging="647"/>
        <w:spacing w:after="0"/>
        <w:tabs>
          <w:tab w:leader="none" w:pos="6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(77,340)</w:t>
      </w:r>
    </w:p>
    <w:p>
      <w:pPr>
        <w:spacing w:after="0" w:line="63" w:lineRule="exact"/>
        <w:rPr>
          <w:rFonts w:ascii="Times New Roman" w:cs="Times New Roman" w:eastAsia="Times New Roman" w:hAnsi="Times New Roman"/>
          <w:sz w:val="18"/>
          <w:szCs w:val="18"/>
          <w:color w:val="auto"/>
        </w:rPr>
      </w:pPr>
    </w:p>
    <w:p>
      <w:pPr>
        <w:ind w:left="10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(78)</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1,204</w:t>
      </w:r>
    </w:p>
    <w:p>
      <w:pPr>
        <w:spacing w:after="0" w:line="7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(76,183)</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87,060</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4,609</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83</w:t>
      </w:r>
    </w:p>
    <w:p>
      <w:pPr>
        <w:spacing w:after="0" w:line="77" w:lineRule="exact"/>
        <w:rPr>
          <w:sz w:val="20"/>
          <w:szCs w:val="20"/>
          <w:color w:val="auto"/>
        </w:rPr>
      </w:pPr>
    </w:p>
    <w:p>
      <w:pPr>
        <w:ind w:left="707" w:hanging="707"/>
        <w:spacing w:after="0"/>
        <w:tabs>
          <w:tab w:leader="none" w:pos="7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15,569</w:t>
      </w:r>
    </w:p>
    <w:p>
      <w:pPr>
        <w:spacing w:after="0" w:line="117" w:lineRule="exact"/>
        <w:rPr>
          <w:rFonts w:ascii="Times New Roman" w:cs="Times New Roman" w:eastAsia="Times New Roman" w:hAnsi="Times New Roman"/>
          <w:sz w:val="18"/>
          <w:szCs w:val="18"/>
          <w:color w:val="auto"/>
        </w:rPr>
      </w:pPr>
    </w:p>
    <w:p>
      <w:pPr>
        <w:ind w:left="8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917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9580" w:space="233"/>
            <w:col w:w="1407"/>
          </w:cols>
          <w:pgMar w:left="320" w:top="1174" w:right="359" w:bottom="1440" w:gutter="0" w:footer="0" w:header="0"/>
          <w:type w:val="continuous"/>
        </w:sect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relating to stock options, restricted stock units and time-vesting units.</w:t>
      </w:r>
    </w:p>
    <w:p>
      <w:pPr>
        <w:jc w:val="both"/>
        <w:ind w:left="340" w:hanging="332"/>
        <w:spacing w:after="0" w:line="234"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relating to the accelerated vesting of performance-vesting units in connection with the IPO for the three months ended September 30, 2020 and the accelerated vesting of profit interests and incentive share units in connection with the Centerbridge Acquisition for the period from July 1, 2019 through September 12, 2019.</w:t>
      </w:r>
    </w:p>
    <w:p>
      <w:pPr>
        <w:spacing w:after="0" w:line="2"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consulting, and other costs related to the Centerbridge Acquisition.</w:t>
      </w: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consulting, and other indirect costs associated with the Company’s IPO.</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the termination of employment.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 Revenues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Commission revenues were $101.4 million for the three months ended September 30, 2020 compared to $64.5 million for the Period from July 1, 2019 through September 12, 2019, and $13.7 million for the Period from September 13, 2019 through September 30, 2019, which was primarily attributable to increases in commission revenues from the Medicare—Internal segment driven by a 63.8% increase in Medicare commissionable Approved Submissions due to the implementation of new marketing strategies to generate a greater number of prospects, an improvement in the efficiency of our agents driven by improvements in our technology, and the hiring of additional agents.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Revenues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Enterprise revenues were $62.0 million for the three months ended September 30, 2020 compared to $22.9 million for the Period from July 1, 2019 through September 12, 2019, and $6.1 million for the Period from September 13, 2019 through September 30, 2019, which was primarily attributable to an increase of $38.3 million related to earned development funds for carrier -specific marketing services and the expansion of carrier-specific sponsorships and programs in our Medicare—Internal segment. The increase was partially offset by a decline in consumer lead sales to external third parties in the IFP and Other—External segment and the Medicare—External segment that totaled $3.9 million, as we strategically shifted to generating consumer leads in the internal channels.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analysis in “—Segment Information” below.</w:t>
      </w:r>
    </w:p>
    <w:p>
      <w:pPr>
        <w:sectPr>
          <w:pgSz w:w="11900" w:h="16838" w:orient="portrait"/>
          <w:cols w:equalWidth="0" w:num="1">
            <w:col w:w="11220"/>
          </w:cols>
          <w:pgMar w:left="320" w:top="117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Cost of revenue was $25.8 million for the three months ended September 30, 2020 compared to $25.1 million for the Period from July 1, 2019 through September 12, 2019, and $4.7 million for the Period from September 13, 2019 through September 30, 2019. The decrease was primarily due to a 66.9% and a 6.7% decline in commissionable Approved Submissions in the IFP and Other—External and Medicare—External segments, respectively, which decreased the amount of expense we recognized pursuant to our revenue-sharing agreements with external agents and other partners.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Advertising</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Marketing and advertising expense was $62.8 million for the three months ended September 30, 2020 compared to $21.3 million for the Period from July 1, 2019 through September 12, 2019, and $7.1 million for the Period from September 13, 2019 through September 30, 2019. Marketing and advertising expense for the three months ended September 30, 2020 included $24.7 million of share-based compensation expense relating to the accelerated vesting of performance-vesting units in connection with the IPO. Absent this share-based compensation expense, the increase was primarily due to an increase in our advertising costs for the Medicare—Internal segment to generate more qualified prospects, which contributed to a 63.8% increase in commissionable Approved Submissions in the Medicare—Internal segment.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Care and Enrollment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Customer care and enrollment expense was $52.9 million for the three months ended September 30, 2020 compared to $19.4 million for the Period from July 1, 2019 through September 12, 2019, and $4.6 million for the Period from September 13, 2019 through September 30, 2019. Customer care and enrollment expense for the three months ended September 30, 2020 included $11.5 million of share-based compensation expense relating to the accelerated vesting of performance-vesting units in connection with the IPO. Absent this share-based compensation expense, the increase was primarily attributable to the hiring of additional agents in the Medicare—Internal segment in order to drive the conversion of a greater number of qualified prospects into commissionable Approved Submissions. As of September 30, 2020, we had 1,493 full time equivalent licensed agents compared to 849 full time equivalent licensed agents as of September 30, 2019.</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Technology expense was $39.5 million for the three months ended September 30, 2020 compared to $31.9 million for the Period from July 1, 2019 through September 12, 2019, and $0.5 million for the Period from September 13, 2019 through September 30, 2019. Technology expense for the three months ended September 30, 2020 included $32.6 million of share-based compensation expense relating to the accelerated vesting of performance-vesting units in connection with the IPO. The period from July 1, 2019 through September 12, 2019 included share-based compensation expense of $27.1 million in connection with the accelerated vesting of certain legacy profit interests and legacy incentive share units granted prior to the Centerbridge Acquisition. Absent the share-based compensation expense, the increase was primarily attributable to the hiring of additional employees in our technology and data science teams, and the expansion of our business intelligence and analytics staffing in order to support the growth of the Medicare—Internal segment.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was $156.6 million for the three months ended September 30, 2020 compared to $65.1 million for the Period from July 1, 2019 through September 12, 2019, and $2.3 million for the Period from September 13, 2019 through September 30, 2019. General and administrative expense for the three months ended September 30, 2020 included $140.6 million of share-based compensation expense relating to the accelerated vesting of performance-vesting units in connection with the IPO. The period from July 1, 2019 through September 12, 2019 included share-based compensation expense of $58.3 million in connection with the accelerated vesting of certain legacy profit interests and legacy incentive share units granted prior to the Centerbridge Acquisition. Absent the share-based compensation expense, the increase in general and administrative expense for the three months ended September 30, 2020 was primarily due to investments in corporate infrastructure, such as legal, human resources, and finance, to support the growth of the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expense was $23.5 million for the three months ended September 30, 2020, compared to no amortization of intangible assets expense for the Period from July 1, 2019 through September 12, 2019, and $4.7 million for the Period from September 13, 2019 through September 30, 2019. Amortization of intangible assets expense relates to the</w:t>
      </w:r>
    </w:p>
    <w:p>
      <w:pPr>
        <w:sectPr>
          <w:pgSz w:w="11900" w:h="16838" w:orient="portrait"/>
          <w:cols w:equalWidth="0" w:num="1">
            <w:col w:w="11240"/>
          </w:cols>
          <w:pgMar w:left="320" w:top="138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type w:val="continuous"/>
        </w:sectPr>
      </w:pPr>
    </w:p>
    <w:bookmarkStart w:id="40" w:name="page41"/>
    <w:bookmarkEnd w:id="40"/>
    <w:p>
      <w:pPr>
        <w:ind w:right="800"/>
        <w:spacing w:after="0" w:line="282" w:lineRule="auto"/>
        <w:rPr>
          <w:sz w:val="20"/>
          <w:szCs w:val="20"/>
          <w:color w:val="auto"/>
        </w:rPr>
      </w:pPr>
      <w:r>
        <w:rPr>
          <w:rFonts w:ascii="Times New Roman" w:cs="Times New Roman" w:eastAsia="Times New Roman" w:hAnsi="Times New Roman"/>
          <w:sz w:val="18"/>
          <w:szCs w:val="18"/>
          <w:color w:val="auto"/>
        </w:rPr>
        <w:t>amortization of developed technology and customer relationships that were recognized as part of the purchase price allocation at the date of the Centerbridge Acquisition.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Interest expense was $8.6 million for the three months ended September 30, 2020 compared to $31 thousand for the Period from July 1, 2019 through September 12, 2019, and $1.3 million for the Period from September 13, 2019 through September 30, 2019. The increase was due to additional debt outstanding on our Credit Facilities in connection with the Centerbridge Acquisition.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$39.3 million for the three months ended September 30, 2020 compared to $15.6 million for the Period from July 1, 2019 through September 12, 2019, and $0.7 million for the Period from September 13, 2019 through September 30, 2019. The increase was primarily due to an increase in commission revenues in the Medicare segments as described above.</w:t>
      </w:r>
    </w:p>
    <w:p>
      <w:pPr>
        <w:spacing w:after="0" w:line="200" w:lineRule="exact"/>
        <w:rPr>
          <w:sz w:val="20"/>
          <w:szCs w:val="20"/>
          <w:color w:val="auto"/>
        </w:rPr>
      </w:pPr>
    </w:p>
    <w:p>
      <w:pPr>
        <w:spacing w:after="0" w:line="21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the Period from January 1, 2019 through September 12, 2019 and the Period from September 13, 2019 through September 30, 2019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3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183"/>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23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Period from September 13, 2019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Period from January 1, 2019</w:t>
            </w:r>
          </w:p>
        </w:tc>
      </w:tr>
      <w:tr>
        <w:trPr>
          <w:trHeight w:val="189"/>
        </w:trPr>
        <w:tc>
          <w:tcPr>
            <w:tcW w:w="3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through September 30, 2019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through September 12, 2019</w:t>
            </w:r>
          </w:p>
        </w:tc>
      </w:tr>
      <w:tr>
        <w:trPr>
          <w:trHeight w:val="158"/>
        </w:trPr>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00" w:type="dxa"/>
            <w:vAlign w:val="bottom"/>
          </w:tcPr>
          <w:p>
            <w:pPr>
              <w:spacing w:after="0"/>
              <w:rPr>
                <w:sz w:val="16"/>
                <w:szCs w:val="16"/>
                <w:color w:val="auto"/>
              </w:rPr>
            </w:pPr>
          </w:p>
        </w:tc>
        <w:tc>
          <w:tcPr>
            <w:tcW w:w="13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4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3"/>
        </w:trPr>
        <w:tc>
          <w:tcPr>
            <w:tcW w:w="3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310,506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72.0 % $</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13,723</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175,834</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76.1 %</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Enterprise</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120,921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6,067</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55,176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23.9 %</w:t>
            </w:r>
          </w:p>
        </w:tc>
      </w:tr>
      <w:tr>
        <w:trPr>
          <w:trHeight w:val="1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431,427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19,790</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231,010</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104,520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4,737</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79,169</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34.3 %</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110,556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7,140</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37,769</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16.3 %</w:t>
            </w: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Customer care and enrollment</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105,267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4,625</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49,149</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21.3 %</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Technology</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49,818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40,312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177,400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2,286</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79,219</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34.3 %</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3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liability</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19,700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3"/>
        </w:trPr>
        <w:tc>
          <w:tcPr>
            <w:tcW w:w="3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70,543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4,703</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related transaction costs</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6,245</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637,804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147.8 %</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30,254</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287,885</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124.6 %</w:t>
            </w:r>
          </w:p>
        </w:tc>
      </w:tr>
      <w:tr>
        <w:trPr>
          <w:trHeight w:val="23"/>
        </w:trPr>
        <w:tc>
          <w:tcPr>
            <w:tcW w:w="3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(206,377)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(10,464)</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(56,875)</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(230,261)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(11,743)</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(57,129)</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(230,299)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(11,706)</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(57,063)</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2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(150,076)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GoHealth, Inc.</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(80,223)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(11,706)</w:t>
            </w: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(57,063)</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23"/>
        </w:trPr>
        <w:tc>
          <w:tcPr>
            <w:tcW w:w="3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3"/>
        </w:trPr>
        <w:tc>
          <w:tcPr>
            <w:tcW w:w="39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Non-GAAP Financial Measures:</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(132,441)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(5,659)</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(52,742)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101,141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39,973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4"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The following table sets forth the reconciliations of GAAP net loss to EBITDA and Adjusted EBITDA for the periods indicated:</w:t>
      </w:r>
    </w:p>
    <w:p>
      <w:pPr>
        <w:sectPr>
          <w:pgSz w:w="11900" w:h="16838" w:orient="portrait"/>
          <w:cols w:equalWidth="0" w:num="1">
            <w:col w:w="11200"/>
          </w:cols>
          <w:pgMar w:left="320" w:top="1282" w:right="379" w:bottom="1440" w:gutter="0" w:footer="0" w:header="0"/>
        </w:sect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3"/>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September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13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13, 2019 through</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34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5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ind w:right="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3"/>
                <w:szCs w:val="13"/>
                <w:color w:val="auto"/>
              </w:rPr>
            </w:pPr>
          </w:p>
        </w:tc>
        <w:tc>
          <w:tcPr>
            <w:tcW w:w="134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431,427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(230,299)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(11,706)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24,378</w:t>
            </w:r>
          </w:p>
        </w:tc>
        <w:tc>
          <w:tcPr>
            <w:tcW w:w="18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3"/>
                <w:szCs w:val="23"/>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73,442</w:t>
            </w:r>
          </w:p>
        </w:tc>
        <w:tc>
          <w:tcPr>
            <w:tcW w:w="18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(132,441)</w:t>
            </w:r>
          </w:p>
        </w:tc>
        <w:tc>
          <w:tcPr>
            <w:tcW w:w="180" w:type="dxa"/>
            <w:vAlign w:val="bottom"/>
          </w:tcPr>
          <w:p>
            <w:pPr>
              <w:spacing w:after="0"/>
              <w:rPr>
                <w:sz w:val="20"/>
                <w:szCs w:val="20"/>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 (1)</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3,846</w:t>
            </w:r>
          </w:p>
        </w:tc>
        <w:tc>
          <w:tcPr>
            <w:tcW w:w="18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Accelerated vesting of certain equity awards (2)</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209,300</w:t>
            </w:r>
          </w:p>
        </w:tc>
        <w:tc>
          <w:tcPr>
            <w:tcW w:w="18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liability (3)</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19,700</w:t>
            </w:r>
          </w:p>
        </w:tc>
        <w:tc>
          <w:tcPr>
            <w:tcW w:w="18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Centerbridge Acquisition costs (4)</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IPO transaction costs (5)</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Severance costs (6)</w:t>
            </w:r>
          </w:p>
        </w:tc>
        <w:tc>
          <w:tcPr>
            <w:tcW w:w="120" w:type="dxa"/>
            <w:vAlign w:val="bottom"/>
          </w:tcPr>
          <w:p>
            <w:pPr>
              <w:spacing w:after="0"/>
              <w:rPr>
                <w:sz w:val="23"/>
                <w:szCs w:val="23"/>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23"/>
                <w:szCs w:val="23"/>
                <w:color w:val="auto"/>
              </w:rPr>
            </w:pP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101,141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7"/>
        </w:trPr>
        <w:tc>
          <w:tcPr>
            <w:tcW w:w="6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0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2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-3342640</wp:posOffset>
            </wp:positionV>
            <wp:extent cx="6995160" cy="31286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3128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25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 from January 1,</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2019 through</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September 12,</w:t>
      </w:r>
    </w:p>
    <w:p>
      <w:pPr>
        <w:spacing w:after="0" w:line="5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2019</w:t>
      </w:r>
    </w:p>
    <w:p>
      <w:pPr>
        <w:spacing w:after="0" w:line="75" w:lineRule="exact"/>
        <w:rPr>
          <w:sz w:val="20"/>
          <w:szCs w:val="20"/>
          <w:color w:val="auto"/>
        </w:rPr>
      </w:pPr>
    </w:p>
    <w:p>
      <w:pPr>
        <w:ind w:left="720" w:hanging="717"/>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231,010</w:t>
      </w:r>
    </w:p>
    <w:p>
      <w:pPr>
        <w:spacing w:after="0" w:line="117" w:lineRule="exact"/>
        <w:rPr>
          <w:sz w:val="20"/>
          <w:szCs w:val="20"/>
          <w:color w:val="auto"/>
        </w:rPr>
      </w:pPr>
    </w:p>
    <w:p>
      <w:pPr>
        <w:ind w:left="740" w:hanging="73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(57,063)</w:t>
      </w:r>
    </w:p>
    <w:p>
      <w:pPr>
        <w:spacing w:after="0" w:line="6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w:t>
      </w:r>
    </w:p>
    <w:p>
      <w:pPr>
        <w:spacing w:after="0" w:line="6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pacing w:after="0" w:line="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4,247</w:t>
      </w:r>
    </w:p>
    <w:p>
      <w:pPr>
        <w:spacing w:after="0" w:line="77"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(52,742)</w:t>
      </w:r>
    </w:p>
    <w:p>
      <w:pPr>
        <w:spacing w:after="0" w:line="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87,060</w:t>
      </w:r>
    </w:p>
    <w:p>
      <w:pPr>
        <w:spacing w:after="0" w:line="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4,908</w:t>
      </w:r>
    </w:p>
    <w:p>
      <w:pPr>
        <w:spacing w:after="0" w:line="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747</w:t>
      </w:r>
    </w:p>
    <w:p>
      <w:pPr>
        <w:spacing w:after="0" w:line="77" w:lineRule="exact"/>
        <w:rPr>
          <w:sz w:val="20"/>
          <w:szCs w:val="20"/>
          <w:color w:val="auto"/>
        </w:rPr>
      </w:pPr>
    </w:p>
    <w:p>
      <w:pPr>
        <w:ind w:left="800" w:hanging="797"/>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39,973</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9772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9260" w:space="240"/>
            <w:col w:w="1700"/>
          </w:cols>
          <w:pgMar w:left="320" w:top="1282" w:right="379" w:bottom="1440" w:gutter="0" w:footer="0" w:header="0"/>
          <w:type w:val="continuous"/>
        </w:sect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relating to stock options, restricted stock units and time-vesting units.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relating to the accelerated vesting of performance-vesting units in connection with the IPO for the nine months ended September 30, 2020 and the accelerated vesting of profit interests and incentive share units in connection with the Centerbridge Acquisition for the period from January 1, 2019 through September 12, 2019.</w:t>
      </w:r>
    </w:p>
    <w:p>
      <w:pPr>
        <w:spacing w:after="0" w:line="1" w:lineRule="exact"/>
        <w:rPr>
          <w:rFonts w:ascii="Times New Roman" w:cs="Times New Roman" w:eastAsia="Times New Roman" w:hAnsi="Times New Roman"/>
          <w:sz w:val="18"/>
          <w:szCs w:val="18"/>
          <w:color w:val="auto"/>
        </w:rPr>
      </w:pPr>
    </w:p>
    <w:p>
      <w:pPr>
        <w:ind w:left="340" w:right="860" w:hanging="332"/>
        <w:spacing w:after="0" w:line="234"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of the contingent consideration liability due to the predecessor owners of the Company arising from the Centerbridge Acquisition.</w:t>
      </w:r>
    </w:p>
    <w:p>
      <w:pPr>
        <w:spacing w:after="0" w:line="1"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consulting, and other costs related to the Centerbridge Acquisition.</w:t>
      </w:r>
    </w:p>
    <w:p>
      <w:pPr>
        <w:ind w:left="320" w:hanging="312"/>
        <w:spacing w:after="0" w:line="234" w:lineRule="auto"/>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consulting, and other indirect costs associated with the Company’s IPO.</w:t>
      </w: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the termination of employment.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 Revenues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Commission revenues were $310.5 million for the nine months ended September 30, 2020 compared to $175.8 million for the Period from January 1, 2019 through September 12, 2019 and $13.7 million for the Period from September 13, 2019 through September 30, 2019, which was primarily attributable to increases in commission revenue from (i) the Medicare—Internal segment driven by a 125.9% increase in Medicare commissionable Approved Submissions due to the hiring of additional agents, the increased utilization and efficiency of our agents and the implementation of new marketing strategies to generate a greater number of qualified prospects and (ii) the Medicare—External segment driven by a 38.4% increase in commissionable Approved Submissions due to our ability to recruit and onboard additional external agents to enroll consumers in Medicare plans using our technology and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Enterprise Revenues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Enterprise revenues were $120.9 million for the nine months ended September 30, 2020 compared to $55.2 million for the Period from January 1, 2019 through September 12, 2019 and $6.1 million for the Period from September 13, 2019 through September 30, 2019, which was primarily attributable to an increase of $79.9 million related to earned development funds for carrier -specific marketing services and the expansion of carrier-specific sponsorships and programs in our Medicare—Internal segment. The increase was partially offset by a decline in consumer lead sales to external third parties in our IFP and Other—External Segment and the Medicare—External segment that totaled $13.4 million, as we strategically shifted to generating consumer leads in the internal channels.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analysis in “—Segment Information”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Cost of revenue was $104.5 million for the nine months ended September 30, 2020 compared to $79.2 million for the Period from January 1, 2019 through September 12, 2019 and $4.7 million for the Period from September 13, 2019 through September 30, 2019. The increase was primarily due to a 38.4% increase in commissionable Approved Submissions in the Medicare—External segment, which increased the amount of expense we recognized pursuant to our revenue-sharing agreements with external agents and other partners.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Advertising</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Marketing and advertising expense was $110.6 million for the nine months ended September 30, 2020 compared to $37.8 million for the Period from January 1, 2019 through September 12, 2019 and $7.1 million for the Period from September 13, 2019 through September 30, 2019. Marketing and advertising expense for the nine months ended September 30, 2020 included $24.7 million of share-based compensation expense relating to the accelerated vesting of performance-vesting units in connection with the IPO. Absent this share-based compensation expense, the increase was primarily due to an increase in our advertising costs for the Medicare—Internal segment to generate more qualified prospects, which contributed to a 125.9% increase in Medicare—Internal commissionable Approved Submissions.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Care and Enrollment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Customer care and enrollment expense was $105.3 million for the nine months ended September 30, 2020 compared to $49.1 million for the Period from January 1, 2019 through September 12, 2019 and $4.6 million for the Period from September 13, 2019 through September 30, 2019. Customer care and enrollment expense for the nine months ended September 30, 2020 included $11.5 million of share-based compensation expense relating to the accelerated vesting of performance-vesting units in connection with the IPO. Absent this share-based compensation expense, the increase was primarily attributable to the hiring of additional agents in the Medicare—Internal segment in order to drive the conversion of a greater number of qualified prospects into commissionable Approved Submissions. As of September 30, 2020, we had 1,493 full time equivalent licensed agents compared to 849 full time equivalent licensed agents as of September 30, 2019.</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Technology expense was $49.8 million for the nine months ended September 30, 2020 compared to $40.3 million for the Period from January 1, 2019 through September 12, 2019 and $0.5 million for the Period from September 13, 2019 through September 30, 2019. Technology expense for the nine months ended September 30, 2020 included $32.6 million of share-based compensation expense relating to the accelerated vesting of performance-vesting units in connection with the IPO. The period from January 1, 2019 through September 12, 2019 included share-based compensation expense of $27.1 million in connection with the accelerated vesting of certain legacy profit interests and legacy incentive share units granted prior to the Centerbridge Acquisition. Absent the share-based compensation expense, the increase was primarily attributable to the hiring of additional employees in our technology and data science teams, and the expansion of our business intelligence and analytics staffing in order to support the growth of the Medicare—Internal segment.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$177.4 million for the nine months ended September 30, 2020 compared to $79.2 million for the Period from January 1, 2019 through September 12, 2019 and $2.3 million for the Period from September 13, 2019 through September 30, 2019. General and administrative expense for the nine months ended September 30, 2020 included</w:t>
      </w:r>
    </w:p>
    <w:p>
      <w:pPr>
        <w:sectPr>
          <w:pgSz w:w="11900" w:h="16838" w:orient="portrait"/>
          <w:cols w:equalWidth="0" w:num="1">
            <w:col w:w="11220"/>
          </w:cols>
          <w:pgMar w:left="320" w:top="1388"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8" w:right="359" w:bottom="1440" w:gutter="0" w:footer="0" w:header="0"/>
          <w:type w:val="continuous"/>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$140.6 million of share-based compensation expense relating to the accelerated vesting of performance-vesting units in connection with the IPO. General and administrative expense for the period from January 1, 2019 through September 12, 2019 included share-based compensation expense of $58.3 million in connection with the accelerated vesting of certain legacy profit interests and legacy incentive share units granted prior to the Centerbridge Acquisition. Absent the share-based compensation expense, the increase in general and administrative expense for the nine months ended September 30, 2020 was primarily due to investments in corporate infrastructure, such as legal, human resources, and finance, to support the growth of the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 Liability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Change in fair value of contingent consideration liability was $19.7 million for the nine months ended September 30, 2020 and relates to the earnout liability incurred in connection with the Centerbridge Acquisition, in which we agreed to pay additional consideration if certain financial targets are achieved. We had no earnout liability for the Period from January 1, 2019 through September 12, 2019 or for the Period from September 13, 2019 through September 30, 2019.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expense was $70.5 million for the nine months ended September 30, 2020 compared to no amortization of intangible assets expense for the Period from January 1, 2019 through September 12, 2019, and $4.7 million for the Period from September 13, 2019 through September 30, 2019, and relates to the amortization of developed technology and customer relationships that were recognized as part of the purchase price allocation at the date of the Centerbridge Acquisition.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was $24.4 million for the nine months ended September 30, 2020 compared to $0.1 million for the Period from January 1, 2019 through September 12, 2019 and $1.3 million for the Period from September 13, 2019 through September 30, 2019. The increase was due to additional debt outstanding on the Credit Facilities in connection with the Centerbridge Acquisition.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Adjusted EBITDA was $101.1 million for the nine months ended September 30, 2020 compared to $40.0 million for the Period from January 1, 2019 through September 12, 2019 and $0.7 million for the Period from September 13, 2019 through September 30, 2019. The increase was primarily due to an increase in commission revenues in the Medicare segments as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operating segments have been determined in accordance with Accounting Standards Codification, or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We have four operating segments: Medicare—Internal, Medicare—External, IFP and Other—Internal, and IFP and Other—External. In addition, we separately report other expenses (classified as “Corporate expense” in the following table), the primary components of which are corporate overhead expenses and shared service expenses that have not been allocated to the operating segments, as they are not the responsibility of segment operating management. The segment measurements provided to and evaluated by the chief operating decision maker are described in the notes to the interim condensed consolidated financial statements included elsewhere in this Quarterly Report on Form 10-Q. These results should be considered in addition to, not as a substitute for, results reported in accordance with GAAP.</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4" w:right="459" w:bottom="1440" w:gutter="0" w:footer="0" w:header="0"/>
        </w:sectPr>
      </w:pPr>
    </w:p>
    <w:bookmarkStart w:id="44" w:name="page45"/>
    <w:bookmarkEnd w:id="44"/>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Compared to the Period from July 1, 2019 through September 12, 2019 and the Period from September 13, 2019 through September 30,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3740" w:type="dxa"/>
            <w:vAlign w:val="bottom"/>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182"/>
        </w:trPr>
        <w:tc>
          <w:tcPr>
            <w:tcW w:w="3740" w:type="dxa"/>
            <w:vAlign w:val="bottom"/>
          </w:tcPr>
          <w:p>
            <w:pPr>
              <w:spacing w:after="0"/>
              <w:rPr>
                <w:sz w:val="15"/>
                <w:szCs w:val="15"/>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2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Period from September 13, 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Period from July 1, 2019 through</w:t>
            </w:r>
          </w:p>
        </w:tc>
      </w:tr>
      <w:tr>
        <w:trPr>
          <w:trHeight w:val="189"/>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through September 30, 2019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September 12, 2019</w:t>
            </w:r>
          </w:p>
        </w:tc>
      </w:tr>
      <w:tr>
        <w:trPr>
          <w:trHeight w:val="158"/>
        </w:trPr>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62"/>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9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0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2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3"/>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6"/>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3"/>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Medicare—Internal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81.9 %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55.9 %</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Medicare—External</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16,577</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r>
      <w:tr>
        <w:trPr>
          <w:trHeight w:val="193"/>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IFP and Other—Internal</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IFP and Other—External</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10,832</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r>
      <w:tr>
        <w:trPr>
          <w:trHeight w:val="18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163,360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19,790</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87,410</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profit (loss):</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93"/>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Medicare—Internal</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20,218</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23.1 %</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Medicare—External</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3"/>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IFP and Other—Internal</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IFP and Other—External</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8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profit</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50,086</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18,001</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20.6 %</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expense (1)</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137.3 %</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93,353</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106.8 %</w:t>
            </w:r>
          </w:p>
        </w:tc>
      </w:tr>
      <w:tr>
        <w:trPr>
          <w:trHeight w:val="193"/>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Transaction costs</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3"/>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5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(206,434)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(11,743)</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(77,418)</w:t>
            </w:r>
          </w:p>
        </w:tc>
        <w:tc>
          <w:tcPr>
            <w:tcW w:w="10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340" w:right="20" w:hanging="332"/>
        <w:spacing w:after="0" w:line="238"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2020 includes $2.8 million of share-based compensation expense related to Time-Vesting Units, stock options and restricted stock units, and $209.3 million of share-based compensation expense associated with the accelerated vesting of the Performance-Vesting Units in connection with the IPO. The Period from July 1, 2019 through September 12, 2019 includes the Class C share-based compensation and incentive share plan expense recorded in connection with the Acquisition, and which totaled $87.1 million.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revenues for the Medicare—Internal segment were $133.7 million for the three months ended September 30, 2020 compared to $48.9 million for the Period from July 1, 2019 through September 12, 2019 and $14.2 million for the Period from September 13, 2019 through September 30, 2019, which was primarily driven by the hiring of additional agents and the increased utilization and efficiency of our agents, which contributed to a 63.8% increase in commissionable Approved Submissions. As of September 30, 2020, we had 1,493 full time equivalent licensed agents compared to 849 full time equivalent licensed agents as of September 30, 2019. In addition to increasing our agent count, we were able to increase the efficiency of our agents due to improvements in our technology. Net revenues also increased in this segment due to the implementation of new marketing strategies to generate a greater number of qualified prospects and due to an increase in non-commission revenues. Net revenues for the Medicare—External segment were $20.3 million for the three months ended September 30, 2020 compared to $16.6 million for the Period from July 1, 2019 through September 12, 2019 and $3.9 million for the Period from September 13, 2019 through September 30, 2019, which was driven by a decline in consumer lead sales to external third parties, as we strategically shifted to generating consumer leads in the internal channels.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revenues for the IFP and Other—Internal segment were $6.1 million for the three months ended September 30, 2020 compared to $11.1 million for the Period from July 1, 2019 through September 12, 2019 and $0.8 million for the Period from September 13, 2019 through September 30, 2019. Net revenues for the IFP and Other—External segment were $3.2 million for the three months ended September 30, 2020 compared to $10.8 million for the Period from July 1, 2019 through September 12, 2019 and $1.0 million for the Period from September 13, 2019 through September 30, 2019. For each of the IFP and Other segments, the decreases were primarily driven by a change in product mix sold within the IFP and Other segments.</w:t>
      </w:r>
    </w:p>
    <w:p>
      <w:pPr>
        <w:sectPr>
          <w:pgSz w:w="11900" w:h="16838" w:orient="portrait"/>
          <w:cols w:equalWidth="0" w:num="1">
            <w:col w:w="11220"/>
          </w:cols>
          <w:pgMar w:left="320" w:top="13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Profit (Loss)</w:t>
      </w:r>
    </w:p>
    <w:p>
      <w:pPr>
        <w:spacing w:after="0" w:line="11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Segment profit (loss)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expense (income).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Segment profit for the Medicare—Internal segment was $49.5 million for the three months ended September 30, 2020 compared to $20.2 million for the Period from July 1, 2019 through September 12, 2019 and $2.5 million for the Period from September 13, 2019 through September 30, 2019. The increase was primarily driven by the increase of Medicare commissionable Approved Submissions, which was primarily attributable to (i) improvements in our LeadScore and call-routing technologies allowing our agents to successfully convert more consumer leads into customers and (ii) an expansion of the diversity and breadth of our omni-channel marketing efforts, which enabled the acquisition of higher quality prospects.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Segment profit (loss) for the Medicare—External segment was $0.7 million for the three months ended September 30, 2020 compared to $(4.2) million for the Period from July 1, 2019 through September 12, 2019 and $0.7 million for the Period from September 13, 2019 through September 30, 2019. The increase was primarily driven by a decline in marketing and advertising spend in the Medicare—External Segment, as we strategically shifted to generating consumer leads in the internal channels.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Segment profit (loss) for the IFP and Other—Internal segment was $0.2 million for the three months ended September 30, 2020 compared to segment profit of $1.6 million for the Period from July 1, 2019 through September 12, 2019 and $(2.4) million for the Period from September 13, 2019 through September 30, 2019. The decrease in segment loss was primarily driven by a change in product mix sold by agents for IFP and Other plans and improved marketing efficiencies.</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Segment profit for the IFP and Other—External segment was $0.1 million for the three months ended September 30, 2020 compared to $0.4 million for the Period from July 1, 2019 through September 12, 2019 and $0.5 million for the Period from September 13, 2019 through September 30, 2019. The decrease in segment profit was primarily driven by a change in product mix sold within the IFP and Other—External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6" w:name="page47"/>
    <w:bookmarkEnd w:id="46"/>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the Period from January 1, 2019 through September 12, 2019 and the Period from September 13, 2019 through September 30,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3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23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Period from September 13, 2019</w:t>
            </w:r>
          </w:p>
        </w:tc>
        <w:tc>
          <w:tcPr>
            <w:tcW w:w="80" w:type="dxa"/>
            <w:vAlign w:val="bottom"/>
          </w:tcPr>
          <w:p>
            <w:pPr>
              <w:spacing w:after="0"/>
              <w:rPr>
                <w:sz w:val="15"/>
                <w:szCs w:val="15"/>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January 1, 2019 through</w:t>
            </w:r>
          </w:p>
        </w:tc>
      </w:tr>
      <w:tr>
        <w:trPr>
          <w:trHeight w:val="189"/>
        </w:trPr>
        <w:tc>
          <w:tcPr>
            <w:tcW w:w="3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through September 30, 2019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September 12, 2019</w:t>
            </w:r>
          </w:p>
        </w:tc>
      </w:tr>
      <w:tr>
        <w:trPr>
          <w:trHeight w:val="158"/>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right w:val="single" w:sz="8" w:color="auto"/>
            </w:tcBorders>
            <w:gridSpan w:val="2"/>
          </w:tcPr>
          <w:p>
            <w:pPr>
              <w:ind w:left="44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00" w:type="dxa"/>
            <w:vAlign w:val="bottom"/>
          </w:tcPr>
          <w:p>
            <w:pPr>
              <w:spacing w:after="0"/>
              <w:rPr>
                <w:sz w:val="16"/>
                <w:szCs w:val="16"/>
                <w:color w:val="auto"/>
              </w:rPr>
            </w:pPr>
          </w:p>
        </w:tc>
        <w:tc>
          <w:tcPr>
            <w:tcW w:w="13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32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3"/>
        </w:trPr>
        <w:tc>
          <w:tcPr>
            <w:tcW w:w="3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3"/>
        </w:trPr>
        <w:tc>
          <w:tcPr>
            <w:tcW w:w="3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Medicare—Internal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73.3 %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102,196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Medicare—External</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55,981</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r>
      <w:tr>
        <w:trPr>
          <w:trHeight w:val="193"/>
        </w:trPr>
        <w:tc>
          <w:tcPr>
            <w:tcW w:w="3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IFP and Other—Internal</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37,909</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IFP and Other—External</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34,924</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r>
      <w:tr>
        <w:trPr>
          <w:trHeight w:val="18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431,427</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19,790</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231,010</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profit (loss):</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3"/>
        </w:trPr>
        <w:tc>
          <w:tcPr>
            <w:tcW w:w="3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Medicare—Internal</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Medicare—External</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93"/>
        </w:trPr>
        <w:tc>
          <w:tcPr>
            <w:tcW w:w="3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IFP and Other—Internal</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IFP and Other—External</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8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profit</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125,808</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48,860</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21.2 %</w:t>
            </w: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expense (1)</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241,942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103,469</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44.8 %</w:t>
            </w:r>
          </w:p>
        </w:tc>
      </w:tr>
      <w:tr>
        <w:trPr>
          <w:trHeight w:val="193"/>
        </w:trPr>
        <w:tc>
          <w:tcPr>
            <w:tcW w:w="3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liability</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3"/>
        </w:trPr>
        <w:tc>
          <w:tcPr>
            <w:tcW w:w="3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 Costs</w:t>
            </w:r>
          </w:p>
        </w:tc>
        <w:tc>
          <w:tcPr>
            <w:tcW w:w="100" w:type="dxa"/>
            <w:vAlign w:val="bottom"/>
          </w:tcPr>
          <w:p>
            <w:pPr>
              <w:spacing w:after="0"/>
              <w:rPr>
                <w:sz w:val="16"/>
                <w:szCs w:val="16"/>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3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3"/>
        </w:trPr>
        <w:tc>
          <w:tcPr>
            <w:tcW w:w="3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3"/>
        </w:trPr>
        <w:tc>
          <w:tcPr>
            <w:tcW w:w="3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5"/>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(230,261)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(57,129)</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340" w:right="20" w:hanging="332"/>
        <w:spacing w:after="0" w:line="238"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 months ended September 30, 2020 include $3.8 million of share-based compensation expense related to Time-Vesting Units, stock options and restricted stock units, and $209.3 million of share-based compensation expense associated with the accelerated vesting of the Performance-Vesting Units in connection with the IPO. The Period from January 1, 2019 through September 12, 2019 includes the Class C share-based compensation and incentive share plan expense recorded in connection with the Acquisition, and which totaled $87.1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revenues for the Medicare—Internal segment were $316.2 million for the nine months ended September 30, 2020 compared to $102.2 million for the Period from January 1, 2019 through September 12, 2019 and $14.2 million for the Period from September 13, 2019 through September 30, 2019, which was primarily driven by the hiring of additional agents and the increased utilization and efficiency of our agents, which contributed to a 125.9% increase in commissionable Approved Submissions. As of September 30, 2020, we had 1,493 full time equivalent licensed agents compared to 849 full time equivalent licensed agents as of September 30, 2019. In addition to increasing our agent count, we were able to increase the efficiency of our agents due to improvements in our technology. Net revenues also increased in this segment due to the implementation of new marketing strategies to generate a greater number of qualified prospects and due to an increase in non-commission revenues. Net revenues for the Medicare—External segment were $77.3 million for the nine months ended September 30, 2020 compared to $56.0 million for the Period from January 1, 2019 through September 12, 2019 and $3.9 million for the Period from September 13, 2019 through September 30, 2019, which was primarily driven by a 38.4% increase in commissionable Approved Submissions in the Medicare—External segment due to our ability to recruit and onboard additional external agents to enroll consumers in Medicare plans using our technology and platform.</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revenues for the IFP and Other—Internal segment were $21.8 million for the nine months ended September 30, 2020 compared to $37.9 million for the Period from January 1, 2019 through September 12, 2019 and $0.8 million for the Period from September 13, 2019 through September 30, 2019. Net revenues for the IFP and Other—External segment were $16.1 million for the nine months ended September 30, 2020 compared to $34.9 million for the Period from January 1, 2019 through September 12, 2019 and $1.0 million for the Period from September 13, 2019 through September 30, 2019. For each of the IFP and Other segments, the decreases were primarily driven by a change in product mix sold within the IFP and Other segments.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Profit (Loss)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Segment profit for the Medicare—Internal segment was $123.9 million for the nine months ended September 30, 2020 compared to $40.0 million for the Period from January 1, 2019 through September 12, 2019 and $2.5 million for the Period from September 13, 2019 through September 30, 2019. The increase was primarily driven by the increase of Medicare commissionable Approved Submissions, which was primarily attributable to (i) improvements in our LeadScore and call-routing technologies allowing our agents to successfully convert more qualified prospects into Submitted Policies and (ii) improved marketing efficiencies driven by our rapid test-and-learn approach across our marketing channels, as well as an expansion of the diversity and breadth of our omni-channel marketing efforts, which together enabled the acquisition of higher quality prospects.</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Segment profit for the Medicare—External segment was $0.9 million for the nine months ended September 30, 2020 compared to $4.9 million for the Period from January 1, 2019 through September 12, 2019 and $0.7 million for the Period from September 13, 2019 through September 30, 2019. The decrease was primarily driven by a 38.4% increase in commissionable Approved Submissions in the Medicare—External segment and agreements with external agents and other partners that had a higher revenue-sharing percentage as compared to prior agreements.</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Segment profit (loss) for the IFP and Other—Internal segment was $0.2 million for the nine months ended September 30, 2020 compared to $2.2 million for the Period from January 1, 2019 through September 12, 2019 and $(2.4) million for the Period from September 13, 2019 through September 30, 2019. The decrease was primarily driven by a change in product mix sold by agents for IFP and Other plans.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Segment profit for the IFP and Other—External segment was $0.8 million for the nine months ended September 30, 2020 compared to $1.7 million for the Period from January 1, 2019 through September 12, 2019 and $0.5 million for the Period from September 13, 2019 through September 30, 2019. The decrease was driven by a change in product mix sold by external agencies.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Operating Metrics by Segment</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Segments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Lifetime Value of Commissions per Consumer Acquisition Cost</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enterprise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LTV/CAC for the Medicare—Internal segment was 3.7x (with a CAC of $20.9 million) for the three months ended September 30, 2020, 3.4x (with a CAC of $10.2 million) for the Period from July 1, 2019 through September 12, 2019 and 1.4x (with a CAC of $6.7 million) for the Period from September 13, 2019 through September 30, 2019. The increase in LTV/CAC is attributable to a decrease in CAC per commissionable Approved Submission due to improvements in our LeadScore and call-routing technologies allowing our agents to successfully convert more qualified prospects into Submitted Policies. Improved marketing efficiencies driven by our rapid test-and-learn approach across our marketing channels and expansion of the diversity and breadth of our omni-channel marketing efforts also contributed to an increase in LTV/CAC by enabling the acquisition of higher quality prospects at a lower effective cost per submission.</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48" w:name="page49"/>
    <w:bookmarkEnd w:id="48"/>
    <w:p>
      <w:pPr>
        <w:ind w:right="240"/>
        <w:spacing w:after="0" w:line="266" w:lineRule="auto"/>
        <w:rPr>
          <w:sz w:val="20"/>
          <w:szCs w:val="20"/>
          <w:color w:val="auto"/>
        </w:rPr>
      </w:pPr>
      <w:r>
        <w:rPr>
          <w:rFonts w:ascii="Times New Roman" w:cs="Times New Roman" w:eastAsia="Times New Roman" w:hAnsi="Times New Roman"/>
          <w:sz w:val="18"/>
          <w:szCs w:val="18"/>
          <w:color w:val="auto"/>
        </w:rPr>
        <w:t>The LTV/CAC for the Medicare—Internal segment was 3.0x (with a CAC of $71.5 million) for the nine months ended September 30, 2020, 2.7x (with a CAC of $30.7 million) for the Period from January 1, 2019 through September 12, 2019 and 1.4x (with a CAC of $6.7 million) for the Period from September 13, 2019 through September 30, 2019. The increase in LTV/CAC is attributable to the same factors described above.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Submitted Policies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Submitted Policies represent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number of Submitted Policies by product for the Medicare segments for the periods indicated, split between those submissions that are commissionable (compensated through commissions received from carriers) and those that are non-commissionable (compensated via hourly fees and enrollment fees):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84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84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13,</w:t>
            </w:r>
          </w:p>
        </w:tc>
        <w:tc>
          <w:tcPr>
            <w:tcW w:w="80" w:type="dxa"/>
            <w:vAlign w:val="bottom"/>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 July 1,</w:t>
            </w:r>
          </w:p>
        </w:tc>
        <w:tc>
          <w:tcPr>
            <w:tcW w:w="144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13,</w:t>
            </w:r>
          </w:p>
        </w:tc>
        <w:tc>
          <w:tcPr>
            <w:tcW w:w="10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79"/>
        </w:trPr>
        <w:tc>
          <w:tcPr>
            <w:tcW w:w="30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2019 through</w:t>
            </w:r>
          </w:p>
        </w:tc>
        <w:tc>
          <w:tcPr>
            <w:tcW w:w="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2019 through</w:t>
            </w: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30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0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2019 through</w:t>
            </w:r>
          </w:p>
        </w:tc>
        <w:tc>
          <w:tcPr>
            <w:tcW w:w="1440" w:type="dxa"/>
            <w:vAlign w:val="bottom"/>
          </w:tcPr>
          <w:p>
            <w:pPr>
              <w:spacing w:after="0"/>
              <w:rPr>
                <w:sz w:val="7"/>
                <w:szCs w:val="7"/>
                <w:color w:val="auto"/>
              </w:rPr>
            </w:pPr>
          </w:p>
        </w:tc>
        <w:tc>
          <w:tcPr>
            <w:tcW w:w="130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52"/>
        </w:trPr>
        <w:tc>
          <w:tcPr>
            <w:tcW w:w="3000" w:type="dxa"/>
            <w:vAlign w:val="bottom"/>
          </w:tcPr>
          <w:p>
            <w:pPr>
              <w:spacing w:after="0"/>
              <w:rPr>
                <w:sz w:val="4"/>
                <w:szCs w:val="4"/>
                <w:color w:val="auto"/>
              </w:rPr>
            </w:pPr>
          </w:p>
        </w:tc>
        <w:tc>
          <w:tcPr>
            <w:tcW w:w="14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Borders>
              <w:right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00" w:type="dxa"/>
            <w:vAlign w:val="bottom"/>
            <w:tcBorders>
              <w:right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30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September 12,</w:t>
            </w:r>
          </w:p>
        </w:tc>
        <w:tc>
          <w:tcPr>
            <w:tcW w:w="1440" w:type="dxa"/>
            <w:vAlign w:val="bottom"/>
            <w:vMerge w:val="continue"/>
          </w:tcPr>
          <w:p>
            <w:pPr>
              <w:spacing w:after="0"/>
              <w:rPr>
                <w:sz w:val="11"/>
                <w:szCs w:val="11"/>
                <w:color w:val="auto"/>
              </w:rPr>
            </w:pPr>
          </w:p>
        </w:tc>
        <w:tc>
          <w:tcPr>
            <w:tcW w:w="130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12, 2019</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Medicare Advantage</w:t>
            </w:r>
          </w:p>
        </w:tc>
        <w:tc>
          <w:tcPr>
            <w:tcW w:w="1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97,675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13,608</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51,078</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314,088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13,608</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134,173</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Medicare Supplement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20" w:type="dxa"/>
            <w:vAlign w:val="bottom"/>
          </w:tcPr>
          <w:p>
            <w:pPr>
              <w:spacing w:after="0"/>
              <w:rPr>
                <w:sz w:val="16"/>
                <w:szCs w:val="16"/>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6,164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Prescription Drug Plans</w:t>
            </w:r>
          </w:p>
        </w:tc>
        <w:tc>
          <w:tcPr>
            <w:tcW w:w="1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6,437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0" w:type="dxa"/>
            <w:vAlign w:val="bottom"/>
          </w:tcPr>
          <w:p>
            <w:pPr>
              <w:spacing w:after="0"/>
              <w:rPr>
                <w:sz w:val="1"/>
                <w:szCs w:val="1"/>
                <w:color w:val="auto"/>
              </w:rPr>
            </w:pPr>
          </w:p>
        </w:tc>
      </w:tr>
      <w:tr>
        <w:trPr>
          <w:trHeight w:val="186"/>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Medicare—Commissionable</w:t>
            </w:r>
          </w:p>
        </w:tc>
        <w:tc>
          <w:tcPr>
            <w:tcW w:w="14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100,926</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14,823</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56,386</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326,689</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153,053</w:t>
            </w: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Medicare Advantage</w:t>
            </w:r>
          </w:p>
        </w:tc>
        <w:tc>
          <w:tcPr>
            <w:tcW w:w="1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6,472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20,806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0" w:type="dxa"/>
            <w:vAlign w:val="bottom"/>
          </w:tcPr>
          <w:p>
            <w:pPr>
              <w:spacing w:after="0"/>
              <w:rPr>
                <w:sz w:val="1"/>
                <w:szCs w:val="1"/>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Medicare Supplement</w:t>
            </w:r>
          </w:p>
        </w:tc>
        <w:tc>
          <w:tcPr>
            <w:tcW w:w="1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6"/>
                <w:szCs w:val="16"/>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5,262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Prescription Drug Plans</w:t>
            </w:r>
          </w:p>
        </w:tc>
        <w:tc>
          <w:tcPr>
            <w:tcW w:w="1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2,787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86"/>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Medicare—Non Commissionable</w:t>
            </w:r>
          </w:p>
        </w:tc>
        <w:tc>
          <w:tcPr>
            <w:tcW w:w="14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9,222</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28,855</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5,762</w:t>
            </w: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Medicare Submitted Policies</w:t>
            </w:r>
          </w:p>
        </w:tc>
        <w:tc>
          <w:tcPr>
            <w:tcW w:w="1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110,148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16,217</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59,694</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355,544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Total Medicare Submitted Policies were 110,148 for the three months ended September 30, 2020, 59,694 for the Period from July 1, 2019 through September 12, 2019 and 16,217 for the Period from September 13, 2019 through September 30, 2019. The increase is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expansion of our facilities to accommodate additional agents and the hiring of additional agents also contributed to the increase in Submitted Policies. We were also able to drive an increase in total Submitted Policies in the Medicare—External segment due to our ability to recruit and onboard additional external agents to enroll consumers in Medicare plans using our technology and platform.</w:t>
      </w:r>
    </w:p>
    <w:p>
      <w:pPr>
        <w:spacing w:after="0" w:line="1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Total Medicare Submitted Policies were 355,544 for the nine months ended September 30, 2020, 158,815 for the Period from January 1, 2019 through September 12, 2019 and 16,217 for the Period from September 13, 2019 through September 30, 2019. The increase is attributable to the same factors as described above.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Approved Submissions</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9" w:name="page50"/>
    <w:bookmarkEnd w:id="49"/>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number of Approved Submissions by product relating to commissionable policies for each of the Medicare segments for the periods indicated. Only commissionable policies are used to calculate our LTV.</w:t>
      </w:r>
    </w:p>
    <w:p>
      <w:pPr>
        <w:sectPr>
          <w:pgSz w:w="11900" w:h="16838" w:orient="portrait"/>
          <w:cols w:equalWidth="0" w:num="1">
            <w:col w:w="11220"/>
          </w:cols>
          <w:pgMar w:left="320" w:top="1282" w:right="359" w:bottom="1440" w:gutter="0" w:footer="0" w:header="0"/>
        </w:sectPr>
      </w:pP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Medicare—Internal</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460" w:type="dxa"/>
            <w:vAlign w:val="bottom"/>
            <w:gridSpan w:val="2"/>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13,</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2019 through</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Medicare Advantage</w:t>
            </w: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77,186</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Medicare Supplement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Prescription Drug Plans</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1,574</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3"/>
        </w:trPr>
        <w:tc>
          <w:tcPr>
            <w:tcW w:w="3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Medicare—Internal Commissionable Approved</w:t>
            </w: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300" w:type="dxa"/>
            <w:vAlign w:val="bottom"/>
            <w:vMerge w:val="continue"/>
          </w:tcPr>
          <w:p>
            <w:pPr>
              <w:spacing w:after="0"/>
              <w:rPr>
                <w:sz w:val="12"/>
                <w:szCs w:val="12"/>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79,075</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9,452</w:t>
            </w:r>
          </w:p>
        </w:tc>
        <w:tc>
          <w:tcPr>
            <w:tcW w:w="0" w:type="dxa"/>
            <w:vAlign w:val="bottom"/>
          </w:tcPr>
          <w:p>
            <w:pPr>
              <w:spacing w:after="0"/>
              <w:rPr>
                <w:sz w:val="1"/>
                <w:szCs w:val="1"/>
                <w:color w:val="auto"/>
              </w:rPr>
            </w:pPr>
          </w:p>
        </w:tc>
      </w:tr>
      <w:tr>
        <w:trPr>
          <w:trHeight w:val="19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Submissions</w:t>
            </w:r>
          </w:p>
        </w:tc>
        <w:tc>
          <w:tcPr>
            <w:tcW w:w="12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2172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Period from July 1,</w:t>
      </w:r>
    </w:p>
    <w:p>
      <w:pPr>
        <w:jc w:val="center"/>
        <w:ind w:left="160"/>
        <w:spacing w:after="0" w:line="219" w:lineRule="auto"/>
        <w:rPr>
          <w:sz w:val="20"/>
          <w:szCs w:val="20"/>
          <w:color w:val="auto"/>
        </w:rPr>
      </w:pPr>
      <w:r>
        <w:rPr>
          <w:rFonts w:ascii="Times New Roman" w:cs="Times New Roman" w:eastAsia="Times New Roman" w:hAnsi="Times New Roman"/>
          <w:sz w:val="14"/>
          <w:szCs w:val="14"/>
          <w:b w:val="1"/>
          <w:bCs w:val="1"/>
          <w:color w:val="auto"/>
        </w:rPr>
        <w:t>2019 through September 12, 2019</w:t>
      </w:r>
    </w:p>
    <w:p>
      <w:pPr>
        <w:spacing w:after="0" w:line="2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36,270</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944</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1,611</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38,825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797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62"/>
        </w:trPr>
        <w:tc>
          <w:tcPr>
            <w:tcW w:w="1320" w:type="dxa"/>
            <w:vAlign w:val="bottom"/>
          </w:tcPr>
          <w:p>
            <w:pPr>
              <w:spacing w:after="0"/>
              <w:rPr>
                <w:sz w:val="14"/>
                <w:szCs w:val="14"/>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13,</w:t>
            </w:r>
          </w:p>
        </w:tc>
      </w:tr>
      <w:tr>
        <w:trPr>
          <w:trHeight w:val="162"/>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2019 through</w:t>
            </w:r>
          </w:p>
        </w:tc>
      </w:tr>
      <w:tr>
        <w:trPr>
          <w:trHeight w:val="162"/>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228,612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8,940</w:t>
            </w:r>
          </w:p>
        </w:tc>
      </w:tr>
      <w:tr>
        <w:trPr>
          <w:trHeight w:val="216"/>
        </w:trPr>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216"/>
        </w:trPr>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5,319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23"/>
        </w:trPr>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08"/>
        </w:trPr>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235,533</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9,452</w:t>
            </w:r>
          </w:p>
        </w:tc>
      </w:tr>
      <w:tr>
        <w:trPr>
          <w:trHeight w:val="23"/>
        </w:trPr>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325" w:lineRule="exact"/>
        <w:rPr>
          <w:sz w:val="20"/>
          <w:szCs w:val="20"/>
          <w:color w:val="auto"/>
        </w:rPr>
      </w:pP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Period from January 1, 2019 through September 12, 2019</w:t>
      </w:r>
    </w:p>
    <w:p>
      <w:pPr>
        <w:spacing w:after="0" w:line="3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86,544</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3,198</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5,078</w:t>
      </w:r>
    </w:p>
    <w:p>
      <w:pPr>
        <w:spacing w:after="0" w:line="1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94,820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797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4">
            <w:col w:w="5780" w:space="220"/>
            <w:col w:w="1200" w:space="120"/>
            <w:col w:w="2480" w:space="220"/>
            <w:col w:w="1200"/>
          </w:cols>
          <w:pgMar w:left="320" w:top="1282" w:right="359" w:bottom="1440" w:gutter="0" w:footer="0" w:header="0"/>
          <w:type w:val="continuous"/>
        </w:sectPr>
      </w:pP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Medicare—Internal commissionable Approved Submissions were 79,075 for the three months ended September 30, 2020, 38,825 for the Period from July 1, 2019 through September 12, 2019 and 9,452 for the Period from September 13, 2019 through September 30, 2019. The increase was attributable to the hiring of additional agents (including the expansion of our facilities to accommodate additional agents), the increased efficiency of our agents due to technology improvements and improved multichannel marketing strategies that allowed us to generate a greater number of high quality prospects.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Medicare—Internal commissionable Approved Submissions were 235,533 for the nine months ended September 30, 2020, 94,820 for the Period from January 1, 2019 through September 12, 2019 and 9,452 for the Period from September 13, 2019 through September 30, 2019. The increase was attributable to the same factors as described above.</w:t>
      </w:r>
    </w:p>
    <w:p>
      <w:pPr>
        <w:sectPr>
          <w:pgSz w:w="11900" w:h="16838" w:orient="portrait"/>
          <w:cols w:equalWidth="0" w:num="1">
            <w:col w:w="11220"/>
          </w:cols>
          <w:pgMar w:left="320" w:top="1282" w:right="359" w:bottom="1440" w:gutter="0" w:footer="0" w:header="0"/>
          <w:type w:val="continuous"/>
        </w:sectPr>
      </w:pP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Medicare—External</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460" w:type="dxa"/>
            <w:vAlign w:val="bottom"/>
            <w:gridSpan w:val="2"/>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13,</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2019 through</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Medicare Advantage</w:t>
            </w: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19,390</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Medicare Supplement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844</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Prescription Drug Plans</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3"/>
        </w:trPr>
        <w:tc>
          <w:tcPr>
            <w:tcW w:w="3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Medicare—External Commissionable Approved</w:t>
            </w: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300" w:type="dxa"/>
            <w:vAlign w:val="bottom"/>
            <w:vMerge w:val="continue"/>
          </w:tcPr>
          <w:p>
            <w:pPr>
              <w:spacing w:after="0"/>
              <w:rPr>
                <w:sz w:val="12"/>
                <w:szCs w:val="12"/>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20,586</w:t>
            </w: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4,046</w:t>
            </w:r>
          </w:p>
        </w:tc>
        <w:tc>
          <w:tcPr>
            <w:tcW w:w="0" w:type="dxa"/>
            <w:vAlign w:val="bottom"/>
          </w:tcPr>
          <w:p>
            <w:pPr>
              <w:spacing w:after="0"/>
              <w:rPr>
                <w:sz w:val="1"/>
                <w:szCs w:val="1"/>
                <w:color w:val="auto"/>
              </w:rPr>
            </w:pPr>
          </w:p>
        </w:tc>
      </w:tr>
      <w:tr>
        <w:trPr>
          <w:trHeight w:val="19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Submissions</w:t>
            </w:r>
          </w:p>
        </w:tc>
        <w:tc>
          <w:tcPr>
            <w:tcW w:w="12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2172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Period from July 1,</w:t>
      </w:r>
    </w:p>
    <w:p>
      <w:pPr>
        <w:jc w:val="center"/>
        <w:ind w:left="160"/>
        <w:spacing w:after="0" w:line="219" w:lineRule="auto"/>
        <w:rPr>
          <w:sz w:val="20"/>
          <w:szCs w:val="20"/>
          <w:color w:val="auto"/>
        </w:rPr>
      </w:pPr>
      <w:r>
        <w:rPr>
          <w:rFonts w:ascii="Times New Roman" w:cs="Times New Roman" w:eastAsia="Times New Roman" w:hAnsi="Times New Roman"/>
          <w:sz w:val="14"/>
          <w:szCs w:val="14"/>
          <w:b w:val="1"/>
          <w:bCs w:val="1"/>
          <w:color w:val="auto"/>
        </w:rPr>
        <w:t>2019 through September 12, 2019</w:t>
      </w:r>
    </w:p>
    <w:p>
      <w:pPr>
        <w:spacing w:after="0" w:line="2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15,551</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1,852</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606</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18,009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797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62"/>
        </w:trPr>
        <w:tc>
          <w:tcPr>
            <w:tcW w:w="1320" w:type="dxa"/>
            <w:vAlign w:val="bottom"/>
          </w:tcPr>
          <w:p>
            <w:pPr>
              <w:spacing w:after="0"/>
              <w:rPr>
                <w:sz w:val="14"/>
                <w:szCs w:val="14"/>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13,</w:t>
            </w:r>
          </w:p>
        </w:tc>
      </w:tr>
      <w:tr>
        <w:trPr>
          <w:trHeight w:val="162"/>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2019 through</w:t>
            </w:r>
          </w:p>
        </w:tc>
      </w:tr>
      <w:tr>
        <w:trPr>
          <w:trHeight w:val="162"/>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1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80,656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w:t>
            </w:r>
          </w:p>
        </w:tc>
      </w:tr>
      <w:tr>
        <w:trPr>
          <w:trHeight w:val="216"/>
        </w:trPr>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4,035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216"/>
        </w:trPr>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3"/>
        </w:trPr>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08"/>
        </w:trPr>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85,897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w:t>
            </w:r>
          </w:p>
        </w:tc>
      </w:tr>
      <w:tr>
        <w:trPr>
          <w:trHeight w:val="23"/>
        </w:trPr>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325" w:lineRule="exact"/>
        <w:rPr>
          <w:sz w:val="20"/>
          <w:szCs w:val="20"/>
          <w:color w:val="auto"/>
        </w:rPr>
      </w:pP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Period from January 1, 2019 through September 12, 2019</w:t>
      </w:r>
    </w:p>
    <w:p>
      <w:pPr>
        <w:spacing w:after="0" w:line="3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48,341</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7,065</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2,597</w:t>
      </w:r>
    </w:p>
    <w:p>
      <w:pPr>
        <w:spacing w:after="0" w:line="1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58,003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797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4">
            <w:col w:w="5780" w:space="220"/>
            <w:col w:w="1200" w:space="120"/>
            <w:col w:w="2480" w:space="220"/>
            <w:col w:w="1200"/>
          </w:cols>
          <w:pgMar w:left="320" w:top="1282" w:right="359" w:bottom="1440" w:gutter="0" w:footer="0" w:header="0"/>
          <w:type w:val="continuous"/>
        </w:sectPr>
      </w:pP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Medicare—External commissionable Approved Submissions were 20,586 for the three months ended September 30, 2020, 18,009 for the Period from July 1, 2019 through September 12, 2019 and 4,046 for the Period from September 13, 2019 through September 30, 2019. The decrease is attributable to a strategic shift to generating consumer leads in the internal channels.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Medicare—External commissionable Approved Submissions were 85,897 for the nine months ended September 30, 2020, 58,003 for the Period from January 1, 2019 through September 12, 2019 and 4,046 for the Period from September 13, 2019 through September 30, 2019. The increase in Medicare— External commissionable Approved Submissions was attributable to our ability to recruit and onboard additional external agents to enroll consumers in Medicare plans.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Lifetime Value of Commissions per Approved Submission</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Lifetime value of commissions per commissionable Approved Submission, or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w:t>
      </w:r>
    </w:p>
    <w:p>
      <w:pPr>
        <w:sectPr>
          <w:pgSz w:w="11900" w:h="16838" w:orient="portrait"/>
          <w:cols w:equalWidth="0" w:num="1">
            <w:col w:w="11220"/>
          </w:cols>
          <w:pgMar w:left="320" w:top="1282" w:right="3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type w:val="continuous"/>
        </w:sectPr>
      </w:pPr>
    </w:p>
    <w:bookmarkStart w:id="50" w:name="page51"/>
    <w:bookmarkEnd w:id="50"/>
    <w:p>
      <w:pPr>
        <w:ind w:right="400"/>
        <w:spacing w:after="0" w:line="312" w:lineRule="auto"/>
        <w:rPr>
          <w:sz w:val="20"/>
          <w:szCs w:val="20"/>
          <w:color w:val="auto"/>
        </w:rPr>
      </w:pPr>
      <w:r>
        <w:rPr>
          <w:rFonts w:ascii="Times New Roman" w:cs="Times New Roman" w:eastAsia="Times New Roman" w:hAnsi="Times New Roman"/>
          <w:sz w:val="17"/>
          <w:szCs w:val="17"/>
          <w:color w:val="auto"/>
        </w:rPr>
        <w:t>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LTV per Approved Submission by product for the Medicare segments for the periods indicated:</w:t>
      </w:r>
    </w:p>
    <w:p>
      <w:pPr>
        <w:sectPr>
          <w:pgSz w:w="11900" w:h="16838" w:orient="portrait"/>
          <w:cols w:equalWidth="0" w:num="1">
            <w:col w:w="11240"/>
          </w:cols>
          <w:pgMar w:left="320" w:top="1174" w:right="339" w:bottom="1440" w:gutter="0" w:footer="0" w:header="0"/>
        </w:sectPr>
      </w:pP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3"/>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97"/>
              <w:spacing w:after="0" w:line="158"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13, 2019</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16"/>
                <w:szCs w:val="16"/>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23"/>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Medicare Advantage</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Medicare Supplement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Prescription Drug Plans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40" w:type="dxa"/>
            <w:vAlign w:val="bottom"/>
          </w:tcPr>
          <w:p>
            <w:pPr>
              <w:spacing w:after="0"/>
              <w:rPr>
                <w:sz w:val="16"/>
                <w:szCs w:val="16"/>
                <w:color w:val="auto"/>
              </w:rPr>
            </w:pPr>
          </w:p>
        </w:tc>
        <w:tc>
          <w:tcPr>
            <w:tcW w:w="2080" w:type="dxa"/>
            <w:vAlign w:val="bottom"/>
            <w:gridSpan w:val="3"/>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62"/>
        </w:trPr>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 July 1,</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13, 2019</w:t>
            </w:r>
          </w:p>
        </w:tc>
        <w:tc>
          <w:tcPr>
            <w:tcW w:w="0" w:type="dxa"/>
            <w:vAlign w:val="bottom"/>
          </w:tcPr>
          <w:p>
            <w:pPr>
              <w:spacing w:after="0"/>
              <w:rPr>
                <w:sz w:val="1"/>
                <w:szCs w:val="1"/>
                <w:color w:val="auto"/>
              </w:rPr>
            </w:pPr>
          </w:p>
        </w:tc>
      </w:tr>
      <w:tr>
        <w:trPr>
          <w:trHeight w:val="52"/>
        </w:trPr>
        <w:tc>
          <w:tcPr>
            <w:tcW w:w="1420" w:type="dxa"/>
            <w:vAlign w:val="bottom"/>
            <w:gridSpan w:val="3"/>
            <w:vMerge w:val="continue"/>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2019 through</w:t>
            </w:r>
          </w:p>
        </w:tc>
        <w:tc>
          <w:tcPr>
            <w:tcW w:w="130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12, 2019</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16"/>
                <w:szCs w:val="16"/>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237"/>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20"/>
                <w:szCs w:val="20"/>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7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-959485</wp:posOffset>
            </wp:positionV>
            <wp:extent cx="7132320" cy="977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272"/>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163" w:lineRule="exact"/>
        <w:rPr>
          <w:sz w:val="20"/>
          <w:szCs w:val="20"/>
          <w:color w:val="auto"/>
        </w:rPr>
      </w:pPr>
    </w:p>
    <w:p>
      <w:pPr>
        <w:jc w:val="center"/>
        <w:ind w:left="-31"/>
        <w:spacing w:after="0" w:line="221" w:lineRule="auto"/>
        <w:rPr>
          <w:sz w:val="20"/>
          <w:szCs w:val="20"/>
          <w:color w:val="auto"/>
        </w:rPr>
      </w:pPr>
      <w:r>
        <w:rPr>
          <w:rFonts w:ascii="Times New Roman" w:cs="Times New Roman" w:eastAsia="Times New Roman" w:hAnsi="Times New Roman"/>
          <w:sz w:val="14"/>
          <w:szCs w:val="14"/>
          <w:b w:val="1"/>
          <w:bCs w:val="1"/>
          <w:color w:val="auto"/>
        </w:rPr>
        <w:t>Period from January 1, 2019 through September 12, 2019</w:t>
      </w:r>
    </w:p>
    <w:p>
      <w:pPr>
        <w:spacing w:after="0" w:line="34" w:lineRule="exact"/>
        <w:rPr>
          <w:sz w:val="20"/>
          <w:szCs w:val="20"/>
          <w:color w:val="auto"/>
        </w:rPr>
      </w:pPr>
    </w:p>
    <w:p>
      <w:pPr>
        <w:ind w:left="952" w:hanging="952"/>
        <w:spacing w:after="0"/>
        <w:tabs>
          <w:tab w:leader="none" w:pos="9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888</w:t>
      </w:r>
    </w:p>
    <w:p>
      <w:pPr>
        <w:spacing w:after="0" w:line="63" w:lineRule="exact"/>
        <w:rPr>
          <w:sz w:val="20"/>
          <w:szCs w:val="20"/>
          <w:color w:val="auto"/>
        </w:rPr>
      </w:pPr>
    </w:p>
    <w:p>
      <w:pPr>
        <w:ind w:left="952" w:hanging="952"/>
        <w:spacing w:after="0"/>
        <w:tabs>
          <w:tab w:leader="none" w:pos="9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w:t>
      </w:r>
    </w:p>
    <w:p>
      <w:pPr>
        <w:spacing w:after="0" w:line="63" w:lineRule="exact"/>
        <w:rPr>
          <w:rFonts w:ascii="Times New Roman" w:cs="Times New Roman" w:eastAsia="Times New Roman" w:hAnsi="Times New Roman"/>
          <w:sz w:val="18"/>
          <w:szCs w:val="18"/>
          <w:color w:val="auto"/>
        </w:rPr>
      </w:pPr>
    </w:p>
    <w:p>
      <w:pPr>
        <w:ind w:left="952" w:hanging="952"/>
        <w:spacing w:after="0"/>
        <w:tabs>
          <w:tab w:leader="none" w:pos="9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w:t>
      </w:r>
    </w:p>
    <w:p>
      <w:pPr>
        <w:spacing w:after="0" w:line="227" w:lineRule="exact"/>
        <w:rPr>
          <w:sz w:val="20"/>
          <w:szCs w:val="20"/>
          <w:color w:val="auto"/>
        </w:rPr>
      </w:pPr>
    </w:p>
    <w:p>
      <w:pPr>
        <w:sectPr>
          <w:pgSz w:w="11900" w:h="16838" w:orient="portrait"/>
          <w:cols w:equalWidth="0" w:num="3">
            <w:col w:w="5460" w:space="220"/>
            <w:col w:w="4040" w:space="228"/>
            <w:col w:w="1292"/>
          </w:cols>
          <w:pgMar w:left="320" w:top="1174" w:right="339" w:bottom="1440" w:gutter="0" w:footer="0" w:header="0"/>
          <w:type w:val="continuous"/>
        </w:sectPr>
      </w:pP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LTV per Approved Submission for Medicare Advantage was $987 for the three months ended September 30, 2020, $922 for the Period from July 1, 2019 through September 12, 2019 and $1,013 for the Period from September 13, 2019 through September 30, 2019 primarily due to an increase in CMS-approved commission rates and a more diverse carrier base allowing us to offer more products and plans that could satisfy a diverse range of needs contributing to more long-term customer satisfaction with their policy. LTV per Approved Submission for Medicare Supplement was $934 for the three months ended September 30, 2020, $846 for the Period from July 1, 2019 through September 12, 2019 and $951 for the Period from September 13, 2019 through September 30, 2019 due to favorable changes in carrier mix. LTV per Approved Submission for prescription drug plans was $215 for the three months ended September 30, 2020, $198 for the Period from July 1, 2019 through September 12, 2019 and $200 for the Period from September 13, 2019 through September 30, 2019 primarily due to improved persistency rates and carrier mix shifts.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LTV per Approved Submission for Medicare Advantage was $913 for the nine months ended September 30, 2020, $888 for the Period from January 1, 2019 through September 12, 2019 and $1,013 for the Period from September 13, 2019 through September 30, 2019 due to a shift in carrier mix, offset by an increase in CMS-approved commission rates and a more diverse carrier base allowing us to offer more products and plans that contributed to more long-term customer satisfaction. LTV per Approved Submission for Medicare Supplement was $929 for the nine months ended September 30, 2020, $911 for the Period from January 1, 2019 through September 12, 2019 and $951 for the Period from September 13, 2019 through September 30, 2019 primarily due to changes in carrier mix, offset by decreases in the estimates of plan persistency. LTV per Approved Submission for prescription drug plans was $216 for the nine months ended September 30, 2020, $194 for the Period from January 1, 2019 through September 12, 2019 and $200 for the Period from September 13, 2019 through September 30, 2019 primarily due to improved persistency rates and carrier mix shifts.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IFP and Other Segments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Submitted Policies</w:t>
      </w:r>
    </w:p>
    <w:p>
      <w:pPr>
        <w:spacing w:after="0" w:line="119"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4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Total Submitted Policies for the IFP and Other segments were 20,313 for the three months ended September 30, 2020, 42,906 for the Period from July 1, 2019 through September 12, 2019 and 1,379 for the Period from September 13, 2019 through September 30, 2019 due to a change in strategy to prioritize agents and marketing and advertising spend in the Medicare segments instead of IFP and Other.</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Submitted Policies for the IFP and Other segments were 83,366 for the nine months ended September 30, 2020, 150,544 for the Period from January 1, 2019 through September 12, 2019 and 1,379 for the Period from September 13, 2019 through September 30, 2019 due to a change in strategy to prioritize agents and marketing and advertising spend in the Medicare segments instead of IFP and Other.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liquidity needs primarily include working capital and debt service requirements. As of September 30, 2020, cash and cash equivalents totaled $294.6 million. On July 17, 2020, we completed our IPO, which resulted in the issuance and sale of 43,500,000 shares of common stock at the IPO price of $21.00, and generating net proceeds of $852.4 million after deducting underwriting discounts and other offering costs. We believe that our current sources of liquidity, which include cash and funds available under the Credit Facilities, as described further below, will be sufficient to meet our projected operating and debt service requirements for at least the next 12 months. Short-term liquidity needs will primarily be funded through the Aggregate Revolving Credit Facility, as described further below, portion of the Credit Facilities. As of September 30, 2020, we had no amounts outstanding under the Aggregate Revolving Credit Facility and had a remaining capacity of $58.0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cash flows for the nine months ended September 30, 2020, the Period from January 1, 2019 through September 12, 2019 and the Period from September 13, 2019 through September 30, 2019:</w:t>
      </w:r>
    </w:p>
    <w:p>
      <w:pPr>
        <w:sectPr>
          <w:pgSz w:w="11900" w:h="16838" w:orient="portrait"/>
          <w:cols w:equalWidth="0" w:num="1">
            <w:col w:w="11220"/>
          </w:cols>
          <w:pgMar w:left="320" w:top="1386" w:right="359" w:bottom="1440" w:gutter="0" w:footer="0" w:header="0"/>
        </w:sectPr>
      </w:pP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gridSpan w:val="3"/>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7"/>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35"/>
        </w:trPr>
        <w:tc>
          <w:tcPr>
            <w:tcW w:w="7040" w:type="dxa"/>
            <w:vAlign w:val="bottom"/>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September 13, 2019</w:t>
            </w:r>
          </w:p>
        </w:tc>
        <w:tc>
          <w:tcPr>
            <w:tcW w:w="0" w:type="dxa"/>
            <w:vAlign w:val="bottom"/>
          </w:tcPr>
          <w:p>
            <w:pPr>
              <w:spacing w:after="0"/>
              <w:rPr>
                <w:sz w:val="1"/>
                <w:szCs w:val="1"/>
                <w:color w:val="auto"/>
              </w:rPr>
            </w:pPr>
          </w:p>
        </w:tc>
      </w:tr>
      <w:tr>
        <w:trPr>
          <w:trHeight w:val="135"/>
        </w:trPr>
        <w:tc>
          <w:tcPr>
            <w:tcW w:w="70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through September</w:t>
            </w:r>
          </w:p>
        </w:tc>
        <w:tc>
          <w:tcPr>
            <w:tcW w:w="0" w:type="dxa"/>
            <w:vAlign w:val="bottom"/>
          </w:tcPr>
          <w:p>
            <w:pPr>
              <w:spacing w:after="0"/>
              <w:rPr>
                <w:sz w:val="1"/>
                <w:szCs w:val="1"/>
                <w:color w:val="auto"/>
              </w:rPr>
            </w:pPr>
          </w:p>
        </w:tc>
      </w:tr>
      <w:tr>
        <w:trPr>
          <w:trHeight w:val="189"/>
        </w:trPr>
        <w:tc>
          <w:tcPr>
            <w:tcW w:w="704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(808,404)</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265,578</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071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55" w:lineRule="exact"/>
        <w:rPr>
          <w:sz w:val="20"/>
          <w:szCs w:val="20"/>
          <w:color w:val="auto"/>
        </w:rPr>
      </w:pPr>
    </w:p>
    <w:p>
      <w:pPr>
        <w:jc w:val="center"/>
        <w:ind w:left="-4" w:right="40"/>
        <w:spacing w:after="0" w:line="221" w:lineRule="auto"/>
        <w:rPr>
          <w:sz w:val="20"/>
          <w:szCs w:val="20"/>
          <w:color w:val="auto"/>
        </w:rPr>
      </w:pPr>
      <w:r>
        <w:rPr>
          <w:rFonts w:ascii="Times New Roman" w:cs="Times New Roman" w:eastAsia="Times New Roman" w:hAnsi="Times New Roman"/>
          <w:sz w:val="14"/>
          <w:szCs w:val="14"/>
          <w:b w:val="1"/>
          <w:bCs w:val="1"/>
          <w:color w:val="auto"/>
        </w:rPr>
        <w:t>Period from January 1, 2019 through September 12, 2019</w:t>
      </w:r>
    </w:p>
    <w:p>
      <w:pPr>
        <w:spacing w:after="0" w:line="318" w:lineRule="exact"/>
        <w:rPr>
          <w:sz w:val="20"/>
          <w:szCs w:val="20"/>
          <w:color w:val="auto"/>
        </w:rPr>
      </w:pPr>
    </w:p>
    <w:p>
      <w:pPr>
        <w:ind w:left="825" w:hanging="825"/>
        <w:spacing w:after="0"/>
        <w:tabs>
          <w:tab w:leader="none" w:pos="8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9,281</w:t>
      </w:r>
    </w:p>
    <w:p>
      <w:pPr>
        <w:spacing w:after="0" w:line="63" w:lineRule="exact"/>
        <w:rPr>
          <w:sz w:val="20"/>
          <w:szCs w:val="20"/>
          <w:color w:val="auto"/>
        </w:rPr>
      </w:pPr>
    </w:p>
    <w:p>
      <w:pPr>
        <w:ind w:left="745" w:hanging="745"/>
        <w:spacing w:after="0"/>
        <w:tabs>
          <w:tab w:leader="none" w:pos="7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(5,597)</w:t>
      </w:r>
    </w:p>
    <w:p>
      <w:pPr>
        <w:spacing w:after="0" w:line="63" w:lineRule="exact"/>
        <w:rPr>
          <w:rFonts w:ascii="Times New Roman" w:cs="Times New Roman" w:eastAsia="Times New Roman" w:hAnsi="Times New Roman"/>
          <w:sz w:val="18"/>
          <w:szCs w:val="18"/>
          <w:color w:val="auto"/>
        </w:rPr>
      </w:pPr>
    </w:p>
    <w:p>
      <w:pPr>
        <w:ind w:left="745" w:hanging="745"/>
        <w:spacing w:after="0"/>
        <w:tabs>
          <w:tab w:leader="none" w:pos="7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(3,449)</w:t>
      </w:r>
    </w:p>
    <w:p>
      <w:pPr>
        <w:spacing w:after="0" w:line="751" w:lineRule="exact"/>
        <w:rPr>
          <w:sz w:val="20"/>
          <w:szCs w:val="20"/>
          <w:color w:val="auto"/>
        </w:rPr>
      </w:pPr>
    </w:p>
    <w:p>
      <w:pPr>
        <w:sectPr>
          <w:pgSz w:w="11900" w:h="16838" w:orient="portrait"/>
          <w:cols w:equalWidth="0" w:num="2">
            <w:col w:w="9700" w:space="235"/>
            <w:col w:w="1285"/>
          </w:cols>
          <w:pgMar w:left="320" w:top="1386" w:right="359" w:bottom="1440" w:gutter="0" w:footer="0" w:header="0"/>
          <w:type w:val="continuous"/>
        </w:sect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primarily consists of net loss adjusted for certain non-cash items including share-based compensation; depreciation and amortization; amortization of intangible assets; change in the fair value of contingent consideration; and amortization of debt discount and issuance costs and the effect of changes in working capital and other activities.</w:t>
      </w:r>
    </w:p>
    <w:p>
      <w:pPr>
        <w:spacing w:after="0" w:line="17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Collection of commissions receivable depends upon the timing of the receipt of commission payments. If there were to be a delay in receiving a commission payment from a carrier within a quarter, the operating cash flows for that quarter could be adversely impacted.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type w:val="continuous"/>
        </w:sectPr>
      </w:pPr>
    </w:p>
    <w:bookmarkStart w:id="52" w:name="page53"/>
    <w:bookmarkEnd w:id="52"/>
    <w:p>
      <w:pPr>
        <w:ind w:right="200"/>
        <w:spacing w:after="0" w:line="261" w:lineRule="auto"/>
        <w:rPr>
          <w:sz w:val="20"/>
          <w:szCs w:val="20"/>
          <w:color w:val="auto"/>
        </w:rPr>
      </w:pPr>
      <w:r>
        <w:rPr>
          <w:rFonts w:ascii="Times New Roman" w:cs="Times New Roman" w:eastAsia="Times New Roman" w:hAnsi="Times New Roman"/>
          <w:sz w:val="18"/>
          <w:szCs w:val="18"/>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$28.8 million for the nine months ended September 30, 2020, which consisted of $230.3 million in net loss and adjustments for non-cash items of $306.9 million, offset by the effect of changes in operating assets and liabilities representing a $47.8 million use of cash. The change in operating assets and liabilities was primarily driven by an increase in commissions receivable of $117.9 million, partially offset by an increase in deferred revenue of $40.2 million and an increase in commissions payable of $28.0 million. The increases in commissions receivable and commissions payable were each driven by increases in Medicare commissionable Approved Submissions. The increase in deferred revenue represents carrier-specific marketing development funds received in advance of satisfying the related performance obligation.</w:t>
      </w:r>
    </w:p>
    <w:p>
      <w:pPr>
        <w:spacing w:after="0" w:line="18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was $9.3 million for the Period from January 1, 2019 through September 12, 2019, and primarily consisted of $57.1 million in net loss and adjustments for non-cash items of $91.5 million, offset by the effect of changes in operating assets and liabilities representing a $25.1 million use of cash. The change in operating assets and liabilities was primarily driven by commissions receivable of $63.4 million, offset by increases in commissions payables of $19.2 million, which were each driven by increases in Medicare commissionable Approved Submissions.</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$16.1 million for the Period from September 13, 2019 through September 30, 2019, which consisted of $11.7 million in net loss and adjustments for non-cash items of $5.2 million, offset by the effect of changes in operating assets and liabilities representing $22.7 million in cash. The change in operating assets and liabilities was primarily driven by an increase in deferred revenue of $18.1 million, an increase in other liabilities of $13.7 million and an increase in commissions payable of $8.3 million, partially offset by an increase in commissions receivable of $15.4 million. The increase in deferred revenue represents carrier-specific marketing development funds received in advance. The increases in commissions receivable and commissions payable were each driven by increases in Medicare commissionable Approved Submissions.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Net cash used in investing activities was $12.0 million for the nine months ended September 30, 2020 and consisted of capitalized internal-use software related to new technology, software, and systems and purchases of property and equipment.</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$5.6 million for the Period from January 1, 2019 through September 12, 2019 and was primarily attributable to capitalized internal-use software related to new technology, software, and systems.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$808.4 million for the Period from September 13, 2019 through September 30, 2019 was primarily attributable to the Centerbridge Acquisition, which was comprised of $807.6 million of net cash used in investing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of $265.6 million for the nine months ended September 30, 2020 was due to proceeds from the issuance of Class A common stock sold in the IPO, net of offering costs, of $852.4 million. Of the $852.4 million of IPO proceeds, $508.3 million was used to purchase LLC Interests, $100.0 million was used to settle the Senior Preferred Earnout Units, and $96.2 million was used as partial consideration for the Blocker Merger. Additionally, the Company made borrowings of $117.0 million under the Incremental Term Loan Facility during the nine months ended September 30, 2020.</w:t>
      </w:r>
    </w:p>
    <w:p>
      <w:pPr>
        <w:spacing w:after="0" w:line="18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$3.4 million for the Period from January 1, 2019 through September 12, 2019 was due to repayments of $59.9 million under our predecessor revolving credit facility, offset by borrowings of $56.5 million under the same facility.</w:t>
      </w:r>
    </w:p>
    <w:p>
      <w:pPr>
        <w:spacing w:after="0" w:line="16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$831.7 million for the Period from September 13, 2019 through September 30, 2019. This was comprised of $541.3 million for the issuance of preferred units in connection with the Centerbridge Acquisition, $300.0 million from borrowings under the Term Loan Facility, partially offset by debt issuance costs and payments of capital lease obligations.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September 13, 2019, in connection with the Centerbridge Acquisition, Norvax entered into a first lien credit agreement (the “Credit Agreement”) which provides for a (i) $300.0 million aggregate principal amount senior secured term loan facility (the “Term Loan Facility”) and (ii) $30.0 million aggregate principal amount senior secured revolving credit facility (the “Revolving Credit Facility”).</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20, 2020, the Company entered into an amendment to the Credit Agreement, which provided $117.0 million of incremental term loans (the “Incremental Term Loan Facility”).</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7, 2020, the Company entered into a second amendment to the Credit Agreement, which provided $20.0 million of incremental revolving credit, (the “Incremental Revolving Credit Facility”).</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11, 2020, the Company entered into a third amendment to the Credit Agreement, which provided $8.0 million of incremental revolving credit, (the “Incremental No. 3 Revolving Credit Facility”).</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collectively refer to the Term Loan Facility, the Revolving Credit Facility, the Incremental Term Loan Facility, the Incremental Revolving Credit Facility, and the Incremental No. 3 Revolving Credit Facility as the “Credit Facilities”.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September 30, 2020, we had principal amounts totaling $297.0 million outstanding under the Term Loan Facility and $116.4 million outstanding under the Incremental Term Loan Facility (collectively the “Aggregate Term Loan Facility”). We had no amounts outstanding under the Revolving Credit Facility, the Incremental Revolving Credit Facility, or the Incremental No. 3 Revolving Credit Facility (collectively the “Aggregate Revolving Credit Facility”). The Aggregate Revolving Credit Facility had a remaining capacity of $58.0 million as of September 30,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the Prospectus.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recently adopted and not yet adopted, see the Note 1 to the unaudited condensed consolidated financial statements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individual and family health insurance open enrollment period runs from November 1st through December 15th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commissions receivable, and commissions payable.</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 —Critical Accounting Policies” in our Prospectus and the notes to the unaudited interim consolidated financial statements appearing elsewhere in this Quarterly Report on Form 10-Q. During the three months ended September 30, 2020, there were no material changes to our critical accounting policies from those discussed in our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consolidated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Wall Street Reform and Consumer Protection Act of 2010, or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w:t>
      </w:r>
    </w:p>
    <w:p>
      <w:pPr>
        <w:spacing w:after="0" w:line="1" w:lineRule="exact"/>
        <w:rPr>
          <w:sz w:val="20"/>
          <w:szCs w:val="20"/>
          <w:color w:val="auto"/>
        </w:rPr>
      </w:pPr>
    </w:p>
    <w:p>
      <w:pPr>
        <w:ind w:right="20" w:firstLine="8"/>
        <w:spacing w:after="0" w:line="250"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 following the fifth anniversary of the completion of our IPO,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in non-convertible debt over a rolling 36-month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September 30, 2020, based on the lack of collection issues in the past and the high financial standards we require of customers. As of September 30, 2020, three customers each represented 10% or more of the Company’s total accounts receivable and, in aggregate, represented 94%, or $7.5 million, of the Company’s total accounts receivable. As of December 31, 2019, five customers each represented 10% or more of the Company’s total accounts receivable and, in aggregate, represented 87%, or $21.2 million, of the Company’s total accounts receivable. No other customers represented 10% or more of the Company’s total accounts receivable at September 30, 2020 and December 31, 2019.</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2020, we had cash of $294.6 million deposited in non-interest bearing accounts with major banks with limited to no-interest rate risk. We do not enter into investments for trading or speculative purposes and have not used any derivative financial instruments to manage interest rate risk exposure.</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“Risk Factors—Risks Related to Our Indebtedness—Developments with respect to LIBOR may affect our borrowings under our Credit Facilities”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September 30,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quarter ended September 30, 2020 that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56" w:name="page57"/>
    <w:bookmarkEnd w:id="56"/>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together with all of the other information in this Quarterly Report on Form 10-Q,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particularly with respect to regulations and guidance issued by CMS for Medicare Advantage and Medicare Part D prescription drug plans are frequently changing. We have and will continue to take steps to ensure compliance with laws, regulations and guidelines applicable to the sale and marketing of Medicare plans. For example, we have tailored our websites and sales processes for Medicare plans to comply with several requirements that are solely applicable to the sale and marketing of Medicare-related health insurance plans.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CMS scrutinizes Medicare carriers and Medicare carriers may be held responsible for actions that we and our agents take. As a result, carriers may terminate their relationship with us or take other corrective action against us if our Medicare product sales, marketing or operations are not in compliance with Medicare or other requirements or give rise to too many complaints. See “—Our business may be harmed if we lose our relationship with carriers or if our relationships with carriers change, particularly if we or our contracted carriers temporarily or permanently lose the ability to market and sell Medicare plans.”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 business and adversely affect our ability to retain business, find new consumers to sell products to or secure new business with other carriers.</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decide to terminate our relationship with a carrier for a number of reasons and the termination of our relationship with a carrier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18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may also lose the ability to market and sell Medicare plans for one or more Medicare carriers. The regulations for selling Medicare health insurance are complex and can change frequently and may change in response to the COVID-19 pandemic. If we, our agents, or a carrier violate any of the requirements imposed by CMS, or federal or state laws or regulations, a carrier may terminate our relationship,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grow our customer base or retain our existing customers could adversely impact our business, operating results and financial condition.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 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18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58" w:name="page59"/>
    <w:bookmarkEnd w:id="58"/>
    <w:p>
      <w:pPr>
        <w:ind w:right="80"/>
        <w:spacing w:after="0" w:line="255" w:lineRule="auto"/>
        <w:rPr>
          <w:sz w:val="20"/>
          <w:szCs w:val="20"/>
          <w:color w:val="auto"/>
        </w:rPr>
      </w:pPr>
      <w:r>
        <w:rPr>
          <w:rFonts w:ascii="Times New Roman" w:cs="Times New Roman" w:eastAsia="Times New Roman" w:hAnsi="Times New Roman"/>
          <w:sz w:val="18"/>
          <w:szCs w:val="18"/>
          <w:color w:val="auto"/>
        </w:rPr>
        <w:t>In general, the growth in our customer base is highly dependent upon our success in attracting new customers during the Medicare annual enrollment period. In 2019, approximately 61% of our Medicare Advantage and Medicare Supplement policies were submitted during the three months ended December 31, 2019.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commission rates from carriers are either set by each carrier or negotiated between us and each carrier. The commission rates we are paid are, for any given plan for a given customer, based on a number factors, including the carriers offering those plans, the state of residence of customers, the laws and regulations in the jurisdictions where the customer is located, and the customer’s previous Medicare enrollment history (if any). Carriers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29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consolidation in the health insurance industry could adversely alter our relationships with carriers and harm our business, operating results and financial condition.</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health insurance industry in the United States has experienced a substantial amount of consolidation, resulting in a decrease in the number of carriers.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 from a more concentrated number of carriers as our business and the health insurance industry evolve.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mergers among carriers or an acquisition of one carrier by another carrier may trigger changes to 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 See “—We currently depend on a small group of carriers for a substantial portion of our revenue.”</w:t>
      </w:r>
    </w:p>
    <w:p>
      <w:pPr>
        <w:spacing w:after="0" w:line="2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could interrupt our operations and have a material adverse effect on our business, financial condition and results of operations.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9" w:name="page60"/>
    <w:bookmarkEnd w:id="59"/>
    <w:p>
      <w:pPr>
        <w:ind w:right="500"/>
        <w:spacing w:after="0" w:line="282" w:lineRule="auto"/>
        <w:rPr>
          <w:sz w:val="20"/>
          <w:szCs w:val="20"/>
          <w:color w:val="auto"/>
        </w:rPr>
      </w:pPr>
      <w:r>
        <w:rPr>
          <w:rFonts w:ascii="Times New Roman" w:cs="Times New Roman" w:eastAsia="Times New Roman" w:hAnsi="Times New Roman"/>
          <w:sz w:val="18"/>
          <w:szCs w:val="18"/>
          <w:color w:val="auto"/>
        </w:rPr>
        <w:t>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impacted by factors that impact our estimate of LTV.</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recognize revenue at the time a Submitted Policy becomes an Approved Policy by applying the latest estimated LTV for that product. We estimate commission revenue for each product by using a portfolio approach to a group of approved customers that are organized based on a variety of attributes, which we refer to as “cohorts.” We estimate the cash commissions we expect to collect for each approved customer cohort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cohort level for all outstanding cohorts, review and monitor changes in the data used to estimate LTV as well as the cash received for each cohort as compared to our original estimates. The fluctuations of cash received for each cohort and LTV may be significant and may or may not be indicative of the need to adjust LTVs for prior period cohorts. Management analyzes these fluctuations and, to the extent we see changes in our estimates of the cash commission collections that we believe are indicative of an increase or decrease to prior period LTVs, we will adjust LTVs for the affected cohorts at the time such determination is made. Changes in LTV may result in an increase or a decrease to revenue and a corresponding increase or decrease to commissions receivable, accordingly. We refer to the net commission revenue from customers approved in prior periods as “adjustment revenue” and our revenue can fluctuate significantly from period to period as a result of adjustment revenue.</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continue to evaluate our LTV estimation models, we may in the future make further changes based on a number of factors and such changes could result in significant increases or decreases in revenue. LTVs are estimates and are based on a number of assumptions, which include, but are not limited to, estimates of the conversion rates of commissionable Approved Submissions into customers, forecasted average plan duration and 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92"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7"/>
          <w:szCs w:val="17"/>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failures or capacity constraints could harm our business, financial condition and operating results.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0" w:name="page61"/>
    <w:bookmarkEnd w:id="60"/>
    <w:p>
      <w:pPr>
        <w:ind w:right="220"/>
        <w:spacing w:after="0" w:line="282" w:lineRule="auto"/>
        <w:rPr>
          <w:sz w:val="20"/>
          <w:szCs w:val="20"/>
          <w:color w:val="auto"/>
        </w:rPr>
      </w:pPr>
      <w:r>
        <w:rPr>
          <w:rFonts w:ascii="Times New Roman" w:cs="Times New Roman" w:eastAsia="Times New Roman" w:hAnsi="Times New Roman"/>
          <w:sz w:val="18"/>
          <w:szCs w:val="18"/>
          <w:color w:val="auto"/>
        </w:rPr>
        <w:t>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Medicare-related health insurance plans is largely dependent on our licensed health insurance agents.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our operations is largely dependent on our licensed health insurance agents, upon whom we rely to sell insurance. In order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a sufficient number of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outbreak and measures taken in response thereto impact our business, results of operations and financial condition will depend on future developments, which are highly uncertain and cannot be predicted.”</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recently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in recruiting highly skilled and qualified agents can depend on factors outside of our control, including the strength of the general economy and local employment markets and the availability of alternative forms of employment. During periods when we are unable to recruit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1" w:name="page62"/>
    <w:bookmarkEnd w:id="61"/>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 We expect there will be continuing efforts to challenge, repeal, or replace the ACA, which may have a material impact on our business by eliminating Medicaid eligibility for certain patients and reducing the size of the SNP-eligible population.</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See “—The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8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Additionally, some carriers provide us with marketing development funds,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1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Various aspects of healthcare reform could also cause carriers to discontinue certain health insurance products or prohibit us from distributing certain health insurance products in particular jurisdictions. Our business, operating results, financial condition and prospects may be materially and adversely affected if we are unable to adapt to developments in healthcare reform in the United States.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are unable to effectively advertise our products on a cost-effective basis or market the availability of our products through specific channels.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For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2" w:name="page63"/>
    <w:bookmarkEnd w:id="62"/>
    <w:p>
      <w:pPr>
        <w:ind w:right="40"/>
        <w:spacing w:after="0" w:line="258" w:lineRule="auto"/>
        <w:rPr>
          <w:sz w:val="20"/>
          <w:szCs w:val="20"/>
          <w:color w:val="auto"/>
        </w:rPr>
      </w:pPr>
      <w:r>
        <w:rPr>
          <w:rFonts w:ascii="Times New Roman" w:cs="Times New Roman" w:eastAsia="Times New Roman" w:hAnsi="Times New Roman"/>
          <w:sz w:val="18"/>
          <w:szCs w:val="18"/>
          <w:color w:val="auto"/>
        </w:rPr>
        <w:t>example, we expect a significant increase in the demand for television and radio advertisements as we approach the U.S. presidential election in November 2020. The election coincides with the Medicare annual enrollment period, which is a period of heightened television and radio advertising for our business. As a result of this increase in demand and costs, we may not be able to purchase all of the television and radio advertising we typically purchase during a Medicare annual enrollment period or we may have to pay more to purchase television and radio advertisements, which could materially and adversely impact our business, financial condition and results of operations.</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Search engines typically provide two types of search results, algorithmic listings and paid advertisements.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business, operating results and financial condition.</w:t>
      </w:r>
    </w:p>
    <w:p>
      <w:pPr>
        <w:spacing w:after="0" w:line="1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 Further, we are subject to the CAN-SPAM Act, which regulates commercial e-mail messages and specifies penalties for the transmission of commercial e-mail messages that do not comply with certain requirements, such as providing an opt-out mechanism for stopping future e-mails from senders.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use telephones to communicate with and market to customers and prospective customers and some of these communications may be subject to the Telephone Consumer Protection Act, or TCPA, and other telemarketing laws. The TCPA and other laws, including state laws, relating to telemarketing restrict our ability to market and engage in other communications using the telephone in certain respects. For instance, the TCPA prohibits us from using an automatic telephone dialing system to make certain telephone calls or transmit text messages to wireless telephone numbers without prior express consent or without consulting the FTC’s national “Do Not Call” registry. We have policies and technical controls in place to comply with the TCPA and other telemarketing laws, including processes and procedures to consult the “Do Not Call” registry and to ensure that automated telephone calls are not performed without obtaining prior consent. However, despite our legal compliance, we have in the past and may in the future become subject to claims that we have violated the TCPA and/or other telemarketing laws. See “—From time to time we are subject to various legal proceedings which could adversely affect our business, financial condition or results of operations.” The TCPA provides for private rights of action and potential statutory damages for each violation and additional penalties for each willful violation, and other telemarketing laws may entail additional remedies. In the event that we are found to have violated the TCPA and/or other telemarketing laws, our business, operating results and financial condition could be harmed and liability incurred. In addition, telephone carriers may block or put customer warnings on calls originating from call centers. Customers increasingly screen their incoming e-mails, telephone calls, and text messages, including by using screening tools and warnings, and, therefore, our customers or qualified prospects may not reliably receive our communications. If we are unable to communicate effectively by e-mail or telephone with our customers and qualified prospects as a result of legislation, blockage, screening technologies or otherwise, our business, operating results and financial condition would be harmed.</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depend on a small group of carriers for a substantial portion of our revenue.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derive a large portion of our revenue from a limited number of carriers. Carriers owned by Humana and Anthem accounted for (i) approximately 45% and 30%, respectively, of net revenues for the nine months ended September 30, 2020 and 32% and 24%, respectively, of net revenues for the nine months ended September 30, 2019; (ii) approximately 48% and 33%, respectively, of Medicare—Internal segment revenue for the nine months ended September 30, 2020, and 50% and 34%, respectively, of Medicare—Internal segment revenue for the nine months ended September 30, 2019; and</w:t>
      </w:r>
    </w:p>
    <w:p>
      <w:pPr>
        <w:spacing w:after="0" w:line="3" w:lineRule="exact"/>
        <w:rPr>
          <w:sz w:val="20"/>
          <w:szCs w:val="20"/>
          <w:color w:val="auto"/>
        </w:rPr>
      </w:pPr>
    </w:p>
    <w:p>
      <w:pPr>
        <w:ind w:right="20" w:firstLine="8"/>
        <w:spacing w:after="0" w:line="253" w:lineRule="auto"/>
        <w:tabs>
          <w:tab w:leader="none" w:pos="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54% and 32%, respectively, of Medicare—External segment revenue for the nine months ended September 30, 2020 and 38% and 33%, respectively, of Medicare—External segment revenue for the nine months ended September 30, 2019. In addition, carriers owned by UnitedHealth Group represented approximately 34% and 29% of IFP and Other—Internal segment revenue for the nine months ended September 30, 2020 and for the nine months ended September 30, 2019, respectively.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2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investments we make in enrollment periods do not result in a significant number of Approved Submissions, our business, operating results and financial condition would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an attempt to attract and enroll a large number of individuals during the Medicare annual enrollment period and the healthcare reform open enrollment period, we may invest in areas of our business, including technology and content, customer care and enrollment, and marketing and advertising. We have in the past made investments in areas of our business in advance of enrollment periods that have not yielded the results we expected when making those investments. Any investment we make in any enrollment period may not result in a significant number of Approved Submissions to offset the investments we make. To the extent our investment does not yield a significant number of Approved Submissions, our business, operating results and financial condition would be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carriers to prepare accurate commission reports and send them to us in a timely manner.</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29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health insurance market or in the variety, quality and affordability of the insurance products offered by carriers could harm our business, operating results and financial condition.</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demand for our agency services is impacted by the variety, quality and price of the insurance products we distribute. If insurance carriers do not continue to provide us with a variety of insurance products, or if as a result of consolidation in the insurance industry or for any other reason the choices of carrier products that we are able to offer are limited, our sales may decrease and our business, operating results and financial condition could be harmed.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due to seasonality.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Medicare annual enrollment period occurs from October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to December 7</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Times New Roman" w:cs="Times New Roman" w:eastAsia="Times New Roman" w:hAnsi="Times New Roman"/>
          <w:sz w:val="16"/>
          <w:szCs w:val="16"/>
          <w:color w:val="auto"/>
        </w:rPr>
        <w:t>st</w:t>
      </w:r>
      <w:r>
        <w:rPr>
          <w:rFonts w:ascii="Times New Roman" w:cs="Times New Roman" w:eastAsia="Times New Roman" w:hAnsi="Times New Roman"/>
          <w:sz w:val="18"/>
          <w:szCs w:val="18"/>
          <w:color w:val="auto"/>
        </w:rPr>
        <w:t xml:space="preserve"> to March 31</w:t>
      </w:r>
      <w:r>
        <w:rPr>
          <w:rFonts w:ascii="Times New Roman" w:cs="Times New Roman" w:eastAsia="Times New Roman" w:hAnsi="Times New Roman"/>
          <w:sz w:val="16"/>
          <w:szCs w:val="16"/>
          <w:color w:val="auto"/>
        </w:rPr>
        <w:t>st</w:t>
      </w:r>
      <w:r>
        <w:rPr>
          <w:rFonts w:ascii="Times New Roman" w:cs="Times New Roman" w:eastAsia="Times New Roman" w:hAnsi="Times New Roman"/>
          <w:sz w:val="18"/>
          <w:szCs w:val="18"/>
          <w:color w:val="auto"/>
        </w:rPr>
        <w:t>, commission revenue is typically second-highest in our first quarter. The individual and family health insurance open enrollment period runs from November 1</w:t>
      </w:r>
      <w:r>
        <w:rPr>
          <w:rFonts w:ascii="Times New Roman" w:cs="Times New Roman" w:eastAsia="Times New Roman" w:hAnsi="Times New Roman"/>
          <w:sz w:val="16"/>
          <w:szCs w:val="16"/>
          <w:color w:val="auto"/>
        </w:rPr>
        <w:t>st</w:t>
      </w:r>
      <w:r>
        <w:rPr>
          <w:rFonts w:ascii="Times New Roman" w:cs="Times New Roman" w:eastAsia="Times New Roman" w:hAnsi="Times New Roman"/>
          <w:sz w:val="18"/>
          <w:szCs w:val="18"/>
          <w:color w:val="auto"/>
        </w:rPr>
        <w:t xml:space="preserve"> through December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of</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64" w:name="page65"/>
    <w:bookmarkEnd w:id="64"/>
    <w:p>
      <w:pPr>
        <w:ind w:right="40"/>
        <w:spacing w:after="0" w:line="256" w:lineRule="auto"/>
        <w:rPr>
          <w:sz w:val="20"/>
          <w:szCs w:val="20"/>
          <w:color w:val="auto"/>
        </w:rPr>
      </w:pPr>
      <w:r>
        <w:rPr>
          <w:rFonts w:ascii="Times New Roman" w:cs="Times New Roman" w:eastAsia="Times New Roman" w:hAnsi="Times New Roman"/>
          <w:sz w:val="18"/>
          <w:szCs w:val="18"/>
          <w:color w:val="auto"/>
        </w:rPr>
        <w:t>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Pressure from existing and new competitors may adversely affect our business, operating results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competitors provide services designed to help customers shop for insurance. Some of these competitors include:</w:t>
      </w:r>
    </w:p>
    <w:p>
      <w:pPr>
        <w:spacing w:after="0" w:line="117" w:lineRule="exact"/>
        <w:rPr>
          <w:sz w:val="20"/>
          <w:szCs w:val="20"/>
          <w:color w:val="auto"/>
        </w:rPr>
      </w:pPr>
    </w:p>
    <w:p>
      <w:pPr>
        <w:ind w:left="980" w:right="580" w:hanging="405"/>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operate insurance search websites or websites that provide quote information or the opportunity to purchase insurance products online, including aggregators and lead generators;</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advertise primarily through the television;</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insurance carriers, including through the operation of their own websites, physical storefront operations and broker arrangements;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insurance agents or brokers; and</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marketing organizations.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carriers, we may see a reduction in our production bonuses or marketing payments and our revenue would likely be reduced and our business, operating results and financial condition would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compete with government-run health insurance exchanges, our business may be harmed.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certain healthcare laws, including fraud and abuse laws, we could face substantial penalties and our business, results of operations and financial condition could be adversely affected.</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arrangements with carriers, particularly those that contract with federal healthcare care programs, are highly regulated and subject us to broadly applicable federal and state fraud and abuse and other federal and state healthcare laws and regulations. These laws may constrain the business or financial arrangements and relationships through which we conduct our operations, including the following:</w:t>
      </w:r>
    </w:p>
    <w:p>
      <w:pPr>
        <w:spacing w:after="0" w:line="68" w:lineRule="exact"/>
        <w:rPr>
          <w:sz w:val="20"/>
          <w:szCs w:val="20"/>
          <w:color w:val="auto"/>
        </w:rPr>
      </w:pPr>
    </w:p>
    <w:p>
      <w:pPr>
        <w:ind w:left="980" w:right="80" w:hanging="405"/>
        <w:spacing w:after="0" w:line="281" w:lineRule="auto"/>
        <w:tabs>
          <w:tab w:leader="none" w:pos="97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65" w:name="page66"/>
    <w:bookmarkEnd w:id="65"/>
    <w:p>
      <w:pPr>
        <w:ind w:left="980" w:right="60"/>
        <w:spacing w:after="0" w:line="253" w:lineRule="auto"/>
        <w:rPr>
          <w:sz w:val="20"/>
          <w:szCs w:val="20"/>
          <w:color w:val="auto"/>
        </w:rPr>
      </w:pPr>
      <w:r>
        <w:rPr>
          <w:rFonts w:ascii="Times New Roman" w:cs="Times New Roman" w:eastAsia="Times New Roman" w:hAnsi="Times New Roman"/>
          <w:sz w:val="18"/>
          <w:szCs w:val="18"/>
          <w:color w:val="auto"/>
        </w:rPr>
        <w:t>program such as Medicare and Medicaid. The term remuneration has been interpreted broadly to include anything of value. The federal Anti-Kickback Statute has been interpreted to apply to, among others, financial arrangements between entities that have the ability to refer and generate business that is subject to reimbursement under federal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ordering,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federal Anti-Kickback Statute or specific intent to violate it in order to have committed a violation, and a claim including items or services resulting from a violation of the federal Anti-Kickback Statute constitutes a false or fraudulent claim for purposes of the False Claims Act (described immediately below);</w:t>
      </w:r>
    </w:p>
    <w:p>
      <w:pPr>
        <w:spacing w:after="0" w:line="82" w:lineRule="exact"/>
        <w:rPr>
          <w:sz w:val="20"/>
          <w:szCs w:val="20"/>
          <w:color w:val="auto"/>
        </w:rPr>
      </w:pPr>
    </w:p>
    <w:p>
      <w:pPr>
        <w:ind w:left="980" w:right="60" w:hanging="405"/>
        <w:spacing w:after="0" w:line="25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including the civil False Claims Act, which, among other things, impose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79" w:lineRule="exact"/>
        <w:rPr>
          <w:rFonts w:ascii="Times New Roman" w:cs="Times New Roman" w:eastAsia="Times New Roman" w:hAnsi="Times New Roman"/>
          <w:sz w:val="18"/>
          <w:szCs w:val="18"/>
          <w:color w:val="auto"/>
        </w:rPr>
      </w:pPr>
    </w:p>
    <w:p>
      <w:pPr>
        <w:ind w:left="980" w:right="20" w:hanging="405"/>
        <w:spacing w:after="0" w:line="281" w:lineRule="auto"/>
        <w:tabs>
          <w:tab w:leader="none" w:pos="97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beneficiary inducement civil monetary laws, which generally prohibit giving something of value to an individual if the remuneration is likely to influence that beneficiary’s choice of a particular provider, supplier or practitioner for services covered by applicable federal healthcare programs. There are a number of exceptions, such as, remuneration that “promotes access to care and poses a low risk of harm to patients and federal healthcare programs.” A violation of this statute includes fines or exclusion from federal healthcare programs;</w:t>
      </w:r>
    </w:p>
    <w:p>
      <w:pPr>
        <w:spacing w:after="0" w:line="56" w:lineRule="exact"/>
        <w:rPr>
          <w:rFonts w:ascii="Times New Roman" w:cs="Times New Roman" w:eastAsia="Times New Roman" w:hAnsi="Times New Roman"/>
          <w:sz w:val="17"/>
          <w:szCs w:val="17"/>
          <w:color w:val="auto"/>
        </w:rPr>
      </w:pPr>
    </w:p>
    <w:p>
      <w:pPr>
        <w:ind w:left="980" w:right="140" w:hanging="405"/>
        <w:spacing w:after="0" w:line="273" w:lineRule="auto"/>
        <w:tabs>
          <w:tab w:leader="none" w:pos="97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Insurance Portability and Accountability Act, or 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and</w:t>
      </w:r>
    </w:p>
    <w:p>
      <w:pPr>
        <w:spacing w:after="0" w:line="63" w:lineRule="exact"/>
        <w:rPr>
          <w:rFonts w:ascii="Times New Roman" w:cs="Times New Roman" w:eastAsia="Times New Roman" w:hAnsi="Times New Roman"/>
          <w:sz w:val="17"/>
          <w:szCs w:val="17"/>
          <w:color w:val="auto"/>
        </w:rPr>
      </w:pPr>
    </w:p>
    <w:p>
      <w:pPr>
        <w:ind w:left="980" w:right="220" w:hanging="405"/>
        <w:spacing w:after="0" w:line="26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9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offer, sale and purchase of health insurance is heavily regulated by various states and the regulatory landscape is constantly changing. States have adopted and will continue to adopt new laws and regulations, including in response to healthcare reform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6" w:name="page67"/>
    <w:bookmarkEnd w:id="66"/>
    <w:p>
      <w:pPr>
        <w:ind w:right="40"/>
        <w:spacing w:after="0" w:line="254" w:lineRule="auto"/>
        <w:rPr>
          <w:sz w:val="20"/>
          <w:szCs w:val="20"/>
          <w:color w:val="auto"/>
        </w:rPr>
      </w:pPr>
      <w:r>
        <w:rPr>
          <w:rFonts w:ascii="Times New Roman" w:cs="Times New Roman" w:eastAsia="Times New Roman" w:hAnsi="Times New Roman"/>
          <w:sz w:val="18"/>
          <w:szCs w:val="18"/>
          <w:color w:val="auto"/>
        </w:rPr>
        <w:t>legislation and it is difficult to predict how these new laws and regulations will impact our business. In some cases such laws and regulations could amplify the adverse impacts of healthcare reform to our business, or states may adopt new requirements that adversely impact our business, operating results and financial condition. For example, certain states have adopted or are contemplating rules and regulations that would either ban the sale of individual and family plans that do not qualify as minimum essential coverage under the ACA (such as short-term health insurance), limit the duration and renewability of those plans, or apply certain aspects of the ACA to those plans, such as the essential health benefits or requiring that such plans cover pre-existing conditions. Rules and regulations, such as these could adversely impact our sale of individual and family plans for several reasons, including because carriers may exit the market of selling such plans due to regulatory concerns, determine it is not profitable to sell the plans or increase plan premiums to a degree that reduces customer demand for them.</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Additionally,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19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Dual Eligible Special Needs Plans, or D-SNP, which could have a material adverse impact on our business, operating results and financial condition.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 Each jurisdiction’s insurance department typically has the power, among other things, to:</w:t>
      </w:r>
    </w:p>
    <w:p>
      <w:pPr>
        <w:spacing w:after="0" w:line="79" w:lineRule="exact"/>
        <w:rPr>
          <w:sz w:val="20"/>
          <w:szCs w:val="20"/>
          <w:color w:val="auto"/>
        </w:rPr>
      </w:pPr>
    </w:p>
    <w:p>
      <w:pPr>
        <w:ind w:left="980" w:hanging="405"/>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and revoke licenses to transact insurance business;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inquiries into the insurance-related activities and conduct of agents and agencies;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and regulate disclosure in connection with the sale and solicitation of health insurance;</w:t>
      </w:r>
    </w:p>
    <w:p>
      <w:pPr>
        <w:spacing w:after="0" w:line="117" w:lineRule="exact"/>
        <w:rPr>
          <w:rFonts w:ascii="Times New Roman" w:cs="Times New Roman" w:eastAsia="Times New Roman" w:hAnsi="Times New Roman"/>
          <w:sz w:val="18"/>
          <w:szCs w:val="18"/>
          <w:color w:val="auto"/>
        </w:rPr>
      </w:pPr>
    </w:p>
    <w:p>
      <w:pPr>
        <w:ind w:left="980" w:right="200" w:hanging="405"/>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how, by which personnel and under what circumstances insurance premiums can be quoted and published and an insurance policy sold;</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which entities can be paid commissions from carriers and the circumstances under which they may be paid;</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content of insurance-related advertisements, including web pages, and other marketing practices;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policy forms, require specific benefits and benefit levels and regulate premium rates;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and other penalties; and</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continuing education requirements.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7" w:name="page68"/>
    <w:bookmarkEnd w:id="67"/>
    <w:p>
      <w:pPr>
        <w:ind w:right="20"/>
        <w:spacing w:after="0" w:line="255" w:lineRule="auto"/>
        <w:rPr>
          <w:sz w:val="20"/>
          <w:szCs w:val="20"/>
          <w:color w:val="auto"/>
        </w:rPr>
      </w:pPr>
      <w:r>
        <w:rPr>
          <w:rFonts w:ascii="Times New Roman" w:cs="Times New Roman" w:eastAsia="Times New Roman" w:hAnsi="Times New Roman"/>
          <w:sz w:val="18"/>
          <w:szCs w:val="18"/>
          <w:color w:val="auto"/>
        </w:rPr>
        <w:t>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75" w:lineRule="exact"/>
        <w:rPr>
          <w:sz w:val="20"/>
          <w:szCs w:val="20"/>
          <w:color w:val="auto"/>
        </w:rPr>
      </w:pPr>
    </w:p>
    <w:p>
      <w:pPr>
        <w:ind w:left="980" w:right="180" w:hanging="405"/>
        <w:spacing w:after="0" w:line="261"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spacing w:after="0" w:line="71"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and changes to, the customer experience on our platform;</w:t>
      </w:r>
    </w:p>
    <w:p>
      <w:pPr>
        <w:spacing w:after="0" w:line="117" w:lineRule="exact"/>
        <w:rPr>
          <w:rFonts w:ascii="Times New Roman" w:cs="Times New Roman" w:eastAsia="Times New Roman" w:hAnsi="Times New Roman"/>
          <w:sz w:val="18"/>
          <w:szCs w:val="18"/>
          <w:color w:val="auto"/>
        </w:rPr>
      </w:pPr>
    </w:p>
    <w:p>
      <w:pPr>
        <w:ind w:left="980" w:right="40" w:hanging="405"/>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including those that make the experience on our platform cumbersome or difficult to navigate or reduce the ability of customers to purchase plans outside of enrollment periods;</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variety, competitiveness and affordability of the health insurance plans that we offer;</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or interruptions in the operation of our technology platform or call center operations;</w:t>
      </w:r>
    </w:p>
    <w:p>
      <w:pPr>
        <w:spacing w:after="0" w:line="117" w:lineRule="exact"/>
        <w:rPr>
          <w:rFonts w:ascii="Times New Roman" w:cs="Times New Roman" w:eastAsia="Times New Roman" w:hAnsi="Times New Roman"/>
          <w:sz w:val="18"/>
          <w:szCs w:val="18"/>
          <w:color w:val="auto"/>
        </w:rPr>
      </w:pPr>
    </w:p>
    <w:p>
      <w:pPr>
        <w:ind w:left="980" w:right="420" w:hanging="405"/>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customers who are referred to us through our direct, marketing partner and online advertising customer acquisition channels;</w:t>
      </w:r>
    </w:p>
    <w:p>
      <w:pPr>
        <w:spacing w:after="0" w:line="53" w:lineRule="exact"/>
        <w:rPr>
          <w:rFonts w:ascii="Times New Roman" w:cs="Times New Roman" w:eastAsia="Times New Roman" w:hAnsi="Times New Roman"/>
          <w:sz w:val="18"/>
          <w:szCs w:val="18"/>
          <w:color w:val="auto"/>
        </w:rPr>
      </w:pPr>
    </w:p>
    <w:p>
      <w:pPr>
        <w:ind w:left="980" w:right="360" w:hanging="405"/>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offering health insurance plans for which customers have expressed interest, and the degree to which our technology is integrated with those carriers;</w:t>
      </w:r>
    </w:p>
    <w:p>
      <w:pPr>
        <w:spacing w:after="0" w:line="53" w:lineRule="exact"/>
        <w:rPr>
          <w:rFonts w:ascii="Times New Roman" w:cs="Times New Roman" w:eastAsia="Times New Roman" w:hAnsi="Times New Roman"/>
          <w:sz w:val="18"/>
          <w:szCs w:val="18"/>
          <w:color w:val="auto"/>
        </w:rPr>
      </w:pPr>
    </w:p>
    <w:p>
      <w:pPr>
        <w:ind w:left="980" w:right="100" w:hanging="405"/>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guidelines applicable to applications submitted by customers, the amount of time a carrier takes to make a decision on that application and the percentage of submitted applications approved by carriers;</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agents in assisting customers; and</w:t>
      </w:r>
    </w:p>
    <w:p>
      <w:pPr>
        <w:spacing w:after="0" w:line="117" w:lineRule="exact"/>
        <w:rPr>
          <w:rFonts w:ascii="Times New Roman" w:cs="Times New Roman" w:eastAsia="Times New Roman" w:hAnsi="Times New Roman"/>
          <w:sz w:val="18"/>
          <w:szCs w:val="18"/>
          <w:color w:val="auto"/>
        </w:rPr>
      </w:pPr>
    </w:p>
    <w:p>
      <w:pPr>
        <w:ind w:left="980" w:right="40" w:hanging="405"/>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subsidy-eligible individuals in qualified health plans through government-run health insurance exchanges and the efficacy of the process we are required to use to do so.</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receive commission payments from carriers over time, but incur significant upfront expenses to enroll customers.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68" w:name="page69"/>
    <w:bookmarkEnd w:id="68"/>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9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or fail to meet our need for qualified employees, our business, financial condition and results of operations could be materially adversely affected.</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rely, in part, upon the accumulated knowledge, skills and experience of our executive officers. Our Chief Executive Officer has been with us for more than 19 years and our executive officers have a combined total of 63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188"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Our future success is also dependent upon our ability to attract, retain and effectively deploy qualified employees. We may need to offer higher compensation and other benefits in order to attract and retain key personnel in the future.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69" w:name="page70"/>
    <w:bookmarkEnd w:id="69"/>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6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Numerous federal, state and international laws and regulations govern the collection, use, disclosure, storage, processing, transmission and destruction of personal information, including individually identifiable health information. These laws and regulations, including their interpretation by governmental agencies and regulators, are subject to frequent change. These regulations could have a negative impact on our business, for example:</w:t>
      </w:r>
    </w:p>
    <w:p>
      <w:pPr>
        <w:spacing w:after="0" w:line="68" w:lineRule="exact"/>
        <w:rPr>
          <w:sz w:val="20"/>
          <w:szCs w:val="20"/>
          <w:color w:val="auto"/>
        </w:rPr>
      </w:pPr>
    </w:p>
    <w:p>
      <w:pPr>
        <w:ind w:left="980" w:right="100" w:hanging="405"/>
        <w:spacing w:after="0" w:line="255"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80" w:lineRule="exact"/>
        <w:rPr>
          <w:rFonts w:ascii="Times New Roman" w:cs="Times New Roman" w:eastAsia="Times New Roman" w:hAnsi="Times New Roman"/>
          <w:sz w:val="18"/>
          <w:szCs w:val="18"/>
          <w:color w:val="auto"/>
        </w:rPr>
      </w:pPr>
    </w:p>
    <w:p>
      <w:pPr>
        <w:ind w:left="980" w:right="40" w:hanging="405"/>
        <w:spacing w:after="0" w:line="254"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Information Technology for Economic and Clinical Health Act, or the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of one tier of penalties of $100 per violation and an annual maximum of $25,000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83" w:lineRule="exact"/>
        <w:rPr>
          <w:rFonts w:ascii="Times New Roman" w:cs="Times New Roman" w:eastAsia="Times New Roman" w:hAnsi="Times New Roman"/>
          <w:sz w:val="18"/>
          <w:szCs w:val="18"/>
          <w:color w:val="auto"/>
        </w:rPr>
      </w:pPr>
    </w:p>
    <w:p>
      <w:pPr>
        <w:ind w:left="980" w:right="380" w:hanging="405"/>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laws restricting the use and protecting the privacy and security of individually identifiable information may apply, many of which are not preempted by HIPAA; and</w:t>
      </w:r>
    </w:p>
    <w:p>
      <w:pPr>
        <w:spacing w:after="0" w:line="53" w:lineRule="exact"/>
        <w:rPr>
          <w:rFonts w:ascii="Times New Roman" w:cs="Times New Roman" w:eastAsia="Times New Roman" w:hAnsi="Times New Roman"/>
          <w:sz w:val="18"/>
          <w:szCs w:val="18"/>
          <w:color w:val="auto"/>
        </w:rPr>
      </w:pPr>
    </w:p>
    <w:p>
      <w:pPr>
        <w:ind w:left="980" w:right="280" w:hanging="405"/>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laws are increasingly being applied by the Federal Trade Commission, or FTC, and states’ attorneys general to regulate the collection, use, processing, destruction, storage and disclosure of individually identifiable information, through websites or otherwise, and to regulate the presentation of website content.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required to comply with federal and state laws governing the transmission, security and privacy of personal information that we may obtain or have access to in connection with the provision of our services. Despite the security measures that we have in place to ensure compliance with privacy and data protection laws,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 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While we have received inquiries relating to our compliance with various privacy acts, including inquiries originating from allegations of a potential breach, to date none have been found or determined to be actual violations by the Company.</w:t>
      </w:r>
    </w:p>
    <w:p>
      <w:pPr>
        <w:spacing w:after="0" w:line="18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Under the HITECH Act, as a business associate we may also be directly or independently liable for privacy and security breaches and failures of our subcontractors. Even though we provide for appropriate protections through our agreements with our subcontractors and exercise appropriate oversight of such subcontractors, we still have limited control over their actions and practices.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 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70" w:name="page71"/>
    <w:bookmarkEnd w:id="70"/>
    <w:p>
      <w:pPr>
        <w:spacing w:after="0" w:line="253" w:lineRule="auto"/>
        <w:rPr>
          <w:sz w:val="20"/>
          <w:szCs w:val="20"/>
          <w:color w:val="auto"/>
        </w:rPr>
      </w:pPr>
      <w:r>
        <w:rPr>
          <w:rFonts w:ascii="Times New Roman" w:cs="Times New Roman" w:eastAsia="Times New Roman" w:hAnsi="Times New Roman"/>
          <w:sz w:val="18"/>
          <w:szCs w:val="18"/>
          <w:color w:val="auto"/>
        </w:rPr>
        <w:t>State and federal laws may apply to our collection, use, handling, processing, destruction, disclosure, and storage as well. For example, the California Consumer Privacy Act of 2018, or the CCPA, which became enforceable by the California Attorney General on July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 laws and regulations such as HIPAA and the CCPA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 For example, the increased consumer control over the sharing of their personal information under the CCPA may affect our customers’ ability to share such personal information with us or may require us to delete or remove consumer information from our records or data sets, which may create considerable costs or loss of revenue for our organization.</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29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6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and regulations that involve user privacy and the collection, processing, storing, sharing, disclosing, using, transfer and protecting of personal information and other data. These laws and regulations constantly evolve and remain subject to significant change. In addition, the application and interpretation of these laws and regulations are often uncertain. Because we store, process and use data, some of which contain personal information,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information and other data. New privacy laws add additional complexity, requirements, restrictions and potential legal risk, require additional investment in resources to compliance programs, and could impact trading strategies and availability of previously useful data.</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New York Department of Financial Services, or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or SHIELD Act, both require companies to implement a written information security program that contains appropriate administrative, technical, and physical safeguards as defined in the respective statute.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1" w:name="page72"/>
    <w:bookmarkEnd w:id="71"/>
    <w:p>
      <w:pPr>
        <w:ind w:right="60"/>
        <w:spacing w:after="0" w:line="256" w:lineRule="auto"/>
        <w:rPr>
          <w:sz w:val="20"/>
          <w:szCs w:val="20"/>
          <w:color w:val="auto"/>
        </w:rPr>
      </w:pPr>
      <w:r>
        <w:rPr>
          <w:rFonts w:ascii="Times New Roman" w:cs="Times New Roman" w:eastAsia="Times New Roman" w:hAnsi="Times New Roman"/>
          <w:sz w:val="18"/>
          <w:szCs w:val="18"/>
          <w:color w:val="auto"/>
        </w:rPr>
        <w:t>In October 2017, the National Association of Insurance Commissioners, or NAIC, adopted the Insurance Data Security Model Law, or the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the California legislature enacted the CCPA in September 2018, which entered into effect in January 2020, and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from third-party products could adversely affect our businesses.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offer third-party health insurance products. Insurance involves a transfer of risk and our reputation may be harmed and we may become a target for litigation if risk is not transferred in the way expected by customers and carriers. In addition, if these insurance products do not generate competitive risk-adjusted returns that satisfy our carriers, it may be difficult to maintain existing business with, and attract new business from, them. Significant declines in the performance of these third-party products could subject us to reputational damage and litigation risk.</w:t>
      </w:r>
    </w:p>
    <w:p>
      <w:pPr>
        <w:spacing w:after="0" w:line="2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match consumers to insurance products that suit their needs is dependent upon their provision of accurate information during the insurance shopping process.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business depends on consumers’ provision of accurate information during the insurance shopping process. To the extent consumers provide us with inaccurate information, the quality of their insurance shopping experience may suffer and we may be unable to match them with insurance products that suit their needs. Our inability to suggest suitable insurance products to consumers could lead to an increase in the number of policies we submit to carriers that are ultimately rejected or an increase in plans that are cancelled earlier than expected or otherwise terminated, which could materially and adversely affect our business, operating results and financial condition.</w:t>
      </w:r>
    </w:p>
    <w:p>
      <w:pPr>
        <w:spacing w:after="0" w:line="28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risks which could have an adverse effect on our business, operating results and financial condition.</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attempted to control our operating expenses by utilizing lower cost labor in foreign countries such as Slovakia and Honduras and we may in the future expand our reliance on offshore labor to other countries. As of September 30, 2020, 54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2" w:name="page73"/>
    <w:bookmarkEnd w:id="72"/>
    <w:p>
      <w:pPr>
        <w:ind w:right="20"/>
        <w:spacing w:after="0" w:line="261" w:lineRule="auto"/>
        <w:rPr>
          <w:sz w:val="20"/>
          <w:szCs w:val="20"/>
          <w:color w:val="auto"/>
        </w:rPr>
      </w:pPr>
      <w:r>
        <w:rPr>
          <w:rFonts w:ascii="Times New Roman" w:cs="Times New Roman" w:eastAsia="Times New Roman" w:hAnsi="Times New Roman"/>
          <w:sz w:val="18"/>
          <w:szCs w:val="18"/>
          <w:color w:val="auto"/>
        </w:rPr>
        <w:t>The Foreign Corrupt Practices Act, or 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Weakness of the United States dollar in relation to the currencies used in these foreign countries may also reduce the savings achievable through this strategy and could have an adverse effect on our business, financial condition and results of operations.</w:t>
      </w:r>
    </w:p>
    <w:p>
      <w:pPr>
        <w:spacing w:after="0" w:line="26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carriers, marketing partners or customers, which would harm our business, operating results and financial condition.</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despite these measures, our business is mistakenly confused with their business or another business, the value of our brand could be adversely impacted, which could harm our business, operating results and financial condition.</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our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In addition,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3" w:name="page74"/>
    <w:bookmarkEnd w:id="73"/>
    <w:p>
      <w:pPr>
        <w:ind w:right="120"/>
        <w:spacing w:after="0" w:line="272" w:lineRule="auto"/>
        <w:rPr>
          <w:sz w:val="20"/>
          <w:szCs w:val="20"/>
          <w:color w:val="auto"/>
        </w:rPr>
      </w:pPr>
      <w:r>
        <w:rPr>
          <w:rFonts w:ascii="Times New Roman" w:cs="Times New Roman" w:eastAsia="Times New Roman" w:hAnsi="Times New Roman"/>
          <w:sz w:val="17"/>
          <w:szCs w:val="17"/>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If we are found to have violated laws or regulations, we could lose our relationship with carriers and be subject to various fines and penalties, including revocation of our licenses to sell insurance which would cause us to lose our commission revenue, and our business, operating results and financial condition would be materially harmed.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2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extent to which the COVID-19 outbreak and measures taken in response thereto impact our business, results of operations and financial condition will depend on future developments, which are highly uncertain and cannot be predicted.</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adversely impacted and may further impact our workforce and operations and the operations of carriers, consumers and our business partners. Although certain of these measures are beginning to ease in some geographic regions, overall measures to contain the COVID-19 outbreak may remain in place for a significant period of time and may adversely affect our business, results of operations and financial condition.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For example, we have implemented work from home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If our agents are not able to effectively work from home, or if our agents contract COVID-19 or another contagious disease, we may not be able to sell as many plans, which would negatively impact our business, financial condition and results of operations. There is also no certainty that the measures we have taken to mitigate the impact of COVID-19 on our business will be sufficient or otherwise be satisfactory to government authorities.</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Further, because most of our employees are working remotely in connection with the COVID-19 pandemic, we may experience an increase the risk of security breaches, loss of data, and other disruptions as a result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work-from-home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187"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Additionally, our carriers and vendors have similarly adjusted their operations in light of the COVID-19 pandemic. If our carriers or vendors experience shutdowns or continued business disruptions, our ability to conduct our business operations as planned could be materially and negatively affected. For example, our carriers may experience delays in the underwriting process, and those delays could affect our ability to timely bind and sell policies.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our business, operating results and financial condition could be adversely affected if, as a result of the macro-economic effects of the COVID-19 pandemic, demand for the products we sell on behalf of carriers declines, our carriers seek to renegotiate their commission arrangements with us or the policyholders to whom we have sold policies stop making their premium payments.</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full extent to which the outbreak of COVID-19 impacts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continue to experience materially adverse impacts to our business as a result of its global economic impact, including any recession that has occurred or may occur in the future.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4" w:name="page75"/>
    <w:bookmarkEnd w:id="74"/>
    <w:p>
      <w:pPr>
        <w:ind w:right="40"/>
        <w:spacing w:after="0" w:line="261" w:lineRule="auto"/>
        <w:rPr>
          <w:sz w:val="20"/>
          <w:szCs w:val="20"/>
          <w:color w:val="auto"/>
        </w:rPr>
      </w:pPr>
      <w:r>
        <w:rPr>
          <w:rFonts w:ascii="Times New Roman" w:cs="Times New Roman" w:eastAsia="Times New Roman" w:hAnsi="Times New Roman"/>
          <w:sz w:val="18"/>
          <w:szCs w:val="18"/>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18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1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operating results and financial condition, it may also have the effect of heightening many of the other risks described in this “Risk Factors” section, such as those relating to our level of indebtedness, our need to generate sufficient cash flows to service our indebtedness and our ability to comply with the covenants contained in our Credit Facilities.</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5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We outsource our hosting infrastructure to Amazon Web Services and Rackspace, or together, our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19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If individuals or carriers opt for more traditional or alternative channels for the purchase and sale of health insurance, our business could be harmed.</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success depends, in part, upon continued growth in the use of the Internet as a source of research on health insurance products and pricing, as well as willingness for individuals to use the Internet to request further information or contact the distributors directly or indirectly that sell the products we offer. Individuals and carriers may choose to depend more on traditional sources, such as individual agents, or alternative sources may develop, including as a result of healthcare reform. Our future growth, if any, will depend in part upon:</w:t>
      </w:r>
    </w:p>
    <w:p>
      <w:pPr>
        <w:spacing w:after="0" w:line="72" w:lineRule="exact"/>
        <w:rPr>
          <w:sz w:val="20"/>
          <w:szCs w:val="20"/>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Internet as a market for individual health insurance plans and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willingness and ability to conduct their own health insurance research;</w:t>
      </w:r>
    </w:p>
    <w:p>
      <w:pPr>
        <w:spacing w:after="0" w:line="117" w:lineRule="exact"/>
        <w:rPr>
          <w:rFonts w:ascii="Times New Roman" w:cs="Times New Roman" w:eastAsia="Times New Roman" w:hAnsi="Times New Roman"/>
          <w:sz w:val="18"/>
          <w:szCs w:val="18"/>
          <w:color w:val="auto"/>
        </w:rPr>
      </w:pPr>
    </w:p>
    <w:p>
      <w:pPr>
        <w:ind w:left="980" w:right="420" w:hanging="486"/>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the process of purchasing health insurance online an attractive alternative to traditional and new means of purchasing health insurance;</w:t>
      </w:r>
    </w:p>
    <w:p>
      <w:pPr>
        <w:spacing w:after="0" w:line="53" w:lineRule="exact"/>
        <w:rPr>
          <w:rFonts w:ascii="Times New Roman" w:cs="Times New Roman" w:eastAsia="Times New Roman" w:hAnsi="Times New Roman"/>
          <w:sz w:val="18"/>
          <w:szCs w:val="18"/>
          <w:color w:val="auto"/>
        </w:rPr>
      </w:pPr>
    </w:p>
    <w:p>
      <w:pPr>
        <w:ind w:left="980" w:right="320" w:hanging="486"/>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cost-effectively market our services as superior to traditional or alternative sources for health insurance to a sufficiently large number of individuals;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willingness to use us and the Internet as a distribution channel for health insurance products and plans.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individuals and carriers determine that other sources of health insurance and health insurance applications are superior, our business will not grow, and our business, operating results and financial condition could be harmed.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are subject to various legal proceedings which could adversely affect our business, financial condition or results of operations.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involved in various litigation matters from time to time.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spacing w:after="0" w:line="2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balance sheet includes significant amounts of goodwill and intangible assets. The impairment of a significant portion of these assets would negatively affect our financial condition or results of operations.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significant portion of our total assets consists of goodwill and intangible assets. Goodwill and intangible assets, net, together accounted for approximately 56.8% of total assets on our balance sheet as of September 30, 2020. We evaluate goodwill and intangible assets for impairment annually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goodwill or intangible assets could adversely affect our operating results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lease accounting standards may materially and adversely affect us.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Beginning on January 1, 2022, or earlier if we cease to be an "emerging growth company", the Financial Accounting Standards Board, or FASB, rules will require that we account for our office space leases as assets and liabilities on our balance sheet. We previously accounted for such leases on an “off-balance sheet” basis. As a result of these changes to the FASB rules, we will be required to record lease-related assets and liabilities on our balance sheet, and the way in which we record and classify our lease-related expenses may change as well. Though these changes will not have any direct effect on our overall financial condition, they will cause the total amount of assets and liabilities we report to increase.</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and growing our business may require additional capital, and if capital is not available to us, our business, operating results and financial condition may suffer.</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76" w:name="page77"/>
    <w:bookmarkEnd w:id="76"/>
    <w:p>
      <w:pPr>
        <w:ind w:right="100"/>
        <w:spacing w:after="0" w:line="261" w:lineRule="auto"/>
        <w:rPr>
          <w:sz w:val="20"/>
          <w:szCs w:val="20"/>
          <w:color w:val="auto"/>
        </w:rPr>
      </w:pPr>
      <w:r>
        <w:rPr>
          <w:rFonts w:ascii="Times New Roman" w:cs="Times New Roman" w:eastAsia="Times New Roman" w:hAnsi="Times New Roman"/>
          <w:sz w:val="18"/>
          <w:szCs w:val="18"/>
          <w:color w:val="auto"/>
        </w:rPr>
        <w:t>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future growth effectively, our business, operating results and financial condition would be harmed.</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a high level of service, our business, operating results and financial condition may be harmed.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 of the key attributes of our business is providing high quality service to our carriers and customers.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could materially and adversely affect our revenue and results of operations.</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exit from the European Union, the worldwide effects from the spread of COVID-19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7" w:name="page78"/>
    <w:bookmarkEnd w:id="77"/>
    <w:p>
      <w:pPr>
        <w:spacing w:after="0" w:line="256" w:lineRule="auto"/>
        <w:rPr>
          <w:sz w:val="20"/>
          <w:szCs w:val="20"/>
          <w:color w:val="auto"/>
        </w:rPr>
      </w:pPr>
      <w:r>
        <w:rPr>
          <w:rFonts w:ascii="Times New Roman" w:cs="Times New Roman" w:eastAsia="Times New Roman" w:hAnsi="Times New Roman"/>
          <w:sz w:val="18"/>
          <w:szCs w:val="18"/>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outbreak and measures taken in response thereto impact our business, results of operations and financial condition will depend on future developments, which are highly uncertain and cannot be predicted.”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other businesses or technologies could disrupt and harm our business, operating results and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68" w:lineRule="exact"/>
        <w:rPr>
          <w:sz w:val="20"/>
          <w:szCs w:val="20"/>
          <w:color w:val="auto"/>
        </w:rPr>
      </w:pPr>
    </w:p>
    <w:p>
      <w:pPr>
        <w:ind w:left="980" w:right="360" w:hanging="486"/>
        <w:spacing w:after="0" w:line="261"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deferred compensation, goodwill and other intangible assets, or may cause adverse tax consequences, substantial depreciation or deferred compensation charges;</w:t>
      </w:r>
    </w:p>
    <w:p>
      <w:pPr>
        <w:spacing w:after="0" w:line="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undertaken for strategic business purposes may negatively impact our results of operations;</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117"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or improve internal controls, procedures and policies appropriate for a public company at a business that prior to the acquisition lacked these controls, procedures and policies;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businesses may have unexpected liabilities that we will be forced to assume;</w:t>
      </w:r>
    </w:p>
    <w:p>
      <w:pPr>
        <w:spacing w:after="0" w:line="117"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businesses, products or technologies may not generate sufficient revenue to offset acquisition costs or to maintain our financial results; and</w:t>
      </w:r>
    </w:p>
    <w:p>
      <w:pPr>
        <w:spacing w:after="0" w:line="53"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involve the entry into geographic or business markets in which we have little or no prior experience, such as our acquisition of Creatix which had operations in Slovakia.</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cannot provide assurance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not grow if consumers are not informed about the availability and accessibility of affordable health insurance.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28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provision for income taxes or adverse outcomes resulting from examination of our income or other tax returns or changes in tax legislation could adversely affect our business, operating results and financial condition.</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provision for income taxes is subject to volatility and could be adversely affected by a number of factors, including earnings differing materially from our projections, changes in the valuation of our deferred tax assets and liabilities, expected timing and amount of the release of any tax valuation allowances, tax effects of share-based compensation, outcomes as a result</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78" w:name="page79"/>
    <w:bookmarkEnd w:id="78"/>
    <w:p>
      <w:pPr>
        <w:ind w:right="560"/>
        <w:spacing w:after="0" w:line="282" w:lineRule="auto"/>
        <w:rPr>
          <w:sz w:val="20"/>
          <w:szCs w:val="20"/>
          <w:color w:val="auto"/>
        </w:rPr>
      </w:pPr>
      <w:r>
        <w:rPr>
          <w:rFonts w:ascii="Times New Roman" w:cs="Times New Roman" w:eastAsia="Times New Roman" w:hAnsi="Times New Roman"/>
          <w:sz w:val="18"/>
          <w:szCs w:val="18"/>
          <w:color w:val="auto"/>
        </w:rPr>
        <w:t>of tax examinations or by changes in tax laws, regulations, accounting principles, including accounting for uncertain tax positions, or interpretations thereof.</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U.S. GAAP relating to accounting for income taxes. In addition, we are subject to examinations of our income tax returns by the Internal Revenue Service, or IRS, and other tax authorities. We assess the likelihood of adverse outcomes resulting from these examinations to determine the adequacy of our provision for income taxes. There may be exposure that the outcomes from these examinations will have an adverse effect on our business, operating results and financial condition.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27, 2020, in response to the COVID-19 pandemic, the Coronavirus Aid, Relief, and Economic Security Act, or the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We continue to evaluate the applicability of the CARES Act to us; however, we believe that the CARES Act will not have a material impact on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Technology</w:t>
      </w:r>
    </w:p>
    <w:p>
      <w:pPr>
        <w:spacing w:after="0" w:line="11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1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Compliance with privacy and security laws, requirements and regulations may result in cost increases due to new constraints on our business, the development of new processes, the effects of potential non-compliance by us or third-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9" w:name="page80"/>
    <w:bookmarkEnd w:id="79"/>
    <w:p>
      <w:pPr>
        <w:ind w:right="280"/>
        <w:spacing w:after="0" w:line="258" w:lineRule="auto"/>
        <w:rPr>
          <w:sz w:val="20"/>
          <w:szCs w:val="20"/>
          <w:color w:val="auto"/>
        </w:rPr>
      </w:pPr>
      <w:r>
        <w:rPr>
          <w:rFonts w:ascii="Times New Roman" w:cs="Times New Roman" w:eastAsia="Times New Roman" w:hAnsi="Times New Roman"/>
          <w:sz w:val="18"/>
          <w:szCs w:val="18"/>
          <w:color w:val="auto"/>
        </w:rPr>
        <w:t>party service providers, and enforcement actions. We may be required to expend significant amounts and other resources to protect against security breaches or to alleviate problems caused by security breaches and other threats to our information technology systems. Despite our implementation of security measures, techniques used to obtain unauthorized access or to sabotage systems change frequently.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The CCPA, in particular, includes a private right of action for California consumers whose CCPA-covered personal information is impacted by a data security incident resulting from a company’s failure to maintain reasonable security procedures, and hence may result in civil litigation in the event of a data breach impacting such information.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or any regulatory actions or litigation that may result. In addition, in the event that additional data security laws are implemented, or our carrier or other partners determine to impose additional requirements on us relating to data security, we may not be able to timely comply with such requirements or such requirements may not be compatible with our current processes. For example, legislators and regulators in the U.S. have enacted and are proposing new and more robust privacy and cybersecurity laws and regulations in response to increasing broad-based cyberattacks, including the CCPA and the New York SHIELD Act. New data security laws add additional complexity, requirements, restrictions and potential legal risk and compliance programs may require additional investment in resources, and could impact strategies and availability of previously useful data. Changing our processes to comply with new laws or new requirements imposed by our carriers could be time consuming and expensive, and failure to timely implement required changes could result in our inability to sell health insurance plans in a particular jurisdiction or for a particular carrier or subject us to liability for non-compliance, any of which would damage our business, operating results and financial condition. For instance, carriers may require us to be compliant with the Payment Card Industry Data Security Standard, or PCI DSS, security standards in order to accept credit card information from customers or require us to comply with privacy and security standards to do business with us at all. PCI DSS compliance and compliance with other privacy and security standards are regularly assessed, and the possibility exists that we may not always be compliant with the standards. If we are not in compliance, we may not be able to accept credit card information from customers to the extent needed, or conduct health insurance business, and our relationship with carriers could be adversely impacted or terminated, which would harm our business, operating results and financial condition.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our business and operating results.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 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80" w:name="page81"/>
    <w:bookmarkEnd w:id="80"/>
    <w:p>
      <w:pPr>
        <w:spacing w:after="0" w:line="256" w:lineRule="auto"/>
        <w:rPr>
          <w:sz w:val="20"/>
          <w:szCs w:val="20"/>
          <w:color w:val="auto"/>
        </w:rPr>
      </w:pPr>
      <w:r>
        <w:rPr>
          <w:rFonts w:ascii="Times New Roman" w:cs="Times New Roman" w:eastAsia="Times New Roman" w:hAnsi="Times New Roman"/>
          <w:sz w:val="18"/>
          <w:szCs w:val="18"/>
          <w:color w:val="auto"/>
        </w:rPr>
        <w:t>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29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obligations contain restrictions that impact our business and expose us to risks that could materially adversely affect our liquidity and financial condition.</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total principal amount of debt outstanding under our Credit Facilities, excluding unamortized debt discount and deferred issuance costs, as of September 30, 2020 was $413.4 million, consisting of $297.0 million and $116.4 million outstanding under our Term Loan Facility and Incremental Term Loan Facility, respectively. Our indebtedness could have significant effects on our business, such as:</w:t>
      </w:r>
    </w:p>
    <w:p>
      <w:pPr>
        <w:spacing w:after="0" w:line="68" w:lineRule="exact"/>
        <w:rPr>
          <w:sz w:val="20"/>
          <w:szCs w:val="20"/>
          <w:color w:val="auto"/>
        </w:rPr>
      </w:pPr>
    </w:p>
    <w:p>
      <w:pPr>
        <w:ind w:left="980" w:right="520" w:hanging="486"/>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117" w:lineRule="exact"/>
        <w:rPr>
          <w:rFonts w:ascii="Times New Roman" w:cs="Times New Roman" w:eastAsia="Times New Roman" w:hAnsi="Times New Roman"/>
          <w:sz w:val="18"/>
          <w:szCs w:val="18"/>
          <w:color w:val="auto"/>
        </w:rPr>
      </w:pPr>
    </w:p>
    <w:p>
      <w:pPr>
        <w:ind w:left="980" w:right="180" w:hanging="486"/>
        <w:spacing w:after="0" w:line="266"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81" w:name="page82"/>
    <w:bookmarkEnd w:id="81"/>
    <w:p>
      <w:pPr>
        <w:ind w:left="980" w:right="120" w:hanging="486"/>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Restrictions imposed by our Credit Facilities may materially limit our ability to operate our business and finance our future operations or capital needs.</w:t>
      </w:r>
    </w:p>
    <w:p>
      <w:pPr>
        <w:spacing w:after="0" w:line="1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54" w:lineRule="exact"/>
        <w:rPr>
          <w:sz w:val="20"/>
          <w:szCs w:val="20"/>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or otherwise dispose of assets;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equity interests, or redeem, repurchase or retire equity interests;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conducted by us and our subsidiaries;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their fiscal year;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governing documents.</w:t>
      </w:r>
    </w:p>
    <w:p>
      <w:pPr>
        <w:spacing w:after="0" w:line="22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with respect to LIBOR may affect our borrowings under our Credit Facilities.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Regulators and law enforcement agencies in the U.K. and elsewhere are conducting civil and criminal investigations into whether the banks that contribute to the British Bankers’ Association, or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82" w:name="page83"/>
    <w:bookmarkEnd w:id="82"/>
    <w:p>
      <w:pPr>
        <w:ind w:right="500"/>
        <w:spacing w:after="0" w:line="282" w:lineRule="auto"/>
        <w:rPr>
          <w:sz w:val="20"/>
          <w:szCs w:val="20"/>
          <w:color w:val="auto"/>
        </w:rPr>
      </w:pPr>
      <w:r>
        <w:rPr>
          <w:rFonts w:ascii="Times New Roman" w:cs="Times New Roman" w:eastAsia="Times New Roman" w:hAnsi="Times New Roman"/>
          <w:sz w:val="18"/>
          <w:szCs w:val="18"/>
          <w:color w:val="auto"/>
        </w:rPr>
        <w:t>which LIBOR is determined or the establishment of alternative reference rates. For example, on July 27, 2017, the U.K. Financial Conduct Authority announced that it intends to stop persuading or compelling banks to submit LIBOR quotes after 2021.</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Credit Agreement provides 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GoHealth Holdings, LLC, and, as a result, we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GoHealth Holdings, LLC is treated as a partnership for U.S. federal income tax purposes and, as such, generally is not subject to any entity-level U.S. federal income tax. Instead, any taxable income of GoHealth Holdings, LLC will be allocated to holders of LLC Interests, including us. Accordingly, we incur income taxes on our allocable share of any net taxable income of GoHealth Holdings, LLC. Under the terms of the GoHealth Holdings, LLC Agreement, GoHealth Holdings, LLC is obligated, subject to various limitations and restrictions, including with respect to our debt agreements, to make tax distributions to holders of LLC Interests, including us. In addition to tax expenses, we also incur expenses related to our operations, including payments under the Tax Receivable Agreement, which could be significant.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GoHealth Holdings, LLC does not have sufficient funds to make distributions, our ability to declare and pay cash dividends will also be restricted or impaired. See “—Risks Related to the Ownership of our Class A Common Stock.”</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3" w:name="page84"/>
    <w:bookmarkEnd w:id="83"/>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2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Equity Owners requires us to make cash payments to them in respect of certain tax benefits to which we may become entitled, and such payments could be substantial.</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Tax Receivable Agreement, we are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w:t>
      </w:r>
    </w:p>
    <w:p>
      <w:pPr>
        <w:spacing w:after="0" w:line="5" w:lineRule="exact"/>
        <w:rPr>
          <w:sz w:val="20"/>
          <w:szCs w:val="20"/>
          <w:color w:val="auto"/>
        </w:rPr>
      </w:pPr>
    </w:p>
    <w:p>
      <w:pPr>
        <w:ind w:right="40" w:firstLine="8"/>
        <w:spacing w:after="0" w:line="251"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tax benefits arising from payments under the Tax Receivable Agreement. The amount of cash payments we are required to make under the Tax Receivable Agreement could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Equity Owners that do not benefit holders of our Class A common stock to the same extent that it benefits the Continuing Equity Owners.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Equity Owners that do not benefit the holders of our Class A common stock to the same extent that it benefits the Continuing Equity Owners. The Tax Receivable Agreement provides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 (3) certain other tax benefits arising from payments under the Tax Receivable Agreement. Although we will retain 15% of the amount of such tax benefits, this and other aspects of our organizational structure may adversely impact the future trading market for the Class A common stock.</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Tax Receivable Agreement provides that if (1) we materially breach any of our material obligations under the Tax Receivable Agreement, (2) certain mergers, asset sales, other forms of business combinations or other changes of control were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84" w:name="page85"/>
    <w:bookmarkEnd w:id="84"/>
    <w:p>
      <w:pPr>
        <w:spacing w:after="0" w:line="266" w:lineRule="auto"/>
        <w:rPr>
          <w:sz w:val="20"/>
          <w:szCs w:val="20"/>
          <w:color w:val="auto"/>
        </w:rPr>
      </w:pPr>
      <w:r>
        <w:rPr>
          <w:rFonts w:ascii="Times New Roman" w:cs="Times New Roman" w:eastAsia="Times New Roman" w:hAnsi="Times New Roman"/>
          <w:sz w:val="18"/>
          <w:szCs w:val="18"/>
          <w:color w:val="auto"/>
        </w:rPr>
        <w:t>to occur,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92"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54" w:lineRule="exact"/>
        <w:rPr>
          <w:sz w:val="20"/>
          <w:szCs w:val="20"/>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expenses to and among different jurisdictions;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regulations or interpretations thereof; or</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85" w:name="page86"/>
    <w:bookmarkEnd w:id="85"/>
    <w:p>
      <w:pPr>
        <w:ind w:left="980" w:right="180" w:hanging="486"/>
        <w:spacing w:after="0" w:line="282"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or the 1940 Act, including as a result of our ownership of GoHealth Holdings, LLC, applicable restrictions could make it impractical for us to continue our business as contemplated and could have a material adverse effect on our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w:t>
      </w:r>
    </w:p>
    <w:p>
      <w:pPr>
        <w:spacing w:after="0" w:line="27"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w:t>
      </w:r>
    </w:p>
    <w:p>
      <w:pPr>
        <w:spacing w:after="0" w:line="9" w:lineRule="exact"/>
        <w:rPr>
          <w:rFonts w:ascii="Times New Roman" w:cs="Times New Roman" w:eastAsia="Times New Roman" w:hAnsi="Times New Roman"/>
          <w:sz w:val="18"/>
          <w:szCs w:val="18"/>
          <w:color w:val="auto"/>
        </w:rPr>
      </w:pPr>
    </w:p>
    <w:p>
      <w:pPr>
        <w:ind w:right="180" w:firstLine="8"/>
        <w:spacing w:after="0" w:line="255"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and GoHealth Holdings, LLC intend to conduct our operations so that we will not be deemed an investment company. As the sole managing member of GoHealth Holdings, LLC, we control and operate GoHealth Holdings, LLC. On that basis, we believe that our interest in GoHealth Holdings, LLC is not an “investment security” as that term is used in the 1940 Act. However, if we were to cease participation in the management of GoHealth Holdings, LLC, or if GoHealth Holdings, LLC itself becomes an investment company, our interest in GoHealth Holdings, LLC could be deemed an “investment security” for purposes of the 1940 Act.</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Founders and Centerbridge have significant influence over us, including control over decisions that require the approval of stockholders.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November 6, 2020, the Founders and Centerbridge control, in the aggregate, approximately 69.5% of the voting power represented by all our outstanding classes of stock. As a result, the Founders and Centerbridge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spacing w:after="0" w:line="187" w:lineRule="exact"/>
        <w:rPr>
          <w:sz w:val="20"/>
          <w:szCs w:val="20"/>
          <w:color w:val="auto"/>
        </w:rPr>
      </w:pPr>
    </w:p>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Further, our amended and restated certificate of incorporation provides that the doctrine of “corporate opportunity” does not apply with respect to any director or stockholder who is not employed by us or our subsidiaries. See “—Our amended and restated certificate of incorporation provides that the doctrine of “corporate opportunity” does not apply with respect to any director or stockholder who is not employed by us or our subsidiaries.”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86" w:name="page87"/>
    <w:bookmarkEnd w:id="86"/>
    <w:p>
      <w:pPr>
        <w:ind w:right="160"/>
        <w:spacing w:after="0" w:line="258" w:lineRule="auto"/>
        <w:rPr>
          <w:sz w:val="20"/>
          <w:szCs w:val="20"/>
          <w:color w:val="auto"/>
        </w:rPr>
      </w:pPr>
      <w:r>
        <w:rPr>
          <w:rFonts w:ascii="Times New Roman" w:cs="Times New Roman" w:eastAsia="Times New Roman" w:hAnsi="Times New Roman"/>
          <w:sz w:val="18"/>
          <w:szCs w:val="18"/>
          <w:color w:val="auto"/>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class structure may have on the market price of our Class A common stock.</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30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rely on, exemptions from certain corporate governance requirements. You may not have the same protections afforded to stockholders of companies that are subject to such corporate governance requirements.</w:t>
      </w:r>
    </w:p>
    <w:p>
      <w:pPr>
        <w:spacing w:after="0" w:line="6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NVX Holdings and Centerbridge have more than 50% of the voting power for the election of directors, and, as a result, we are considered a “controlled company” within the meaning of the Nasdaq rules. As such, we qualify for, and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corporate governance requirements and, specifically, the independence standards are intended to ensure directors who are considered independent are free of any conflicting interest that could influence their actions as directors. We utilize certain exemptions afforded to a “controlled company.” As a result, we are not be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Delaware law and antitakeover provisions in our organizational documents could delay or prevent a change of control.</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87" w:name="page88"/>
    <w:bookmarkEnd w:id="87"/>
    <w:p>
      <w:pPr>
        <w:ind w:left="980" w:hanging="486"/>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right="520" w:hanging="486"/>
        <w:spacing w:after="0" w:line="282"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preferred stock and the terms of the Stockholders Agreement, the number of directors shall be determined exclusively by the a majority of the whole board or directors;</w:t>
      </w:r>
    </w:p>
    <w:p>
      <w:pPr>
        <w:spacing w:after="0" w:line="53" w:lineRule="exact"/>
        <w:rPr>
          <w:rFonts w:ascii="Times New Roman" w:cs="Times New Roman" w:eastAsia="Times New Roman" w:hAnsi="Times New Roman"/>
          <w:sz w:val="18"/>
          <w:szCs w:val="18"/>
          <w:color w:val="auto"/>
        </w:rPr>
      </w:pPr>
    </w:p>
    <w:p>
      <w:pPr>
        <w:ind w:left="980" w:right="40" w:hanging="486"/>
        <w:spacing w:after="0" w:line="266"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662/3% of the voting power represented by our then-outstanding common stock (other than directors appointed pursuant to the Stockholders Agreement, who may be removed with or without cause in accordance with the terms of the Stockholders Agreement);</w:t>
      </w:r>
    </w:p>
    <w:p>
      <w:pPr>
        <w:spacing w:after="0" w:line="67"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Centerbridge beneficially owns, in the aggregate, less than 40% of the voting power entitled to vote generally in the election our directors, that stockholders may not act by written consent; and</w:t>
      </w:r>
    </w:p>
    <w:p>
      <w:pPr>
        <w:spacing w:after="0" w:line="53" w:lineRule="exact"/>
        <w:rPr>
          <w:rFonts w:ascii="Times New Roman" w:cs="Times New Roman" w:eastAsia="Times New Roman" w:hAnsi="Times New Roman"/>
          <w:sz w:val="18"/>
          <w:szCs w:val="18"/>
          <w:color w:val="auto"/>
        </w:rPr>
      </w:pPr>
    </w:p>
    <w:p>
      <w:pPr>
        <w:ind w:left="980" w:right="40" w:hanging="486"/>
        <w:spacing w:after="0" w:line="266"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Centerbridge beneficially owns, in the aggregate, less than 40% of the voting power entitled to vote generally in the election our directors, that certain provisions of amended and restated certificate of incorporation may be amended only by the affirmative vote of at least 662/3% of the voting power represented by our then-outstanding common stock.</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we have opted out of Section 203 of the General Corporation Law of the State of Delaware, which we refer to as the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are not be deemed to be interested stockholders regardless of the percentage of our outstanding voting stock owned by them, and accordingly will not be subject to such restrictions.</w:t>
      </w:r>
    </w:p>
    <w:p>
      <w:pPr>
        <w:spacing w:after="0" w:line="29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68" w:lineRule="exact"/>
        <w:rPr>
          <w:sz w:val="20"/>
          <w:szCs w:val="20"/>
          <w:color w:val="auto"/>
        </w:rPr>
      </w:pPr>
    </w:p>
    <w:p>
      <w:pPr>
        <w:ind w:left="980" w:hanging="486"/>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following the fifth anniversary of the date of its initial public offering of common equity securities;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in which it has annual gross revenue of $1.07 billion or more;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during the previous three-year period, issued more than $1.0 billion in nonconvertible debt; and</w:t>
      </w:r>
    </w:p>
    <w:p>
      <w:pPr>
        <w:spacing w:after="0" w:line="117" w:lineRule="exact"/>
        <w:rPr>
          <w:rFonts w:ascii="Times New Roman" w:cs="Times New Roman" w:eastAsia="Times New Roman" w:hAnsi="Times New Roman"/>
          <w:sz w:val="18"/>
          <w:szCs w:val="18"/>
          <w:color w:val="auto"/>
        </w:rPr>
      </w:pPr>
    </w:p>
    <w:p>
      <w:pPr>
        <w:ind w:left="980" w:right="60" w:hanging="486"/>
        <w:spacing w:after="0" w:line="281" w:lineRule="auto"/>
        <w:tabs>
          <w:tab w:leader="none" w:pos="97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or the Exchange Act, for a period of at least 12 months, and (3) has filed at least one annual report pursuant to the Exchange Act.</w:t>
      </w:r>
    </w:p>
    <w:p>
      <w:pPr>
        <w:spacing w:after="0" w:line="16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this definition, we are an “emerging growth company” and could remain an “emerging growth company” until as late as the fifth anniversary of the completion of our IPO. For so long as we are an “emerging growth company,” we will, among other things: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8" w:name="page89"/>
    <w:bookmarkEnd w:id="88"/>
    <w:p>
      <w:pPr>
        <w:ind w:left="980" w:right="340" w:hanging="486"/>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 of 2002, or the Sarbanes-Oxley Act;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pacing w:after="0" w:line="117"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53" w:lineRule="exact"/>
        <w:rPr>
          <w:rFonts w:ascii="Times New Roman" w:cs="Times New Roman" w:eastAsia="Times New Roman" w:hAnsi="Times New Roman"/>
          <w:sz w:val="18"/>
          <w:szCs w:val="18"/>
          <w:color w:val="auto"/>
        </w:rPr>
      </w:pPr>
    </w:p>
    <w:p>
      <w:pPr>
        <w:ind w:left="980" w:right="280" w:hanging="486"/>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requirement of the Public Company Accounting Oversight Board, or PCAOB, regarding the communication of critical audit matters in the auditor’s report on the financial statements;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5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Class A common stock.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our Class A common stock may not be sustained, which may cause our Class A common stock to trade at a discount from the price you paid and make it difficult for you to sell the Class A common stock you purchase.</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cannot predict the extent to which investor interest in us will lead to a trading market being sustained or how active and liquid that market may remain. If an active and liquid trading market does not continue, you may have difficulty selling any of our Class A common stock that you purchase at a price above the price you purchase it or at all. The failure of an active and liquid trading market to continue would likely have a material adverse effect on the value of our Class A common stock. You may not be able to sell your shares of our Class A common stock at or above the price you paid for them, or at all. An inactive market may also impair our ability to raise capital to continue to fund operations by selling shares and may impair our ability to acquire other companies or technologies by using our shares as consideration.</w:t>
      </w:r>
    </w:p>
    <w:p>
      <w:pPr>
        <w:spacing w:after="0" w:line="2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9" w:name="page90"/>
    <w:bookmarkEnd w:id="89"/>
    <w:p>
      <w:pPr>
        <w:ind w:right="40"/>
        <w:spacing w:after="0" w:line="253" w:lineRule="auto"/>
        <w:rPr>
          <w:sz w:val="20"/>
          <w:szCs w:val="20"/>
          <w:color w:val="auto"/>
        </w:rPr>
      </w:pPr>
      <w:r>
        <w:rPr>
          <w:rFonts w:ascii="Times New Roman" w:cs="Times New Roman" w:eastAsia="Times New Roman" w:hAnsi="Times New Roman"/>
          <w:sz w:val="18"/>
          <w:szCs w:val="18"/>
          <w:color w:val="auto"/>
        </w:rPr>
        <w:t>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2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doctrine of “corporate opportunity” does not apply with respect to any director or stockholder who is not employed by us or our subsidiaries.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financial analysts publish about us or our business. We do not control these analysts. If one or more of the analysts who do cover us stops covering us or fails to publish reports on us regularly, we could lose visibility in the market, which, in turn, could cause our stock price or trading volume to decline. Furthermore, if one or more of the analysts who do cover us downgrade our stock or our industry, or the stock of any of our competitors, or publish inaccurate or unfavorable research about our business, the price of our stock could decline.</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0" w:name="page91"/>
    <w:bookmarkEnd w:id="90"/>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the fifth anniversary of the completion of our IPO.</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Act, the listing requirements of the Nasdaq and other applicable securities laws and regulations. The expenses incurred by public companies generally for reporting and corporate governance purposes have been increasing. We expect these rules and regulations to continue to increase our legal and financial compliance costs and to make some activities more difficult, time-consuming and costly, although we are currently unable to estimate these costs with any degree of certainty. Being a public company and being subject to new rules and regulations also makes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9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As of November 6, 2020, we have outstanding a total of 84,182,961 shares of Class A common stock. Of the outstanding shares, the 43,500,000 shares sold in the IPO are freely tradable without restriction or further registration under the Securities Act, other than any shares held by our affiliates. In addition, the shares of Class A common stock issued to the Blocker Shareholders in the Transactions are eligible for resale pursuant to Rule 144 without restriction or further registration under the Securities Act, other than affiliate restrictions under Rule 144. Any shares of Class A common stock held by our affiliates are eligible for resale pursuant to Rule 144 under the Securities Act, subject to the volume, manner of sale, holding period and other limitations of Rule 144.</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directors and executive officers, and substantially all of our stockholders entered into lock-up agreements with the underwriters prior to our IPO pursuant to which each of these persons or entities, subject to certain exceptions, for a period of 180 days after the date of the Prospectus, may not, without the prior written consent of any two of Goldman Sachs &amp; Co. LLC, BofA Securities, Inc. and Morgan Stanley &amp; Co. LLC, (1) 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(2) engage in any hedging or other transaction or arrangement (including, without limitation, any short sale or the purchase or sale of, or entry into, any put or call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91" w:name="page92"/>
    <w:bookmarkEnd w:id="91"/>
    <w:p>
      <w:pPr>
        <w:spacing w:after="0" w:line="258" w:lineRule="auto"/>
        <w:rPr>
          <w:sz w:val="20"/>
          <w:szCs w:val="20"/>
          <w:color w:val="auto"/>
        </w:rPr>
      </w:pPr>
      <w:r>
        <w:rPr>
          <w:rFonts w:ascii="Times New Roman" w:cs="Times New Roman" w:eastAsia="Times New Roman" w:hAnsi="Times New Roman"/>
          <w:sz w:val="18"/>
          <w:szCs w:val="18"/>
          <w:color w:val="auto"/>
        </w:rPr>
        <w:t>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common stock.</w:t>
      </w:r>
    </w:p>
    <w:p>
      <w:pPr>
        <w:spacing w:after="0" w:line="18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 addition, certain of our employees who hold Performance Units, including certain of our executive officers, entered into lock-up agreements in substantially the same form as the lock-up agreements with the underwriters.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any Class A common stock that we issue under the 2020 Incentive Award Plan or other equity incentive plans that we may adopt in the future would dilute the percentage ownership held by the investors who purchase Class A common stock.</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may not be able to resell your shares at or above the price which you paid for them due to a number of factors included herein, including the following:</w:t>
      </w:r>
    </w:p>
    <w:p>
      <w:pPr>
        <w:spacing w:after="0" w:line="129" w:lineRule="exact"/>
        <w:rPr>
          <w:sz w:val="20"/>
          <w:szCs w:val="20"/>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17" w:lineRule="exact"/>
        <w:rPr>
          <w:rFonts w:ascii="Times New Roman" w:cs="Times New Roman" w:eastAsia="Times New Roman" w:hAnsi="Times New Roman"/>
          <w:sz w:val="18"/>
          <w:szCs w:val="18"/>
          <w:color w:val="auto"/>
        </w:rPr>
      </w:pPr>
    </w:p>
    <w:p>
      <w:pPr>
        <w:ind w:left="980" w:right="220" w:hanging="486"/>
        <w:spacing w:after="0" w:line="282"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changes in consumer behavior or changes in merchant relationships in our industry;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related to our systems or those of our merchants, affiliates or strategic partners;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global payment companies;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17" w:lineRule="exact"/>
        <w:rPr>
          <w:rFonts w:ascii="Times New Roman" w:cs="Times New Roman" w:eastAsia="Times New Roman" w:hAnsi="Times New Roman"/>
          <w:sz w:val="18"/>
          <w:szCs w:val="18"/>
          <w:color w:val="auto"/>
        </w:rPr>
      </w:pPr>
    </w:p>
    <w:p>
      <w:pPr>
        <w:ind w:left="980" w:right="840" w:hanging="486"/>
        <w:spacing w:after="0" w:line="282"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strategic partners of significant contracts, new products, acquisitions, joint marketing relationships, joint ventures, other strategic relationships, or capital commitments;</w:t>
      </w:r>
    </w:p>
    <w:p>
      <w:pPr>
        <w:spacing w:after="0" w:line="53" w:lineRule="exact"/>
        <w:rPr>
          <w:rFonts w:ascii="Times New Roman" w:cs="Times New Roman" w:eastAsia="Times New Roman" w:hAnsi="Times New Roman"/>
          <w:sz w:val="18"/>
          <w:szCs w:val="18"/>
          <w:color w:val="auto"/>
        </w:rPr>
      </w:pPr>
    </w:p>
    <w:p>
      <w:pPr>
        <w:ind w:left="980" w:right="400" w:hanging="486"/>
        <w:spacing w:after="0" w:line="282"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consumer spending environment;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or other securities;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Class A common stock relative to other investment alternatives;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92" w:name="page93"/>
    <w:bookmarkEnd w:id="92"/>
    <w:p>
      <w:pPr>
        <w:ind w:left="980" w:hanging="486"/>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and our IPO, we issued (a) 229,399,322 shares of Class B common stock to the Continuing Equity Owners on a one-for-one basis for the number of LLC Interests held by such owners and for nominal consideration and (b) 40,682,961 shares of Class A common stock to the Blocker Shareholders. The issuances of shares of Class A common stock and Class B common stock described in this paragraph were made in reliance on Section 4(a)(2) of the Securities Act and Rule 506 promulgated thereunder.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00" w:type="dxa"/>
            <w:vAlign w:val="bottom"/>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1"/>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Amended and Restated Certificate of Incorporation of GoHealth,</w:t>
              </w:r>
            </w:hyperlink>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w:t>
              </w:r>
            </w:hyperlink>
          </w:p>
        </w:tc>
        <w:tc>
          <w:tcPr>
            <w:tcW w:w="180" w:type="dxa"/>
            <w:vAlign w:val="bottom"/>
            <w:gridSpan w:val="4"/>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11"/>
          </w:tcPr>
          <w:p>
            <w:pPr>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Amended and Restated Bylaws of GoHealth, Inc.</w:t>
              </w:r>
            </w:hyperlink>
          </w:p>
        </w:tc>
      </w:tr>
      <w:tr>
        <w:trPr>
          <w:trHeight w:val="22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11"/>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Specimen Stock Certificate evidencing the shares of Class A</w:t>
              </w:r>
            </w:hyperlink>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common stock.</w:t>
              </w:r>
            </w:hyperlink>
          </w:p>
        </w:tc>
        <w:tc>
          <w:tcPr>
            <w:tcW w:w="3240" w:type="dxa"/>
            <w:vAlign w:val="bottom"/>
            <w:tcBorders>
              <w:top w:val="single" w:sz="8" w:color="0000FF"/>
            </w:tcBorders>
            <w:gridSpan w:val="2"/>
          </w:tcPr>
          <w:p>
            <w:pPr>
              <w:spacing w:after="0"/>
              <w:rPr>
                <w:sz w:val="17"/>
                <w:szCs w:val="17"/>
                <w:color w:val="auto"/>
              </w:rPr>
            </w:pPr>
          </w:p>
        </w:tc>
        <w:tc>
          <w:tcPr>
            <w:tcW w:w="500" w:type="dxa"/>
            <w:vAlign w:val="bottom"/>
            <w:gridSpan w:val="6"/>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11"/>
          </w:tcPr>
          <w:p>
            <w:pPr>
              <w:spacing w:after="0"/>
              <w:rPr>
                <w:rFonts w:ascii="Times New Roman" w:cs="Times New Roman" w:eastAsia="Times New Roman" w:hAnsi="Times New Roman"/>
                <w:sz w:val="18"/>
                <w:szCs w:val="18"/>
                <w:color w:val="0000FF"/>
              </w:rPr>
            </w:pPr>
            <w:hyperlink w:anchor="page96">
              <w:r>
                <w:rPr>
                  <w:rFonts w:ascii="Times New Roman" w:cs="Times New Roman" w:eastAsia="Times New Roman" w:hAnsi="Times New Roman"/>
                  <w:sz w:val="18"/>
                  <w:szCs w:val="18"/>
                  <w:color w:val="0000FF"/>
                </w:rPr>
                <w:t>Certification of Chief Executive Officer pursuant to Exchange Act</w:t>
              </w:r>
            </w:hyperlink>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w:anchor="page96">
              <w:r>
                <w:rPr>
                  <w:rFonts w:ascii="Times New Roman" w:cs="Times New Roman" w:eastAsia="Times New Roman" w:hAnsi="Times New Roman"/>
                  <w:sz w:val="18"/>
                  <w:szCs w:val="18"/>
                  <w:color w:val="0000FF"/>
                  <w:w w:val="99"/>
                </w:rPr>
                <w:t>Rule 13a-14(a).</w:t>
              </w:r>
            </w:hyperlink>
          </w:p>
        </w:tc>
        <w:tc>
          <w:tcPr>
            <w:tcW w:w="3640" w:type="dxa"/>
            <w:vAlign w:val="bottom"/>
            <w:tcBorders>
              <w:top w:val="single" w:sz="8" w:color="0000FF"/>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Certification of Chief Financial Officer pursuant to Exchange Act</w:t>
              </w:r>
            </w:hyperlink>
          </w:p>
        </w:tc>
        <w:tc>
          <w:tcPr>
            <w:tcW w:w="80" w:type="dxa"/>
            <w:vAlign w:val="bottom"/>
            <w:gridSpan w:val="2"/>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w:anchor="page97">
              <w:r>
                <w:rPr>
                  <w:rFonts w:ascii="Times New Roman" w:cs="Times New Roman" w:eastAsia="Times New Roman" w:hAnsi="Times New Roman"/>
                  <w:sz w:val="18"/>
                  <w:szCs w:val="18"/>
                  <w:color w:val="0000FF"/>
                  <w:w w:val="99"/>
                </w:rPr>
                <w:t>Rule 13a-14(a).</w:t>
              </w:r>
            </w:hyperlink>
          </w:p>
        </w:tc>
        <w:tc>
          <w:tcPr>
            <w:tcW w:w="3700" w:type="dxa"/>
            <w:vAlign w:val="bottom"/>
            <w:gridSpan w:val="7"/>
          </w:tcPr>
          <w:p>
            <w:pPr>
              <w:spacing w:after="0"/>
              <w:rPr>
                <w:sz w:val="17"/>
                <w:szCs w:val="17"/>
                <w:color w:val="auto"/>
              </w:rPr>
            </w:pP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98">
              <w:r>
                <w:rPr>
                  <w:rFonts w:ascii="Times New Roman" w:cs="Times New Roman" w:eastAsia="Times New Roman" w:hAnsi="Times New Roman"/>
                  <w:sz w:val="18"/>
                  <w:szCs w:val="18"/>
                  <w:color w:val="0000FF"/>
                  <w:w w:val="99"/>
                </w:rPr>
                <w:t>Certification of Principal Executive Officer pursuant to 18 U.S.C.</w:t>
              </w:r>
            </w:hyperlink>
          </w:p>
        </w:tc>
        <w:tc>
          <w:tcPr>
            <w:tcW w:w="100" w:type="dxa"/>
            <w:vAlign w:val="bottom"/>
            <w:gridSpan w:val="3"/>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w:anchor="page98">
              <w:r>
                <w:rPr>
                  <w:rFonts w:ascii="Times New Roman" w:cs="Times New Roman" w:eastAsia="Times New Roman" w:hAnsi="Times New Roman"/>
                  <w:sz w:val="18"/>
                  <w:szCs w:val="18"/>
                  <w:color w:val="0000FF"/>
                  <w:w w:val="98"/>
                </w:rPr>
                <w:t>Section 1350.</w:t>
              </w:r>
            </w:hyperlink>
          </w:p>
        </w:tc>
        <w:tc>
          <w:tcPr>
            <w:tcW w:w="3840" w:type="dxa"/>
            <w:vAlign w:val="bottom"/>
            <w:gridSpan w:val="9"/>
          </w:tcPr>
          <w:p>
            <w:pPr>
              <w:spacing w:after="0"/>
              <w:rPr>
                <w:sz w:val="17"/>
                <w:szCs w:val="17"/>
                <w:color w:val="auto"/>
              </w:rPr>
            </w:pP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99">
              <w:r>
                <w:rPr>
                  <w:rFonts w:ascii="Times New Roman" w:cs="Times New Roman" w:eastAsia="Times New Roman" w:hAnsi="Times New Roman"/>
                  <w:sz w:val="18"/>
                  <w:szCs w:val="18"/>
                  <w:color w:val="0000FF"/>
                  <w:w w:val="99"/>
                </w:rPr>
                <w:t>Certification of Chief Financial Officer pursuant to 18 U.S.C.</w:t>
              </w:r>
            </w:hyperlink>
          </w:p>
        </w:tc>
        <w:tc>
          <w:tcPr>
            <w:tcW w:w="400" w:type="dxa"/>
            <w:vAlign w:val="bottom"/>
            <w:gridSpan w:val="5"/>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w:anchor="page99">
              <w:r>
                <w:rPr>
                  <w:rFonts w:ascii="Times New Roman" w:cs="Times New Roman" w:eastAsia="Times New Roman" w:hAnsi="Times New Roman"/>
                  <w:sz w:val="18"/>
                  <w:szCs w:val="18"/>
                  <w:color w:val="0000FF"/>
                  <w:w w:val="98"/>
                </w:rPr>
                <w:t>Section 1350.</w:t>
              </w:r>
            </w:hyperlink>
          </w:p>
        </w:tc>
        <w:tc>
          <w:tcPr>
            <w:tcW w:w="3840" w:type="dxa"/>
            <w:vAlign w:val="bottom"/>
            <w:gridSpan w:val="9"/>
          </w:tcPr>
          <w:p>
            <w:pPr>
              <w:spacing w:after="0"/>
              <w:rPr>
                <w:sz w:val="17"/>
                <w:szCs w:val="17"/>
                <w:color w:val="auto"/>
              </w:rPr>
            </w:pPr>
          </w:p>
        </w:tc>
      </w:tr>
      <w:tr>
        <w:trPr>
          <w:trHeight w:val="259"/>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w:t>
            </w:r>
          </w:p>
        </w:tc>
      </w:tr>
      <w:tr>
        <w:trPr>
          <w:trHeight w:val="203"/>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7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 Document</w:t>
            </w:r>
          </w:p>
        </w:tc>
      </w:tr>
      <w:tr>
        <w:trPr>
          <w:trHeight w:val="27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36" w:lineRule="exact"/>
        <w:rPr>
          <w:sz w:val="20"/>
          <w:szCs w:val="20"/>
          <w:color w:val="auto"/>
        </w:rPr>
      </w:pPr>
    </w:p>
    <w:p>
      <w:pPr>
        <w:ind w:left="1100" w:right="180" w:hanging="1074"/>
        <w:spacing w:after="0" w:line="282" w:lineRule="auto"/>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9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
        </w:trPr>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8/20/2020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8/20/2020</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6/19/2020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940" w:space="100"/>
            <w:col w:w="5140"/>
          </w:cols>
          <w:pgMar w:left="320" w:top="1386" w:right="39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72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GoHealth, Inc.</w:t>
            </w:r>
          </w:p>
        </w:tc>
      </w:tr>
      <w:tr>
        <w:trPr>
          <w:trHeight w:val="238"/>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2020</w:t>
            </w:r>
          </w:p>
        </w:tc>
        <w:tc>
          <w:tcPr>
            <w:tcW w:w="28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Clinton P. Jones</w:t>
            </w:r>
          </w:p>
        </w:tc>
      </w:tr>
      <w:tr>
        <w:trPr>
          <w:trHeight w:val="27"/>
        </w:trPr>
        <w:tc>
          <w:tcPr>
            <w:tcW w:w="3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18"/>
        </w:trPr>
        <w:tc>
          <w:tcPr>
            <w:tcW w:w="3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Clinton P. Jones</w:t>
            </w:r>
          </w:p>
        </w:tc>
      </w:tr>
      <w:tr>
        <w:trPr>
          <w:trHeight w:val="234"/>
        </w:trPr>
        <w:tc>
          <w:tcPr>
            <w:tcW w:w="3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2020</w:t>
            </w:r>
          </w:p>
        </w:tc>
        <w:tc>
          <w:tcPr>
            <w:tcW w:w="28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Travis J. Matthiesen</w:t>
            </w:r>
          </w:p>
        </w:tc>
      </w:tr>
      <w:tr>
        <w:trPr>
          <w:trHeight w:val="27"/>
        </w:trPr>
        <w:tc>
          <w:tcPr>
            <w:tcW w:w="3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18"/>
        </w:trPr>
        <w:tc>
          <w:tcPr>
            <w:tcW w:w="3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J. Matthiesen</w:t>
            </w:r>
          </w:p>
        </w:tc>
      </w:tr>
      <w:tr>
        <w:trPr>
          <w:trHeight w:val="234"/>
        </w:trPr>
        <w:tc>
          <w:tcPr>
            <w:tcW w:w="3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20"/>
          </w:cols>
          <w:pgMar w:left="320" w:top="1062" w:right="3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Clinton P. Jones, certify that:</w:t>
      </w:r>
    </w:p>
    <w:p>
      <w:pPr>
        <w:spacing w:after="0" w:line="158" w:lineRule="exact"/>
        <w:rPr>
          <w:sz w:val="20"/>
          <w:szCs w:val="20"/>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GoHealth, Inc.;</w:t>
      </w:r>
    </w:p>
    <w:p>
      <w:pPr>
        <w:spacing w:after="0" w:line="144"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0" w:lineRule="exact"/>
        <w:rPr>
          <w:rFonts w:ascii="Times New Roman" w:cs="Times New Roman" w:eastAsia="Times New Roman" w:hAnsi="Times New Roman"/>
          <w:sz w:val="18"/>
          <w:szCs w:val="18"/>
          <w:color w:val="auto"/>
        </w:rPr>
      </w:pPr>
    </w:p>
    <w:p>
      <w:pPr>
        <w:ind w:left="1060" w:right="160" w:hanging="566"/>
        <w:spacing w:after="0" w:line="266" w:lineRule="auto"/>
        <w:tabs>
          <w:tab w:leader="none" w:pos="10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60" w:hanging="566"/>
        <w:spacing w:after="0"/>
        <w:tabs>
          <w:tab w:leader="none" w:pos="10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57" w:lineRule="exact"/>
        <w:rPr>
          <w:rFonts w:ascii="Times New Roman" w:cs="Times New Roman" w:eastAsia="Times New Roman" w:hAnsi="Times New Roman"/>
          <w:sz w:val="18"/>
          <w:szCs w:val="18"/>
          <w:color w:val="auto"/>
        </w:rPr>
      </w:pPr>
    </w:p>
    <w:p>
      <w:pPr>
        <w:jc w:val="both"/>
        <w:ind w:left="1060" w:right="460" w:hanging="566"/>
        <w:spacing w:after="0" w:line="312" w:lineRule="auto"/>
        <w:tabs>
          <w:tab w:leader="none" w:pos="105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1060" w:right="160" w:hanging="566"/>
        <w:spacing w:after="0" w:line="266" w:lineRule="auto"/>
        <w:tabs>
          <w:tab w:leader="none" w:pos="10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060" w:right="700" w:hanging="566"/>
        <w:spacing w:after="0" w:line="282" w:lineRule="auto"/>
        <w:tabs>
          <w:tab w:leader="none" w:pos="10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060" w:right="400" w:hanging="566"/>
        <w:spacing w:after="0" w:line="282" w:lineRule="auto"/>
        <w:tabs>
          <w:tab w:leader="none" w:pos="10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6580" w:val="left"/>
          <w:tab w:leader="none" w:pos="7040" w:val="left"/>
        </w:tabs>
        <w:rPr>
          <w:sz w:val="20"/>
          <w:szCs w:val="20"/>
          <w:color w:val="auto"/>
        </w:rPr>
      </w:pPr>
      <w:r>
        <w:rPr>
          <w:rFonts w:ascii="Times New Roman" w:cs="Times New Roman" w:eastAsia="Times New Roman" w:hAnsi="Times New Roman"/>
          <w:sz w:val="18"/>
          <w:szCs w:val="18"/>
          <w:color w:val="auto"/>
        </w:rPr>
        <w:t>Date: November 13,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6657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Clinton P. Jones</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J. Matthiesen, certify that:</w:t>
      </w:r>
    </w:p>
    <w:p>
      <w:pPr>
        <w:spacing w:after="0" w:line="158" w:lineRule="exact"/>
        <w:rPr>
          <w:sz w:val="20"/>
          <w:szCs w:val="20"/>
          <w:color w:val="auto"/>
        </w:rPr>
      </w:pPr>
    </w:p>
    <w:p>
      <w:pPr>
        <w:ind w:left="980" w:hanging="486"/>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GoHealth, Inc.;</w:t>
      </w:r>
    </w:p>
    <w:p>
      <w:pPr>
        <w:spacing w:after="0" w:line="144"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80" w:right="560" w:hanging="486"/>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0"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57"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80" w:right="460" w:hanging="486"/>
        <w:spacing w:after="0" w:line="266"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460" w:right="300" w:hanging="480"/>
        <w:spacing w:after="0" w:line="282" w:lineRule="auto"/>
        <w:tabs>
          <w:tab w:leader="none" w:pos="14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6580" w:val="left"/>
          <w:tab w:leader="none" w:pos="7040" w:val="left"/>
        </w:tabs>
        <w:rPr>
          <w:sz w:val="20"/>
          <w:szCs w:val="20"/>
          <w:color w:val="auto"/>
        </w:rPr>
      </w:pPr>
      <w:r>
        <w:rPr>
          <w:rFonts w:ascii="Times New Roman" w:cs="Times New Roman" w:eastAsia="Times New Roman" w:hAnsi="Times New Roman"/>
          <w:sz w:val="18"/>
          <w:szCs w:val="18"/>
          <w:color w:val="auto"/>
        </w:rPr>
        <w:t>Date: November 13, 2020</w:t>
      </w:r>
      <w:r>
        <w:rPr>
          <w:sz w:val="20"/>
          <w:szCs w:val="20"/>
          <w:color w:val="auto"/>
        </w:rPr>
        <w:tab/>
      </w:r>
      <w:r>
        <w:rPr>
          <w:rFonts w:ascii="Times New Roman" w:cs="Times New Roman" w:eastAsia="Times New Roman" w:hAnsi="Times New Roman"/>
          <w:sz w:val="18"/>
          <w:szCs w:val="18"/>
          <w:color w:val="auto"/>
        </w:rPr>
        <w:t>By:</w:t>
        <w:tab/>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6657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Travis J. Matthiesen</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GoHealth, Inc. (the “Company”) for the period ended September 30, 2020 as filed with the Securities and Exchange Commission on the date hereof (the “Report”), I certify, pursuant to 18 U.S.C. § 1350, as adopted pursuant to § 906 of the Sarbanes-Oxley Act of 2002, that:</w:t>
      </w:r>
    </w:p>
    <w:p>
      <w:pPr>
        <w:spacing w:after="0" w:line="108" w:lineRule="exact"/>
        <w:rPr>
          <w:sz w:val="20"/>
          <w:szCs w:val="20"/>
          <w:color w:val="auto"/>
        </w:rPr>
      </w:pPr>
    </w:p>
    <w:p>
      <w:pPr>
        <w:ind w:left="980" w:hanging="567"/>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80" w:right="600" w:hanging="567"/>
        <w:spacing w:after="0" w:line="282" w:lineRule="auto"/>
        <w:tabs>
          <w:tab w:leader="none" w:pos="9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6600" w:val="left"/>
          <w:tab w:leader="none" w:pos="7060" w:val="left"/>
        </w:tabs>
        <w:rPr>
          <w:sz w:val="20"/>
          <w:szCs w:val="20"/>
          <w:color w:val="auto"/>
        </w:rPr>
      </w:pPr>
      <w:r>
        <w:rPr>
          <w:rFonts w:ascii="Times New Roman" w:cs="Times New Roman" w:eastAsia="Times New Roman" w:hAnsi="Times New Roman"/>
          <w:sz w:val="18"/>
          <w:szCs w:val="18"/>
          <w:color w:val="auto"/>
        </w:rPr>
        <w:t>Date: November 13, 2020</w:t>
      </w:r>
      <w:r>
        <w:rPr>
          <w:sz w:val="20"/>
          <w:szCs w:val="20"/>
          <w:color w:val="auto"/>
        </w:rPr>
        <w:tab/>
      </w:r>
      <w:r>
        <w:rPr>
          <w:rFonts w:ascii="Times New Roman" w:cs="Times New Roman" w:eastAsia="Times New Roman" w:hAnsi="Times New Roman"/>
          <w:sz w:val="18"/>
          <w:szCs w:val="18"/>
          <w:color w:val="auto"/>
        </w:rPr>
        <w:t>By:</w:t>
        <w:tab/>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34290</wp:posOffset>
            </wp:positionV>
            <wp:extent cx="26485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2"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Clinton P. Jones</w:t>
      </w:r>
    </w:p>
    <w:p>
      <w:pPr>
        <w:ind w:left="708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GoHealth, Inc. (the “Company”) for the period ended September 30, 2020 as filed with the Securities and Exchange Commission on the date hereof (the “Report”), I certify, pursuant to 18 U.S.C. § 1350, as adopted pursuant to § 906 of the Sarbanes-Oxley Act of 2002, that:</w:t>
      </w:r>
    </w:p>
    <w:p>
      <w:pPr>
        <w:spacing w:after="0" w:line="108" w:lineRule="exact"/>
        <w:rPr>
          <w:sz w:val="20"/>
          <w:szCs w:val="20"/>
          <w:color w:val="auto"/>
        </w:rPr>
      </w:pPr>
    </w:p>
    <w:p>
      <w:pPr>
        <w:ind w:left="980" w:hanging="567"/>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80" w:right="600" w:hanging="567"/>
        <w:spacing w:after="0" w:line="282" w:lineRule="auto"/>
        <w:tabs>
          <w:tab w:leader="none" w:pos="9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6580" w:val="left"/>
          <w:tab w:leader="none" w:pos="7040" w:val="left"/>
        </w:tabs>
        <w:rPr>
          <w:sz w:val="20"/>
          <w:szCs w:val="20"/>
          <w:color w:val="auto"/>
        </w:rPr>
      </w:pPr>
      <w:r>
        <w:rPr>
          <w:rFonts w:ascii="Times New Roman" w:cs="Times New Roman" w:eastAsia="Times New Roman" w:hAnsi="Times New Roman"/>
          <w:sz w:val="18"/>
          <w:szCs w:val="18"/>
          <w:color w:val="auto"/>
        </w:rPr>
        <w:t>Date: November 13, 2020</w:t>
      </w:r>
      <w:r>
        <w:rPr>
          <w:sz w:val="20"/>
          <w:szCs w:val="20"/>
          <w:color w:val="auto"/>
        </w:rPr>
        <w:tab/>
      </w:r>
      <w:r>
        <w:rPr>
          <w:rFonts w:ascii="Times New Roman" w:cs="Times New Roman" w:eastAsia="Times New Roman" w:hAnsi="Times New Roman"/>
          <w:sz w:val="18"/>
          <w:szCs w:val="18"/>
          <w:color w:val="auto"/>
        </w:rPr>
        <w:t>By:</w:t>
        <w:tab/>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6657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Travis J. Matthiesen</w:t>
      </w:r>
    </w:p>
    <w:p>
      <w:pPr>
        <w:spacing w:after="0" w:line="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2"/>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7"/>
    </w:lvl>
  </w:abstractNum>
  <w:abstractNum w:abstractNumId="15">
    <w:nsid w:val="5C482A97"/>
    <w:multiLevelType w:val="hybridMultilevel"/>
    <w:lvl w:ilvl="0">
      <w:lvlJc w:val="left"/>
      <w:lvlText w:val="%1."/>
      <w:numFmt w:val="decimal"/>
      <w:start w:val="11"/>
    </w:lvl>
  </w:abstractNum>
  <w:abstractNum w:abstractNumId="16">
    <w:nsid w:val="2463B9EA"/>
    <w:multiLevelType w:val="hybridMultilevel"/>
    <w:lvl w:ilvl="0">
      <w:lvlJc w:val="left"/>
      <w:lvlText w:val="%1."/>
      <w:numFmt w:val="decimal"/>
      <w:start w:val="13"/>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lowerRoman"/>
      <w:start w:val="4"/>
    </w:lvl>
    <w:lvl w:ilvl="1">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Roman"/>
      <w:start w:val="3"/>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3"/>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04"/>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67" Type="http://schemas.openxmlformats.org/officeDocument/2006/relationships/hyperlink" Target="https://www.sec.gov/Archives/edgar/data/1808220/000119312520224832/d935246dex31.htm" TargetMode="External"/><Relationship Id="rId168" Type="http://schemas.openxmlformats.org/officeDocument/2006/relationships/hyperlink" Target="https://www.sec.gov/Archives/edgar/data/1808220/000119312520224832/d935246dex32.htm" TargetMode="External"/><Relationship Id="rId169" Type="http://schemas.openxmlformats.org/officeDocument/2006/relationships/hyperlink" Target="https://www.sec.gov/Archives/edgar/data/1808220/000119312520173051/d7971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2020-11-13T13:14:10Z</dcterms:created>
  <dcterms:modified xsi:type="dcterms:W3CDTF">2020-11-13T13:14:10Z</dcterms:modified>
</cp:coreProperties>
</file>