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FORM 10-K</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ANNUAL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fiscal year ended December 31, 2024</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before="120" w:after="283"/>
        <w:jc w:val="center"/>
        <w:rPr/>
      </w:pPr>
      <w:r>
        <w:rPr/>
      </w:r>
    </w:p>
    <w:p>
      <w:pPr>
        <w:pStyle w:val="TextBody"/>
        <w:bidi w:val="0"/>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bidi w:val="0"/>
        <w:spacing w:before="120" w:after="283"/>
        <w:jc w:val="center"/>
        <w:rPr/>
      </w:pPr>
      <w:r>
        <w:rPr/>
        <w:drawing>
          <wp:inline distT="0" distB="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409" w:type="dxa"/>
        <w:jc w:val="left"/>
        <w:tblInd w:w="0" w:type="dxa"/>
        <w:tblLayout w:type="fixed"/>
        <w:tblCellMar>
          <w:top w:w="28" w:type="dxa"/>
          <w:left w:w="28" w:type="dxa"/>
          <w:bottom w:w="28" w:type="dxa"/>
          <w:right w:w="28" w:type="dxa"/>
        </w:tblCellMar>
      </w:tblPr>
      <w:tblGrid>
        <w:gridCol w:w="626"/>
        <w:gridCol w:w="551"/>
        <w:gridCol w:w="551"/>
        <w:gridCol w:w="551"/>
        <w:gridCol w:w="551"/>
        <w:gridCol w:w="560"/>
        <w:gridCol w:w="298"/>
        <w:gridCol w:w="298"/>
        <w:gridCol w:w="423"/>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222 W Merchandise Mart Plaza, Suite 1750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491" w:type="dxa"/>
        <w:jc w:val="left"/>
        <w:tblInd w:w="0" w:type="dxa"/>
        <w:tblLayout w:type="fixed"/>
        <w:tblCellMar>
          <w:top w:w="28" w:type="dxa"/>
          <w:left w:w="28" w:type="dxa"/>
          <w:bottom w:w="28" w:type="dxa"/>
          <w:right w:w="28" w:type="dxa"/>
        </w:tblCellMar>
      </w:tblPr>
      <w:tblGrid>
        <w:gridCol w:w="915"/>
        <w:gridCol w:w="805"/>
        <w:gridCol w:w="814"/>
        <w:gridCol w:w="109"/>
        <w:gridCol w:w="109"/>
        <w:gridCol w:w="109"/>
        <w:gridCol w:w="609"/>
        <w:gridCol w:w="609"/>
        <w:gridCol w:w="611"/>
        <w:gridCol w:w="109"/>
        <w:gridCol w:w="109"/>
        <w:gridCol w:w="109"/>
        <w:gridCol w:w="723"/>
        <w:gridCol w:w="723"/>
        <w:gridCol w:w="1028"/>
      </w:tblGrid>
      <w:tr>
        <w:trPr/>
        <w:tc>
          <w:tcPr>
            <w:tcW w:w="9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Name of each exchange </w:t>
              <w:br/>
              <w:t>on which registered</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Global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12(g) of the Act: None</w:t>
      </w:r>
    </w:p>
    <w:p>
      <w:pPr>
        <w:pStyle w:val="TextBody"/>
        <w:bidi w:val="0"/>
        <w:spacing w:lineRule="auto" w:line="288" w:before="120" w:after="283"/>
        <w:jc w:val="left"/>
        <w:rPr/>
      </w:pPr>
      <w:r>
        <w:rPr>
          <w:rFonts w:ascii="Arial;sans-serif" w:hAnsi="Arial;sans-serif"/>
          <w:b w:val="false"/>
          <w:color w:val="000000"/>
          <w:sz w:val="20"/>
        </w:rPr>
        <w:t>Indicate by check mark if the registrant is a well-known seasoned issuer, as defined in Rule 405 of the Securities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if the registrant is not required to file reports pursuant to Section 13 or Section 15(d)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23"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10"/>
        <w:gridCol w:w="810"/>
        <w:gridCol w:w="811"/>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Indicate by check mark whether the registrant is a shell company (as defined in Rule 12b-2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the closing price of the registrant’s common stock on the last business day of the registrant’s most recently completed second fiscal quarter, which was June 30, 2024, the aggregate market value of its shares (based on a closing price of $9.72 per share) held by non-affiliates was $50.6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February 20, 2025, the registrant had 10,385,777 shares of Class A common stock, $0.0001 par value per share, outstanding and 12,623,288 shares of Class B common stock, $0.0001 par value per share, outstanding.</w:t>
      </w:r>
    </w:p>
    <w:p>
      <w:pPr>
        <w:pStyle w:val="TextBody"/>
        <w:bidi w:val="0"/>
        <w:spacing w:before="120" w:after="283"/>
        <w:jc w:val="left"/>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Portions of the registrant’s Definitive Proxy Statement for the 2025 Annual Meeting of Stockholders, which is expected to be filed within 120 days after the Company’s fiscal year ended December 31, 2024, are incorporated by reference into Part III of this Annual Report on Form 10-K to the extent stated herein.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4530"/>
                <wp:effectExtent l="0" t="0" r="0" b="0"/>
                <wp:wrapNone/>
                <wp:docPr id="4" name="Frame3"/>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310"/>
        <w:gridCol w:w="272"/>
        <w:gridCol w:w="274"/>
        <w:gridCol w:w="136"/>
        <w:gridCol w:w="136"/>
        <w:gridCol w:w="136"/>
        <w:gridCol w:w="2746"/>
        <w:gridCol w:w="2502"/>
        <w:gridCol w:w="2474"/>
        <w:gridCol w:w="136"/>
        <w:gridCol w:w="136"/>
        <w:gridCol w:w="136"/>
        <w:gridCol w:w="236"/>
        <w:gridCol w:w="236"/>
        <w:gridCol w:w="339"/>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9">
              <w:r>
                <w:rPr>
                  <w:rStyle w:val="InternetLink"/>
                  <w:rFonts w:ascii="Arial;sans-serif" w:hAnsi="Arial;sans-serif"/>
                  <w:b w:val="false"/>
                  <w:color w:val="0000FF"/>
                  <w:sz w:val="18"/>
                  <w:u w:val="single"/>
                </w:rPr>
                <w:t>BUSINESS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9">
              <w:r>
                <w:rPr>
                  <w:rStyle w:val="InternetLink"/>
                  <w:rFonts w:ascii="Arial;sans-serif" w:hAnsi="Arial;sans-serif"/>
                  <w:b w:val="false"/>
                  <w:color w:val="0000FF"/>
                  <w:sz w:val="18"/>
                  <w:u w:val="single"/>
                </w:rPr>
                <w:t>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22">
              <w:r>
                <w:rPr>
                  <w:rStyle w:val="InternetLink"/>
                  <w:rFonts w:ascii="Arial;sans-serif" w:hAnsi="Arial;sans-serif"/>
                  <w:b w:val="false"/>
                  <w:color w:val="0000FF"/>
                  <w:sz w:val="18"/>
                  <w:u w:val="single"/>
                </w:rPr>
                <w:t>RISK FACTORS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22">
              <w:r>
                <w:rPr>
                  <w:rStyle w:val="InternetLink"/>
                  <w:rFonts w:ascii="Arial;sans-serif" w:hAnsi="Arial;sans-serif"/>
                  <w:b w:val="false"/>
                  <w:color w:val="0000FF"/>
                  <w:sz w:val="18"/>
                  <w:u w:val="single"/>
                </w:rPr>
                <w:t>12</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1B.</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25">
              <w:r>
                <w:rPr>
                  <w:rStyle w:val="InternetLink"/>
                  <w:rFonts w:ascii="Arial;sans-serif" w:hAnsi="Arial;sans-serif"/>
                  <w:b w:val="false"/>
                  <w:color w:val="0000FF"/>
                  <w:sz w:val="18"/>
                  <w:u w:val="single"/>
                </w:rPr>
                <w:t>UNRESOLVED STAFF COMMENTS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25">
              <w:r>
                <w:rPr>
                  <w:rStyle w:val="InternetLink"/>
                  <w:rFonts w:ascii="Arial;sans-serif" w:hAnsi="Arial;sans-serif"/>
                  <w:b w:val="false"/>
                  <w:color w:val="0000FF"/>
                  <w:sz w:val="18"/>
                  <w:u w:val="single"/>
                </w:rPr>
                <w:t>41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1C.</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28">
              <w:r>
                <w:rPr>
                  <w:rStyle w:val="InternetLink"/>
                  <w:rFonts w:ascii="Arial;sans-serif" w:hAnsi="Arial;sans-serif"/>
                  <w:b w:val="false"/>
                  <w:color w:val="0000FF"/>
                  <w:sz w:val="18"/>
                  <w:u w:val="single"/>
                </w:rPr>
                <w:t>CYBERSECURITY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28">
              <w:r>
                <w:rPr>
                  <w:rStyle w:val="InternetLink"/>
                  <w:rFonts w:ascii="Arial;sans-serif" w:hAnsi="Arial;sans-serif"/>
                  <w:b w:val="false"/>
                  <w:color w:val="0000FF"/>
                  <w:sz w:val="18"/>
                  <w:u w:val="single"/>
                </w:rPr>
                <w:t>41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31">
              <w:r>
                <w:rPr>
                  <w:rStyle w:val="InternetLink"/>
                  <w:rFonts w:ascii="Arial;sans-serif" w:hAnsi="Arial;sans-serif"/>
                  <w:b w:val="false"/>
                  <w:color w:val="0000FF"/>
                  <w:sz w:val="18"/>
                  <w:u w:val="single"/>
                </w:rPr>
                <w:t>PROPERTIES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31">
              <w:r>
                <w:rPr>
                  <w:rStyle w:val="InternetLink"/>
                  <w:rFonts w:ascii="Arial;sans-serif" w:hAnsi="Arial;sans-serif"/>
                  <w:b w:val="false"/>
                  <w:color w:val="0000FF"/>
                  <w:sz w:val="18"/>
                  <w:u w:val="single"/>
                </w:rPr>
                <w:t>42</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34">
              <w:r>
                <w:rPr>
                  <w:rStyle w:val="InternetLink"/>
                  <w:rFonts w:ascii="Arial;sans-serif" w:hAnsi="Arial;sans-serif"/>
                  <w:b w:val="false"/>
                  <w:color w:val="0000FF"/>
                  <w:sz w:val="18"/>
                  <w:u w:val="single"/>
                </w:rPr>
                <w:t>LEGAL PROCEEDINGS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34">
              <w:r>
                <w:rPr>
                  <w:rStyle w:val="InternetLink"/>
                  <w:rFonts w:ascii="Arial;sans-serif" w:hAnsi="Arial;sans-serif"/>
                  <w:b w:val="false"/>
                  <w:color w:val="0000FF"/>
                  <w:sz w:val="18"/>
                  <w:u w:val="single"/>
                </w:rPr>
                <w:t>42</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37">
              <w:r>
                <w:rPr>
                  <w:rStyle w:val="InternetLink"/>
                  <w:rFonts w:ascii="Arial;sans-serif" w:hAnsi="Arial;sans-serif"/>
                  <w:b w:val="false"/>
                  <w:color w:val="0000FF"/>
                  <w:sz w:val="18"/>
                  <w:u w:val="single"/>
                </w:rPr>
                <w:t>MINE SAFETY DISCLOSURES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37">
              <w:r>
                <w:rPr>
                  <w:rStyle w:val="InternetLink"/>
                  <w:rFonts w:ascii="Arial;sans-serif" w:hAnsi="Arial;sans-serif"/>
                  <w:b w:val="false"/>
                  <w:color w:val="0000FF"/>
                  <w:sz w:val="18"/>
                  <w:u w:val="single"/>
                </w:rPr>
                <w:t>42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40">
              <w:r>
                <w:rPr>
                  <w:rStyle w:val="InternetLink"/>
                  <w:rFonts w:ascii="Arial;sans-serif" w:hAnsi="Arial;sans-serif"/>
                  <w:b w:val="false"/>
                  <w:color w:val="0000FF"/>
                  <w:sz w:val="18"/>
                  <w:u w:val="single"/>
                </w:rPr>
                <w:t>INFORMATION ABOUT OUR EXECUTIVE OFFICERS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40">
              <w:r>
                <w:rPr>
                  <w:rStyle w:val="InternetLink"/>
                  <w:rFonts w:ascii="Arial;sans-serif" w:hAnsi="Arial;sans-serif"/>
                  <w:b w:val="false"/>
                  <w:color w:val="0000FF"/>
                  <w:sz w:val="18"/>
                  <w:u w:val="single"/>
                </w:rPr>
                <w:t>42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46">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46">
              <w:r>
                <w:rPr>
                  <w:rStyle w:val="InternetLink"/>
                  <w:rFonts w:ascii="Arial;sans-serif" w:hAnsi="Arial;sans-serif"/>
                  <w:b w:val="false"/>
                  <w:color w:val="0000FF"/>
                  <w:sz w:val="18"/>
                  <w:u w:val="single"/>
                </w:rPr>
                <w:t>44</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49">
              <w:r>
                <w:rPr>
                  <w:rStyle w:val="InternetLink"/>
                  <w:rFonts w:ascii="Arial;sans-serif" w:hAnsi="Arial;sans-serif"/>
                  <w:b w:val="false"/>
                  <w:color w:val="0000FF"/>
                  <w:sz w:val="18"/>
                  <w:u w:val="single"/>
                </w:rPr>
                <w:t>[RESERVED]</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49">
              <w:r>
                <w:rPr>
                  <w:rStyle w:val="InternetLink"/>
                  <w:rFonts w:ascii="Arial;sans-serif" w:hAnsi="Arial;sans-serif"/>
                  <w:b w:val="false"/>
                  <w:color w:val="0000FF"/>
                  <w:sz w:val="18"/>
                  <w:u w:val="single"/>
                </w:rPr>
                <w:t>45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52">
              <w:r>
                <w:rPr>
                  <w:rStyle w:val="InternetLink"/>
                  <w:rFonts w:ascii="Arial;sans-serif" w:hAnsi="Arial;sans-serif"/>
                  <w:b w:val="false"/>
                  <w:color w:val="0000FF"/>
                  <w:sz w:val="18"/>
                  <w:u w:val="single"/>
                </w:rPr>
                <w:t>MANAGEMENT’S DISCUSSION AND ANALYSIS OF FINANCIAL CONDITION AND RESULTS OF OPERATIONS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52">
              <w:r>
                <w:rPr>
                  <w:rStyle w:val="InternetLink"/>
                  <w:rFonts w:ascii="Arial;sans-serif" w:hAnsi="Arial;sans-serif"/>
                  <w:b w:val="false"/>
                  <w:color w:val="0000FF"/>
                  <w:sz w:val="18"/>
                  <w:u w:val="single"/>
                </w:rPr>
                <w:t>45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85">
              <w:r>
                <w:rPr>
                  <w:rStyle w:val="InternetLink"/>
                  <w:rFonts w:ascii="Arial;sans-serif" w:hAnsi="Arial;sans-serif"/>
                  <w:b w:val="false"/>
                  <w:color w:val="0000FF"/>
                  <w:sz w:val="18"/>
                  <w:u w:val="single"/>
                </w:rPr>
                <w:t>QUANTITATIVE AND QUALITATIVE DISCLOSURES ABOUT MARKET RISK</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85">
              <w:r>
                <w:rPr>
                  <w:rStyle w:val="InternetLink"/>
                  <w:rFonts w:ascii="Arial;sans-serif" w:hAnsi="Arial;sans-serif"/>
                  <w:b w:val="false"/>
                  <w:color w:val="0000FF"/>
                  <w:sz w:val="18"/>
                  <w:u w:val="single"/>
                </w:rPr>
                <w:t>58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8.</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88">
              <w:r>
                <w:rPr>
                  <w:rStyle w:val="InternetLink"/>
                  <w:rFonts w:ascii="Arial;sans-serif" w:hAnsi="Arial;sans-serif"/>
                  <w:b w:val="false"/>
                  <w:color w:val="0000FF"/>
                  <w:sz w:val="18"/>
                  <w:u w:val="single"/>
                </w:rPr>
                <w:t>FINANCIAL STATEMENTS AND SUPPLEMENTARY DATA</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88">
              <w:r>
                <w:rPr>
                  <w:rStyle w:val="InternetLink"/>
                  <w:rFonts w:ascii="Arial;sans-serif" w:hAnsi="Arial;sans-serif"/>
                  <w:b w:val="false"/>
                  <w:color w:val="0000FF"/>
                  <w:sz w:val="18"/>
                  <w:u w:val="single"/>
                </w:rPr>
                <w:t>59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97">
              <w:r>
                <w:rPr>
                  <w:rStyle w:val="InternetLink"/>
                  <w:rFonts w:ascii="Arial;sans-serif" w:hAnsi="Arial;sans-serif"/>
                  <w:b w:val="false"/>
                  <w:color w:val="0000FF"/>
                  <w:sz w:val="18"/>
                  <w:u w:val="single"/>
                </w:rPr>
                <w:t>CONSOLIDATED STATEMENTS OF OPERATIONS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97">
              <w:r>
                <w:rPr>
                  <w:rStyle w:val="InternetLink"/>
                  <w:rFonts w:ascii="Arial;sans-serif" w:hAnsi="Arial;sans-serif"/>
                  <w:b w:val="false"/>
                  <w:color w:val="0000FF"/>
                  <w:sz w:val="18"/>
                  <w:u w:val="single"/>
                </w:rPr>
                <w:t>61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00">
              <w:r>
                <w:rPr>
                  <w:rStyle w:val="InternetLink"/>
                  <w:rFonts w:ascii="Arial;sans-serif" w:hAnsi="Arial;sans-serif"/>
                  <w:b w:val="false"/>
                  <w:color w:val="0000FF"/>
                  <w:sz w:val="18"/>
                  <w:u w:val="single"/>
                </w:rPr>
                <w:t>CONSOLIDATED STATEMENTS OF COMPREHENSIVE INCOME (LOSS)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00">
              <w:r>
                <w:rPr>
                  <w:rStyle w:val="InternetLink"/>
                  <w:rFonts w:ascii="Arial;sans-serif" w:hAnsi="Arial;sans-serif"/>
                  <w:b w:val="false"/>
                  <w:color w:val="0000FF"/>
                  <w:sz w:val="18"/>
                  <w:u w:val="single"/>
                </w:rPr>
                <w:t>62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03">
              <w:r>
                <w:rPr>
                  <w:rStyle w:val="InternetLink"/>
                  <w:rFonts w:ascii="Arial;sans-serif" w:hAnsi="Arial;sans-serif"/>
                  <w:b w:val="false"/>
                  <w:color w:val="0000FF"/>
                  <w:sz w:val="18"/>
                  <w:u w:val="single"/>
                </w:rPr>
                <w:t>CONSOLIDATED BALANCE SHEETS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03">
              <w:r>
                <w:rPr>
                  <w:rStyle w:val="InternetLink"/>
                  <w:rFonts w:ascii="Arial;sans-serif" w:hAnsi="Arial;sans-serif"/>
                  <w:b w:val="false"/>
                  <w:color w:val="0000FF"/>
                  <w:sz w:val="18"/>
                  <w:u w:val="single"/>
                </w:rPr>
                <w:t>63</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06">
              <w:r>
                <w:rPr>
                  <w:rStyle w:val="InternetLink"/>
                  <w:rFonts w:ascii="Arial;sans-serif" w:hAnsi="Arial;sans-serif"/>
                  <w:b w:val="false"/>
                  <w:color w:val="0000FF"/>
                  <w:sz w:val="18"/>
                  <w:u w:val="single"/>
                </w:rPr>
                <w:t>CONSOLIDATED STATEMENTS OF CHANGES IN STOCKHOLDERS’ EQUITY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06">
              <w:r>
                <w:rPr>
                  <w:rStyle w:val="InternetLink"/>
                  <w:rFonts w:ascii="Arial;sans-serif" w:hAnsi="Arial;sans-serif"/>
                  <w:b w:val="false"/>
                  <w:color w:val="0000FF"/>
                  <w:sz w:val="18"/>
                  <w:u w:val="single"/>
                </w:rPr>
                <w:t>64</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09">
              <w:r>
                <w:rPr>
                  <w:rStyle w:val="InternetLink"/>
                  <w:rFonts w:ascii="Arial;sans-serif" w:hAnsi="Arial;sans-serif"/>
                  <w:b w:val="false"/>
                  <w:color w:val="0000FF"/>
                  <w:sz w:val="18"/>
                  <w:u w:val="single"/>
                </w:rPr>
                <w:t>CONSOLIDATED STATEMENTS OF CASH FLOWS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09">
              <w:r>
                <w:rPr>
                  <w:rStyle w:val="InternetLink"/>
                  <w:rFonts w:ascii="Arial;sans-serif" w:hAnsi="Arial;sans-serif"/>
                  <w:b w:val="false"/>
                  <w:color w:val="0000FF"/>
                  <w:sz w:val="18"/>
                  <w:u w:val="single"/>
                </w:rPr>
                <w:t>66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12">
              <w:r>
                <w:rPr>
                  <w:rStyle w:val="InternetLink"/>
                  <w:rFonts w:ascii="Arial;sans-serif" w:hAnsi="Arial;sans-serif"/>
                  <w:b w:val="false"/>
                  <w:color w:val="0000FF"/>
                  <w:sz w:val="18"/>
                  <w:u w:val="single"/>
                </w:rPr>
                <w:t>NOTES TO CONSOLIDATED FINANCIAL STATEMENTS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12">
              <w:r>
                <w:rPr>
                  <w:rStyle w:val="InternetLink"/>
                  <w:rFonts w:ascii="Arial;sans-serif" w:hAnsi="Arial;sans-serif"/>
                  <w:b w:val="false"/>
                  <w:color w:val="0000FF"/>
                  <w:sz w:val="18"/>
                  <w:u w:val="single"/>
                </w:rPr>
                <w:t>67</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The report of GoHealth Inc.’s independent registered public accounting firm (PCAOB ID:42) with respect to the above-referenced financial statements are included in Item 8 of this Annual Report on Form 10-K at the page number referenced herein. Their consent appears as Exhibit 23.1 of this Annual Report on Form 10-K. </w:t>
            </w:r>
          </w:p>
          <w:p>
            <w:pPr>
              <w:pStyle w:val="TableContents"/>
              <w:bidi w:val="0"/>
              <w:spacing w:before="0" w:after="0"/>
              <w:jc w:val="left"/>
              <w:rPr/>
            </w:pPr>
            <w:r>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66">
              <w:r>
                <w:rPr>
                  <w:rStyle w:val="InternetLink"/>
                  <w:rFonts w:ascii="Arial;sans-serif" w:hAnsi="Arial;sans-serif"/>
                  <w:b w:val="false"/>
                  <w:color w:val="0000FF"/>
                  <w:sz w:val="18"/>
                  <w:u w:val="single"/>
                </w:rPr>
                <w:t>CHANGES IN AND DISAGREEMENTS WITH ACCOUNTANTS ON ACCOUNTING AND FINANCIAL DISCLOSURE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66">
              <w:r>
                <w:rPr>
                  <w:rStyle w:val="InternetLink"/>
                  <w:rFonts w:ascii="Arial;sans-serif" w:hAnsi="Arial;sans-serif"/>
                  <w:b w:val="false"/>
                  <w:color w:val="0000FF"/>
                  <w:sz w:val="18"/>
                  <w:u w:val="single"/>
                </w:rPr>
                <w:t>95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69">
              <w:r>
                <w:rPr>
                  <w:rStyle w:val="InternetLink"/>
                  <w:rFonts w:ascii="Arial;sans-serif" w:hAnsi="Arial;sans-serif"/>
                  <w:b w:val="false"/>
                  <w:color w:val="0000FF"/>
                  <w:sz w:val="18"/>
                  <w:u w:val="single"/>
                </w:rPr>
                <w:t>CONTROLS AND PROCEDURES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69">
              <w:r>
                <w:rPr>
                  <w:rStyle w:val="InternetLink"/>
                  <w:rFonts w:ascii="Arial;sans-serif" w:hAnsi="Arial;sans-serif"/>
                  <w:b w:val="false"/>
                  <w:color w:val="0000FF"/>
                  <w:sz w:val="18"/>
                  <w:u w:val="single"/>
                </w:rPr>
                <w:t>95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9B.</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75">
              <w:r>
                <w:rPr>
                  <w:rStyle w:val="InternetLink"/>
                  <w:rFonts w:ascii="Arial;sans-serif" w:hAnsi="Arial;sans-serif"/>
                  <w:b w:val="false"/>
                  <w:color w:val="0000FF"/>
                  <w:sz w:val="18"/>
                  <w:u w:val="single"/>
                </w:rPr>
                <w:t>OTHER INFORMATION</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75">
              <w:r>
                <w:rPr>
                  <w:rStyle w:val="InternetLink"/>
                  <w:rFonts w:ascii="Arial;sans-serif" w:hAnsi="Arial;sans-serif"/>
                  <w:b w:val="false"/>
                  <w:color w:val="0000FF"/>
                  <w:sz w:val="18"/>
                  <w:u w:val="single"/>
                </w:rPr>
                <w:t>95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9C.</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78">
              <w:r>
                <w:rPr>
                  <w:rStyle w:val="InternetLink"/>
                  <w:rFonts w:ascii="Arial;sans-serif" w:hAnsi="Arial;sans-serif"/>
                  <w:b w:val="false"/>
                  <w:color w:val="0000FF"/>
                  <w:sz w:val="18"/>
                  <w:u w:val="single"/>
                </w:rPr>
                <w:t>DISCLOSURE REGARDING FOREIGN JURISDICTIONS THAT PREVENT INSPECTIONS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78">
              <w:r>
                <w:rPr>
                  <w:rStyle w:val="InternetLink"/>
                  <w:rFonts w:ascii="Arial;sans-serif" w:hAnsi="Arial;sans-serif"/>
                  <w:b w:val="false"/>
                  <w:color w:val="0000FF"/>
                  <w:sz w:val="18"/>
                  <w:u w:val="single"/>
                </w:rPr>
                <w:t>96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84">
              <w:r>
                <w:rPr>
                  <w:rStyle w:val="InternetLink"/>
                  <w:rFonts w:ascii="Arial;sans-serif" w:hAnsi="Arial;sans-serif"/>
                  <w:b w:val="false"/>
                  <w:color w:val="0000FF"/>
                  <w:sz w:val="18"/>
                  <w:u w:val="single"/>
                </w:rPr>
                <w:t>DIRECTORS, EXECUTIVE OFFICERS AND CORPORATE GOVERNANCE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84">
              <w:r>
                <w:rPr>
                  <w:rStyle w:val="InternetLink"/>
                  <w:rFonts w:ascii="Arial;sans-serif" w:hAnsi="Arial;sans-serif"/>
                  <w:b w:val="false"/>
                  <w:color w:val="0000FF"/>
                  <w:sz w:val="18"/>
                  <w:u w:val="single"/>
                </w:rPr>
                <w:t>97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87">
              <w:r>
                <w:rPr>
                  <w:rStyle w:val="InternetLink"/>
                  <w:rFonts w:ascii="Arial;sans-serif" w:hAnsi="Arial;sans-serif"/>
                  <w:b w:val="false"/>
                  <w:color w:val="0000FF"/>
                  <w:sz w:val="18"/>
                  <w:u w:val="single"/>
                </w:rPr>
                <w:t>EXECUTIVE COMPENSATION</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87">
              <w:r>
                <w:rPr>
                  <w:rStyle w:val="InternetLink"/>
                  <w:rFonts w:ascii="Arial;sans-serif" w:hAnsi="Arial;sans-serif"/>
                  <w:b w:val="false"/>
                  <w:color w:val="0000FF"/>
                  <w:sz w:val="18"/>
                  <w:u w:val="single"/>
                </w:rPr>
                <w:t>97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90">
              <w:r>
                <w:rPr>
                  <w:rStyle w:val="InternetLink"/>
                  <w:rFonts w:ascii="Arial;sans-serif" w:hAnsi="Arial;sans-serif"/>
                  <w:b w:val="false"/>
                  <w:color w:val="0000FF"/>
                  <w:sz w:val="18"/>
                  <w:u w:val="single"/>
                </w:rPr>
                <w:t>SECURITY OWNERSHIP OF CERTAIN BENEFICIAL OWNERS AND MANAGEMENT AND RELATED STOCKHOLDERS MATTERS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90">
              <w:r>
                <w:rPr>
                  <w:rStyle w:val="InternetLink"/>
                  <w:rFonts w:ascii="Arial;sans-serif" w:hAnsi="Arial;sans-serif"/>
                  <w:b w:val="false"/>
                  <w:color w:val="0000FF"/>
                  <w:sz w:val="18"/>
                  <w:u w:val="single"/>
                </w:rPr>
                <w:t>97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93">
              <w:r>
                <w:rPr>
                  <w:rStyle w:val="InternetLink"/>
                  <w:rFonts w:ascii="Arial;sans-serif" w:hAnsi="Arial;sans-serif"/>
                  <w:b w:val="false"/>
                  <w:color w:val="0000FF"/>
                  <w:sz w:val="18"/>
                  <w:u w:val="single"/>
                </w:rPr>
                <w:t>CERTAIN RELATIONSHIPS AND RELATED TRANSACTIONS, AND DIRECTOR INDEPENDENCE.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93">
              <w:r>
                <w:rPr>
                  <w:rStyle w:val="InternetLink"/>
                  <w:rFonts w:ascii="Arial;sans-serif" w:hAnsi="Arial;sans-serif"/>
                  <w:b w:val="false"/>
                  <w:color w:val="0000FF"/>
                  <w:sz w:val="18"/>
                  <w:u w:val="single"/>
                </w:rPr>
                <w:t>97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196">
              <w:r>
                <w:rPr>
                  <w:rStyle w:val="InternetLink"/>
                  <w:rFonts w:ascii="Arial;sans-serif" w:hAnsi="Arial;sans-serif"/>
                  <w:b w:val="false"/>
                  <w:color w:val="0000FF"/>
                  <w:sz w:val="18"/>
                  <w:u w:val="single"/>
                </w:rPr>
                <w:t>PRINCIPAL ACCOUNTANT FEES AND SERVICES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196">
              <w:r>
                <w:rPr>
                  <w:rStyle w:val="InternetLink"/>
                  <w:rFonts w:ascii="Arial;sans-serif" w:hAnsi="Arial;sans-serif"/>
                  <w:b w:val="false"/>
                  <w:color w:val="0000FF"/>
                  <w:sz w:val="18"/>
                  <w:u w:val="single"/>
                </w:rPr>
                <w:t>97</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IV</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202">
              <w:r>
                <w:rPr>
                  <w:rStyle w:val="InternetLink"/>
                  <w:rFonts w:ascii="Arial;sans-serif" w:hAnsi="Arial;sans-serif"/>
                  <w:b w:val="false"/>
                  <w:color w:val="0000FF"/>
                  <w:sz w:val="18"/>
                  <w:u w:val="single"/>
                </w:rPr>
                <w:t>EXHIBIT AND FINANCIAL STATEMENT SCHEDULES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202">
              <w:r>
                <w:rPr>
                  <w:rStyle w:val="InternetLink"/>
                  <w:rFonts w:ascii="Arial;sans-serif" w:hAnsi="Arial;sans-serif"/>
                  <w:b w:val="false"/>
                  <w:color w:val="0000FF"/>
                  <w:sz w:val="18"/>
                  <w:u w:val="single"/>
                </w:rPr>
                <w:t>98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205">
              <w:r>
                <w:rPr>
                  <w:rStyle w:val="InternetLink"/>
                  <w:rFonts w:ascii="Arial;sans-serif" w:hAnsi="Arial;sans-serif"/>
                  <w:b w:val="false"/>
                  <w:color w:val="0000FF"/>
                  <w:sz w:val="18"/>
                  <w:u w:val="single"/>
                </w:rPr>
                <w:t>FORM 10-K SUMMARY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205">
              <w:r>
                <w:rPr>
                  <w:rStyle w:val="InternetLink"/>
                  <w:rFonts w:ascii="Arial;sans-serif" w:hAnsi="Arial;sans-serif"/>
                  <w:b w:val="false"/>
                  <w:color w:val="0000FF"/>
                  <w:sz w:val="18"/>
                  <w:u w:val="single"/>
                </w:rPr>
                <w:t>101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99a8a5741b4b3a99d0188be67cd683_208">
              <w:r>
                <w:rPr>
                  <w:rStyle w:val="InternetLink"/>
                  <w:rFonts w:ascii="Arial;sans-serif" w:hAnsi="Arial;sans-serif"/>
                  <w:b w:val="false"/>
                  <w:color w:val="0000FF"/>
                  <w:sz w:val="18"/>
                  <w:u w:val="single"/>
                </w:rPr>
                <w:t>SIGNATURES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99a8a5741b4b3a99d0188be67cd683_208">
              <w:r>
                <w:rPr>
                  <w:rStyle w:val="InternetLink"/>
                  <w:rFonts w:ascii="Arial;sans-serif" w:hAnsi="Arial;sans-serif"/>
                  <w:b w:val="false"/>
                  <w:color w:val="0000FF"/>
                  <w:sz w:val="18"/>
                  <w:u w:val="singl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660"/>
                <wp:effectExtent l="0" t="0" r="0" b="0"/>
                <wp:wrapNone/>
                <wp:docPr id="5"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Annual Report on Form 10-K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the acquisition of e-TeleQuote Insurance, Inc. (“e-TeleQuote”) and our ability to successfully integrate e-TeleQuote’s operations, technologies and employees into our business, are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Annual Report on Form 10-K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Annual Report on Form 10-K and are subject to a number of important factors that could cause actual results to differ materially from those in the forward-looking statements, including the factors described in the sections in this Annual Report on Form 10-K titled “Summary Risk Factors,” “Risk Factors” and “Management’s Discussion and Analysis of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 AND KEY TERMS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used in this Annual Report on Form 10-K, unless the context otherwise requires: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w:t>
      </w:r>
      <w:r>
        <w:rPr>
          <w:rFonts w:ascii="Arial;sans-serif" w:hAnsi="Arial;sans-serif"/>
          <w:b w:val="false"/>
          <w:i/>
          <w:color w:val="000000"/>
          <w:sz w:val="18"/>
        </w:rPr>
        <w:t>e</w:t>
      </w:r>
      <w:r>
        <w:rPr>
          <w:rFonts w:ascii="Arial;sans-serif" w:hAnsi="Arial;sans-serif"/>
          <w:b w:val="false"/>
          <w:color w:val="000000"/>
          <w:sz w:val="18"/>
        </w:rPr>
        <w:t>,” “</w:t>
      </w:r>
      <w:r>
        <w:rPr>
          <w:rFonts w:ascii="Arial;sans-serif" w:hAnsi="Arial;sans-serif"/>
          <w:b w:val="false"/>
          <w:i/>
          <w:color w:val="000000"/>
          <w:sz w:val="18"/>
        </w:rPr>
        <w:t>us</w:t>
      </w:r>
      <w:r>
        <w:rPr>
          <w:rFonts w:ascii="Arial;sans-serif" w:hAnsi="Arial;sans-serif"/>
          <w:b w:val="false"/>
          <w:color w:val="000000"/>
          <w:sz w:val="18"/>
        </w:rPr>
        <w:t>,” “</w:t>
      </w:r>
      <w:r>
        <w:rPr>
          <w:rFonts w:ascii="Arial;sans-serif" w:hAnsi="Arial;sans-serif"/>
          <w:b w:val="false"/>
          <w:i/>
          <w:color w:val="000000"/>
          <w:sz w:val="18"/>
        </w:rPr>
        <w:t>our</w:t>
      </w:r>
      <w:r>
        <w:rPr>
          <w:rFonts w:ascii="Arial;sans-serif" w:hAnsi="Arial;sans-serif"/>
          <w:b w:val="false"/>
          <w:color w:val="000000"/>
          <w:sz w:val="18"/>
        </w:rPr>
        <w:t>,” the “</w:t>
      </w:r>
      <w:r>
        <w:rPr>
          <w:rFonts w:ascii="Arial;sans-serif" w:hAnsi="Arial;sans-serif"/>
          <w:b w:val="false"/>
          <w:i/>
          <w:color w:val="000000"/>
          <w:sz w:val="18"/>
        </w:rPr>
        <w:t>Company</w:t>
      </w:r>
      <w:r>
        <w:rPr>
          <w:rFonts w:ascii="Arial;sans-serif" w:hAnsi="Arial;sans-serif"/>
          <w:b w:val="false"/>
          <w:color w:val="000000"/>
          <w:sz w:val="18"/>
        </w:rPr>
        <w:t>,” “</w:t>
      </w:r>
      <w:r>
        <w:rPr>
          <w:rFonts w:ascii="Arial;sans-serif" w:hAnsi="Arial;sans-serif"/>
          <w:b w:val="false"/>
          <w:i/>
          <w:color w:val="000000"/>
          <w:sz w:val="18"/>
        </w:rPr>
        <w:t>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GHH, LLC prior to the Transactions and is taxable as a corporation for U.S. federal income tax purposes.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Cruz, our Co-Founder and Co-Chairman of the Board of Directors and Clinton Jones, our Co-Founder and Co-Chairman of the Board of Directors.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 xml:space="preserve">refer collectively to certain of our directors and certain current and former officers and employees, in each case, who directly or indirectly held existing vested and unvested profits units, which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GHH, LLC Agreement”</w:t>
      </w:r>
      <w:r>
        <w:rPr>
          <w:color w:val="000000"/>
        </w:rPr>
        <w:t xml:space="preserve"> </w:t>
      </w:r>
      <w:r>
        <w:rPr>
          <w:rFonts w:ascii="Arial;sans-serif" w:hAnsi="Arial;sans-serif"/>
          <w:b w:val="false"/>
          <w:color w:val="000000"/>
          <w:sz w:val="18"/>
        </w:rPr>
        <w:t>refers to GHH, LLC’s amended and restated limited liability company agreement, as further amended, which became effective substantially concurrently with or prior to the consummation of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GHH, LLC, including those that we purchased with a portion of the net proceeds from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plans and agencies we partner with outside of the Encompass operating model.</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GHH, LLC, and its principal asset consists of LLC Interests.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SUMMARY RISK FACTORS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business may be harmed if we lose our relationships with health plan partners or if our relationships with health plan partners change;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partners may reduce the commissions paid to us and change their underwriting practices in ways that reduce the number of, or impact the renewal or approval rates of, insurance policies sold through our platform;</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currently depend on a small group of health plan partners for a substantial portion of our revenue;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marketing and sale of private Medicare plans are subject to numerous, complex and frequently changing laws, regulations and guidelines;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and developments in the health insurance system and laws and regulations governing the health insurance markets in the U.S. could materially adversely affect our business, operating results, financial condition and qualified prospects;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operating results may be adversely impacted by factors that impact our estimate of LTV;</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rely on data provided to us by health plan partners and, to the extent that health plan partners inaccurately or belatedly report the amount of commissions due to us, we may not be able to collect and recognize revenue to which we are entitled, which would harm our business, operating results and financial condition;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expansion of the Encompass operating model may not be as successful as we expect;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not realize the benefits we expect from our strategic cash flow optimization and other cash management initiatives;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lose key employees or fail to attract qualified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ability to sell Medicare-related health insurance plans is largely dependent on our licensed health insurance agents;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Acquisitions of other businesses or technologies could disrupt and harm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Our business is subject to security risks and, if we are subject to cyber-attacks, security breaches or are otherwise unable to safeguard the security and privacy of confidential data, including personal health information, our business will be harmed;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Information technology system failures could interrupt our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failure to grow our consumer base or retain our existing consumers;</w:t>
      </w:r>
    </w:p>
    <w:p>
      <w:pPr>
        <w:pStyle w:val="TextBody"/>
        <w:bidi w:val="0"/>
        <w:spacing w:lineRule="auto" w:line="288" w:before="240" w:after="283"/>
        <w:ind w:left="0" w:right="0" w:hanging="360"/>
        <w:jc w:val="left"/>
        <w:rPr/>
      </w:pPr>
      <w:r>
        <w:rPr>
          <w:color w:val="000000"/>
          <w:shd w:fill="FFFFFF" w:val="clear"/>
        </w:rPr>
        <w:t>•</w:t>
      </w:r>
      <w:r>
        <w:rPr>
          <w:rFonts w:ascii="Arial;sans-serif" w:hAnsi="Arial;sans-serif"/>
          <w:b w:val="false"/>
          <w:color w:val="000000"/>
          <w:sz w:val="18"/>
        </w:rPr>
        <w:t>Volatility in general economic conditions, including inflation, interest rates, and other commodity prices and exchange rates may impact our financial position and performance;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Operating and growing our business may require additional capital;</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Founders and Centerbridge have significant influence over us, including control over decisions that require the approval of stockholders.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Annual Report on Form 10-K, we use a number of non-GAAP financial measures. Non-GAAP financial measures are supplemental measures of our performance that are derived from our consolidated financial information, but which are not presented in our Consolidated Financial Statements prepared in accordance with U.S. generally accepted accounting principles (“GAAP”). We define these non-GAAP financial measures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7. “Management’s Discussion and Analysis of Financial Condition and Results of Operations.”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7. “Management’s Discussion and Analysis of Financial Condition and Results of Operations” of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KEY BUSINESS PERFORMANCE AND OPERATING METRICS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Annual Report on Form 10-K, use a number of business and operating metrics to evaluate our business performance and facilitate our operations. The most relevant business and operating metrics are as follows: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Direct Operating Cost of Submission”</w:t>
      </w:r>
      <w:r>
        <w:rPr>
          <w:color w:val="000000"/>
        </w:rPr>
        <w:t xml:space="preserve"> </w:t>
      </w:r>
      <w:r>
        <w:rPr>
          <w:rFonts w:ascii="Arial;sans-serif" w:hAnsi="Arial;sans-serif"/>
          <w:b w:val="false"/>
          <w:color w:val="000000"/>
          <w:sz w:val="18"/>
        </w:rPr>
        <w:t>is an operating metric that represents costs directly attributable to Submissions generated during a reporting 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 Direct Operating Cost of Submission, previously referred to as “Direct Cost of Submission,” reflects a name change only.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Direct Operating Cost per Submission”</w:t>
      </w:r>
      <w:r>
        <w:rPr>
          <w:color w:val="000000"/>
        </w:rPr>
        <w:t xml:space="preserve"> </w:t>
      </w:r>
      <w:r>
        <w:rPr>
          <w:rFonts w:ascii="Arial;sans-serif" w:hAnsi="Arial;sans-serif"/>
          <w:b w:val="false"/>
          <w:color w:val="000000"/>
          <w:sz w:val="18"/>
        </w:rPr>
        <w:t>is an operating metric that represents the average performance of Submissions generated during a reporting period. Direct Operating Cost per Submission refers to (x) Direct Operating Cost of Submission for a particular period divided by (y) the number of Submissions generated for such period. Direct Operating Cost per Submission, previously referred to as “Direct Cost per Submission” reflects a name change only.</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Sales/Direct Operating Cost of Submission”</w:t>
      </w:r>
      <w:r>
        <w:rPr>
          <w:color w:val="000000"/>
        </w:rPr>
        <w:t xml:space="preserve"> </w:t>
      </w:r>
      <w:r>
        <w:rPr>
          <w:rFonts w:ascii="Arial;sans-serif" w:hAnsi="Arial;sans-serif"/>
          <w:b w:val="false"/>
          <w:color w:val="000000"/>
          <w:sz w:val="18"/>
        </w:rPr>
        <w:t>represents (x) the numerator of Sales per Submission, as defined below, divided by (y) Direct Operating Cost of Submission. Sales/Direct Operating Cost of Submission, previously referred to as “Sales/Direct Cost of Submission” reflects a name change only.</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 xml:space="preserve">Sales per Submission” </w:t>
      </w:r>
      <w:r>
        <w:rPr>
          <w:rFonts w:ascii="Arial;sans-serif" w:hAnsi="Arial;sans-serif"/>
          <w:b w:val="false"/>
          <w:color w:val="000000"/>
          <w:sz w:val="18"/>
        </w:rPr>
        <w:t>is an operating metric that represents the average performance of Submissions generated during a reporting period. Sales 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and (ii) non-agency revenues, comprised of the enrollment and engagement services for which cash is collected in advance or in close proximity to the point in time revenue is recognized, divided by (y) the number of Submissions generated for such period.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operating model during the indicated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and Direct Operating Cost per Submission are key operating metrics used by management to understand the Company’s underlying financial performance and trends. For further discussion, see 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569" w:type="dxa"/>
        <w:jc w:val="center"/>
        <w:tblInd w:w="0" w:type="dxa"/>
        <w:tblLayout w:type="fixed"/>
        <w:tblCellMar>
          <w:top w:w="28" w:type="dxa"/>
          <w:left w:w="28" w:type="dxa"/>
          <w:bottom w:w="28" w:type="dxa"/>
          <w:right w:w="28" w:type="dxa"/>
        </w:tblCellMar>
      </w:tblPr>
      <w:tblGrid>
        <w:gridCol w:w="182"/>
        <w:gridCol w:w="160"/>
        <w:gridCol w:w="227"/>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A2299"/>
          <w:sz w:val="18"/>
        </w:rPr>
      </w:pPr>
      <w:r>
        <w:rPr>
          <w:rFonts w:ascii="Arial;sans-serif" w:hAnsi="Arial;sans-serif"/>
          <w:b/>
          <w:color w:val="0A2299"/>
          <w:sz w:val="18"/>
        </w:rPr>
        <w:t>ITEM 1. BUSINESS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67.0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GoHealth partners with health plans that provide access to high-quality health plans across all 50 states and the District of Columbia.</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primarily offer Medicare plans, including, but not limited to, Medicare Advantage, Medicare Supplement and prescription drug plans. Our proprietary technology platform leverages modern machine-learning algorithms, powered by over two decades of insurance purchasing behavior, to reimagine the process of matching a health plan to a consumer’s specific needs. Our unbiased, technology-driven marketplace coupled with highly skilled licensed agents has facilitated the enrollment of millions of consumers in Medicare plans since our inception. Health plan partners benefit from our platform by gaining access to the large and rapidly growing Medicare-eligible population. We believe health plan partners utilize our large-scale data, technology and efficient marketing processes to maximize scale and reduce their cost of submission, compared to health plan partner-employed agent workforces.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believe our streamlined, consumer-centric Encompass operating model drives both high-quality enrollments and a strong consumer experience. We strive to be a trusted, high-quality enrollment partner for both consumers and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Our focus is on Medicare products, which enables us to capitalize 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Strong demographic trends, with Medicare enrollment expected to grow from approximately 63 million individuals in 2020 to just over 93 million individuals in 2060;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The increasing proportion of the Medicare-eligible population that is choosing commercial insurance solutions, with 54% of Medicare beneficiaries, or approximately 32.8 million people, enrolled in Medicare Advantage plans in 2024, up from 42% in 2020.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 xml:space="preserve">Health plan partners’ historic reliance on a traditional field agent driven sales process, which lacks transparency, choice and convenience. Digitally-enabled and technology-driven marketplaces like GoHealth's are disrupting this outdated approach. In 2022, only about one in three Medicare beneficiaries, regardless of coverage, used traditional insurance brokers or agents to choose a plan.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The increasing proportion of the Medicare-eligible population adopting digitally-enabled solutions, with 90% of adults ages 65 and older using the internet in 2024 compared to 57% in 2014.</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Business Model</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Process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Our Encompass operating model drives a high-quality enrollment experience:</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Shop: </w:t>
      </w:r>
      <w:r>
        <w:rPr>
          <w:rFonts w:ascii="Arial;sans-serif" w:hAnsi="Arial;sans-serif"/>
          <w:b w:val="false"/>
          <w:color w:val="000000"/>
          <w:sz w:val="18"/>
        </w:rPr>
        <w:t xml:space="preserve">Eligible consumers shop for a Medicare plan with us annually based on their evolving needs. Proprietary consumer-agent matching technology identifies and dynamically routes calls to the agent best-equipped to meet consumer needs. Initial contact is supported by our </w:t>
      </w:r>
      <w:r>
        <w:rPr>
          <w:rFonts w:ascii="Arial;sans-serif" w:hAnsi="Arial;sans-serif"/>
          <w:b w:val="false"/>
          <w:i/>
          <w:color w:val="000000"/>
          <w:sz w:val="18"/>
        </w:rPr>
        <w:t xml:space="preserve">Connect </w:t>
      </w:r>
      <w:r>
        <w:rPr>
          <w:rFonts w:ascii="Arial;sans-serif" w:hAnsi="Arial;sans-serif"/>
          <w:b w:val="false"/>
          <w:color w:val="000000"/>
          <w:sz w:val="18"/>
        </w:rPr>
        <w:t xml:space="preserve">Team. </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Match: </w:t>
      </w:r>
      <w:r>
        <w:rPr>
          <w:rFonts w:ascii="Arial;sans-serif" w:hAnsi="Arial;sans-serif"/>
          <w:b w:val="false"/>
          <w:color w:val="000000"/>
          <w:sz w:val="18"/>
        </w:rPr>
        <w:t xml:space="preserve">Our </w:t>
      </w:r>
      <w:r>
        <w:rPr>
          <w:rFonts w:ascii="Arial;sans-serif" w:hAnsi="Arial;sans-serif"/>
          <w:b w:val="false"/>
          <w:i/>
          <w:color w:val="000000"/>
          <w:sz w:val="18"/>
        </w:rPr>
        <w:t>Advocate</w:t>
      </w:r>
      <w:r>
        <w:rPr>
          <w:color w:val="000000"/>
        </w:rPr>
        <w:t xml:space="preserve"> </w:t>
      </w:r>
      <w:r>
        <w:rPr>
          <w:rFonts w:ascii="Arial;sans-serif" w:hAnsi="Arial;sans-serif"/>
          <w:b w:val="false"/>
          <w:color w:val="000000"/>
          <w:sz w:val="18"/>
        </w:rPr>
        <w:t>team empowers consumers to match with the right plan for their needs - even if it’s the same plan they already have - using our proprietary PlanFit technology. The PlanFit tool evaluates over 180 factors to determine the Medicare Advantage plan that best fits the beneficiary’s profile and unique needs.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Confirm: </w:t>
      </w:r>
      <w:r>
        <w:rPr>
          <w:rFonts w:ascii="Arial;sans-serif" w:hAnsi="Arial;sans-serif"/>
          <w:b w:val="false"/>
          <w:color w:val="000000"/>
          <w:sz w:val="18"/>
        </w:rPr>
        <w:t xml:space="preserve">Consumers confirm that they have selected the right plan with education and reassurance from our health plan dedicated </w:t>
      </w:r>
      <w:r>
        <w:rPr>
          <w:rFonts w:ascii="Arial;sans-serif" w:hAnsi="Arial;sans-serif"/>
          <w:b w:val="false"/>
          <w:i/>
          <w:color w:val="000000"/>
          <w:sz w:val="18"/>
        </w:rPr>
        <w:t>Resolve</w:t>
      </w:r>
      <w:r>
        <w:rPr>
          <w:color w:val="000000"/>
        </w:rPr>
        <w:t xml:space="preserve"> </w:t>
      </w:r>
      <w:r>
        <w:rPr>
          <w:rFonts w:ascii="Arial;sans-serif" w:hAnsi="Arial;sans-serif"/>
          <w:b w:val="false"/>
          <w:color w:val="000000"/>
          <w:sz w:val="18"/>
        </w:rPr>
        <w:t>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Activate: </w:t>
      </w:r>
      <w:r>
        <w:rPr>
          <w:rFonts w:ascii="Arial;sans-serif" w:hAnsi="Arial;sans-serif"/>
          <w:b w:val="false"/>
          <w:color w:val="000000"/>
          <w:sz w:val="18"/>
        </w:rPr>
        <w:t xml:space="preserve">Consumers activate benefits in the first 90 days of their plan with the help of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who provides personalized onboarding for each consumer.</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Access: </w:t>
      </w:r>
      <w:r>
        <w:rPr>
          <w:rFonts w:ascii="Arial;sans-serif" w:hAnsi="Arial;sans-serif"/>
          <w:b w:val="false"/>
          <w:color w:val="000000"/>
          <w:sz w:val="18"/>
        </w:rPr>
        <w:t xml:space="preserve">As consumers access their benefits throughout the year,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is on standby to answer key questions, enable plan usage, and monitor evolving consumer needs. Our Customer 360 technology provides a unified view of the consumer across every touchpoint, every year to ensure personalized service at every point in the consumer journey.</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Platform</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key components of our platform are: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Data-Driven, Omnichannel Marketing:</w:t>
      </w:r>
      <w:r>
        <w:rPr>
          <w:color w:val="000000"/>
        </w:rPr>
        <w:t xml:space="preserve"> </w:t>
      </w:r>
      <w:r>
        <w:rPr>
          <w:rFonts w:ascii="Arial;sans-serif" w:hAnsi="Arial;sans-serif"/>
          <w:b w:val="false"/>
          <w:color w:val="000000"/>
          <w:sz w:val="18"/>
        </w:rPr>
        <w:t>Based on predictive consumer lead targeting and a high cadence of multivariate testing on consumer lead generation properties, our data-driven, omnichannel marketing drives increased impressions and qualified prospects with a target return on marketing spend.</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Proprietary LeadScore Technology:</w:t>
      </w:r>
      <w:r>
        <w:rPr>
          <w:color w:val="000000"/>
        </w:rPr>
        <w:t xml:space="preserve"> </w:t>
      </w:r>
      <w:r>
        <w:rPr>
          <w:rFonts w:ascii="Arial;sans-serif" w:hAnsi="Arial;sans-serif"/>
          <w:b w:val="false"/>
          <w:color w:val="000000"/>
          <w:sz w:val="18"/>
        </w:rPr>
        <w:t>LeadScore, one of our proprietary machine-learning technologies, is built on large-scale, end-to-end sales data, predicts the LTV and conversion probability of consumer leads, and is utilized to optimize routing of the consumer leads in real-time regardless of their source.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Sophisticated Matching Technology:</w:t>
      </w:r>
      <w:r>
        <w:rPr>
          <w:color w:val="000000"/>
        </w:rPr>
        <w:t xml:space="preserve"> </w:t>
      </w:r>
      <w:r>
        <w:rPr>
          <w:rFonts w:ascii="Arial;sans-serif" w:hAnsi="Arial;sans-serif"/>
          <w:b w:val="false"/>
          <w:color w:val="000000"/>
          <w:sz w:val="18"/>
        </w:rPr>
        <w:t>Our proprietary qualified prospect distribution, routing, and priority queuing technology based on LeadScore and agent performance data models help us to optimally match qualified prospects to those agents best suited to help them achieve their objective.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The Marketplace:</w:t>
      </w:r>
      <w:r>
        <w:rPr>
          <w:color w:val="000000"/>
        </w:rPr>
        <w:t xml:space="preserve"> </w:t>
      </w:r>
      <w:r>
        <w:rPr>
          <w:rFonts w:ascii="Arial;sans-serif" w:hAnsi="Arial;sans-serif"/>
          <w:b w:val="false"/>
          <w:color w:val="000000"/>
          <w:sz w:val="18"/>
        </w:rPr>
        <w:t>Our proprietary Marketplace technology features decision support tools and seamlessly integrates with health plan partner enterprise systems, empowering our highly skilled and trained agents to quickly and efficiently select the right health insurance plan for each consumer based on their specific needs and enroll them in those plans.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CARES Team:</w:t>
      </w:r>
      <w:r>
        <w:rPr>
          <w:color w:val="000000"/>
        </w:rPr>
        <w:t xml:space="preserve"> </w:t>
      </w:r>
      <w:r>
        <w:rPr>
          <w:rFonts w:ascii="Arial;sans-serif" w:hAnsi="Arial;sans-serif"/>
          <w:b w:val="false"/>
          <w:color w:val="000000"/>
          <w:sz w:val="18"/>
        </w:rPr>
        <w:t>Our high-touch consumer care team is focused on increasing consumer engagement with the GoHealth brand and helping consumers access their health plan benefits.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Scalable and Compliant Infrastructure:</w:t>
      </w:r>
      <w:r>
        <w:rPr>
          <w:color w:val="000000"/>
        </w:rPr>
        <w:t xml:space="preserve"> </w:t>
      </w:r>
      <w:r>
        <w:rPr>
          <w:rFonts w:ascii="Arial;sans-serif" w:hAnsi="Arial;sans-serif"/>
          <w:b w:val="false"/>
          <w:color w:val="000000"/>
          <w:sz w:val="18"/>
        </w:rPr>
        <w:t>Our cloud infrastructure and compliance-by-design technology ensures scalability and compliance across our platform, essential in a highly regulated industry and crucial from a health plan partner perspective.</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GoHealth primarily offers Medicare Advantage plans through its platform but also provides a variety of other health plans, including, but not limited to, Medicare Supplement and prescription drug plans. The primary services provided by the Company relate to the sale and administration of Medicare insurance products through our preferred Encompass operating model. The Encompass operating model supports all Medicare services, including agency and non-agency revenue. Agency revenue refers to the commission revenue and partner marketing and other revenue the Company receives when GoHealth agents or the Company’s independent network of outsourced agents enroll the consumer and submit the policy application to the health plan partner, becoming the agent of record. Non-agency revenue refers to services provided by the Company that support enrollment and engagement activities in which the Company is not the agent of record.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GoHealth’s Medicare Advantage offerings include Special Needs Plans (“SNPs”). SNPs are special kinds of Medicare Advantage plans that have benefits covering special health care or financial needs. Dual Special Needs Plans are special needs plans for consumers who have both Medicare and Medicaid.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Our Market and Trends Impacting the Industry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Our focus on Medicare Advantage products has enabled us to disrupt the traditional Medicare Advantage broker model and capitalize on Medicare market trends. We believe the growth of the number of Medicare-eligible consumers and increased penetration of Medicare Advantage will lead to increased Submissions for marketplaces such as ours in the future. We also believe that we are poised to benefit from market share gains in what has traditionally been a highly fragmented market.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With the aging of the U.S. population, the Medicare-eligible population has increased over time and will continue to increase in the coming decades. Based on data from the U.S. Census Bureau, the population of the U.S. ages 65 and older is projected to grow from 17% in 2020 (56 million people) to nearly a quarter of the nation’s total population in 2060 (95 million people). An aging population means more people will be enrolled in the Medicare program. Medicare enrollment is expected to increase from approximately 63 million individuals in 2020 to approximately 93 million individuals by 2060. This growth in Medicare enrollment will increase the numbers of qualified prospects for our marketing efforts.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In addition to the growth in Medicare enrollment, we expect the interest of Medicare-eligible consumers in private Medicare plans will continue to increase. In 2024, approximately 33 million Medicare beneficiaries were enrolled in a Medicare Advantage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representing more than half, or 54%, of the eligible Medicare population. The Congressional Budget Office projects that the share of Medicare beneficiaries enrolled in Medicare Advantage plans will rise to 64% by 2034. Compared to traditional Medicare, Medicare Advantage enrollees typically have lower annual healthcare costs and access to greater benefits. Consumers are choosing Medicare Advantage plans given their greater ability to cover total out-of-pocket expenses and their rich supplemental benefits (such as dental, vision, hearing and more).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growth in Medicare-eligible seniors and growing interest in private Medicare plans has led to an increase in plan choices. In addition to the increase in plan choices, the differences between health insurance plans have increased significantly. For 2019, the Centers for Medicare and Medicaid Services (“CMS”) eliminated the meaningful difference requirement to improve competition, innovation and available benefit offerings and provide consumers with affordable health insurance plans that are tailored to a consumer’s specific healthcare needs and financial situation. The types of supplemental benefits that health plans cover increased in recent years and now cover transportation assistance, meal benefits, in-home support, telemonitoring, and caregiver support, among others. This growth in plan choices makes education and assistance with plan selection more important for consumers and allows health plan partners to target specific Medicare Advantage plans with packages of benefits designed to be attractive to different segments of Medicare consumers. Marketplaces such as ours help educate consumers, and assist them in making informed plan choices. In addition, we micro-target our marketing to specific audiences with the most to gain, enabling growth for the most differentiated health insurance plans. This precise marketing is more difficult for traditional radio or television-based marketing channels.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Health Plan Partner Relationships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maintain longstanding, deeply integrated relationships with several leading health plan partners in the U.S., who have some of the industry’s most widely recognizable brands. For the twelve months ended December 31, 2024, 2023, and 2022, the primary health plan partners that we served were United, Humana, Elevance, Aetna and Centene. These high-quality relationships have resulted in strong health plan retention rates. We typically enter into contractual agency relationships with health plan partners that are non-exclusive and terminable on short notice by either party for any reason. Health plan partners often have the ability to terminate or amend our agreements unilaterally on short notice, including provisions in our agreements relating to our commission rates.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believe health plan partners see our method of acquiring consumers as scalable and efficient and, ultimately, as cost-advantageous compared to their own models, and provide us, in some cases, with marketing development funding. The health plan partners are responsible for paying our commissions and, for these purposes, act as our customers. We do not currently generate revenues directly from the consumers to whom we sell insurance policies on behalf of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 core element of our value proposition to health plan partners relates to our ability to reliably place policies in compliance with applicable regulations and health plan-specific requirements. As such, we work closely with health plan partners to develop approved scripts and to undertake regular audits of our compliance with health plan partner requirements. In addition, our agents operate under compensation structures established to fully align their incentives with our compliance objectives.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We continue to focus on building out our health plan partner footprint in order to provide our consumers with a greater choice of health insurance plans. This expanded health plan partner footprint positions us to maximize the likelihood of finding the right policy for consumers, driving better conversion of incoming calls and higher persistency in plans.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Technology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Throughout the past two decades, we have consistently invested in our technology, data science and business processes to enroll consumers in health plans while helping health plan partners scale their product and plan offerings. Our platform utilizes proprietary technologies, machine-learning capabilities, data feedback, efficient business processes and highly skilled and trained agents to connect consumers with health plan partners through multiple channels.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Sales/Cost of Submission. We operate dozens of proprietary technology systems, which support a data-driven consumer acquisition, service, and retention lifecycle within the health insurance market.</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Lead Acquisition:</w:t>
      </w:r>
      <w:r>
        <w:rPr>
          <w:color w:val="000000"/>
        </w:rPr>
        <w:t xml:space="preserve"> </w:t>
      </w:r>
      <w:r>
        <w:rPr>
          <w:rFonts w:ascii="Arial;sans-serif" w:hAnsi="Arial;sans-serif"/>
          <w:b w:val="false"/>
          <w:color w:val="000000"/>
          <w:sz w:val="18"/>
        </w:rPr>
        <w:t>We acquire consumer leads through many channels, including paid Internet searches, television advertising, direct mail, affiliate sources, organic traffic from GoHealth.com and other channels. We use our streaming data systems to monitor Cost of Submission,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Cost of Submission.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Telephone Consumer Protection Act (“TCPA”).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Lead Scoring:</w:t>
      </w:r>
      <w:r>
        <w:rPr>
          <w:color w:val="000000"/>
        </w:rPr>
        <w:t xml:space="preserve"> </w:t>
      </w:r>
      <w:r>
        <w:rPr>
          <w:rFonts w:ascii="Arial;sans-serif" w:hAnsi="Arial;sans-serif"/>
          <w:b w:val="false"/>
          <w:color w:val="000000"/>
          <w:sz w:val="18"/>
        </w:rPr>
        <w:t>When consumers engage with us through the telephone or our website, our data systems capture attributes about the 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Contact Queuing:</w:t>
      </w:r>
      <w:r>
        <w:rPr>
          <w:color w:val="000000"/>
        </w:rPr>
        <w:t xml:space="preserve"> </w:t>
      </w:r>
      <w:r>
        <w:rPr>
          <w:rFonts w:ascii="Arial;sans-serif" w:hAnsi="Arial;sans-serif"/>
          <w:b w:val="false"/>
          <w:color w:val="000000"/>
          <w:sz w:val="18"/>
        </w:rPr>
        <w:t>We utilize our Automated Call Routing system (“ACR”), a proprietary contact queue prioritized by LTV and throttled by an integrated monitor of agent capacity, to optimize outreach to our most valuable online consumer leads at a point in time when they can be connected to our agents with minimal wait time.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Outbound Contact and Qualification:</w:t>
      </w:r>
      <w:r>
        <w:rPr>
          <w:color w:val="000000"/>
        </w:rPr>
        <w:t xml:space="preserve"> </w:t>
      </w:r>
      <w:r>
        <w:rPr>
          <w:rFonts w:ascii="Arial;sans-serif" w:hAnsi="Arial;sans-serif"/>
          <w:b w:val="false"/>
          <w:color w:val="000000"/>
          <w:sz w:val="18"/>
        </w:rPr>
        <w:t>Following ACR’s automated decision for consumer outreach, our automatic telephony system contacts the consumer and immediately places them on the phone with an agent, who gathers information to personalize the consumer’s sales experience, whom we refer to as an Advocate. We also use the data gathered by our Advocates to improve the sales process by testing the questions our Advocates ask and building data models of how consumers’ answers affect agent-consumer fit, consumer-product fit, Cost of Submission, LTV, and long-term consumer satisfaction.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Lead Distribution:</w:t>
      </w:r>
      <w:r>
        <w:rPr>
          <w:color w:val="000000"/>
        </w:rPr>
        <w:t xml:space="preserve"> </w:t>
      </w:r>
      <w:r>
        <w:rPr>
          <w:rFonts w:ascii="Arial;sans-serif" w:hAnsi="Arial;sans-serif"/>
          <w:b w:val="false"/>
          <w:color w:val="000000"/>
          <w:sz w:val="18"/>
        </w:rPr>
        <w:t>At the conclusion of the information-gathering process, and while the consumer is still on the phone, we use our proprietary platform to match consumers to health, wellness and quality of life offerings based on a comprehensive needs assessment. External parties, along with our internal agency and programs, present offerings based on the consumer lead’s profile. Our Assisted Live Transfer technology connects the call to the relevant representative, via either warm (attended) transfer or cold (blind) transfer, dynamically chosen based on the availability of agents.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Optimized Call Routing:</w:t>
      </w:r>
      <w:r>
        <w:rPr>
          <w:color w:val="000000"/>
        </w:rPr>
        <w:t xml:space="preserve"> </w:t>
      </w:r>
      <w:r>
        <w:rPr>
          <w:rFonts w:ascii="Arial;sans-serif" w:hAnsi="Arial;sans-serif"/>
          <w:b w:val="false"/>
          <w:color w:val="000000"/>
          <w:sz w:val="18"/>
        </w:rPr>
        <w:t>If the consumer lead is distributed from an Advocate further into our internal sales process, our CallRouter technology matches qualified consumers to those agents best suited to help them achieve their objective using a myriad of consumer and agent attributes. Consumer-to-agent matching is driven by licensing, training, experience and performance characteristics that best align with the needs of the consumer. Performance data is continuously gathered and continually retrained to ensure optimal call-routing based on current market dynamics.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Lead Management:</w:t>
      </w:r>
      <w:r>
        <w:rPr>
          <w:color w:val="000000"/>
        </w:rPr>
        <w:t xml:space="preserve"> </w:t>
      </w:r>
      <w:r>
        <w:rPr>
          <w:rFonts w:ascii="Arial;sans-serif" w:hAnsi="Arial;sans-serif"/>
          <w:b w:val="false"/>
          <w:color w:val="000000"/>
          <w:sz w:val="18"/>
        </w:rPr>
        <w:t>As consumer leads are assigned and connected to agents, our Customer360 technology provides guidance to the agents on the most appealing value proposition to the consumer based on the information previously collected about the consumer.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Marketplace:</w:t>
      </w:r>
      <w:r>
        <w:rPr>
          <w:color w:val="000000"/>
        </w:rPr>
        <w:t xml:space="preserve"> </w:t>
      </w:r>
      <w:r>
        <w:rPr>
          <w:rFonts w:ascii="Arial;sans-serif" w:hAnsi="Arial;sans-serif"/>
          <w:b w:val="false"/>
          <w:color w:val="000000"/>
          <w:sz w:val="18"/>
        </w:rPr>
        <w:t>After reviewing the consumer’s profile in Customer360, the agent launches our Marketplace technology. Our Marketplace technology provides comparative shopping capabilities for all products available to the consumer in their geography and across health plan partners.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Electronic Applications:</w:t>
      </w:r>
      <w:r>
        <w:rPr>
          <w:color w:val="000000"/>
        </w:rPr>
        <w:t xml:space="preserve"> </w:t>
      </w:r>
      <w:r>
        <w:rPr>
          <w:rFonts w:ascii="Arial;sans-serif" w:hAnsi="Arial;sans-serif"/>
          <w:b w:val="false"/>
          <w:color w:val="000000"/>
          <w:sz w:val="18"/>
        </w:rPr>
        <w:t>We utilize proprietary domain-specific language for the rapid development and deployment of compliant 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health plan partners through custom integration partnerships.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Lifecycle Management:</w:t>
      </w:r>
      <w:r>
        <w:rPr>
          <w:color w:val="000000"/>
        </w:rPr>
        <w:t xml:space="preserve"> </w:t>
      </w:r>
      <w:r>
        <w:rPr>
          <w:rFonts w:ascii="Arial;sans-serif" w:hAnsi="Arial;sans-serif"/>
          <w:b w:val="false"/>
          <w:color w:val="000000"/>
          <w:sz w:val="18"/>
        </w:rPr>
        <w:t>We receive application submission, commission, and book of business data regularly from each integrated health plan partner.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health plan partners to model how retention outcomes relate to consumer, marketing, and consumer journey attributes so that every piece of our technology can be further optimized to maximize consumer satisfaction and improve the sales process.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Monitoring:</w:t>
      </w:r>
      <w:r>
        <w:rPr>
          <w:color w:val="000000"/>
        </w:rPr>
        <w:t xml:space="preserve"> </w:t>
      </w:r>
      <w:r>
        <w:rPr>
          <w:rFonts w:ascii="Arial;sans-serif" w:hAnsi="Arial;sans-serif"/>
          <w:b w:val="false"/>
          <w:color w:val="000000"/>
          <w:sz w:val="18"/>
        </w:rPr>
        <w:t xml:space="preserve">We have also developed several enabling and monitoring technologies to detect and automatically address anomalies and inefficiencies in our operations based on deviations from baseline norms, and to ensure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operations are fully compliant. Various network and agent performance metrics are tracked so that we can exert control over our advertising and sales operations.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Our Agents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Since our inception, our highly skilled and trained agents have enrolled over 10 million people in Medicare plans. Our technology, lead distribution and workflow allow agents to work remotely at home, providing us with a sustainable avenue for growth. Our team reflects GoHealth’s commitment to demonstrating care at every level of consumer interaction.</w:t>
      </w:r>
    </w:p>
    <w:p>
      <w:pPr>
        <w:pStyle w:val="TextBody"/>
        <w:bidi w:val="0"/>
        <w:spacing w:lineRule="auto" w:line="288" w:before="240" w:after="283"/>
        <w:jc w:val="left"/>
        <w:rPr/>
      </w:pPr>
      <w:r>
        <w:rPr>
          <w:rFonts w:ascii="Arial;sans-serif" w:hAnsi="Arial;sans-serif"/>
          <w:b w:val="false"/>
          <w:color w:val="000000"/>
          <w:sz w:val="18"/>
        </w:rPr>
        <w:t xml:space="preserve">Our agent base consists of both licensed and support agents who assist in guiding consumers through their healthcare journey. Our licensed </w:t>
      </w:r>
      <w:r>
        <w:rPr>
          <w:rFonts w:ascii="Arial;sans-serif" w:hAnsi="Arial;sans-serif"/>
          <w:b w:val="false"/>
          <w:i/>
          <w:color w:val="000000"/>
          <w:sz w:val="18"/>
        </w:rPr>
        <w:t>Advocate</w:t>
      </w:r>
      <w:r>
        <w:rPr>
          <w:color w:val="000000"/>
        </w:rPr>
        <w:t xml:space="preserve"> </w:t>
      </w:r>
      <w:r>
        <w:rPr>
          <w:rFonts w:ascii="Arial;sans-serif" w:hAnsi="Arial;sans-serif"/>
          <w:b w:val="false"/>
          <w:color w:val="000000"/>
          <w:sz w:val="18"/>
        </w:rPr>
        <w:t xml:space="preserve">team helps consumers choose the best plan for them through our comprehensive member needs assessment utilizing our PlanFit technology. From there, our licensed </w:t>
      </w:r>
      <w:r>
        <w:rPr>
          <w:rFonts w:ascii="Arial;sans-serif" w:hAnsi="Arial;sans-serif"/>
          <w:b w:val="false"/>
          <w:i/>
          <w:color w:val="000000"/>
          <w:sz w:val="18"/>
        </w:rPr>
        <w:t>Resolve</w:t>
      </w:r>
      <w:r>
        <w:rPr>
          <w:color w:val="000000"/>
        </w:rPr>
        <w:t xml:space="preserve"> </w:t>
      </w:r>
      <w:r>
        <w:rPr>
          <w:rFonts w:ascii="Arial;sans-serif" w:hAnsi="Arial;sans-serif"/>
          <w:b w:val="false"/>
          <w:color w:val="000000"/>
          <w:sz w:val="18"/>
        </w:rPr>
        <w:t xml:space="preserve">team partners with our consumers to verify and enroll them into policies. With quality as our driving measure,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partners with our members to help utilize their benefits and better engage consumers, helping drive higher satisfaction and persistency. Our agents benefit from a rigorous training program consisting of four-to-eight weeks of group instruction prior to engaging with consumers. Our training courses cover insurance licensing, compliance requirements, customer service interactions, live role playing, and systems use. We competitively compensate agents to incentivize their productivity, increase member retention and improve consumer satisfaction. In addition to an hourly wage, we also compensate our agents through a structured bonus program. Our bonus program is designed to compensate agents based on the quality and quantity of their enrollments.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Marketing</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employ data-driven, omnichannel marketing efforts to increase consumer phone calls and visits to our website and convert those calls and visits into high-quality consumer interactions. Our marketing initiatives include:</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Offline Media Marketing:</w:t>
      </w:r>
      <w:r>
        <w:rPr>
          <w:color w:val="000000"/>
        </w:rPr>
        <w:t xml:space="preserve"> </w:t>
      </w:r>
      <w:r>
        <w:rPr>
          <w:rFonts w:ascii="Arial;sans-serif" w:hAnsi="Arial;sans-serif"/>
          <w:b w:val="false"/>
          <w:color w:val="000000"/>
          <w:sz w:val="18"/>
        </w:rPr>
        <w:t>Our offline media channel consists of branded advertisements run on television (both linear and over-the-top) and radio, as well as targeted direct mail campaigns.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Digital (Online) Media:</w:t>
      </w:r>
      <w:r>
        <w:rPr>
          <w:color w:val="000000"/>
        </w:rPr>
        <w:t xml:space="preserve"> </w:t>
      </w:r>
      <w:r>
        <w:rPr>
          <w:rFonts w:ascii="Arial;sans-serif" w:hAnsi="Arial;sans-serif"/>
          <w:b w:val="false"/>
          <w:color w:val="000000"/>
          <w:sz w:val="18"/>
        </w:rPr>
        <w:t>Our digital media channel consists of branded advertisements run on paid search, display, native and social media platforms. These paid media efforts are supported by unpaid email and organic search campaigns. Our online advertising programs are delivered across all Internet-enabled devices, including desktop computers, tablet computers and smart phones.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Marketing Partners:</w:t>
      </w:r>
      <w:r>
        <w:rPr>
          <w:color w:val="000000"/>
        </w:rPr>
        <w:t xml:space="preserve"> </w:t>
      </w:r>
      <w:r>
        <w:rPr>
          <w:rFonts w:ascii="Arial;sans-serif" w:hAnsi="Arial;sans-serif"/>
          <w:b w:val="false"/>
          <w:color w:val="000000"/>
          <w:sz w:val="18"/>
        </w:rPr>
        <w:t>Our marketing partner consumer acquisition channel consists of a broad network of partners that drive consumers to our platform. These partners include healthcare industry participants, such as health plan partners, financial and online services partners in industries such as banking and insurance, as well as affiliate organizations.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Government Regulation and Compliance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Medicare segments are subject to regulations and guidelines issued by CMS that place a number of requirements on health plan partners, agents and brokers in connection with the marketing and sale of Medicare Advantage 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health plan partners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individually-identifiable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Affordability Act of 1996 (“HIPAA”) require us to maintain the privacy of individually-identifiable health information that we collect on behalf of health plan partners,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privacy-related compliance initiatives from time to time.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 addition, we have entered into contracts with health plan partners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(“GLBA”), and state statutes implementing GLBA, which generally require brokers to provide consumers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These requirements are evolving, and increasingly states are adopting additional privacy-related requirements, including California, where the California Consumer Privacy Act of 2018 (“CCPA”) took effect beginning January 1, 2020, and was revised by </w:t>
      </w:r>
      <w:r>
        <w:rPr>
          <w:rFonts w:ascii="Arial;sans-serif" w:hAnsi="Arial;sans-serif"/>
          <w:b w:val="false"/>
          <w:color w:val="000000"/>
          <w:sz w:val="18"/>
          <w:shd w:fill="FFFFFF" w:val="clear"/>
        </w:rPr>
        <w:t>the California Privacy Rights Act, a ballot measure approved by California voters that became effective beginning January 1, 2023.</w:t>
      </w:r>
      <w:r>
        <w:rPr>
          <w:color w:val="000000"/>
        </w:rPr>
        <w:t xml:space="preserve"> </w:t>
      </w:r>
      <w:r>
        <w:rPr>
          <w:rFonts w:ascii="Arial;sans-serif" w:hAnsi="Arial;sans-serif"/>
          <w:b w:val="false"/>
          <w:color w:val="000000"/>
          <w:sz w:val="18"/>
        </w:rPr>
        <w:t>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plan partner expectations relating to privacy and security protections are increasing and evolving. We have incurred significant costs to develop new processes and procedures and to adopt new technology in an effort to comply with privacy and security laws and regulations and health plan partner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the termination of relationships with government-run health insurance exchanges and our members, marketing partners and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Federal and state consumer protection laws are being applied increasingly by the Federal Trade Commission (“FTC”), Federal Communications Commission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New York’s cybersecurity regulation for financial services companies requires entities under the jurisdiction of the New York Department of Financial Services (“NYDFS”), including insurance entities, to establish and maintain a cybersecurity program designed to protect private consumer data. The Cybersecurity Model Law adopted by the National Association of Insurance Commissioners (“NAIC”) is functionally similar to the original NYDFS rule and is intended to establish the standards for data security and for the investigation and notification of data breaches applicable to insurance licensees in states adopting the law. These New York cybersecurity requirements were amended again, effective November 1, 2023, to institute additional governance requirements, controls to prevent unauthorized access to information systems and slow the spread of attacks, more regular risk and vulnerability assessments, updated notification requirements and additional training standards.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In addition, the U.S.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TCPA and other federal and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Patents, Trademarks and Other Intellectual Property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U.S. and several other countries. Our registered trademarks have an original duration between 10 and 20 years.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Competition</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health plan partner-employed agents, field-based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health plan partner relationships, proprietary technology, machine-learning capabilities and extensive data, efficient business processes, and highly skilled and trained agents.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Internet Marketers and Telesales Distribution Platforms:</w:t>
      </w:r>
      <w:r>
        <w:rPr>
          <w:color w:val="000000"/>
        </w:rPr>
        <w:t xml:space="preserve"> </w:t>
      </w:r>
      <w:r>
        <w:rPr>
          <w:rFonts w:ascii="Arial;sans-serif" w:hAnsi="Arial;sans-serif"/>
          <w:b w:val="false"/>
          <w:color w:val="000000"/>
          <w:sz w:val="18"/>
        </w:rPr>
        <w:t>There are many marketing companies and distribution platforms that use the Internet or telesales models to find consumers interested in purchasing health insurance and are compensated for referring those consumers to agents and health plan partners. We compete with these companies using similar business models to ours, such as eHealth, Inc. and SelectQuote Inc., for qualified prospects, sales, and health plan partner relationships.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Health Plan Partner-Employed Agents: </w:t>
      </w:r>
      <w:r>
        <w:rPr>
          <w:rFonts w:ascii="Arial;sans-serif" w:hAnsi="Arial;sans-serif"/>
          <w:b w:val="false"/>
          <w:color w:val="000000"/>
          <w:sz w:val="18"/>
        </w:rPr>
        <w:t>Some health plan partners directly market and sell their plans to consumers through their own agents, call centers and websites. Although we offer health insurance plans for many of these health plan partners, they also compete with us by offering their plans directly to consumers. Most of these health plan partners have brand recognition, significant financial resources, and have become experienced in marketing their products to consumers through traditional and emerging channels.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18"/>
        </w:rPr>
        <w:t>Independent Agents and Brokers:</w:t>
      </w:r>
      <w:r>
        <w:rPr>
          <w:color w:val="000000"/>
        </w:rPr>
        <w:t xml:space="preserve"> </w:t>
      </w:r>
      <w:r>
        <w:rPr>
          <w:rFonts w:ascii="Arial;sans-serif" w:hAnsi="Arial;sans-serif"/>
          <w:b w:val="false"/>
          <w:color w:val="000000"/>
          <w:sz w:val="18"/>
        </w:rPr>
        <w:t>We compete with thousands of local insurance agents and brokers across the U.S. who sell insurance products in their communities. While many of these agents offer health insurance products without significant utilization of advanced technology or the Internet, a number have embraced telesales or established websites providing an online shopping experience for consumers.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Government:</w:t>
      </w:r>
      <w:r>
        <w:rPr>
          <w:color w:val="000000"/>
        </w:rPr>
        <w:t xml:space="preserve"> </w:t>
      </w:r>
      <w:r>
        <w:rPr>
          <w:rFonts w:ascii="Arial;sans-serif" w:hAnsi="Arial;sans-serif"/>
          <w:b w:val="false"/>
          <w:color w:val="000000"/>
          <w:sz w:val="18"/>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plan partners are allowed to pay to us.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180" w:after="283"/>
        <w:jc w:val="left"/>
        <w:rPr/>
      </w:pPr>
      <w:r>
        <w:rPr>
          <w:rFonts w:ascii="Arial;sans-serif" w:hAnsi="Arial;sans-serif"/>
          <w:b w:val="false"/>
          <w:color w:val="000000"/>
          <w:sz w:val="18"/>
        </w:rPr>
        <w:t>The Medicare annual enrollment period (“AEP”)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second-highest in our first quarter. The second and third quarters are known as special election periods, during which Medicare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Human Capital Resources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As of December 31, 2024, we employed 2,261 employees. We employed 2,167 people in the U.S. and 94 people in Slovakia. During AEP, we typically hire additional full-time employees. None of our employees are represented by a labor union or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party to a collective bargaining agreement, and we have had no labor-related work stoppages. We consider our employee relations to be good.</w:t>
      </w:r>
    </w:p>
    <w:p>
      <w:pPr>
        <w:pStyle w:val="TextBody"/>
        <w:bidi w:val="0"/>
        <w:spacing w:lineRule="auto" w:line="288" w:before="120" w:after="283"/>
        <w:jc w:val="left"/>
        <w:rPr/>
      </w:pPr>
      <w:r>
        <w:rPr>
          <w:rFonts w:ascii="Arial;sans-serif" w:hAnsi="Arial;sans-serif"/>
          <w:b w:val="false"/>
          <w:color w:val="000000"/>
          <w:sz w:val="18"/>
        </w:rPr>
        <w:t xml:space="preserve">Our culture of belonging is a key driver to our success. Creating and maintaining an environment where our employees feel appreciated for their talent and contributions enhances our ability to recruit and retain our best talent and to provide a work environment that allows all employees to perform at a high level. Our teams positively impact our relationships with our consumers, health plan partners and the communities we serve. We will continue to use the strength of our purpose - keeping our consumers at the center of all we do - and our dedicated employees will continue to make a valued difference in the lives of the people we serve. Our ICARE company values, defined as </w:t>
      </w:r>
      <w:r>
        <w:rPr>
          <w:rFonts w:ascii="Arial;sans-serif" w:hAnsi="Arial;sans-serif"/>
          <w:b/>
          <w:color w:val="000000"/>
          <w:sz w:val="20"/>
        </w:rPr>
        <w:t>I</w:t>
      </w:r>
      <w:r>
        <w:rPr>
          <w:rFonts w:ascii="Arial;sans-serif" w:hAnsi="Arial;sans-serif"/>
          <w:b w:val="false"/>
          <w:color w:val="000000"/>
          <w:sz w:val="18"/>
        </w:rPr>
        <w:t xml:space="preserve">ntegrity, </w:t>
      </w:r>
      <w:r>
        <w:rPr>
          <w:rFonts w:ascii="Arial;sans-serif" w:hAnsi="Arial;sans-serif"/>
          <w:b/>
          <w:color w:val="000000"/>
          <w:sz w:val="20"/>
        </w:rPr>
        <w:t>C</w:t>
      </w:r>
      <w:r>
        <w:rPr>
          <w:rFonts w:ascii="Arial;sans-serif" w:hAnsi="Arial;sans-serif"/>
          <w:b w:val="false"/>
          <w:color w:val="000000"/>
          <w:sz w:val="18"/>
        </w:rPr>
        <w:t xml:space="preserve">ollaboration, </w:t>
      </w:r>
      <w:r>
        <w:rPr>
          <w:rFonts w:ascii="Arial;sans-serif" w:hAnsi="Arial;sans-serif"/>
          <w:b/>
          <w:color w:val="000000"/>
          <w:sz w:val="20"/>
        </w:rPr>
        <w:t>A</w:t>
      </w:r>
      <w:r>
        <w:rPr>
          <w:rFonts w:ascii="Arial;sans-serif" w:hAnsi="Arial;sans-serif"/>
          <w:b w:val="false"/>
          <w:color w:val="000000"/>
          <w:sz w:val="18"/>
        </w:rPr>
        <w:t xml:space="preserve">ccountability, </w:t>
      </w:r>
      <w:r>
        <w:rPr>
          <w:rFonts w:ascii="Arial;sans-serif" w:hAnsi="Arial;sans-serif"/>
          <w:b/>
          <w:color w:val="000000"/>
          <w:sz w:val="20"/>
        </w:rPr>
        <w:t>R</w:t>
      </w:r>
      <w:r>
        <w:rPr>
          <w:rFonts w:ascii="Arial;sans-serif" w:hAnsi="Arial;sans-serif"/>
          <w:b w:val="false"/>
          <w:color w:val="000000"/>
          <w:sz w:val="18"/>
        </w:rPr>
        <w:t xml:space="preserve">esilience and </w:t>
      </w:r>
      <w:r>
        <w:rPr>
          <w:rFonts w:ascii="Arial;sans-serif" w:hAnsi="Arial;sans-serif"/>
          <w:b/>
          <w:color w:val="000000"/>
          <w:sz w:val="20"/>
        </w:rPr>
        <w:t>E</w:t>
      </w:r>
      <w:r>
        <w:rPr>
          <w:rFonts w:ascii="Arial;sans-serif" w:hAnsi="Arial;sans-serif"/>
          <w:b w:val="false"/>
          <w:color w:val="000000"/>
          <w:sz w:val="18"/>
        </w:rPr>
        <w:t>mpathy, drive our purpose. We regularly recognize employees who emulate these values.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success is also rooted in hiring passionate employees, including sales professionals, entrepreneurs, analysts, marketers, engineers and more – all of whom believe in our mission. We are proud of our committed, employee-driven culture and aim to offer our team the benefits and support they need to thrive. We offer comprehensive benefit programs to our employees, including major medical, dental and vision benefits, life insurance coverage, a flexible spending or health savings account, 401(k) retirement plan with a company match, an employee stock purchase plan offering, along with numerous other offers aimed at supporting our employees both personally and professionally.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recognize and support the growth and development of our employees and offer opportunities to participate in internal as well as external learning and engagement programs. We require employees to attend cultural training, consisting of a series of courses providing education and awareness specific to equal employment opportunity, discrimination, harassment and emotional intelligence. Additionally, we maintain a senior manager who leads our Culture Committee made up of volunteers from various functions and levels of employment focused on enhancing employee engagement and ensuring a culture of belonging. We invest in and promote our four Employee Resource Groups (“ERGs”): GoWISE (Women in Solidarity Empowered), GoBOLD (Black Originators, Leaders and Doers), GoWIT (Women in Technology) and GoPRIDE (LGBTQ+ community and allies). ERGs are open to employees of all cultures and backgrounds, and membership is not restricted to only those individuals who meet certain criteria.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Available Information</w:t>
      </w:r>
    </w:p>
    <w:p>
      <w:pPr>
        <w:pStyle w:val="TextBody"/>
        <w:bidi w:val="0"/>
        <w:spacing w:lineRule="auto" w:line="288" w:before="180" w:after="283"/>
        <w:jc w:val="left"/>
        <w:rPr/>
      </w:pPr>
      <w:r>
        <w:rPr>
          <w:rFonts w:ascii="Arial;sans-serif" w:hAnsi="Arial;sans-serif"/>
          <w:b w:val="false"/>
          <w:color w:val="000000"/>
          <w:sz w:val="18"/>
        </w:rPr>
        <w:t>The U.S. Securities and Exchange Commission (“SEC”) maintains an Internet site that contains reports, proxy and information statements, and other information regarding issuers that file electronically with the SEC (</w:t>
      </w:r>
      <w:r>
        <w:rPr>
          <w:rFonts w:ascii="Arial;sans-serif" w:hAnsi="Arial;sans-serif"/>
          <w:b w:val="false"/>
          <w:i/>
          <w:color w:val="000000"/>
          <w:sz w:val="18"/>
        </w:rPr>
        <w:t>www.sec.gov</w:t>
      </w:r>
      <w:r>
        <w:rPr>
          <w:rFonts w:ascii="Arial;sans-serif" w:hAnsi="Arial;sans-serif"/>
          <w:b w:val="false"/>
          <w:color w:val="000000"/>
          <w:sz w:val="18"/>
        </w:rPr>
        <w:t>). Our Annual Reports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 (</w:t>
      </w:r>
      <w:r>
        <w:rPr>
          <w:rFonts w:ascii="Arial;sans-serif" w:hAnsi="Arial;sans-serif"/>
          <w:b w:val="false"/>
          <w:i/>
          <w:color w:val="000000"/>
          <w:sz w:val="18"/>
        </w:rPr>
        <w:t>investors.gohealth.com</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1A. RISK FACTORS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in our Class A common stock involves a high degree of risk. You should carefully consider the risks and uncertainties described below, together with all of the other information in this Annual Report on Form 10-K,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Business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may be harmed if we lose our relationship with health plan partners or if our relationships with health plan partners change, particularly if we or our contracted health plan partners temporarily or permanently lose the ability to market and sell Medicare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contractual relationships with health plan partners, including those with whom we have health plan partner-branded sales arrangements, are typically non-exclusive and terminable on short notice by either party for any reason. Health plan partners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health plan partners may decide to rely on their own internal distribution channels, including traditional in-house agents and their own websites, to sell their own products, which could limit or prohibit us from distributing their products. Also, because we do not have exclusive relationships with health plan partners, health plan partners can and do use our competitors to sell their products.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If a health plan partner is not satisfied with our services, it could cause us to incur additional costs and impact our profitability. For example, a health plan partner could terminate our services, decrease our commissions going forward or restrict our ability to market their products. Moreover, if we fail to meet our contractual obligations to any of our health plan partners, we could be subject to legal liability or lose our health plan partner relationships. In addition, these claims against us may produce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publicity that could hurt our reputation and business and adversely affect our ability to retain business, find new consumers to sell products to or secure new business with other health plan partners.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with respect to the Medicare Supplement plans we sell, health plan partners periodically change the criteria they use for determining whether they are willing to insure individuals. Future changes in health plan partners’ underwriting criteria could negatively impact sales of, or the renewal or approval rates of, insurance policies on our platform, which could negatively impact our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may decide to terminate our relationship with a health plan partner for a number of reasons and the termination of our relationship with a health plan partner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health plan partner relationships or offer consumers a wide variety of insurance products.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may also lose the ability to market and sell Medicare plans for one or more Medicare health plan partners. The regulations for selling Medicare health insurance are complex and can change frequently. If we, our agents or a health plan partner violate any of the requirements imposed by CMS, or federal or state laws or regulations, a health plan partner may terminate our relationship or take other corrective action against us, or CMS may penalize a health plan partner by suspending, limiting or terminating that health plan partners’ ability to market and sell Medicare plans. Moreover, if any of our health plan partners terminates their relationship with us for cause, we may have to disclose such termination to other health plan partners, which may result in termination of additional health plan partner relationships. Because the Medicare products we sell are sourced from a relatively small number of health plan partners, if we lose the ability to market one of those health plan partners’ Medicare plans, even temporarily, or if one of those health plan partners loses its Medicare product membership, our business, operating results and financial condition could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Health plan partners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commission rates from health plan partners are either set by each health plan partner or negotiated between us and each health plan partner. The commission rates we are paid are, for any given plan for a given consumer, based on a number of factors, including the health plan partners offering those plans, the state of residence of consumers, the laws and regulations in the jurisdictions where the consumer is located and the consumer’s previous Medicare enrollment history (if any). Health plan partners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which could result in decreased commission rates or reduce health plan partner participation in the Medicare Advantage program. Changes of this nature could result in reduced commissions, or could impact our relationships with such health plan partners and potentially lead to contract termination. Because revenue in the Medicare segments is concentrated in a relatively small number of health plan partners, we are particularly vulnerable to changes in commission rates and changes in the competitiveness of our health plan partners’ Medicare products.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currently depend on a small group of health plan partners for a substantial portion of our revenue, and further consolidation in the health insurance industry could exacerbate this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derive a large portion of our revenue from a limited number of health plan partners. For the twelve months ended December 31, 2024, 2023, and 2022, the primary health plan partners that we served were United, Humana, Elevance, Aetna and Centene.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health insurance industry in the U.S. has experienced a substantial amount of consolidation, resulting in a decrease in the number of health plan partners. Further consolidation in the health insurance industry, particularly involving one of our key health plan partners, could cause a loss of, or changes in, our relationship with that health plan partner and may reduce our commission or other revenue from that health plan partner. In the future, due to this consolidation, we may be forced to offer health insurance from a reduced number of health plan partners or to derive a greater portion of our revenue from a more concentrated number of health plan partners as our business and the health insurance industry evolve.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agreements with health plan partners to sell policies are typically terminable by our health plan partners without cause. Should we become dependent on fewer health plan partner relationships (whether as a result of the termination of health plan partner relationships, health plan partner consolidation or otherwise), we may become more vulnerable to adverse changes in our relationships with health plan partners, particularly in states where we distribute insurance from a relatively smaller number of health plan partners or where a small number of health plan partners dominate the market, and our business, operating results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Additionally, mergers among health plan partners or an acquisition of one health plan partner by another health plan partner may trigger changes to our agreements with such health plan partners. For example, health plan partners may unilaterally amend or terminate our agreements on short notice, which could adversely impact or terminate the commission payments that we receive from these health plan partners. Our revenue could be adversely impacted if we are unable to maintain currently existing levels of business with any of our significant health plan partners or if we are unable to offset any loss of business with alternative health plan partners. We expect that a small number of health plan partners will account for a significant portion of our revenue for the foreseeable future and any impairment of our relationship with, or the material financial impairment of, these health plan partners could adversely affect our business, operating results and financial condition.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maintain effective relationships with our existing third-party marketing companies or if we do not establish successful relationships with new marketing companies, our business, operating results and financial condition could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Competition for referrals from third-party lead referral companies has increased, particularly during the enrollment periods for Medicare-related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federal agencies such as CMS or the FCC could cause our relationships with third-party referral companies to be in non-compliance with those laws, regulations and guidelines. If federal agencies or state departments of insurance were to change existing laws, regulations or guidelines, or interpret existing laws, regulations or guidelines, to prohibit these arrangements or materially modify the manner in which these third-party lead referral companies operate, we could experience a significant decline in the number of Medicare-eligible individuals who are referred to our platforms and Benefits Center, which would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develop new product and service offerings and expand our business scope to penetrate new markets and opportunities,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business strategy includes expanding our existing products and services. We are investing in new opportunities to broaden our business scope to penetrate new markets and opportunities. However, we may not be able to execute on all of these investments. We may be limited by current or future laws, regulations and guidelines, health plan partners may not embrace these investments, and consumers may not appreciate these products and services. In addition, these investments often rely upon appropriate and effective relationships with third parties and we may not find suitable partners. Failure to develop new and successful product and service offerings may hinder our growth potential and adversely affect our business, operating results and financial condition.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marketing and sale of private Medicare plans are subject to numerous, complex and frequently changing laws, regulations and guidelines, and non-compliance with or changes in laws, regulations and guidelines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business and operating results are heavily dependent on marketing and selling private Medicare plans. The marketing and sale of Medicare Advantage and Medicare Part D prescription drug plans are principally regulated by the Center for Medicare &amp; Medicaid Services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regulations and guidance issued by CMS for Medicare Advantage and Medicare Part D prescription drug plans are frequently changing. Many aspects of our online platforms and our marketing material and processes, as well as changes to these platforms, materials and processes, including call center scripts, must be filed with CMS and reviewed and approved by health plan partners in light of CMS requirements. In addition, certain aspects of our Medicare plan marketing partner relationships have been in the past,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will be in the future, subjected to CMS review and health plan partner review. Changes to the laws, regulations and guidelines relating to the sale and marketing of Medicare plans, their interpretation or the manner in which they are enforced have been occurring with increased frequency with the expectation that changes to existing requirements and the imposition of new requirements will continue, and could be incompatible with these relationships, the manner in which we conduct our business, our platforms or our sale of Medicare plans, which could harm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Due to potential changes in CMS guidance, enforcement, interpretation, changes in CMS leadership by the new presidential administration, or as a result of new laws, regulations and guidelines, CMS, state departments of insurance or health plan partners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Changes and developments in the health insurance system and laws and regulations governing the health insurance markets in the U.S. could materially adversely affect our business, operating results, financial condition and qualified prospects.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the Affordable Care Act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the potential remains for additional challenges and amendments to the ACA in the future. In addition, changes to the Medicare marketing standards were finalized over the past several coverage years, with additional regulatory standards proposed for future coverage years that have had and will continue to have an impact on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Various aspects of healthcare reform could also cause health plan partners to discontinue certain health insurance products or prohibit us from distributing certain health insurance products in particular jurisdictions. We rely heavily on Special Needs Plans (“SNPs”) during the special enrollment periods, which allows us to utilize our agents throughout the year. If states adopt new laws and regulations or modify the existing laws and regulations governing Medicaid or CMS adopts regulatory changes to the enrollment periods applicable to such plans, such changes could decrease the number of individuals eligible for Dual Eligible SNPs, which could have a material adverse impact on our business, operating results and financial condition. For example, recent changes to CMS rules relating to the type of SNP plans that can be offered during certain special enrollment periods may have a negative effect on sales by decreasing the number of plans available and/or the number of eligible individuals during certain enrollment periods of the year. Our business, operating results, financial condition and prospects may be materially and adversely affected if we are unable to adapt to developments in healthcare reform in the U.S.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offer, sale and purchase of health insurance is heavily regulated by various states and the regulatory landscape is constantly changing. States have adopted and will continue to adopt new laws and regulations, and it is difficult to predict how these new laws and regulations will impact our business. These rules and regulations could adversely impact our business because health plan partners may exit the market of selling such plans due to regulatory concerns, determine it is not profitable to sell the plans or increase plan premiums to a degree that reduces consumer demand for them.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Additionally, a long-standing provision in almost all states’ laws provides that once health insurance premiums are set by the health plan partner and approved by state regulators, they are fixed and not generally subject to negotiation or discounting by insurance companies or agents. State regulations generally prohibit health plan partners, agents and brokers from providing financial incentives, such as rebates, to their customers in connection with the sale of health insurance. As a result, we do not currently compete with health plan partners or other agents and brokers on the price of the health insurance plans offered on our website. If these regulations change, we could be forced to reduce prices or provide rebates or other incentives for the health insurance plans sold through our platform, which would harm our business, operating results and financial condition. Although commissions generally do not have to be disclosed to the public, if commissions become more regulated and commissions paid to us have to be disclosed, it is possible that health plan partners may lower our commission rates, which could reduce our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health plan partners. In addition, each employee who transacts health insurance business on our behalf must maintain a valid license in one or more states.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do business in all 50 states and the District of Columbia, compliance with health insurance-related laws, rules and regulations is difficult and imposes significant costs on our business. In addition, we must ensure that our agents have received and maintain all licenses, appointments and certifications required by state authorities and our health plan partners in order to transact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state department of insurance licensing requirements, required modification of our advertising and business practices, the revocation of our licenses in a particular jurisdiction, termination of our relationship with health plan partners, loss of commissions and/or our inability to sell health insurance plans, which could significantly increase our operating expenses, result in the loss of health plan partner relationships and our revenue and otherwise harm our business, operating results and financial condition. Moreover, an adverse regulatory action in one jurisdiction could result in penalties and adversely affect our license status, business or reputation in other jurisdictions due to certain requirements that dictate adverse regulatory actions in one jurisdiction be reported to other jurisdictions. 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Even if the allegations in any regulatory or other action against us are proven false, any surrounding negative publicity could harm consumer, marketing partner or health plan partner confidence in us, which could significantly damage our brand.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fail to comply with certain healthcare and consumer protection laws, including fraud and abuse laws, we could face substantial penalties and our business, results of operations and financial condition could be adversely affected.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arrangements with health plan partners, particularly those that contract with federal healthcare programs, are highly regulated and subject us to broadly applicable federal and state fraud and abuse and other federal and state healthcare and consumer protection laws and regulations. These laws may constrain the business or financial arrangements and relationships through which we conduct our operations,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federal Anti-Kickback Statute,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federal False Claims Act, which, among other things, imposes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 xml:space="preserve">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CAN-SPAM Act, which regulates commercial e-mail messages and specifies penalties for the transmission of commercial e-mail messages that do not comply with certain requirements, such as providing an opt-out mechanism for stopping future e-mails from senders;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TCPA, which prohibits us from using an automatic telephone dialing system to make certain telephone calls or transmit text messages to wireless telephone numbers without prior express consent or without consulting the FTC’s national “Do Not Call” registry. We have in the past and may in the future become subject to claims that we have violated the TCPA and/or other telemarketing laws. The TCPA provides for private rights of action and potential statutory damages for each violation and additional penalties for each willful violation;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analogous state and foreign laws and regulations, such as state anti-kickback and false claims laws, which may be more restrictive and may apply to healthcare items or services reimbursed by non-governmental third-party payers, including private insurers, or by the patients themselves.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Health Information Technology for Economic and Clinical Health Act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Other federal and state laws restricting the use and protecting the privacy and security of individually identifiable information may apply, many of which are not preempted by HIPAA;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are required to comply with federal and state laws governing the transmission, security and privacy of personal information that we may obtain or have access to in connection with the provision of our services.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against business associates is now greater. Enforcement actions against us could be costly and could interrupt regular operations or the availability of data, which may adversely affect our business.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HITECH Act, as a business associate we may also be directly or independently liable for privacy and security breaches and failures of our subcontractors. We have limited control over their actions and practices, and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consumers and potentially exposing us to additional expense, adverse publicity and liability, any of which could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State and federal laws may apply to our collection, use, handling, processing, destruction, disclosure, and storage as well. For example,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 The CCPA also has encouraged “copycat” legislative proposals in other states across the country such as Nevada, Virginia, New Hampshire, Illinois and Nebraska.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(“SHIELD Act”) both require companies to implement a written information security program that contains appropriate administrative, technical, and physical safeguards as defined in the respective statute.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October 2017, the NAIC adopted the Insurance Data Security Model Law (“Cybersecurity Model Law”), which is intended to establish the standards for data security and for the investigation and notification of data breaches applicable to insurance licensees in states adopting such law. To date, the Cybersecurity Model Law has been adopted by 26 states. The Cybersecurity Model Law could impose significant new regulatory burdens intended to protect the confidentiality, integrity and availability of information systems. The NAIC model law is functionally similar to the NYDFS rule.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these and other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Compliance with existing and emerging privacy and cybersecurity laws and regulations could result in increased compliance costs and/or lead to changes in business practices and policies. In addition, any failure or perceived failure by us to maintain posted privacy policies which are accurate, comprehensive and fully implemented, and any violation or perceived violation of our privacy-, data protection- or information security-related obligations to consumers,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health plan partners, social media networks and other data providers, or cause our consumers to lose trust in us, which could have material impacts on our revenue and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operating results may be adversely impacted by factors that impact our estimate of LTV.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recognize agency revenue at the time a qualified prospect becomes a commissionable Submission by applying the latest estimated LTV for that product. Agency revenue refers to the commission revenue and partner marketing revenue we receive when GoHealth’s internal agents or our external agents enroll the consumer and submit the policy application to the health plan partner, becoming the agent of record. We estimate commission revenue for each product by using a portfolio approach to a group of approved consumers that are organized based on a variety of attributes, which we refer to as “vintages.” We estimate the cash commissions we expect to collect for each approved consumer vintage by evaluating various factors, including, but not limited to, commission rates, health plan partners, estimated average plan duration, the regulatory environment, and historic cancellations of health insurance plans offered by health plan partners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and has been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and have adjusted LTVs for the affected vintages at the time such determination is made. Changes in LTV may result and have resulted in an increase or a decrease to revenue and a corresponding increase or decrease to net commissions receivable accordingly.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we continue to evaluate our LTV estimation models and the processes and controls related to the LTV estimation models, we have made and will make further changes based on a number of factors and such changes could result in significant further increases or decreases in revenue. LTVs are estimates based on a number of assumptions, which include, but are not limited to, estimates of the conversion rates of commissionable Submissions into effectuated policies, forecasted average plan duration and forecasted commission rates we expect to receive per each approved consumer’s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Submissions to effectuated policies, increased health plan termination or a reduction in the lifetime commission amounts we expect to receive for selling the plan to a consumer or other changes could harm our business, operating results and financial condition. We have seen in the past such negative changes which have resulted in negative revenue adjustments.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an example, the forecasted average plan duration is an important factor in our estimation of LTV. We receive commissions from health plan partners for policies of which we are the agent of record. When one of these plans is canceled, or if we otherwise do not remain the agent on the policy, we no longer receive the related commission payment. Our forecasted average plan duration and health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We have seen pressure, within the industry, on plan duration based upon increased consumer churn and have made corresponding revenue adjustments. Additionally, from time to time, health plan partners may stop offering products in a geographic area. While in many cases, health plan partners will still support existing consumers in those geographic areas, because they are no longer offering new plans, the retention of those consumers may be adversely impacted, thereby impacting our expected LTVs.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 rates are also a factor in estimating our LTVs, which are impacted by a variety of factors, including the particular health insurance plans chosen by our consumers, the health plan partners offering those plans, our consumers’ states of residence, the laws and regulations in those jurisdictions, the average premiums of plans purchased through us and healthcare reform. Any reduction in our average commission revenue per consumer could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rely on health plan partners to prepare accurate commission reports and send them to us in a timely manner.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health plan partners typically pay us a specified percentage of the premium amount collected by the health plan partner or a flat rate per policy during the period that a consumer maintains coverage under a policy. We rely on health plan partners to report the amount of commissions we earn accurately and on time. We use health plan partners’ commission reports to calculate our revenue, prepare our financial reports, projections, and budgets and direct our marketing and other operating efforts. It is often difficult for us to independently determine whether health plan partners are reporting all commissions due to us, primarily because the majority of the purchasers of our insurance products who terminate their policies do so by discontinuing their premium payments to the health plan partner instead of informing us of the cancellation. For example, there have been instances where we have determined that policy cancellation data reported to us by a health plan partners has not been accurate. To the extent that health plan partners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health plan partners’ systems that provide us up-to-date information about coverage and commissions could fail or health plan partners could cease providing us with access to this information, which could impede our ability to compile our operating results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expansion of the Encompass operating model may not be as successful as we expect.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expanded our Encompass operating model since unveiling it in late 2020. In general, this expansion has resulted in an increase in the percentage of our revenue that qualifies as non-agency revenue. A significant component of the Encompass operating model is providing various services and products, including for generating and transferring consumer leads to the health plan partners, providing onboarding services and for partner marketing and enrollment services. Non-agency revenue does not use the LTV model and cash is collected on or around the time of service. We believe this operating model provides greater consumer satisfaction and lasting, trusted relationships with consumers, which is a positive for all interested parties. If our health plan partners move away from the Encompass operating model and insist on using the traditional LTV and commission based model, we may experience a negative impact on our operating results.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may not realize the benefits we expect from our strategic cash flow optimization and other cash management initiatives.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pursuing initiatives to reduce costs, increase effectiveness and optimize cash flow. As part of those initiatives, we intend to focus our efforts on a reduction in infrastructure costs, including with respect to our technology platform and underlying network infrastructures, which may have a negative impact on our business. We may not realize all of the anticipated cost savings or other benefits from such initiatives and the initiatives may have other effects, such as a reduction in revenue. Other events and circumstances, such as financial or strategic difficulties, delays or unexpected costs, may also adversely impact our ability to realize all of the anticipated cost savings or other benefits, or cause us not to realize such cost savings or other benefits on the expected timetable. If we are unable to realize the anticipated benefits, our ability to fund other initiatives may be adversely affected. Finally, the complexity of the implementation of the initiatives may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consumers, and impact employee morale. Any failure to implement these initiatives in accordance with our plans could adversely affect our business, financial condition or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lose key management or fail to meet our need for qualified employees, our business, financial condition and results of operations could be materially adversely affected.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rely, in part, upon the accumulated knowledge, skills and experience of our executive officers.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person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in our industry. Our inability to meet our executive staffing requirements in the future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future success is also dependent upon our ability to attract, retain and effectively deploy qualified employees. As a result of the highly competitive labor market in the U.S., we have needed to offer higher compensation and other benefits in order to attract and retain key personnel.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Stock price fluctuations could impact the value of our equity compensation, which could affect our ability to recruit and retain employees.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ability to sell Medicare-related health insurance plans is largely dependent on our licensed health insurance agents.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success of our operations is largely dependent on our licensed health insurance agents, upon whom we rely to sell insurance. To sell Medicare-related health insurance plans, agents must be licensed by the states in which they are selling plans and certified and appointed with the health plan partner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health plan partners whose products we sell. We depend upon our employees, state departments of insurance and health plan partners for the licensing, certification and appointment of our agents. We may not be successful in timely hiring or sourcing enough additional agents or other employees needed to operate our business. Even if we are successful in hiring or sourcing a sufficient number of agents,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experience temporary shortages of agents due to illness, poor weather conditions or other natural disasters, personal emergencies and other events outside our control.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success in recruiting highly skilled and qualified agents can depend on factors outside of our control, including the strength of the general economy and local employment markets and the availability of alternative forms of employment. As a result of the highly competitive labor market in the U.S., along with rising inflation in recent years, our cost to hire and retain agents has increased. During periods when we face challenges recruiting high-performing agents, we tend to experience higher turnover rates. The productivity of our agents is influenced by their average tenure. Without qualified individuals to serve in consumer facing roles, we may produce less revenue, which could have a material adverse effect on our business, operating results and financial condition. Retaining tenured agents has a direct impact on our operating efficiency and, correspondingly, our financial results.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a work from home program for our agents.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Information technology system failures could interrupt our operations and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consumer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Health plan partners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System failures or capacity constraints could harm our business, financial condition and operating results.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performance, reliability and availability of our technology platform and underlying network infrastructures are critical to our financial results, our brand and our relationship with consumers, marketing partners and health plan partners. Our attempts to enhance our technology platform and system infrastructure may not prevent system failures and interruptions, especially if we are unable to accurately project the rate or timing of increases in our website traffic or inbound call volume or for other reasons, some of which are completely outside our control. Additionally, we are also reliant on the systems of our health plan partners to submit plan enrollment applications from potential consumers. We have in the past, and could in the future, experience significant failures and interruptions of our systems and the systems of our health plan partners,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rely in part upon third-party vendors, including telephony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telephony and bandwidth providers or cause such providers and systems to fail. Any system failure or service level reduction that causes an interruption to, or decreases the responsiveness of, our services would impair our revenue-generating capabilities and damage our reputation. In addition, any loss of data could result in loss of consumers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parts of the world where we, our agents and vendors operate. Global climate change is resulting in certain types of natural disasters occurring more frequently or with more intense effects.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third-party vendors have no obligation to renew their agreements with us on commercially reasonable terms, or at all. If we are unable to renew these agreements on commercially reasonable terms, we may be required to transfer our platform to other third-party vendors, and we may incur significant costs and possible service interruption in connection with doing so. Problems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faced by our third-party vendors with the telecommunications network providers with whom we or they contract, or with the systems by which our telecommunications providers allocate capacity among their clients, including us, could adversely affect the experience of our consumers. Our third-party vendors could decide to discontinue operations without adequate notice. In addition, any financial difficulties, such as bankruptcy, faced by our third-party vendors, operators or any of the service providers with whom we or they contract may have negative effects on our business, the nature and extent of which are difficult to predict.</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rely upon third parties to operate our Marketplace technology and any disruption of or interference with our use of such third-party providers would adversely affect our business, results of operations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outsource our hosting infrastructure to Amazon Web Services (our “Hosting Provider”), which hosts our Marketplace technology. Consumers and agents must have the ability to access our Marketplace technology at any time, without interruption or degradation of performance. Our Hosting Provider runs its own infrastructure upon which our Marketplace technology and products depend, and we are, therefore, vulnerable to service interruptions to our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our Hosting Provider,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 is limited; therefore, we rely heavily on third-party security reviews, such as the Statement on Standards for Attestation Engagements No. 16 assessments. Our contracts do not contain strong indemnification terms in our favor. In some instances, we may not be able to identify and/or remedy the cause or causes of these performance problems within a period of time acceptable to our consumers.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 or alternative providers of cloud infrastructure, our business, results of operations and financial condition may be adversely affected. In addition, any changes in service levels from our Hosting Provider may adversely affect our ability to meet our consumers’ requirements.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substantial majority of the services we use from our Hosting Provider are for cloud-based server capacity and managed colocation services. We access our Hosting Provider’s infrastructure through standard Internet connectivity. Our Hosting Provider provides us with computing and storage capacity, network capacity, managed colocation space, and leased computing hardware pursuant to agreements that continue until terminated by either party. If our Hosting Provider becomes unavailable to us without sufficient advance notice, we would likely experience delays in delivering our platform and products until we could migrate to an alternate hosting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 are terminated, we could experience interruptions on our platform and in our ability to make our products available to consumers, as well as delays and additional expenses (including research and development expenses) in arranging alternative cloud infrastructure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Any of the above circumstances or events may cause outages where we are unable to generate revenue, harm our reputation, cause consumers to stop using our products, impair our ability to attract new consumers and increase revenue from consumers, subject us to financial penalties and liabilities under our service level agreements and otherwise harm our revenue, business, results of operations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Risks from third-party products could adversely affect our businesses.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offer third-party products, including health insurance products. Insurance involves a transfer of risk and our reputation may be harmed and we may become a target for litigation if risk is not transferred in the way expected by consumers and health plan partners. In addition, if these third party products do not provide the quality of service our consumers expect, consumers may correlate the negative experience with our service. Significant declines in the performance of these third-party products could subject us to reputational damage and litigation risk.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receive commission payments from health plan partners over time, but incur significant upfront expenses to enroll consumers.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enrollment of consumers on our platform requires significant upfront expenses, including marketing and advertising expenses and consumer care and enrollment expenses, in order to generate qualified prospects, educate and enroll those consumers in our products and plans, and submit completed applications to health plan partners. However, the resulting commissions are generally paid to us over time, with the first payments often several weeks or months after we submit completed applications to our health plan partners. These factors cause us to require significant cash to fund our working capital needs, and our operating cash flows could be adversely impacted by a substantial increase in the volume of applications submitted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27"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Operating and growing our business may require additional capital, and if capital is not available to us, our business, operating results and financial condition may suffer.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in your holdings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failure to grow our consumer base or retain our existing consumers, including if we are unable to effectively advertise our products in a cost-effective way, could adversely impact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receive commissions from health plan partners for health insurance plans sold through us. When one of these plans is canceled, or if we otherwise do not remain the agent on the plan, we no longer receive the related commission payment and do not receive any commissions from renewals. Our consumers may choose to discontinue their health insurance plans for a variety of reasons. Any decrease in the amount of time we retain our consumers could adversely impact the estimated LTV we use for purposes of recognizing revenue. See “—Our operating results may be adversely impacted by factors that impact our estimate of LTV.” Moreover, if we are not able to successfully retain existing consumers and limit health insurance plan turnover, our cash flows from operations will be adversely impacted and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in certain circumstances, the Medicare-related commission rates that we receive may be higher in the first calendar year of a plan if the plan is the first Medicare Advantage plan issued to the consumer. After the first twelve months, they generally decline significantly. As a result, if we do not add a sufficient number of consumers to new plans,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the Internet, television, radio, mail, e-mail and the telephone, among other channels, to market our services and to communicate with qualified prospects and existing consumers.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We also rely on third-party partners to generate leads on our behalf. If these third-party partners are not successful or do not provide us with quality leads, it may adversely impact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Additionally, we derive a significant portion of our website traffic from potential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We rely primarily on paid advertisements to attract potential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ability to attract and retain consumers.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consumers or qualified prospects, we may not be able to communicate with them in a cost-effective manner.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consumers or qualified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28"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Potential consumers also increasingly screen their incoming e-mails, telephone calls, and text messages, including by using screening tools and warnings, and, therefore, our consumers or qualified prospects may not reliably receive our communications. In addition, telephone carriers may block or put consumer warnings on calls originating from call centers. If we are unable to communicate effectively by e-mail or telephone with our consumers and qualified prospects as a result of legislation, blockage, screening technologies or otherwise, our ability to attract and retain consumers will be limited.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general, the growth in our consumer base is highly dependent upon our success in attracting new consumers during the Medicare annual enrollment period. In 2024, approximately 47.4% of our Medicare Advantage Submissions were sold during the three months ended December 31, 2024. If our ability to market and sell Medicare-related health insurance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or issues with government-run health insurance exchanges, we could acquire fewer consumers or suffer a reduction in our existing consumer base and our business, operating results and financial condition could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not successful in cost-effectively converting consumer leads into consumers for which we receive commissions,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Obtaining quality consumer leads is important to our business, but our ability to convert these consumer leads to consumers for which we receive commissions is also a key to our success. Our growth depends in large part upon growth in Submissions in a given period. The rate at which we grow our Submissions directly impacts our revenue. In addition, the rate at which qualified prospects turn into commissionable Submissions impacts the expected LTV of our consumers, which impacts the revenue that we are able to recognize. A number of factors have influenced, and could in the future influence, these conversion rates for any given period, some of which are outside of our control. These factors include: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consumer shopping behavior due to circumstances outside of our control, such as economic conditions, consumers’ ability or willingness to pay for health insurance, adverse weather conditions or natural disasters, the effects of pandemics, availability of unemployment benefits or proposed or enacted legislative or regulatory changes impacting our business, including healthcare reform;</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quality of, and changes to, the consumer experience on our platform;</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regulatory requirements, including those that make the experience on our platform cumbersome or difficult to navigate or reduce the ability of consumers to purchase plans outside of enrollment periods;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variety, competitiveness and affordability of the health insurance plans that we offer;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system failures or interruptions in the operation of our technology platform or call center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the mix of consumers who are referred to us through our direct, marketing partner and online advertising consumer acquisition channels;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partners offering health insurance plans for which consumers have expressed interest, and the degree to which our technology is integrated with those health plan partners;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 guidelines applicable to applications submitted by consumers, the amount of time a health plan partner takes to make a decision on that application and the percentage of submitted applications approved by health plan partners;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effectiveness of agents in assisting consumers;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ability to enroll subsidy-eligible individuals in qualified health plans through government-run health insurance exchanges and the efficacy of the process we are required to use to do so.</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conversion rates can be impacted by changes in the mix of consumers referred to us through our consumer acquisition channels. We may make changes to our technology platform in response to regulatory requirements or undertake other initiatives in an attempt to improve the consumer experience or for other reasons. These changes have in the past, and may in the future have the unintended consequence of adversely impacting our conversion rates. A decline in the percentage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6280"/>
                <wp:effectExtent l="0" t="0" r="0" b="0"/>
                <wp:wrapNone/>
                <wp:docPr id="29"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consumers who submit health insurance applications on our platform and are converted into approved consumers could cause an increase in our Cost of Submission and impact our revenue in any given period. To the extent our conversion rate suffers, our consumer base may decline, which would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quarterly results of operations may fluctuate significantly due to seasonality.</w:t>
      </w:r>
    </w:p>
    <w:p>
      <w:pPr>
        <w:pStyle w:val="TextBody"/>
        <w:bidi w:val="0"/>
        <w:spacing w:lineRule="auto" w:line="288" w:before="240" w:after="283"/>
        <w:jc w:val="left"/>
        <w:rPr/>
      </w:pPr>
      <w:r>
        <w:rPr>
          <w:rFonts w:ascii="Arial;sans-serif" w:hAnsi="Arial;sans-serif"/>
          <w:b w:val="false"/>
          <w:color w:val="000000"/>
          <w:sz w:val="18"/>
        </w:rPr>
        <w:t>The Medicare annual enrollment period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each year. As a result, we experience an increase in the number of Medicare-related Submissions during the fourth quarter and an increase in expense related to Medicare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revenue is typically second-highest in our first quarter. A significant portion of our marketing and advertising expenses is driven by the number of Submissions for which we are the agent of record. Marketing and advertising expenses are generally higher in the fourth quarter during the Medicare annual enrollment period, but because commissions from approved consumers are paid to us over time, our operating cash flows could be adversely impacted by a substantial increase in marketing and advertising expense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seasonality of our business could change in the future due to other factors, including as a result of changes in timing of the Medicare health plan enrollment periods and changes in the laws and regulations that govern the sale of health insurance. We may not be able to timely adjust to changes in the seasonality of our business. If the timing of the enrollment periods for Medicare-related health insurance changes, we may not be able to timely adapt to changes in consumer demand. If we are not successful in responding to changes in the seasonality of our business, our business, operating results and financial condition could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Pressure from existing and new competitors may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market for selling health insurance plans is highly competitive. We compete with government provided tools and exchanges, local insurance agents throughout the U.S., companies that advertise primarily through television, and companies that operate websites to provide services. In addition, many health plan partners also directly market and sell their own plans. Some of these competitors may be able to spend more on marketing campaigns, devote more resources to website and system developments, make more attractive offers to potential employees, and partner with more successful marketing partners and third-party providers.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order to remain competitive against current and potential competitors, we must operate effectively and efficiently, continue to develop and improve our services and offerings and enhance our platform and system offerings. If we cannot successfully navigate this intensely competitive market, it may negatively impact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health plan partners, we may see a reduction in our marketing payments, our revenue would likely be reduced and our business, operating results and financial condition would be adversely affected.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do not successfully compete with government-run health insurance exchanges, our business may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competes with government-run health insurance exchanges with respect to our sale of Medicare-related health insurance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international operations subject us to additional risks which could have an adverse effect on our business, operating results and financial condition.</w:t>
      </w:r>
    </w:p>
    <w:p>
      <w:pPr>
        <w:pStyle w:val="TextBody"/>
        <w:bidi w:val="0"/>
        <w:spacing w:lineRule="auto" w:line="288" w:before="240" w:after="283"/>
        <w:jc w:val="left"/>
        <w:rPr/>
      </w:pPr>
      <w:r>
        <w:rPr>
          <w:rFonts w:ascii="Arial;sans-serif" w:hAnsi="Arial;sans-serif"/>
          <w:b w:val="false"/>
          <w:color w:val="000000"/>
          <w:sz w:val="18"/>
        </w:rPr>
        <w:t>We have attempted to control our operating expenses by utilizing lower cost labor in foreign countries such as Slovakia and Honduras and we may in the future expand our reliance on offshore labor to other countries. As of December 31, 2024,</w:t>
      </w:r>
      <w:r>
        <w:rPr>
          <w:color w:val="000000"/>
          <w:shd w:fill="FFFFFF" w:val="clear"/>
        </w:rPr>
        <w:t xml:space="preserve"> </w:t>
      </w:r>
      <w:r>
        <w:rPr>
          <w:rFonts w:ascii="Arial;sans-serif" w:hAnsi="Arial;sans-serif"/>
          <w:b w:val="false"/>
          <w:color w:val="000000"/>
          <w:sz w:val="18"/>
        </w:rPr>
        <w:t>94</w:t>
      </w:r>
      <w:r>
        <w:rPr>
          <w:color w:val="000000"/>
          <w:shd w:fill="FFFFFF" w:val="clear"/>
        </w:rPr>
        <w:t xml:space="preserve"> </w:t>
      </w:r>
      <w:r>
        <w:rPr>
          <w:rFonts w:ascii="Arial;sans-serif" w:hAnsi="Arial;sans-serif"/>
          <w:b w:val="false"/>
          <w:color w:val="000000"/>
          <w:sz w:val="18"/>
        </w:rPr>
        <w:t xml:space="preserve">of our employees were based in Slovakia. Our employees in Slovakia help develop, test and maintain our Marketplace technology. Additionally, we outsource certain of our call center operations to companies outside the U.S. Countries outside of the U.S. may be subject to relatively higher degrees of political and social instability and may lack the infrastructure to withstand political unrest or natural disasters. The occurrence of natural disasters, pandemics or political or economic instability in these countries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6280"/>
                <wp:effectExtent l="0" t="0" r="0" b="0"/>
                <wp:wrapNone/>
                <wp:docPr id="30"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 For example, following Russia’s military invasion of Ukraine in February 2022, NATO deployed additional military forces to Eastern Europe, and the U.S., European Union, and other nations announced various sanctions against Russia. The invasion of Ukraine and the retaliatory measures that have been taken, and could be taken in the future, by the U.S., NATO, and other countries have created global security concerns that could result in a regional conflict and otherwise have a lasting impact on regional and global economies, any or all of which could adversely affect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practice of utilizing labor based in foreign countries has come under increased scrutiny in the U.S. Governmental authorities, including CMS, could seek to impose financial costs or restrictions on foreign companies providing services to consumers or companies in the U.S. Governmental authorities may attempt to prohibit or otherwise discourage us from sourcing services from offshore labor. In addition, health plan partners may require us to use labor based in the U.S. for regulatory or other reasons. To the extent that we are required to use labor based in the U.S., we may face increased costs as a result of higher-priced U.S.-based labor.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Foreign Corrupt Practices Act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not able to maintain and enhance our brand, our business and operating results will be harmed. Damage to our reputation and negative publicity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believe that maintaining and enhancing our brand identity is critical to our relationships with our existing health plan partners and to our ability to attract new consumers, marketing partners and health plan partners. We also intend to grow our brand awareness among consumers, marketing partners and health plan partners in order to further expand our marketplace and attract new consumers, marketing partners and health plan partners.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health plan partners, marketing partners or consumers, which would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may be adversely affected by negative publicity relating to brand and activities. For instance, if our brand receives negative publicity, the number of consumers visiting our platforms or Benefits Center could decrease, and our cost of acquiring consumers could increase as a result of a reduction in the number of consumers coming from our direct consumer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 party that, among other things, places certain restrictions on both their use of “GoHealth,” as well as ours, in order to further mitigate any risk of confusion. Nevertheless, if our business is mistakenly confused with their business or another business, the value of our brand could be adversely impacted, which could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Any legal liability, regulatory penalties, or negative publicity for the information on our website or that we otherwise provide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consumers, health plan partners and others could attempt to hold us liable for damages, our relationships with health plan partners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revenue. In the ordinary course of operating our business, we have received complaints that the information we provided was not accurate or was misleading. In the future, we may not be able to resolve these complaints without significant financial cost or impact to our brand or reputation. These types of claims could be time-consuming and expensive to defend, could divert our management’s attention and other resources, and could cause a loss of confidence in our services. As a result, whether or not we are 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6280"/>
                <wp:effectExtent l="0" t="0" r="0" b="0"/>
                <wp:wrapNone/>
                <wp:docPr id="31"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resolve these claims, they could harm our business, operating results and financial condition.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balance sheet includes a significant amount of intangible assets. The impairment of a significant portion of these assets would negatively affect our financial condition or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significant portion of our total assets consists of intangible assets. Intangible assets accounted for approximately 20.3% of total assets on our balance sheet as of December 31, 2024. During the twelve months ended December 31, 2024, we recorded no impairment charges. See Note 4 "Intangible Assets, Net" for further discussion of intangible asset impairment charges. We evaluate indefinite-lived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intangible assets could adversely affect our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maintain a high level of service, our business, operating results and financial condition may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One of the key attributes of our business is providing high quality service to our health plan partners and consumers.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consumer calls effectively and efficiently. Any inability of our personnel to meet our demand, whether due to absenteeism, training, turnover, disruptions at our facilities, bad weather, power outages or other reasons, could adversely impact our business. If we are unable to maintain high levels of service performance, our reputation could suffer and our business, operating results and financial condition would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Global economic conditions could materially and adversely affect our revenue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has been and may continue to be affected by a number of factors that are beyond our control, such as general geopolitical, economic and business conditions, pandemics, and conditions in the financial markets. A severe or prolonged economic downturn could adversely affect consumers’ financial condition and the demand for insurance products.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also exposed to risks associated with the potential financial instability of our health plan partners and consumers,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consumers may experience serious cash flow problems and other financial difficulties, decreasing demand for the products of our health plan partners. In addition, events in the U.S. or foreign markets, such as the U.K.’s exit from the European Union, the worldwide effects from the COVID-19 pandemic and political and social unrest in various countries around the world, can impact the global economy and capital markets. Our health plan partners may modify, delay, or cancel plans to offer new products or may make changes in the mix of products purchased that are unfavorable to us. Additionally, if health plan partners are not successful in generating sufficient revenue or are precluded from securing financing, their businesses will suffer, which may materially and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are susceptible to risks associated with the potential financial instability of the vendors on which we rely to provide services or to whom we delegate certain functions. The same conditions that may affect health plan partners and consumers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Acquisitions of other businesses or technologies could disrupt and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6280"/>
                <wp:effectExtent l="0" t="0" r="0" b="0"/>
                <wp:wrapNone/>
                <wp:docPr id="32"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 acquisition undertaken for strategic business purposes may negatively impact our results of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encounter difficulties in assimilating and integrating the business, technologies, products, personnel or operations of companies that we acquire, particularly if key personnel of the acquired company decide not to work for us;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 acquisition may disrupt our ongoing business, divert resources, increase our expenses and distract our management;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be required to implement or improve internal controls, procedures and policies appropriate for a public company at a business that prior to the acquisition lacked these controls, procedures and policies;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acquired businesses may have unexpected liabilities that we will be forced to assume;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acquired businesses, products or technologies may not generate sufficient revenue to offset acquisition costs or to maintain our financial results;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acquisitions may involve the entry into geographic or business markets in which we have little or no prior experience, such as our acquisition of Creatix, which had operations in Slovakia.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may not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may not grow if consumers are not informed about the availability and accessibility of affordable health insurance.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Economic sanctions laws in the U.S. and other jurisdictions may prohibit us and our affiliates from transacting with certain countries, individuals and companies, which could negatively impact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In recent years,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pStyle w:val="TextBody"/>
        <w:bidi w:val="0"/>
        <w:spacing w:lineRule="auto" w:line="288" w:before="240" w:after="283"/>
        <w:jc w:val="left"/>
        <w:rPr>
          <w:rFonts w:ascii="Arial;sans-serif" w:hAnsi="Arial;sans-serif"/>
          <w:b/>
          <w:i/>
          <w:color w:val="000000"/>
          <w:sz w:val="18"/>
          <w:shd w:fill="FFFFFF" w:val="clear"/>
        </w:rPr>
      </w:pPr>
      <w:r>
        <w:rPr>
          <w:rFonts w:ascii="Arial;sans-serif" w:hAnsi="Arial;sans-serif"/>
          <w:b/>
          <w:i/>
          <w:color w:val="000000"/>
          <w:sz w:val="18"/>
          <w:shd w:fill="FFFFFF" w:val="clear"/>
        </w:rPr>
        <w:t>In prior years, our management identified a material weakness in our internal controls over financial reporting, and we may be unable to develop, implement and maintain appropriate controls in future periods, which may lead to errors or omissions in our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In addition, the Sarbanes-Oxley Act and related rules and regulations require that management report annually on the effectiveness of our internal control over financial reporting and assess the effectiveness of our disclosure controls and procedures on a quarterly basis. Maintaining and adapting our internal controls is expensive and is likely to place a considerable strain on our financial and management systems, processes and controls, as well as on our personnel.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Failure to maintain effective internal controls could result in the identification of a material weakness.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 If a material weakness in our internal control over financial reporting occurs in the future, our future consolidated financial statements or other information filed with the SEC may contain material misstatements.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16280"/>
                <wp:effectExtent l="0" t="0" r="0" b="0"/>
                <wp:wrapNone/>
                <wp:docPr id="33"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our management’s review and evaluation of the sufficiency of our internal controls may not discover additional weaknesses in our internal control over financial reporting in the future. Any such additional weakness or failure to remediate the existing weakness could materially adversely affect our financial condition or ability to comply with applicable financial reporting requirements, which could result in violations of applicable securities laws and Nasdaq listing requirements, subject us to litigation and investigations, negatively affect investor confidence in our financial statements, and adversely impact our stock price and ability to access capital markets.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could be adversely affected as a result of uncertainty regarding proposals or other actions taken by stockholders related to the consideration of a possible future transaction.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May 2023, our Board of Directors received an unsolicited proposal from a group of buyers that includes Centerbridge and the Founders to acquire all of the outstanding shares of Class A common stock and LLC Interests not already owned by the potential buyers. In August 2023, we announced that, following careful review and consideration with its independent financial and legal advisors, a Special Committee of the Board of the Directors rejected this proposal. Addressing the unsolicited proposal, similar future proposals and any other actions by stockholders or others relating to a potential transaction involving ownership of the Company could interfere with our ability to execute our strategic plans, make it more difficult to attract and retain qualified executives and employees, cause management distraction, require us to utilize more resources than anticipated towards review of strategic alternatives and result in the loss of potential business opportunities, any of which could have a material negative impact on the Company. In addition, our business and operations may be harmed to the extent that our consumers, suppliers and others believe that we cannot effectively compete in the marketplace without completing a transaction, or there is consumer, supplier or employee uncertainty surrounding the future direction of the product and service offerings and our strategy on a continued basis. There can be no assurance that any transaction will be completed now or in the future.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Further, the unsolicited proposal, similar future proposals and any actual or perceived actions by our stockholders or others relating to a potential transaction involving the Company may cause significant fluctuations in our stock price based upon temporary or speculative market perceptions or other factors that do not necessarily reflect the Company’s underlying fundamentals and prospects.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rely on certain services from CMS, and a federal government shutdown that impedes our ability to use these services may materially impact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 federal government shutdown could impact CMS, which is a federally-funded government agency. CMS provides a number of critical services to our business, including approval of consumer application submissions and access to certain technology platforms. A government shutdown may cause CMS and/or its vendors to conserve spending on these services, including by delaying application submissions or by pausing access to the technology platforms altogether, each of which would impact our ability to use the services in the course of our day-to-day operations and which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Even if our ability to use the services is restored and delays are resolved following the end of a government shutdown, the shutdown-related delays and technology access issues may lead to shifts in consumer behavior. For instance, a delay in approval of consumer applications or confirmation of consumer plan enrollment may cause changes in consumer shopping behavior or cause consumers to re-engage in additional plan shopping, each of which could negatively impact our business.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Intellectual Property and Technology</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is subject to security risks and, if we are subject to cyber-attacks, security breaches or are otherwise unable to safeguard the security and privacy of confidential data, including personal health information, our business will be harmed.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health plan partner and to the government. Information security risks have generally increased in recent years because of the proliferation of new technologies and the increased sophistication and activities of perpetrators of cyber-attacks, including through the deployment of artificial intelligence to find and exploit vulnerabilities, "deep fakes", long-term, persistent attacks (referred to as advanced persistent threats) and the use of the IT supply chain to introduce malware through software updates or compromised supplier accounts or hardware. Hackers and data thieves are increasingly sophisticated and operating large-scale and complex automated attacks, including on companies within the healthcare industry. As cyber threats continue to evolve, we are required to expend additional resources to further enhance our information security measures, develop additional protocols and/or to investigate and remediate any information security vulnerabilities.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from security breaches, cyber-attacks, acts of vandalism,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16280"/>
                <wp:effectExtent l="0" t="0" r="0" b="0"/>
                <wp:wrapNone/>
                <wp:docPr id="34"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computer viruses, malware, ransomware, denial-of-service attacks, misplaced or lost data, programming and/or human errors or other similar events, and we are required to expend significant amounts and other resources to protect against security breaches or to alleviate problems caused by security breaches and other threats to our information technology systems.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Techniques used to obtain unauthorized access or to sabotage systems change frequently, and as a result, we may be unable to anticipate these techniques or to implement adequate preventative measures. Additionally, our third-party service providers who process information on our behalf may cause security breaches for which we are responsible.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Any compromise or perceived compromise of the security of our systems or the systems of one or more of our vendors or service providers could damage our reputation, cause the termination of relationships with government-run health insurance exchanges, health plan partners and/or our consumers, result in disruption or interruption to our business operations, marketing partners and health plan partners, reduce demand for our services and subject us to significant liability and expense as well as regulatory action and lawsuits, which would harm our business, operating results and financial condition. We may not carry insurance or maintain coverage sufficient to compensate for all liability and in any event, insurance coverage would not address the reputational damage that could result from a security incident or any regulatory actions or litigation that may result.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rely on data provided to us by consumers, health plan partners and third-party lead suppliers to improve our technology and service offerings, and if we are unable to maintain or grow such data, we may be unable to provide consumers with an insurance shopping experience that is relevant, efficient and effective, which could adversely affect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relies on the data provided to us by consumers, health plan partners and third-party lead suppliers. The large amount of data that we use in operating our marketplace platform, and the accuracy of such data, is critical to our ability to provide a relevant, efficient and effective insurance shopping experience for consumers. For example, if the data provided to us by our consumers during the insurance shopping process is not accurate, our ability to match our consumers with relevant and suitable insurance products would be impaired, which could lead to an increase in rejections of policies that we submit to health plan partners. Further, if we are unable to maintain or effectively utilize the data provided to us, the value that we provide to consumers and health plan partners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investments in our technology systems may not be sufficient to continually collect and retain sufficient data, and we may not be able to improve our data technologies to satisfy our operating needs. For example, incorporating artificial intelligence into certain service offerings may become more important in our operations over time. If we fail to keep pace with rapidly evolving artificial intelligence technological developments, our competitive position and business results may be negatively impacted.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materially and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may not be able to adequately protect our intellectual property, which could harm our business and operating results.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believe that our intellectual property is an essential asset of our business and that our technology currently gives us a competitive advantage in the distribution of Medicare-related health insurance. We rely on a combination of copyright, trademark and trade secret laws as well as confidentiality procedures and contractual provisions to establish and protect our intellectual property rights in the U.S.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costly,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addition, we use open-source software in connection with our proprietary software and expect to continue to use open-source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The policies we have in place to avoid usage of software from “copyleft” licenses, and the audits and other procedures we implement in an effort to ensure these policies are followed may not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6280"/>
                <wp:effectExtent l="0" t="0" r="0" b="0"/>
                <wp:wrapNone/>
                <wp:docPr id="35"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any of which would have a negative effect on our business and results of operations. In addition, if the license terms for the open-source software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consumers or the public, of the source code to such proprietary software. Any such disclosure would have a negative effect on our business and the value of our proprietary software.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growing use of artificial intelligence and machine learning may present additional risks, including risks associated with algorithm development or use, the tools and data sets used, and an uncertain regulatory environment.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growing use of artificial intelligence (including machine learning) in our business and offerings presents additional risks. Artificial intelligence algorithms or automated decision-making or processing of data may be flawed and datasets may be insufficient or contain inaccurate or biased information, which can create inaccurate or discriminatory outcomes or negatively impact the effectiveness of the technology. Artificial intelligence tools and algorithms may use third-party artificial intelligence with unclear intellectual property rights or interests. Intellectual property ownership and license rights, including copyright, of generative and other artificial intelligence output, have not been fully interpreted by courts or regulations. Use or management by us or others of artificial intelligence, including certain decisions based (whether partially or solely) on automated processing or profiling, inappropriate or controversial data practices, or insufficient disclosures regarding machine learning and algorithms or generative content, have impaired and could impair the acceptance of artificial intelligence solutions or subject us to lawsuits, regulatory investigations or other harm, such as negative impacts to the value of our intellectual property or our brand. These and other deficiencies could also undermine the decisions, predictions or analysis artificial intelligence applications produce, or lead to unintentional bias and discrimination, subjecting us to competitive harm, legal liability, and brand or reputational harm. The rapid evolution of artificial intelligence may require us to allocate additional resources to help implement artificial intelligence ethically in order to minimize unintended or harmful impacts, and may also require us to make additional investments in the development of proprietary datasets, machine learning models or other systems, which may be costly. Federal, state and international regulators have enacted and may consider enacting comprehensive legal compliance frameworks, laws and regulations specifically for artificial intelligence use and applications. Any failure or perceived failure by us to comply with such requirements could have an adverse impact on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may become subject to intellectual property disputes, which are costly and may subject us to significant liability and increased costs of doing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Indebtedness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amount of our indebtedness may materially limit our ability to operate our business and finance our future operations or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16280"/>
                <wp:effectExtent l="0" t="0" r="0" b="0"/>
                <wp:wrapNone/>
                <wp:docPr id="36"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total principal amount of debt outstanding under our Credit Facilities, excluding unamortized debt discount and deferred issuance costs, as of December 31, 2024 was $505.0 million. Our indebtedness could have significant effects on our business, such as: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limiting our ability to borrow additional amounts to fund capital expenditures, acquisitions, debt service requirements, execution of our growth strategy and other purposes;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limiting our ability to make investments, including acquisitions, loans and advances, and to sell, transfer or otherwise dispose of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making us more vulnerable to adverse changes in general economic, industry and competitive conditions, in government regulation and in our business by limiting our ability to plan for and react to changing conditions;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placing us at a competitive disadvantage compared with our competitors that have less debt;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exposing us to risks inherent in interest rate fluctuations because our borrowings are at variable rates of interest, which could result and have resulted in higher interest expense with the recent increases in interest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Restrictions contained in our Credit Facilities impact our business and expose us to risks that could materially adversely affect our liquidity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our Credit Facilities restrict us and our restricted subsidiaries from engaging in specified types of transactions. These covenants restrict our ability, and that of our restricted subsidiaries, to, among other things: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incur indebtedness;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incur certain liens;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consolidate, merge or sell or otherwise dispose of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make investments, loans, advances, guarantees and acquisitions;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pay dividends or make other distributions on equity interests, or redeem, repurchase or retire equity interests;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enter into transactions with affiliates;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alter the business conducted by us and our subsidiaries;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 their fiscal year;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amend or modify governing documents.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 Subject to certain limited exceptions, substantially all of the Company’s assets are restricted from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16280"/>
                <wp:effectExtent l="0" t="0" r="0" b="0"/>
                <wp:wrapNone/>
                <wp:docPr id="37"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may not satisfy the financial covenant in the future, and our lenders may not waive any failure to satisfy the financial covenant.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Organizational Structure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principal asset is our interest in GHH, LLC, and, as a result, we depend on distributions from GHH, LLC to pay our taxes and expenses, including payments under the Tax Receivable Agreement (“TRA”). GHH, LLC’s ability to make such distributions may be subject to various limitations and restrictions.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GHH, LLC and its subsidiaries and distributions we receive from GHH, LLC. GHH, LLC and its subsidiaries may not generate sufficient cash flow to distribute funds to us and applicable state law and contractual restrictions, including negative covenants in our debt instruments, may not permit such distributions. Although GHH, LLC is not currently subject to any debt instruments or other agreements that would restrict its ability to make distributions to us, the terms of our Credit Facilities and other outstanding indebtedness restrict the ability of our subsidiaries to pay dividends to GHH, LLC.</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GHH, LLC is treated as a partnership for U.S. federal income tax purposes and, as such, generally is not subject to any entity-level U.S. federal income tax. Instead, any taxable income of GHH, LLC will be allocated to holders of LLC Interests, including us. Accordingly, we incur income taxes on our allocable share of any net taxable income of GHH, LLC. Under the terms of the GHH, LLC Agreement, GHH,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TRA, which could be significant. We intend, as its managing member, to cause GHH, LLC to make cash distributions to the holders of LLC Interests in an amount sufficient to (1) fund all or part of their tax obligations in respect of taxable income allocated to them and (2) cover our operating expenses, including payments under the TRA. However, GHH, LLC’s ability to make such distributions may be subject to various limitations and restrictions, such as restrictions on distributions that would either violate any contract or agreement to which GHH, LLC is then a party, including debt agreements, or any applicable law, or that would have the effect of rendering GHH, LLC insolvent. If we do not have sufficient funds to pay tax or other liabilities, or to fund our operations (including, if applicable, as a result of an acceleration of our obligations under the TRA), we may have to borrow funds, which could materially and adversely affect our liquidity and financial condition, and subject us to various restrictions imposed by any lenders of such funds. To the extent we are unable to make timely payments under the TRA for any reason, such payments generally will be deferred and will accrue interest until paid; provided, however, that nonpayment for a specified period may constitute a material breach of a material obligation under the TRA resulting in the acceleration of payments due under the TRA. In addition, if GHH, LLC does not have sufficient funds to make distributions, our ability to declare and pay cash dividends will also be restricted or impaired. See “—Risks Related to the Ownership of our Class A Common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GHH, LLC Agreement, we intend to cause GHH, LLC, from time to time, to make distributions in cash to its equity holders (including us) in amounts sufficient to cover the taxes imposed on their allocable share of taxable income of GHH, LLC. As a result of (1) potential differences in the amount of net taxable income allocable to us and to GHH, LLC’s other equity holders, (2) the lower tax rate applicable to corporations as opposed to individuals, and (3) certain tax benefits that we anticipate from (a) future purchases or redemptions of LLC Interests from the Continuing Equity Owners, (b) payments under the TRA and (c) any acquisition of interests in GHH, LLC from other equity 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TRA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GHH,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6280"/>
                <wp:effectExtent l="0" t="0" r="0" b="0"/>
                <wp:wrapNone/>
                <wp:docPr id="38"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TRA with the Continuing Equity Owners requires us to make cash payments to them in respect of certain tax benefits to which we may become entitled, and such payments could be substantial.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TRA,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GHH, LLC resulting from (a) the purchase of LLC Interests directly from GHH, LLC and the partial redemption of LLC Interests by GHH, LLC, (b) any future redemptions or exchanges of LLC Interests from the Continuing Equity Owners and (c) certain distributions (or deemed distributions) by GHH, LLC; and (3) certain other tax benefits arising from payments under the TRA. The amount of cash payments we are required to make under the TRA could be substantial. Any payments made by us to the Continuing Equity Owners and the Blocker Shareholders under the TRA will not be available for reinvestment in our business and will generally reduce the amount of overall cash flow that might have otherwise been available to us. To the extent that we are unable to make timely payments under the TRA for any reason, the unpaid amounts will be deferred and will accrue interest until paid by us. Payments under the TRA are not conditioned upon one or more of the Continuing Equity Owners maintaining a continued ownership interest in GHH, LLC. Furthermore, our future obligation to make payments under the TRA could make us a less attractive target for an acquisition, particularly in the case of an acquirer that cannot use some or all of the tax benefits that are the subject of the TRA. The existing tax basis acquired in connection with the Transactions, the actual increase in tax basis, and the actual utilization of any resulting tax benefits, as well as the amount and timing of any payments under the TRA,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TRA constituting imputed interest; and the federal and state tax rates then applicable.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organizational structure, including the TRA, confers certain benefits upon the Continuing Equity Owners that do not benefit holders of our Class A common stock to the same extent that it benefits the Continuing Equity Owners.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organizational structure, including the TRA, confers certain benefits upon the Continuing Equity Owners that do not benefit the holders of our Class A common stock to the same extent that it benefits the Continuing Equity Owners. The TRA provides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GHH, LLC resulting from (a) the purchase of LLC Interests directly from GHH, LLC and, the partial redemption of LLC Interests by GHH, LLC (b) any future redemptions or exchanges of LLC Interests from the Continuing Equity Owners and (c) certain distributions (or deemed distributions) by GHH, LLC; and (3) certain other tax benefits arising from payments under the TRA. Although we will retain 15% of the amount of such tax benefits, this and other aspects of our organizational structure may adversely impact the future trading market for the Class A common stock.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In certain cases, payments under the TRA to the Continuing Equity Owners and the Blocker Shareholders may be accelerated or significantly exceed any actual benefits we realize in respect of the tax attributes subject to the 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TRA provides that if (1) we materially breach any of our material obligations under the TRA, (2) certain mergers, asset sales, other forms of business combinations or other changes of control were to occur, or (3) we elect an early termination of the TRA, then our obligations, or our successor’s obligations, under the TRA to make payments would be based on certain assumptions, including an assumption that we would have sufficient taxable income to fully utilize all potential future tax benefits that are subject to the TRA.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result of the foregoing, we would be required to make an immediate cash payment equal to the present value of the anticipated future tax benefits that are the subject of the TRA,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TRA. In these situations, our obligations under the TRA could have a substantial negative impact on our liquidity and could have the effect of delaying, deferring or preventing certain mergers, asset sales, other forms of business combinations or other changes of control. We may not be able to fund or finance our obligations under the TRA. We may need to incur debt to finance payments under the TRA to the extent our cash resources are insufficient to meet our obligations under the TRA as a result of timing discrepancies or otherwise.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will not be reimbursed for any payments made to the Continuing Equity Owners and the Blocker Shareholders under the TRA in the event that any tax benefits are disallowed.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6280"/>
                <wp:effectExtent l="0" t="0" r="0" b="0"/>
                <wp:wrapNone/>
                <wp:docPr id="39"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Payments under the TRA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TRA,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TRA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TRA.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TRA until any such challenge is finally settled or determined. Moreover, the excess cash payments we made previously under the TRA could be greater than the amount of future cash payments against which we would otherwise be permitted to net such excess. The applicable U.S. federal income tax rules for determining applicable tax benefits we may claim are complex and factual in nature, and the IRS or a court may not agree with our tax reporting positions. As a result, payments could be made under the TRA significantly in excess of any actual cash tax savings that we realize in respect of the tax attributes with respect to a Continuing Equity Owner and/or a Blocker Shareholder that are the subject of the TRA.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the Ownership of our Class A Common Stock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Founders and Centerbridge have significant influence over us, including control over decisions that require the approval of stockholders.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 Founders and Centerbridge control, in the aggregate, approximately 69.4%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16280"/>
                <wp:effectExtent l="0" t="0" r="0" b="0"/>
                <wp:wrapNone/>
                <wp:docPr id="40"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board of directors, an entirely independent nominating and corporate governance committee, an entirely independent compensation committee or to perform annual performance evaluations of the nominating and corporate governance and compensation committees.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Certain provisions of Delaware law and anti-takeover provisions in our organizational documents could delay or prevent a change of control.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 classified board of directors with staggered three-year terms;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ability of our board of directors to issue one or more series of preferred stock;</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advance notice for nominations of directors by stockholders and for stockholders to include matters to be considered at our annual meetings;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certain limitations on convening special stockholder meetings;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no cumulative voting in the election of directors;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subject to the rights of the holders of any preferred stock and the terms of the Stockholders Agreement, the number of directors shall be determined exclusively by a majority of the whole board or directors;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removal of directors only for cause and only upon the affirmative vote of the holders of at least 66 2/3% of the voting power represented by our then-outstanding common stock (other than directors appointed pursuant to the Stockholders Agreement, who may be removed with or without cause in accordance with the terms of the Stockholders Agreement);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at any time when Centerbridge beneficially owns, in the aggregate, less than 40% of the voting power entitled to vote generally in the election of our directors, that stockholders may not act by written consent;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at any time when Centerbridge beneficially owns, in the aggregate, less than 40% of the voting power entitled to vote generally in the election of our directors, that certain provisions of our amended and restated certificate of incorporation may be amended only by the affirmative vote of at least 66 2/3% of the voting power represented by our then-outstanding common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deemed to be interested stockholders regardless of the percentage of our outstanding voting stock owned by them, and accordingly will not be subject to such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16280"/>
                <wp:effectExtent l="0" t="0" r="0" b="0"/>
                <wp:wrapNone/>
                <wp:docPr id="41"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Because we have no current plans to pay regular cash dividends on our Class A common stock, you may not receive any return on investment unless you sell your Class A common stock for a price greater than that which you paid for it.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do not anticipate paying any regular cash dividends on our Class A common stock. Any decision to declare and pay dividends in the future will be made at the discretion of our board of directors and will depend on, among other things, general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amended and restated certificate of incorporation provides that the Court of Chancery of the State of Delaware is the sole and exclusive forum for certain stockholder litigation matters and the federal district courts of the U.S.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amended and restated certificate of incorporation provides that the doctrine of “corporate opportunity” does not apply with respect to any director or stockholder who is not employed by us or our subsidiaries.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6280"/>
                <wp:effectExtent l="0" t="0" r="0" b="0"/>
                <wp:wrapNone/>
                <wp:docPr id="42"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which requires us to document and make significant changes to our internal control over financial reporting.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investors may lose confidence in the accuracy and completeness of our financial reports, we may face restricted access to the capital markets and our stock price may be adversely affected.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incur significant costs as a result of operating as a public company.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 reporting requirements of the Exchange Act, the Sarbanes-Oxley Act, the Dodd–Frank Wall Street Reform and Consumer Protection Act of 2010,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General Risks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fail to manage future growth effectively,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From time to time we are subject to various legal proceedings which could adversely affect our business, financial condition or results of operations.</w:t>
      </w:r>
    </w:p>
    <w:p>
      <w:pPr>
        <w:pStyle w:val="TextBody"/>
        <w:bidi w:val="0"/>
        <w:spacing w:lineRule="auto" w:line="288" w:before="240" w:after="283"/>
        <w:jc w:val="left"/>
        <w:rPr/>
      </w:pPr>
      <w:r>
        <w:rPr>
          <w:rFonts w:ascii="Arial;sans-serif" w:hAnsi="Arial;sans-serif"/>
          <w:b w:val="false"/>
          <w:color w:val="000000"/>
          <w:sz w:val="18"/>
        </w:rPr>
        <w:t xml:space="preserve">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U.S. Attorney’s Office for the District of Massachusetts, seeking, among other things, information relating to our arrangements with certain insurance health plan partners, which we believe may also be the subject of a </w:t>
      </w:r>
      <w:r>
        <w:rPr>
          <w:rFonts w:ascii="Arial;sans-serif" w:hAnsi="Arial;sans-serif"/>
          <w:b w:val="false"/>
          <w:i/>
          <w:color w:val="000000"/>
          <w:sz w:val="18"/>
        </w:rPr>
        <w:t>qui tam</w:t>
      </w:r>
      <w:r>
        <w:rPr>
          <w:color w:val="000000"/>
        </w:rPr>
        <w:t xml:space="preserve"> </w:t>
      </w:r>
      <w:r>
        <w:rPr>
          <w:rFonts w:ascii="Arial;sans-serif" w:hAnsi="Arial;sans-serif"/>
          <w:b w:val="false"/>
          <w:color w:val="000000"/>
          <w:sz w:val="18"/>
        </w:rPr>
        <w:t>proceeding.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our business practices, or may lose our relationships with health plan partners, any of which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6280"/>
                <wp:effectExtent l="0" t="0" r="0" b="0"/>
                <wp:wrapNone/>
                <wp:docPr id="43" name="Frame4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Unanticipated changes in effective tax rates or adverse outcomes resulting from examination of our income or other tax returns could adversely affect our results of operations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taxes by the U.S. federal, state, local and foreign tax authorities. Our future effective tax rates could be subject to volatility or adversely affected by a number of factors, including: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allocation of expenses to and among different jurisdictions;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the valuation of our deferred tax assets and liabilities;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expected timing and amount of the release of any tax valuation allowances;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tax effects of stock-based compensation;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costs related to intercompany restructurings;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tax laws, tax treaties, regulations or interpretations thereof; or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lower than anticipated future earnings in jurisdictions where we have lower statutory tax rates and higher than anticipated future earnings in jurisdictions where we have higher statutory tax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may be subject to audits of our income, sales and other taxes by U.S. federal, state, and local and foreign taxing authorities. Outcomes from these audits could have an adverse effect on our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stock price may change significantly, and you may not be able to resell shares of our Class A common stock at or above the price you paid or at all, and you could lose all or part of your investment as a result.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may not be able to resell your shares at or above the price which you paid for them due to a number of factors included herein,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results of operations that vary from the expectations of securities analysts and investors;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results of operations that vary from those of our competitors;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expectations as to our future financial performance, including financial estimates and investment recommendations by securities analysts and investors;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technology changes, changes in consumer behavior or changes in merchant relationships in our industry;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security breaches related to our systems or those of our merchants, affiliates or strategic partners;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economic conditions for companies in our industry;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market valuations of, or earnings and other announcements by, companies in our industry;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declines in the market prices of stocks generally, particularly those of global payment companies;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strategic actions by us or our competitors;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announcements by us, our competitors or our strategic partners of significant contracts, new products, acquisitions, joint marketing relationships, joint ventures, other strategic relationships, or capital commitments;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general economic or market conditions or trends in our industry or the economy as a whole and, in particular, in the consumer spending environment;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business or regulatory conditions;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future sales of our Class A common stock or other securities;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investor perceptions of the investment opportunity associated with our Class A common stock relative to other investment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16280"/>
                <wp:effectExtent l="0" t="0" r="0" b="0"/>
                <wp:wrapNone/>
                <wp:docPr id="44"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public’s response to press releases or other public announcements by us or third parties, including our filings with the SEC;</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announcements relating to litigation or governmental investigations;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guidance, if any, that we provide to the public, any changes in this guidance, or our failure to meet this guidance;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development and sustainability of an active trading market for our stock;</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accounting principles;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global macroeconomic conditions, including inflation, labor shortages, supply chain shortages, or other economic, political or legal uncertainties or adverse developments;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political tensions resulting in economic instability, such as due to military activity or civil hostilities among Russia and Ukraine and the related response, including sanctions or other restrictive actions, by the U.S. and/or other countries;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other events or factors, including those resulting from system failures and disruptions, natural disasters, war, acts of terrorism, an outbreak of highly infectious or contagious diseases, such as COVID-19, or responses to these events.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16280"/>
                <wp:effectExtent l="0" t="0" r="0" b="0"/>
                <wp:wrapNone/>
                <wp:docPr id="45" name="Frame4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1B. UNRESOLVED STAFF COMMENTS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1C. CYBERSECURITY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GoHealth’s services involve the collection, processing, use, storage and transmission of confidential and personal information of consumers and employees. Maintaining the integrity, confidentiality and availability of this information as well as the information technology systems in which the information resides is critical to the Company’s operations and business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takes a comprehensive, cross-functional approach to developing strategies for identifying, preventing and mitigating cybersecurity threats and effectively responding to cybersecurity incidents. The Company maintains a business continuity and disaster recovery plan as well as a cybersecurity insurance policy.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Risk Management and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Cybersecurity risk management is integrated into the Company’s broader enterprise risk management (“ERM”) program. The ERM program, led by the Company’s Internal Audit and Legal teams, consolidates the collective input of executive management to prioritize enterprise-level risks, develop risk mitigation initiatives and establish monitoring functions. The cybersecurity program includes the development of a structured control framework and risk taxonomy that aligns with anticipated business risk. The Internal Audit and Legal teams perform an enterprise risk assessment annually and present the results to the Audit Committee of the Board of Directors. Further, our Chief Technology Officer (“CTO”) actively participates in the ERM program, including through diligence conducted as part of the broader ERM program.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CTO has direct responsibility for cybersecurity and overseeing the Company’s cybersecurity strategy, policies, standards and processes. Our CTO has more than 25 years of experience developing user-centric consumer marketplaces and artificial intelligence products and has held various leadership roles in product development, product design and data science. The CTO is supported by two senior risk, compliance, and security leaders who engage regularly with the CTO to manage cybersecurity and compliance risks. Additionally, the Company’s cybersecurity team is comprised of experienced information security professionals dedicated to protecting the company’s assets. The CTO receives regular updates on security, compliance risks and initiatives and provides a quarterly cybersecurity risk and incident review to GoHealth’s Internal Compliance Committee. This committee includes cross-functional senior leadership members, including C-suite executives and personnel from legal, compliance and internal audit.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GoHealth’s cybersecurity risk management program is based on industry standards and best practices, aligning with the Center for Internet Security and the National Institute of Standards and Technology (NIST) Cybersecurity Frameworks. The Company conducts control self-assessments and risk assessments in collaboration with assigned control owners and risk owners to evaluate the maturity and effectiveness of its cybersecurity processes. Based on prior third-party assessments, GoHealth has completed the majority of its Governance, Risk and Compliance (GRC) roadmap initiatives and is currently deploying various comprehensive security tools and programs to further strengthen its cybersecurity posture.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GoHealth engages with a range of additional third-party cybersecurity service providers, assessors and auditors to evaluate and enhance the effectiveness of its cybersecurity program. Services provided by these third parties include endpoint and network monitoring, vulnerability scanning, penetration testing and security and compliance posture assessments. To mitigate risks associated with third-party sources, the Company requires third parties with access to personal, confidential or proprietary information to implement and maintain cybersecurity practices consistent with applicable legal standards and industry best practices and to enter into business associate agreements containing contractual provisions with respect to the handling of such information. GoHealth also conducts risk-based information security assessments of these third parties prior to engaging with them.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has established cybersecurity and information security awareness training programs. Formal training on topics relating to the Company’s cybersecurity, data privacy and information security policies and procedures is mandatory at least annually for all employees and contractors with access to the Company’s network. In addition to the annual security training requirement, employees participate in monthly phishing tests, and where appropriate, additional security awareness follow-up training in response to such tests. Training is supplemented through periodic Company communications encouraging all employees and contractors to promptly report security events, incidents and abnormal system behavior.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cybersecurity incidents occur, the Company’s cybersecurity team focuses on responding to and containing the threat and minimizing any business impact, as appropriate. In the event of an incident, the cybersecurity team assesses, among other factors, safety impact, data and personal information loss, business operations disruption, projected cost and potential for reputational harm, with support from external technical, legal and law enforcement support, as appropriate.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of the date of this 2024 Annual Report on Form 10-K, the Company is not aware of any material risks from cybersecurity threats, including as a result of any previous cybersecurity incidents, that have materially affected the Company, its business strategy, results of operations or financial condition; however, we cannot provide assurance that these threats will not result in such an impact in the future, as discussed in the risk factors entitled “Risks Related to Our Business” and “Risks Related to Our Intellectual Property and Technology” in Part I, Item 1A. of this 2024 Annual Report on Form 10-K.</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16280"/>
                <wp:effectExtent l="0" t="0" r="0" b="0"/>
                <wp:wrapNone/>
                <wp:docPr id="46" name="Frame4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Board of Directors recognizes the importance of cybersecurity in safeguarding the Company’s sensitive data. The Board of Directors is responsible for overseeing overall risk management for the Company, including review and approval of the ERM approach and processes implemented by management to identify, assess, manage and mitigate risk. The Audit Committee is central to the Board of Director’s oversight of cybersecurity risks and bears the primary responsibility for assessing and managing the Company’s material risks from cybersecurity threats.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Cybersecurity risk oversight is also a key area of focus for management. As discussed above, the CTO is primarily responsible for the cybersecurity program, strategy, policy, standards and processes. On a quarterly basis, or more frequently if a need arises, the CTO presents a briefing to the Audit Committee regarding the Company’s cybersecurity program. The presented topics include, but are not limited to, the status of ongoing cybersecurity initiatives, incident reports and compliance with industry standards. Potentially material cybersecurity matters are escalated to the Audit Committee and/or the full Board of Directors, as appropriate, for risk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2. PROPERTIES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corporate headquarters is located in Chicago, Illinois, and consists of approximately 91,297 square feet of space used to support our marketing and advertising, technology and general and administrative functions. We believe our existing properties are in good operating condition and are suitable for the conduct of our business.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part of our continued cost savings initiatives during the twelve months ended December 31, 2024, 2023 and 2022, we evaluated our portfolio of properties to identify where we no longer utilize the property for our business operations. As a result, we have entered into or are actively seeking sublease and termination agreements. This evaluation resulted in the complete or partial impairments of certain leased properties, including properties in Chicago, Illinois, Lindon, Utah and Charlotte, North Carolina. For additional information about the operating lease impairment charges related to our leased properties, see Note 3, “Fair Value Measurements” and Note 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3. LEGAL PROCEEDINGS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Refer to Note 12, “Commitments and Contingencies,” of the Notes to Consolidated Financial Statements for information about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4. MINE SAFETY DISCLOSURES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INFORMATION ABOUT OUR EXECUTIVE OFFICERS AND DIRECTORS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regarding our executive officers as of the date of this Annual Report on Form 10-K:</w:t>
      </w:r>
    </w:p>
    <w:tbl>
      <w:tblPr>
        <w:tblW w:w="5949" w:type="dxa"/>
        <w:jc w:val="left"/>
        <w:tblInd w:w="0" w:type="dxa"/>
        <w:tblLayout w:type="fixed"/>
        <w:tblCellMar>
          <w:top w:w="28" w:type="dxa"/>
          <w:left w:w="28" w:type="dxa"/>
          <w:bottom w:w="28" w:type="dxa"/>
          <w:right w:w="28" w:type="dxa"/>
        </w:tblCellMar>
      </w:tblPr>
      <w:tblGrid>
        <w:gridCol w:w="550"/>
        <w:gridCol w:w="480"/>
        <w:gridCol w:w="485"/>
        <w:gridCol w:w="109"/>
        <w:gridCol w:w="109"/>
        <w:gridCol w:w="109"/>
        <w:gridCol w:w="140"/>
        <w:gridCol w:w="140"/>
        <w:gridCol w:w="141"/>
        <w:gridCol w:w="109"/>
        <w:gridCol w:w="109"/>
        <w:gridCol w:w="109"/>
        <w:gridCol w:w="982"/>
        <w:gridCol w:w="982"/>
        <w:gridCol w:w="1395"/>
      </w:tblGrid>
      <w:tr>
        <w:trPr/>
        <w:tc>
          <w:tcPr>
            <w:tcW w:w="5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Position(s)</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Vijay Kotte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Brendan Shanahan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Hargis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Operating Officer</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Brad Burd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Legal Officer and Corporate Secretary</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Executive Officers</w:t>
      </w:r>
    </w:p>
    <w:p>
      <w:pPr>
        <w:pStyle w:val="TextBody"/>
        <w:bidi w:val="0"/>
        <w:spacing w:lineRule="auto" w:line="288" w:before="240" w:after="283"/>
        <w:jc w:val="left"/>
        <w:rPr/>
      </w:pPr>
      <w:r>
        <w:rPr>
          <w:rFonts w:ascii="Arial;sans-serif" w:hAnsi="Arial;sans-serif"/>
          <w:b/>
          <w:i/>
          <w:color w:val="000000"/>
          <w:sz w:val="18"/>
        </w:rPr>
        <w:t>Vijay Kotte</w:t>
      </w:r>
      <w:r>
        <w:rPr>
          <w:color w:val="000000"/>
        </w:rPr>
        <w:t xml:space="preserve"> </w:t>
      </w:r>
      <w:r>
        <w:rPr>
          <w:rFonts w:ascii="Arial;sans-serif" w:hAnsi="Arial;sans-serif"/>
          <w:b w:val="false"/>
          <w:color w:val="000000"/>
          <w:sz w:val="18"/>
        </w:rPr>
        <w:t>joined GoHealth as Chief Executive Officer in 2022 and serves on the Company’s Board of Directors. Mr. Kotte holds a Bachelor’s degree in Business Administration with a focus on Finance and Organizational Management from Emory University and a MBA from the Kellogg School of Management, Northwestern University.</w:t>
      </w:r>
    </w:p>
    <w:p>
      <w:pPr>
        <w:pStyle w:val="TextBody"/>
        <w:bidi w:val="0"/>
        <w:spacing w:lineRule="auto" w:line="288" w:before="240" w:after="283"/>
        <w:jc w:val="left"/>
        <w:rPr/>
      </w:pPr>
      <w:r>
        <w:rPr>
          <w:rFonts w:ascii="Arial;sans-serif" w:hAnsi="Arial;sans-serif"/>
          <w:b/>
          <w:i/>
          <w:color w:val="000000"/>
          <w:sz w:val="18"/>
        </w:rPr>
        <w:t xml:space="preserve">Brendan Shanahan </w:t>
      </w:r>
      <w:r>
        <w:rPr>
          <w:rFonts w:ascii="Arial;sans-serif" w:hAnsi="Arial;sans-serif"/>
          <w:b w:val="false"/>
          <w:color w:val="000000"/>
          <w:sz w:val="18"/>
        </w:rPr>
        <w:t>joined GoHealth as Chief Financial Officer in 2024. Mr. Shanahan holds a Bachelor’s degree in Business Administration from The Citadel and an MBA from Hofstra University.</w:t>
      </w:r>
    </w:p>
    <w:p>
      <w:pPr>
        <w:pStyle w:val="TextBody"/>
        <w:bidi w:val="0"/>
        <w:spacing w:lineRule="auto" w:line="288" w:before="240" w:after="283"/>
        <w:jc w:val="left"/>
        <w:rPr/>
      </w:pPr>
      <w:r>
        <w:rPr>
          <w:rFonts w:ascii="Arial;sans-serif" w:hAnsi="Arial;sans-serif"/>
          <w:b/>
          <w:i/>
          <w:color w:val="000000"/>
          <w:sz w:val="18"/>
        </w:rPr>
        <w:t xml:space="preserve">Michael Hargis </w:t>
      </w:r>
      <w:r>
        <w:rPr>
          <w:rFonts w:ascii="Arial;sans-serif" w:hAnsi="Arial;sans-serif"/>
          <w:b w:val="false"/>
          <w:color w:val="000000"/>
          <w:sz w:val="18"/>
        </w:rPr>
        <w:t>joined GoHealth in 2022 as Chief Customer Experience Officer and began his role as Chief Operating Officer in July 2023. Mr. Hargis holds a Bachelor’s degree in Business Administration from Thomas More University and an MBA from the Kellogg School of Management, Northwestern University.</w:t>
      </w:r>
    </w:p>
    <w:p>
      <w:pPr>
        <w:pStyle w:val="TextBody"/>
        <w:bidi w:val="0"/>
        <w:spacing w:lineRule="auto" w:line="268" w:before="240" w:after="283"/>
        <w:jc w:val="left"/>
        <w:rPr/>
      </w:pPr>
      <w:r>
        <w:rPr>
          <w:rFonts w:ascii="Arial;sans-serif" w:hAnsi="Arial;sans-serif"/>
          <w:b/>
          <w:i/>
          <w:color w:val="000000"/>
          <w:sz w:val="18"/>
        </w:rPr>
        <w:t xml:space="preserve">Brad Burd </w:t>
      </w:r>
      <w:r>
        <w:rPr>
          <w:rFonts w:ascii="Arial;sans-serif" w:hAnsi="Arial;sans-serif"/>
          <w:b w:val="false"/>
          <w:color w:val="000000"/>
          <w:sz w:val="18"/>
        </w:rPr>
        <w:t>has been with GoHealth since 2011 and has served as GoHealth’s Chief Legal Officer and Corporate Secretary since February 2024. Mr. Burd holds a Bachelor’s degree in finance from Miami University in Oxford, Ohio and a Juris Doctor degree from the University of Cincinnati College of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16280"/>
                <wp:effectExtent l="0" t="0" r="0" b="0"/>
                <wp:wrapNone/>
                <wp:docPr id="47" name="Frame4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regarding our members of our Board of Directors as of the date of this Annual Report on Form 10-K:</w:t>
      </w:r>
    </w:p>
    <w:tbl>
      <w:tblPr>
        <w:tblW w:w="6528" w:type="dxa"/>
        <w:jc w:val="left"/>
        <w:tblInd w:w="0" w:type="dxa"/>
        <w:tblLayout w:type="fixed"/>
        <w:tblCellMar>
          <w:top w:w="28" w:type="dxa"/>
          <w:left w:w="28" w:type="dxa"/>
          <w:bottom w:w="28" w:type="dxa"/>
          <w:right w:w="28" w:type="dxa"/>
        </w:tblCellMar>
      </w:tblPr>
      <w:tblGrid>
        <w:gridCol w:w="473"/>
        <w:gridCol w:w="413"/>
        <w:gridCol w:w="419"/>
        <w:gridCol w:w="109"/>
        <w:gridCol w:w="109"/>
        <w:gridCol w:w="109"/>
        <w:gridCol w:w="140"/>
        <w:gridCol w:w="140"/>
        <w:gridCol w:w="141"/>
        <w:gridCol w:w="109"/>
        <w:gridCol w:w="109"/>
        <w:gridCol w:w="109"/>
        <w:gridCol w:w="1290"/>
        <w:gridCol w:w="1290"/>
        <w:gridCol w:w="1305"/>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Position(s)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Clinton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Co-Founder, Co-Chairman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Brandon Cruz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Co-Founder, Co-Chairman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Vijay Kotte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 and Chief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Fisher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Jeremy Gelber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Karolina Hilu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Abhiraj Modi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Alexander Timm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Alan Wheatley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16280"/>
                <wp:effectExtent l="0" t="0" r="0" b="0"/>
                <wp:wrapNone/>
                <wp:docPr id="48" name="Frame4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14" w:type="dxa"/>
        <w:jc w:val="center"/>
        <w:tblInd w:w="0" w:type="dxa"/>
        <w:tblLayout w:type="fixed"/>
        <w:tblCellMar>
          <w:top w:w="28" w:type="dxa"/>
          <w:left w:w="28" w:type="dxa"/>
          <w:bottom w:w="28" w:type="dxa"/>
          <w:right w:w="28" w:type="dxa"/>
        </w:tblCellMar>
      </w:tblPr>
      <w:tblGrid>
        <w:gridCol w:w="197"/>
        <w:gridCol w:w="172"/>
        <w:gridCol w:w="245"/>
      </w:tblGrid>
      <w:tr>
        <w:trPr/>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5. MARKET FOR REGISTRANT’S COMMON EQUITY, RELATED STOCKHOLDER MATTERS AND ISSUER PURCHASES OF EQUITY SECURITIES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Class A common stock trades under the symbol “GOCO” on The Nasdaq Global Market and has been publicly traded since July 15, 2020. Prior to this time, there was no public market for our Class A common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February 20, 2025, there were 1 and 9 Class A and Class B common stockholders of record, respectively.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Sales of Unregistered Securities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Dividend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The Series A redeemable convertible preferred stock ranks senior to the shares of our Class A common stock and Class B common stock with respect to dividend rights. Dividends on each share of Series A redeemable convertible preferred stock shall accrue at an annual rate equal to 7%, whether or not declared. Holders of Series A-1 convertible preferred stock are only entitled to dividends if we declare such dividends.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Any future determination to declare and pay cash dividends on our Class A common stock,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Reverse Stock Split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Purchase of Equity Securities by the Issuer and Affiliated Purchaser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total of 149,000 shares of Class A common stock were withheld to cover the tax liability resulting from the vesting of restricted stock units during the twelve months ended December 31, 2024. These withheld shares are recorded as treasury stock on the Consolidated Balance Sheets.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relating to the purchases of our common stock during the three months ended December 31, 2024 in accordance with Item 703 of Regulation S-K:</w:t>
      </w:r>
    </w:p>
    <w:tbl>
      <w:tblPr>
        <w:tblW w:w="10205" w:type="dxa"/>
        <w:jc w:val="left"/>
        <w:tblInd w:w="0" w:type="dxa"/>
        <w:tblLayout w:type="fixed"/>
        <w:tblCellMar>
          <w:top w:w="28" w:type="dxa"/>
          <w:left w:w="28" w:type="dxa"/>
          <w:bottom w:w="28" w:type="dxa"/>
          <w:right w:w="28" w:type="dxa"/>
        </w:tblCellMar>
      </w:tblPr>
      <w:tblGrid>
        <w:gridCol w:w="639"/>
        <w:gridCol w:w="457"/>
        <w:gridCol w:w="464"/>
        <w:gridCol w:w="109"/>
        <w:gridCol w:w="109"/>
        <w:gridCol w:w="109"/>
        <w:gridCol w:w="564"/>
        <w:gridCol w:w="495"/>
        <w:gridCol w:w="497"/>
        <w:gridCol w:w="109"/>
        <w:gridCol w:w="109"/>
        <w:gridCol w:w="109"/>
        <w:gridCol w:w="345"/>
        <w:gridCol w:w="822"/>
        <w:gridCol w:w="192"/>
        <w:gridCol w:w="109"/>
        <w:gridCol w:w="109"/>
        <w:gridCol w:w="109"/>
        <w:gridCol w:w="860"/>
        <w:gridCol w:w="860"/>
        <w:gridCol w:w="863"/>
        <w:gridCol w:w="109"/>
        <w:gridCol w:w="109"/>
        <w:gridCol w:w="109"/>
        <w:gridCol w:w="474"/>
        <w:gridCol w:w="984"/>
        <w:gridCol w:w="381"/>
      </w:tblGrid>
      <w:tr>
        <w:trPr/>
        <w:tc>
          <w:tcPr>
            <w:tcW w:w="63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Total Number of Shares (or Units) Purchased </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Maximum Number (or Approximate Dollar Value)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Shares (or Units) that</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May Yet Be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Purchased Under the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Plans or Programs</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October 1, 2024 -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November 1, 2024 - 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December 1, 2024 -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16280"/>
                <wp:effectExtent l="0" t="0" r="0" b="0"/>
                <wp:wrapNone/>
                <wp:docPr id="49" name="Frame4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4"/>
        </w:rPr>
      </w:pPr>
      <w:r>
        <w:rPr>
          <w:rFonts w:ascii="Arial;sans-serif" w:hAnsi="Arial;sans-serif"/>
          <w:b w:val="false"/>
          <w:i/>
          <w:color w:val="000000"/>
          <w:sz w:val="14"/>
        </w:rPr>
        <w:t>(1) During the three months ended December 31, 2024, 2,848 shares of common stock were withheld by the Company pursuant to provisions in agreements with recipients of restricted stock units granted under the Company’s 2020 Incentive Award Plan allowing the Company to withhold the number of shares having the fair value equal to the tax withholding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FFFFFF"/>
          <w:sz w:val="18"/>
          <w:shd w:fill="0A2299" w:val="clear"/>
        </w:rPr>
      </w:pPr>
      <w:r>
        <w:rPr>
          <w:rFonts w:ascii="Arial;sans-serif" w:hAnsi="Arial;sans-serif"/>
          <w:b/>
          <w:color w:val="FFFFFF"/>
          <w:sz w:val="18"/>
          <w:shd w:fill="0A2299" w:val="clear"/>
        </w:rPr>
        <w:t>ITEM 7. MANAGEMENT’S DISCUSSION AND ANALYSIS OF FINANCIAL CONDITIONS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This section presents management’s perspective on our financial condition and results of operations. The following discussion and analysis is intended to highlight and supplement data and information presented elsewhere in this Annual Report on Form 10-K, including the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“Summary Risk Factors” and “Risk Factors” in this Annual Report on Form 10-K. The risks and uncertainties described in this 2024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Unless otherwise noted, all dollars are in thousands. In certain cases, numbers and percentages in the tables below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67 million Medicare-eligible Americans, as well as the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Update on Business Trends and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has evolved from a traditional Medicare enrollment company to a Medicare engagement company, focusing on forging high-quality relationships with our consumers. This shift emphasizes a more integrated and interactive approach to consumer care and reflects how our Encompass operating model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Encompass operating model supports all Medicare services, including agency and non-agency revenue. Agency revenue refers to the commission revenue and partner marketing revenue we receive when GoHealth’s internal agents or our external agents enroll the consumer and submit the policy application to the health plan partner, becoming the agent of record. Non-agency revenue refers to services our internal agents or our external agents provide that support enrollment and engagement activities in which GoHealth is not the agent of record. The non-agency model moves away from the agency structure in that cash is collected in advance or in close proximity to the point in time revenue is recognized.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enrollment and engagement services offered through our non-agency model are strategically designed to enhance the consumer experience, reflecting our focus on building trusted, long-term relationships with our consumers. Non-agency revenue for the twelve months ended December 31, 2024 represented 27% of total Medicare revenue compared to 38% of total Medicare revenue for the twelve months ended December 31, 2023. The shift from non-agency to agency revenue is a result of changing carrier mix within the non-agency channel. The mix of agency and non-agency contracts is dependent on the plans most suitable for the consumers we serve and is impacted by changing market dynamics as further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continue to refine our Encompass operating model through investments in technology. For example, since its launch in 2023, we have continued to develop our PlanFit CheckUp utilizing analytics from over thirty million consumer touchpoints and machine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16280"/>
                <wp:effectExtent l="0" t="0" r="0" b="0"/>
                <wp:wrapNone/>
                <wp:docPr id="50" name="Frame4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learnings to help our licensed agents accurately match consumers with the best Medicare plans for their needs. PlanFit CheckUp enables consumers to regularly assess the appropriateness of their current plan through a data-driven customized process, guided by the trusted expertise of a licensed GoHealth agent. In addition to further developing PlanFit Checkups, we are investing in technologies like Customer 360. Customer 360 provides a unified view of the consumer across every touchpoint to ensure high-quality, personalized service at every point of the consumer journey.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This year, driven by artificial intelligence and automation, we focused on streamlining processes and improving call handle times. As part of this effort, we launched Encompass Express, an enhanced, consumer-centric operating model built on the foundation of our original Encompass workflow. Encompass Express includes streamlined scripting and hand-offs, utilizing technology-driven standardization and automation to deliver efficiency and enhance the consumer experience while maintaining quality.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introduction in April 2024 of the Centers for Medicare and Medicaid Services (“CMS”) final rate notice on commissions for the 2025 plan year and the Final 2025 Marketing Rule (the “CMS Final Rule”) had implications for Medicare Advantage plans. Specifically, we saw more dynamic consumer shopping behaviors during the 2024 Medicare annual enrollment period (“AEP”) as a result of changing benefit structures. We delivered on our targeted marketing efforts to help health plan partners achieve targeted growth in specific markets and products. As the landscape becomes more complex, we believe GoHealth’s role as a reliable guide becomes increasingly critical. We continue to prepare for and analyze the implications of the forthcoming final rate notice on commissions for the 2026 plan year with our health plan partners and are closely monitoring its effects on the Medicare landscape. Further discussion of how changes and developments in the laws and regulations governing the health insurance markets in the U.S. could materially affect our business, operating results, financial condition and qualified prospects is included under the heading “Item 1A. Risk Factors” in this 2024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September 30, 2024, we completed the acquisition of e-TeleQuote Insurance, Inc. (“e-TeleQuote”), a health insurance marketplace that helps Medicare beneficiaries compare Medicare Advantage and Medicare Supplement plans and enroll in the plan that is right for them. The addition of e-TeleQuote expands our agent capacity, which we believe allows us to meet the high demand for Medicare Advantage shopping without the need for further hiring, thus optimizing our consumer acquisition efforts. Through the integration of e-TeleQuote’s licensed agents, we believe we are well-positioned to leverage this expanded agent base, strengthening our market position and expanding our capacity to deliver high-quality consumer experiences.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Additionally, the Company made the strategic decision to exit its Non-Encompass BPO Services, or services in which we dedicate certain agents to specific health plan partners and agencies outside of the Encompass model, to focus on our core business. The exit was completed during the second quarter of 2023. During the twelve months ended December 31, 2024, Non-Encompass BPO Services contributed no revenues. During the twelve months ended December 31, 2023 and 2022, Non-Encompass BPO Services contributed $9.3 million and $87.4 million to net revenues,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During the first quarter of 2023, the Company reorganized its operations from four operating and reportable segments to one operating and reportable segment. The change reflects how the chief operating decision-maker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81" w:type="dxa"/>
        <w:jc w:val="left"/>
        <w:tblInd w:w="0" w:type="dxa"/>
        <w:tblLayout w:type="fixed"/>
        <w:tblCellMar>
          <w:top w:w="28" w:type="dxa"/>
          <w:left w:w="28" w:type="dxa"/>
          <w:bottom w:w="28" w:type="dxa"/>
          <w:right w:w="28" w:type="dxa"/>
        </w:tblCellMar>
      </w:tblPr>
      <w:tblGrid>
        <w:gridCol w:w="346"/>
        <w:gridCol w:w="304"/>
        <w:gridCol w:w="431"/>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twelve months ended December 31, 2024, 2023, and 2022 were 56.2%, 58.2% and 61.1%,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December 31,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16280"/>
                <wp:effectExtent l="0" t="0" r="0" b="0"/>
                <wp:wrapNone/>
                <wp:docPr id="51" name="Frame5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center"/>
        <w:rPr/>
      </w:pPr>
      <w:r>
        <w:rPr/>
        <w:drawing>
          <wp:inline distT="0" distB="0" distL="0" distR="0">
            <wp:extent cx="5715000" cy="2381250"/>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6, “Stockholders' Equity” of the Notes to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implemented the Reverse Stock Split, which became effective on November 17, 2022. Please refer to Note 6, “Stockholders' Equity” of the Notes to Consolidated Financial Statements for more information on the Reverse Stock Split.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16280"/>
                <wp:effectExtent l="0" t="0" r="0" b="0"/>
                <wp:wrapNone/>
                <wp:docPr id="53" name="Frame5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The following is a discussion and analysis of changes in the financial condition and results of operations for fiscal year 2024 compared to fiscal year 2023. A discussion and analysis regarding our results of operations for fiscal year 2023 compared to fiscal year 2022 that are not included in this Annual Report on Form 10-K can be found in our Annual Report on Form 10-K filed with the SEC on March 14,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components of our results of operations for the periods presented:</w:t>
      </w:r>
    </w:p>
    <w:tbl>
      <w:tblPr>
        <w:tblW w:w="8849" w:type="dxa"/>
        <w:jc w:val="left"/>
        <w:tblInd w:w="0" w:type="dxa"/>
        <w:tblLayout w:type="fixed"/>
        <w:tblCellMar>
          <w:top w:w="28" w:type="dxa"/>
          <w:left w:w="28" w:type="dxa"/>
          <w:bottom w:w="28" w:type="dxa"/>
          <w:right w:w="28" w:type="dxa"/>
        </w:tblCellMar>
      </w:tblPr>
      <w:tblGrid>
        <w:gridCol w:w="1507"/>
        <w:gridCol w:w="1320"/>
        <w:gridCol w:w="1327"/>
        <w:gridCol w:w="109"/>
        <w:gridCol w:w="109"/>
        <w:gridCol w:w="109"/>
        <w:gridCol w:w="196"/>
        <w:gridCol w:w="751"/>
        <w:gridCol w:w="256"/>
        <w:gridCol w:w="109"/>
        <w:gridCol w:w="109"/>
        <w:gridCol w:w="109"/>
        <w:gridCol w:w="196"/>
        <w:gridCol w:w="751"/>
        <w:gridCol w:w="256"/>
        <w:gridCol w:w="109"/>
        <w:gridCol w:w="109"/>
        <w:gridCol w:w="109"/>
        <w:gridCol w:w="196"/>
        <w:gridCol w:w="811"/>
        <w:gridCol w:w="301"/>
      </w:tblGrid>
      <w:tr>
        <w:trPr/>
        <w:tc>
          <w:tcPr>
            <w:tcW w:w="150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54"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798,894</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734,671</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631,675</w:t>
            </w:r>
            <w:r>
              <w:rPr>
                <w:color w:val="000000"/>
              </w:rPr>
              <w:t>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187,670 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260,902 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116,530 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805,941</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816,352</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950,341</w:t>
            </w:r>
            <w:r>
              <w:rPr>
                <w:color w:val="000000"/>
              </w:rPr>
              <w:t>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(81,681)</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(318,666)</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bargain purchase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(5,052)</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(151,116)</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(375,620)</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(7,319)</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(151,270)</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(376,384)</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(227,678)</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(2,928)</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(63,257)</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(148,706)</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(211,549)</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(129,776)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net revenues and results thereof for the twelve months ended December 31, 2024 and 2023:</w:t>
      </w:r>
    </w:p>
    <w:tbl>
      <w:tblPr>
        <w:tblW w:w="6411" w:type="dxa"/>
        <w:jc w:val="left"/>
        <w:tblInd w:w="0" w:type="dxa"/>
        <w:tblLayout w:type="fixed"/>
        <w:tblCellMar>
          <w:top w:w="28" w:type="dxa"/>
          <w:left w:w="28" w:type="dxa"/>
          <w:bottom w:w="28" w:type="dxa"/>
          <w:right w:w="28" w:type="dxa"/>
        </w:tblCellMar>
      </w:tblPr>
      <w:tblGrid>
        <w:gridCol w:w="417"/>
        <w:gridCol w:w="368"/>
        <w:gridCol w:w="36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5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1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64,223 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$64.2 million, or 8.7% increase compared to the prior year period was primarily attributable to an increase in agency revenue driven by an increase in Submissions for which GoHealth is the agent of record, partially offset by a decrease in non-agency revenue. The decrease in non-agency revenue compared to the prior year is reflective of a shift from non-agency to agency revenue as a result of changing health plan partner mix within the non-agency channel. The increase was further offset by a decrease in revenues associated with the strategic decision to exit our Non-Encompass BPO Services, which was completed during the second quarter of 2023.</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twelve months ended December 31, 2024 and 2023:</w:t>
      </w:r>
    </w:p>
    <w:tbl>
      <w:tblPr>
        <w:tblW w:w="8615" w:type="dxa"/>
        <w:jc w:val="left"/>
        <w:tblInd w:w="0" w:type="dxa"/>
        <w:tblLayout w:type="fixed"/>
        <w:tblCellMar>
          <w:top w:w="28" w:type="dxa"/>
          <w:left w:w="28" w:type="dxa"/>
          <w:bottom w:w="28" w:type="dxa"/>
          <w:right w:w="28" w:type="dxa"/>
        </w:tblCellMar>
      </w:tblPr>
      <w:tblGrid>
        <w:gridCol w:w="468"/>
        <w:gridCol w:w="410"/>
        <w:gridCol w:w="412"/>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130,612 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(28,349)</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16.3%</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16280"/>
                <wp:effectExtent l="0" t="0" r="0" b="0"/>
                <wp:wrapNone/>
                <wp:docPr id="54" name="Frame5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$28.3 million, or 17.8% decrease was primarily driven by a decrease in Submissions generated by our external agents, which decreased the amount of expense we recognized pursuant to our revenue-sharing agreements with our external partners. </w:t>
      </w:r>
    </w:p>
    <w:tbl>
      <w:tblPr>
        <w:tblW w:w="10056"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471"/>
        <w:gridCol w:w="109"/>
        <w:gridCol w:w="109"/>
        <w:gridCol w:w="109"/>
        <w:gridCol w:w="244"/>
        <w:gridCol w:w="244"/>
        <w:gridCol w:w="244"/>
        <w:gridCol w:w="244"/>
        <w:gridCol w:w="244"/>
        <w:gridCol w:w="35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88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Marketing and advertising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235,696 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30,654 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29.5%</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27.9%</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$30.7 million, or 15.0% increase was primarily attributable to an increase in our marketing and advertising spend to generate more qualified prospects, which contributed to an increase in Submissions generated by our internal agents. The increases were partially offset by the decline in payments to our external marketing partners driven by a decline in Submissions generated by our external agents.</w:t>
      </w:r>
    </w:p>
    <w:tbl>
      <w:tblPr>
        <w:tblW w:w="9675"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244"/>
        <w:gridCol w:w="244"/>
        <w:gridCol w:w="244"/>
        <w:gridCol w:w="244"/>
        <w:gridCol w:w="244"/>
        <w:gridCol w:w="35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56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Consumer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222,414 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27.8%</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28.5%</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$13.2 million, or 6.3% increase was primarily attributable to an increased agent headcount during the 2024 AEP associated with the e-TeleQuote acquisition.</w:t>
      </w:r>
    </w:p>
    <w:tbl>
      <w:tblPr>
        <w:tblW w:w="8871"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08"/>
        <w:gridCol w:w="687"/>
        <w:gridCol w:w="115"/>
        <w:gridCol w:w="115"/>
        <w:gridCol w:w="115"/>
        <w:gridCol w:w="115"/>
        <w:gridCol w:w="208"/>
        <w:gridCol w:w="687"/>
        <w:gridCol w:w="115"/>
        <w:gridCol w:w="109"/>
        <w:gridCol w:w="109"/>
        <w:gridCol w:w="109"/>
        <w:gridCol w:w="196"/>
        <w:gridCol w:w="631"/>
        <w:gridCol w:w="109"/>
        <w:gridCol w:w="109"/>
        <w:gridCol w:w="109"/>
        <w:gridCol w:w="109"/>
        <w:gridCol w:w="225"/>
        <w:gridCol w:w="225"/>
        <w:gridCol w:w="471"/>
        <w:gridCol w:w="109"/>
        <w:gridCol w:w="109"/>
        <w:gridCol w:w="109"/>
        <w:gridCol w:w="244"/>
        <w:gridCol w:w="244"/>
        <w:gridCol w:w="244"/>
        <w:gridCol w:w="244"/>
        <w:gridCol w:w="244"/>
        <w:gridCol w:w="35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Technology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41,046 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5.1%</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5.9%</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$2.3 million, or 5.2% decrease was primarily attributable to a decrease in share-based compensation expense for technology employees.</w:t>
      </w:r>
    </w:p>
    <w:tbl>
      <w:tblPr>
        <w:tblW w:w="9531" w:type="dxa"/>
        <w:jc w:val="left"/>
        <w:tblInd w:w="0" w:type="dxa"/>
        <w:tblLayout w:type="fixed"/>
        <w:tblCellMar>
          <w:top w:w="28" w:type="dxa"/>
          <w:left w:w="28" w:type="dxa"/>
          <w:bottom w:w="28" w:type="dxa"/>
          <w:right w:w="28" w:type="dxa"/>
        </w:tblCellMar>
      </w:tblPr>
      <w:tblGrid>
        <w:gridCol w:w="814"/>
        <w:gridCol w:w="717"/>
        <w:gridCol w:w="719"/>
        <w:gridCol w:w="109"/>
        <w:gridCol w:w="109"/>
        <w:gridCol w:w="109"/>
        <w:gridCol w:w="208"/>
        <w:gridCol w:w="687"/>
        <w:gridCol w:w="115"/>
        <w:gridCol w:w="115"/>
        <w:gridCol w:w="115"/>
        <w:gridCol w:w="115"/>
        <w:gridCol w:w="208"/>
        <w:gridCol w:w="687"/>
        <w:gridCol w:w="115"/>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5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25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25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82,116 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(10,953)</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10.3%</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12.7%</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$11.0 million, or 11.8% decrease was primarily attributable to a decrease in expense related to legal fees for the Securities Class Action (as defined and discussed further in Note 12, “Commitments and Contingencies”) and a decrease in share-based compensation expense, partially offset by an increase in cost associated with the e-TeleQuote acquisition.</w:t>
      </w:r>
    </w:p>
    <w:tbl>
      <w:tblPr>
        <w:tblW w:w="9691"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08"/>
        <w:gridCol w:w="687"/>
        <w:gridCol w:w="115"/>
        <w:gridCol w:w="115"/>
        <w:gridCol w:w="115"/>
        <w:gridCol w:w="115"/>
        <w:gridCol w:w="208"/>
        <w:gridCol w:w="687"/>
        <w:gridCol w:w="115"/>
        <w:gridCol w:w="109"/>
        <w:gridCol w:w="109"/>
        <w:gridCol w:w="109"/>
        <w:gridCol w:w="223"/>
        <w:gridCol w:w="463"/>
        <w:gridCol w:w="125"/>
        <w:gridCol w:w="109"/>
        <w:gridCol w:w="109"/>
        <w:gridCol w:w="109"/>
        <w:gridCol w:w="203"/>
        <w:gridCol w:w="203"/>
        <w:gridCol w:w="471"/>
        <w:gridCol w:w="109"/>
        <w:gridCol w:w="109"/>
        <w:gridCol w:w="109"/>
        <w:gridCol w:w="244"/>
        <w:gridCol w:w="244"/>
        <w:gridCol w:w="244"/>
        <w:gridCol w:w="244"/>
        <w:gridCol w:w="244"/>
        <w:gridCol w:w="351"/>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11.8%</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12.8%</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of intangible assets expense was $94.1 million for both the twelve months ended December 31, 2024 and 2023, and relates to the amortization of developed technology and customer relationships.</w:t>
      </w:r>
    </w:p>
    <w:tbl>
      <w:tblPr>
        <w:tblW w:w="10205" w:type="dxa"/>
        <w:jc w:val="left"/>
        <w:tblInd w:w="0" w:type="dxa"/>
        <w:tblLayout w:type="fixed"/>
        <w:tblCellMar>
          <w:top w:w="28" w:type="dxa"/>
          <w:left w:w="28" w:type="dxa"/>
          <w:bottom w:w="28" w:type="dxa"/>
          <w:right w:w="28" w:type="dxa"/>
        </w:tblCellMar>
      </w:tblPr>
      <w:tblGrid>
        <w:gridCol w:w="1067"/>
        <w:gridCol w:w="937"/>
        <w:gridCol w:w="940"/>
        <w:gridCol w:w="109"/>
        <w:gridCol w:w="109"/>
        <w:gridCol w:w="109"/>
        <w:gridCol w:w="243"/>
        <w:gridCol w:w="503"/>
        <w:gridCol w:w="135"/>
        <w:gridCol w:w="135"/>
        <w:gridCol w:w="135"/>
        <w:gridCol w:w="135"/>
        <w:gridCol w:w="243"/>
        <w:gridCol w:w="691"/>
        <w:gridCol w:w="135"/>
        <w:gridCol w:w="109"/>
        <w:gridCol w:w="109"/>
        <w:gridCol w:w="109"/>
        <w:gridCol w:w="196"/>
        <w:gridCol w:w="629"/>
        <w:gridCol w:w="109"/>
        <w:gridCol w:w="109"/>
        <w:gridCol w:w="109"/>
        <w:gridCol w:w="109"/>
        <w:gridCol w:w="313"/>
        <w:gridCol w:w="315"/>
        <w:gridCol w:w="471"/>
        <w:gridCol w:w="109"/>
        <w:gridCol w:w="109"/>
        <w:gridCol w:w="109"/>
        <w:gridCol w:w="242"/>
        <w:gridCol w:w="241"/>
        <w:gridCol w:w="241"/>
        <w:gridCol w:w="242"/>
        <w:gridCol w:w="241"/>
        <w:gridCol w:w="358"/>
      </w:tblGrid>
      <w:tr>
        <w:trPr/>
        <w:tc>
          <w:tcPr>
            <w:tcW w:w="106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94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Operating lease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4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41"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94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3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c>
          <w:tcPr>
            <w:tcW w:w="84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0.4%</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part of our continued cost savings initiatives, we are actively looking to terminate or sublease certain office spaces and call centers. These actions resulted in $2.7 million in operating lease impairment charges during the twelve months ended December 31, 2023.</w:t>
      </w:r>
    </w:p>
    <w:tbl>
      <w:tblPr>
        <w:tblW w:w="10205" w:type="dxa"/>
        <w:jc w:val="left"/>
        <w:tblInd w:w="0" w:type="dxa"/>
        <w:tblLayout w:type="fixed"/>
        <w:tblCellMar>
          <w:top w:w="28" w:type="dxa"/>
          <w:left w:w="28" w:type="dxa"/>
          <w:bottom w:w="28" w:type="dxa"/>
          <w:right w:w="28" w:type="dxa"/>
        </w:tblCellMar>
      </w:tblPr>
      <w:tblGrid>
        <w:gridCol w:w="1048"/>
        <w:gridCol w:w="921"/>
        <w:gridCol w:w="923"/>
        <w:gridCol w:w="109"/>
        <w:gridCol w:w="109"/>
        <w:gridCol w:w="109"/>
        <w:gridCol w:w="231"/>
        <w:gridCol w:w="478"/>
        <w:gridCol w:w="127"/>
        <w:gridCol w:w="127"/>
        <w:gridCol w:w="127"/>
        <w:gridCol w:w="127"/>
        <w:gridCol w:w="231"/>
        <w:gridCol w:w="763"/>
        <w:gridCol w:w="127"/>
        <w:gridCol w:w="109"/>
        <w:gridCol w:w="109"/>
        <w:gridCol w:w="109"/>
        <w:gridCol w:w="196"/>
        <w:gridCol w:w="717"/>
        <w:gridCol w:w="109"/>
        <w:gridCol w:w="109"/>
        <w:gridCol w:w="109"/>
        <w:gridCol w:w="109"/>
        <w:gridCol w:w="312"/>
        <w:gridCol w:w="314"/>
        <w:gridCol w:w="471"/>
        <w:gridCol w:w="109"/>
        <w:gridCol w:w="109"/>
        <w:gridCol w:w="109"/>
        <w:gridCol w:w="240"/>
        <w:gridCol w:w="238"/>
        <w:gridCol w:w="238"/>
        <w:gridCol w:w="240"/>
        <w:gridCol w:w="238"/>
        <w:gridCol w:w="3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892"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Intangible asset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92"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892"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2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c>
          <w:tcPr>
            <w:tcW w:w="8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twelve months ended December 31, 2023, we recorded an impairment charge of $10.0 million to write down the carrying value of the indefinite-lived trade names intangible asset to its fair value of $73.0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16280"/>
                <wp:effectExtent l="0" t="0" r="0" b="0"/>
                <wp:wrapNone/>
                <wp:docPr id="55" name="Frame5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8400"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208"/>
        <w:gridCol w:w="687"/>
        <w:gridCol w:w="115"/>
        <w:gridCol w:w="115"/>
        <w:gridCol w:w="115"/>
        <w:gridCol w:w="115"/>
        <w:gridCol w:w="208"/>
        <w:gridCol w:w="687"/>
        <w:gridCol w:w="115"/>
        <w:gridCol w:w="109"/>
        <w:gridCol w:w="109"/>
        <w:gridCol w:w="109"/>
        <w:gridCol w:w="196"/>
        <w:gridCol w:w="556"/>
        <w:gridCol w:w="109"/>
        <w:gridCol w:w="109"/>
        <w:gridCol w:w="109"/>
        <w:gridCol w:w="109"/>
        <w:gridCol w:w="200"/>
        <w:gridCol w:w="200"/>
        <w:gridCol w:w="471"/>
        <w:gridCol w:w="109"/>
        <w:gridCol w:w="109"/>
        <w:gridCol w:w="109"/>
        <w:gridCol w:w="244"/>
        <w:gridCol w:w="244"/>
        <w:gridCol w:w="244"/>
        <w:gridCol w:w="244"/>
        <w:gridCol w:w="244"/>
        <w:gridCol w:w="351"/>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9.1%</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9.5%</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$3.4 million, or 4.9% increase was primarily attributable to an increase in interest expense related to our outstanding Revolving Credit Facilities.</w:t>
      </w:r>
    </w:p>
    <w:tbl>
      <w:tblPr>
        <w:tblW w:w="9320" w:type="dxa"/>
        <w:jc w:val="left"/>
        <w:tblInd w:w="0" w:type="dxa"/>
        <w:tblLayout w:type="fixed"/>
        <w:tblCellMar>
          <w:top w:w="28" w:type="dxa"/>
          <w:left w:w="28" w:type="dxa"/>
          <w:bottom w:w="28" w:type="dxa"/>
          <w:right w:w="28" w:type="dxa"/>
        </w:tblCellMar>
      </w:tblPr>
      <w:tblGrid>
        <w:gridCol w:w="788"/>
        <w:gridCol w:w="691"/>
        <w:gridCol w:w="696"/>
        <w:gridCol w:w="109"/>
        <w:gridCol w:w="109"/>
        <w:gridCol w:w="109"/>
        <w:gridCol w:w="225"/>
        <w:gridCol w:w="828"/>
        <w:gridCol w:w="125"/>
        <w:gridCol w:w="125"/>
        <w:gridCol w:w="125"/>
        <w:gridCol w:w="125"/>
        <w:gridCol w:w="225"/>
        <w:gridCol w:w="466"/>
        <w:gridCol w:w="125"/>
        <w:gridCol w:w="109"/>
        <w:gridCol w:w="109"/>
        <w:gridCol w:w="109"/>
        <w:gridCol w:w="196"/>
        <w:gridCol w:w="721"/>
        <w:gridCol w:w="109"/>
        <w:gridCol w:w="109"/>
        <w:gridCol w:w="109"/>
        <w:gridCol w:w="109"/>
        <w:gridCol w:w="290"/>
        <w:gridCol w:w="290"/>
        <w:gridCol w:w="291"/>
        <w:gridCol w:w="109"/>
        <w:gridCol w:w="109"/>
        <w:gridCol w:w="109"/>
        <w:gridCol w:w="244"/>
        <w:gridCol w:w="244"/>
        <w:gridCol w:w="244"/>
        <w:gridCol w:w="244"/>
        <w:gridCol w:w="244"/>
        <w:gridCol w:w="35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17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Gain on bargain purchase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17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17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(10.6)%</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recognized a gain on bargain purchase of $84.5 million for the twelve months ended December 31, 2024 related to the e-TeleQuote acquisition. The gain represents the excess of the acquisition-date fair value of the net assets acquired over the acquisition-date fair value of the consideration transferred.</w:t>
      </w:r>
    </w:p>
    <w:tbl>
      <w:tblPr>
        <w:tblW w:w="9734"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33"/>
        <w:gridCol w:w="770"/>
        <w:gridCol w:w="129"/>
        <w:gridCol w:w="129"/>
        <w:gridCol w:w="129"/>
        <w:gridCol w:w="129"/>
        <w:gridCol w:w="233"/>
        <w:gridCol w:w="483"/>
        <w:gridCol w:w="129"/>
        <w:gridCol w:w="109"/>
        <w:gridCol w:w="109"/>
        <w:gridCol w:w="109"/>
        <w:gridCol w:w="196"/>
        <w:gridCol w:w="646"/>
        <w:gridCol w:w="109"/>
        <w:gridCol w:w="109"/>
        <w:gridCol w:w="109"/>
        <w:gridCol w:w="109"/>
        <w:gridCol w:w="290"/>
        <w:gridCol w:w="290"/>
        <w:gridCol w:w="291"/>
        <w:gridCol w:w="109"/>
        <w:gridCol w:w="109"/>
        <w:gridCol w:w="109"/>
        <w:gridCol w:w="244"/>
        <w:gridCol w:w="244"/>
        <w:gridCol w:w="244"/>
        <w:gridCol w:w="244"/>
        <w:gridCol w:w="244"/>
        <w:gridCol w:w="351"/>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66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Loss on extinguishment of debt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66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266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12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1.3%</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recognized a loss on extinguishment of debt of $10.5 million for the twelve months ended December 31, 2024 related to the extinguishment of the Term Loan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8"/>
        <w:gridCol w:w="1118"/>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the business and to monitor its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Adjusted EBITDA represents, as applicable for the period, EBITDA as further adjusted for certain items summarized in the table furnished below. Adjusted EBITDA Margin represents Adjusted EBITDA divided by net revenues.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16280"/>
                <wp:effectExtent l="0" t="0" r="0" b="0"/>
                <wp:wrapNone/>
                <wp:docPr id="56" name="Frame5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053"/>
        <w:gridCol w:w="1737"/>
        <w:gridCol w:w="1748"/>
        <w:gridCol w:w="109"/>
        <w:gridCol w:w="109"/>
        <w:gridCol w:w="109"/>
        <w:gridCol w:w="196"/>
        <w:gridCol w:w="751"/>
        <w:gridCol w:w="256"/>
        <w:gridCol w:w="109"/>
        <w:gridCol w:w="109"/>
        <w:gridCol w:w="109"/>
        <w:gridCol w:w="196"/>
        <w:gridCol w:w="736"/>
        <w:gridCol w:w="256"/>
        <w:gridCol w:w="109"/>
        <w:gridCol w:w="109"/>
        <w:gridCol w:w="109"/>
        <w:gridCol w:w="196"/>
        <w:gridCol w:w="795"/>
        <w:gridCol w:w="304"/>
      </w:tblGrid>
      <w:tr>
        <w:trPr/>
        <w:tc>
          <w:tcPr>
            <w:tcW w:w="205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538"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30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30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107,002 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173,706 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24,104 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(211,549)</w:t>
            </w:r>
          </w:p>
        </w:tc>
        <w:tc>
          <w:tcPr>
            <w:tcW w:w="30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bargain purchase</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32,124 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on extinguishment of debt</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Professional services</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fees</w:t>
            </w:r>
            <w:r>
              <w:rPr>
                <w:rFonts w:ascii="Arial;sans-serif" w:hAnsi="Arial;sans-serif"/>
                <w:b w:val="false"/>
                <w:color w:val="000000"/>
                <w:sz w:val="10"/>
              </w:rPr>
              <w:t>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Severance costs</w:t>
            </w:r>
            <w:r>
              <w:rPr>
                <w:rFonts w:ascii="Arial;sans-serif" w:hAnsi="Arial;sans-serif"/>
                <w:b w:val="false"/>
                <w:color w:val="000000"/>
                <w:sz w:val="10"/>
              </w:rPr>
              <w:t>6</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(income) loss related to the adjustment of liabilities under the Tax Receivable Agreement</w:t>
            </w:r>
            <w:r>
              <w:rPr>
                <w:rFonts w:ascii="Arial;sans-serif" w:hAnsi="Arial;sans-serif"/>
                <w:b w:val="false"/>
                <w:color w:val="000000"/>
                <w:sz w:val="10"/>
              </w:rPr>
              <w:t>7</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lease impairment charges</w:t>
            </w:r>
            <w:r>
              <w:rPr>
                <w:rFonts w:ascii="Arial;sans-serif" w:hAnsi="Arial;sans-serif"/>
                <w:b w:val="false"/>
                <w:color w:val="000000"/>
                <w:sz w:val="10"/>
              </w:rPr>
              <w:t>8</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 and other related charges</w:t>
            </w:r>
            <w:r>
              <w:rPr>
                <w:rFonts w:ascii="Arial;sans-serif" w:hAnsi="Arial;sans-serif"/>
                <w:b w:val="false"/>
                <w:color w:val="000000"/>
                <w:sz w:val="10"/>
              </w:rPr>
              <w:t>9</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 impairment charges</w:t>
            </w:r>
            <w:r>
              <w:rPr>
                <w:rFonts w:ascii="Arial;sans-serif" w:hAnsi="Arial;sans-serif"/>
                <w:b w:val="false"/>
                <w:color w:val="000000"/>
                <w:sz w:val="10"/>
              </w:rPr>
              <w:t>10</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120,319</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75,091</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(129,776)</w:t>
            </w:r>
          </w:p>
        </w:tc>
        <w:tc>
          <w:tcPr>
            <w:tcW w:w="30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w:t>
            </w:r>
          </w:p>
        </w:tc>
        <w:tc>
          <w:tcPr>
            <w:tcW w:w="304"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the excess of the acquisition-date fair value of the net assets acquired over the acquisition-date fair value of the consideration transferred related to the acquisition of e-TeleQuote, as further described in Note 15, Acquisitions.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non-cash share-based compensation expense relating to equity awards as well share-based compensation expense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the loss on debt extinguishment related to the write-down of deferred debt discount and debt issuance costs in conjunction with the refinancing of the Term Loan Facilities.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costs associated with non-routine consulting fees and other professional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legal fees, settlement accruals and other expenses related to certain acquisitions, litigation, Credit Agreement amendments and other non-routine legal or regulatory matters.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(6)Represents severance costs and other fees associated with a reduction in workforce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(7)Represents expense related to the measurement of our TRA obligation.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(8)Represents operating lease impairment charges, reducing the carrying value of the associated ROU assets and leasehold improvements to the estimated fair values.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(9)Represents employee termination benefits and other associated costs related to restructuring activities, as described in Note 14, “Restructuring Costs” of the Notes to Consolidated Financial Statements.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(10)Represents an indefinite-lived intangible asset impairment charge for the twelve months ended December 31, 2023.</w:t>
      </w:r>
    </w:p>
    <w:p>
      <w:pPr>
        <w:pStyle w:val="TextBody"/>
        <w:bidi w:val="0"/>
        <w:spacing w:before="0" w:after="0"/>
        <w:jc w:val="left"/>
        <w:rPr/>
      </w:pPr>
      <w:r>
        <w:rPr/>
      </w:r>
    </w:p>
    <w:p>
      <w:pPr>
        <w:pStyle w:val="TextBody"/>
        <w:bidi w:val="0"/>
        <w:spacing w:before="0" w:after="0"/>
        <w:jc w:val="left"/>
        <w:rPr/>
      </w:pPr>
      <w:r>
        <w:rPr/>
      </w:r>
    </w:p>
    <w:tbl>
      <w:tblPr>
        <w:tblW w:w="8634"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200"/>
        <w:gridCol w:w="752"/>
        <w:gridCol w:w="111"/>
        <w:gridCol w:w="111"/>
        <w:gridCol w:w="111"/>
        <w:gridCol w:w="111"/>
        <w:gridCol w:w="200"/>
        <w:gridCol w:w="660"/>
        <w:gridCol w:w="111"/>
        <w:gridCol w:w="109"/>
        <w:gridCol w:w="109"/>
        <w:gridCol w:w="109"/>
        <w:gridCol w:w="196"/>
        <w:gridCol w:w="646"/>
        <w:gridCol w:w="109"/>
        <w:gridCol w:w="109"/>
        <w:gridCol w:w="109"/>
        <w:gridCol w:w="109"/>
        <w:gridCol w:w="233"/>
        <w:gridCol w:w="233"/>
        <w:gridCol w:w="471"/>
        <w:gridCol w:w="109"/>
        <w:gridCol w:w="109"/>
        <w:gridCol w:w="109"/>
        <w:gridCol w:w="244"/>
        <w:gridCol w:w="244"/>
        <w:gridCol w:w="244"/>
        <w:gridCol w:w="244"/>
        <w:gridCol w:w="244"/>
        <w:gridCol w:w="351"/>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Adjusted EBITDA</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120,319 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75,091 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45,228 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15.1%</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$45.2 million, or 60.2% increase for the twelve months ended December 31, 2024 compared to the prior year period was primarily due to an increase in net revenues and improved operating efficiencies enabled by agent productivity, targeted marketing and enhancements in our proprietary technology.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0"/>
        <w:gridCol w:w="1257"/>
        <w:gridCol w:w="1783"/>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are our Submissions, Sales per Submission and Direct Operating Cost per Submission for the periods presented:</w:t>
      </w:r>
    </w:p>
    <w:p>
      <w:pPr>
        <w:pStyle w:val="TextBody"/>
        <w:bidi w:val="0"/>
        <w:spacing w:before="0" w:after="0"/>
        <w:jc w:val="left"/>
        <w:rPr/>
      </w:pPr>
      <w:r>
        <w:rPr/>
      </w:r>
    </w:p>
    <w:tbl>
      <w:tblPr>
        <w:tblW w:w="6575" w:type="dxa"/>
        <w:jc w:val="left"/>
        <w:tblInd w:w="0" w:type="dxa"/>
        <w:tblLayout w:type="fixed"/>
        <w:tblCellMar>
          <w:top w:w="28" w:type="dxa"/>
          <w:left w:w="28" w:type="dxa"/>
          <w:bottom w:w="28" w:type="dxa"/>
          <w:right w:w="28" w:type="dxa"/>
        </w:tblCellMar>
      </w:tblPr>
      <w:tblGrid>
        <w:gridCol w:w="1044"/>
        <w:gridCol w:w="914"/>
        <w:gridCol w:w="921"/>
        <w:gridCol w:w="109"/>
        <w:gridCol w:w="109"/>
        <w:gridCol w:w="109"/>
        <w:gridCol w:w="276"/>
        <w:gridCol w:w="595"/>
        <w:gridCol w:w="109"/>
        <w:gridCol w:w="109"/>
        <w:gridCol w:w="109"/>
        <w:gridCol w:w="109"/>
        <w:gridCol w:w="233"/>
        <w:gridCol w:w="503"/>
        <w:gridCol w:w="109"/>
        <w:gridCol w:w="109"/>
        <w:gridCol w:w="109"/>
        <w:gridCol w:w="109"/>
        <w:gridCol w:w="233"/>
        <w:gridCol w:w="503"/>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8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Submissions</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1,016,182 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826,159 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862,656 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Direct Operating 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Submissions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16280"/>
                <wp:effectExtent l="0" t="0" r="0" b="0"/>
                <wp:wrapNone/>
                <wp:docPr id="57" name="Frame5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p>
      <w:pPr>
        <w:pStyle w:val="TextBody"/>
        <w:bidi w:val="0"/>
        <w:spacing w:before="0" w:after="0"/>
        <w:jc w:val="left"/>
        <w:rPr/>
      </w:pPr>
      <w:r>
        <w:rPr/>
      </w:r>
    </w:p>
    <w:tbl>
      <w:tblPr>
        <w:tblW w:w="7102"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605"/>
        <w:gridCol w:w="266"/>
        <w:gridCol w:w="263"/>
        <w:gridCol w:w="263"/>
        <w:gridCol w:w="263"/>
        <w:gridCol w:w="263"/>
        <w:gridCol w:w="511"/>
        <w:gridCol w:w="263"/>
        <w:gridCol w:w="263"/>
        <w:gridCol w:w="109"/>
        <w:gridCol w:w="109"/>
        <w:gridCol w:w="109"/>
        <w:gridCol w:w="368"/>
        <w:gridCol w:w="368"/>
        <w:gridCol w:w="271"/>
        <w:gridCol w:w="109"/>
        <w:gridCol w:w="109"/>
        <w:gridCol w:w="109"/>
        <w:gridCol w:w="233"/>
        <w:gridCol w:w="233"/>
        <w:gridCol w:w="53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1,016,182 </w:t>
            </w:r>
          </w:p>
        </w:tc>
        <w:tc>
          <w:tcPr>
            <w:tcW w:w="26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826,159 </w:t>
            </w:r>
          </w:p>
        </w:tc>
        <w:tc>
          <w:tcPr>
            <w:tcW w:w="26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190,023 </w:t>
            </w:r>
          </w:p>
        </w:tc>
        <w:tc>
          <w:tcPr>
            <w:tcW w:w="27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increase for the twelve months ended December 31, 2024 compared to the prior year period was primarily attributable to an increase in Submissions generated by GoHealth’s internal network of agents, powered by our enhanced marketing efforts, investments in technology and an increased agent headcount as a result of the e-TeleQuote acquisition. The increase was partially offset by a decrease in Submissions generated by our external agents due to broader market pressures impacting our external broker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Sales Per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is an operating metric that represents the average performance of Submissions generated during the reporting period. Sales per Submission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 Sales per Submission measures revenues only from the Submissions generated in the period and excludes items that are unrelated to such Submissions. Sales per Submission is not meant to be considered as an indicator of financial performance in isolation from or as a substitute for the Company’s net revenues. Management uses this metric to measure the performance of the Submissions generated in a reporting period by reviewing and presenting average performance on a per Submission basis over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numerator of Sales per Submission includes revenues generated by Submissions produced in the reporting period through both our agency and non-agency models. 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Agency revenue refers to the expected amount of initial commission revenue and any renewal commissions to be paid from the health plan partners on such placement as long as the policyholder remains with the same insurance product.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this Annual Report on Form 10-K. Agency revenue includes partner marketing revenue, in which the Company is compensated by its health plan partners for providing marketing services over a predetermined measurement period. The Company recognizes partner marketing revenue over the measurement period as Submissions are generated and generally gets paid a fixed fee per Submission that results in either a policy effectuating or staying in-force through the rapid disenrollment period, or 90 days post-effectuation.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Non-agency revenue refers to enrollment and engagement services for which cash is collected in advance or in close proximity to the point in time revenue is recognized, with the amount of variable consideration generally resolved within 90 days of when the related policy effectuates. The Company does not receive commissions on subsequent renewals for non-agency Submissions. For more information on the Company’s agency and non-agency revenue, refer to Note 10,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p>
      <w:pPr>
        <w:pStyle w:val="TextBody"/>
        <w:bidi w:val="0"/>
        <w:spacing w:before="0" w:after="0"/>
        <w:jc w:val="left"/>
        <w:rPr/>
      </w:pPr>
      <w:r>
        <w:rPr/>
      </w:r>
    </w:p>
    <w:tbl>
      <w:tblPr>
        <w:tblW w:w="6973"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61"/>
        <w:gridCol w:w="561"/>
        <w:gridCol w:w="145"/>
        <w:gridCol w:w="145"/>
        <w:gridCol w:w="145"/>
        <w:gridCol w:w="145"/>
        <w:gridCol w:w="261"/>
        <w:gridCol w:w="561"/>
        <w:gridCol w:w="145"/>
        <w:gridCol w:w="109"/>
        <w:gridCol w:w="109"/>
        <w:gridCol w:w="109"/>
        <w:gridCol w:w="244"/>
        <w:gridCol w:w="431"/>
        <w:gridCol w:w="136"/>
        <w:gridCol w:w="109"/>
        <w:gridCol w:w="109"/>
        <w:gridCol w:w="109"/>
        <w:gridCol w:w="224"/>
        <w:gridCol w:w="226"/>
        <w:gridCol w:w="532"/>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16280"/>
                <wp:effectExtent l="0" t="0" r="0" b="0"/>
                <wp:wrapNone/>
                <wp:docPr id="58" name="Frame5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decrease for the twelve months ended December 31, 2024 compared to the prior year period was primarily attributable to a shift from non-agency to agency revenue as a result of changing carrier mix within the non-agency channel. The decrease was further attributable to a decline in LTV rates due to lower persistency.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Direct Operating Cost Per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Direct Operating Cost per Submission is an operating metric that represents the average performance of Submissions generated during the reporting period. Direct Operating Cost per Submission measures costs directly attributable to Submissions generated in the period and excludes costs that are indirect or fixed. The numerator of Direct Operating Cost per Submission, referred to as Direct Operating Cost of Submission, is the portion of the respective operating expenses for revenue share, marketing and advertising and consumer care and enrollment that are directly related to the Submissions generated in the reporting period. Management uses this metric to measure the cost of the Submissions generated in a reporting period by reviewing and presenting average cost on a per Submission basis over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 share represents variable expense related to agency and non-agency Submissions generated in the reporting period by our external agents with whom we have a revenue-sharing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Consumer care and enrollment expenses primarily consist of compensation and benefits costs for enrollment personnel who assist consumers during the health plan enrollment and application processes and such expenses are generally variable with Submissions. These amounts exclude items that are unrelated to Submissions generated in the reporting period such as share-based compensation expense and Non-Encompass BPO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Direct Operating Cost per Submission for the periods presented:</w:t>
      </w:r>
    </w:p>
    <w:p>
      <w:pPr>
        <w:pStyle w:val="TextBody"/>
        <w:bidi w:val="0"/>
        <w:spacing w:before="0" w:after="0"/>
        <w:jc w:val="left"/>
        <w:rPr/>
      </w:pPr>
      <w:r>
        <w:rPr/>
      </w:r>
    </w:p>
    <w:tbl>
      <w:tblPr>
        <w:tblW w:w="8387" w:type="dxa"/>
        <w:jc w:val="left"/>
        <w:tblInd w:w="0" w:type="dxa"/>
        <w:tblLayout w:type="fixed"/>
        <w:tblCellMar>
          <w:top w:w="28" w:type="dxa"/>
          <w:left w:w="28" w:type="dxa"/>
          <w:bottom w:w="28" w:type="dxa"/>
          <w:right w:w="28" w:type="dxa"/>
        </w:tblCellMar>
      </w:tblPr>
      <w:tblGrid>
        <w:gridCol w:w="1135"/>
        <w:gridCol w:w="997"/>
        <w:gridCol w:w="1003"/>
        <w:gridCol w:w="109"/>
        <w:gridCol w:w="109"/>
        <w:gridCol w:w="109"/>
        <w:gridCol w:w="261"/>
        <w:gridCol w:w="561"/>
        <w:gridCol w:w="145"/>
        <w:gridCol w:w="145"/>
        <w:gridCol w:w="145"/>
        <w:gridCol w:w="145"/>
        <w:gridCol w:w="261"/>
        <w:gridCol w:w="561"/>
        <w:gridCol w:w="145"/>
        <w:gridCol w:w="109"/>
        <w:gridCol w:w="109"/>
        <w:gridCol w:w="109"/>
        <w:gridCol w:w="214"/>
        <w:gridCol w:w="496"/>
        <w:gridCol w:w="120"/>
        <w:gridCol w:w="109"/>
        <w:gridCol w:w="109"/>
        <w:gridCol w:w="109"/>
        <w:gridCol w:w="269"/>
        <w:gridCol w:w="271"/>
        <w:gridCol w:w="532"/>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Direct Operating Cost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2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decrease for the twelve months ended December 31, 2024 compared to the prior year period was primarily attributable to improvements in agent productivity through enhanced training programs and investment in our technology. Our focus on Direct Operating Cost per Submission enables us to effectively manage expenses and investment in a highly regulated industry where benefits change annually, contracting dynamics change annually and consumer behavior can vary.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Sales/Direct Operating Cost of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Sales/Direct Operating Cost of Submission represents the numerator of Sales per Submission, as defined above, divided by Direct Operating Cost of Submission, as defined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are our Direct Operating Cost of Submission (in thousands) and Sales/Direct Operating Cost of Submission for the periods presented:</w:t>
      </w:r>
    </w:p>
    <w:tbl>
      <w:tblPr>
        <w:tblW w:w="7373" w:type="dxa"/>
        <w:jc w:val="left"/>
        <w:tblInd w:w="0" w:type="dxa"/>
        <w:tblLayout w:type="fixed"/>
        <w:tblCellMar>
          <w:top w:w="28" w:type="dxa"/>
          <w:left w:w="28" w:type="dxa"/>
          <w:bottom w:w="28" w:type="dxa"/>
          <w:right w:w="28" w:type="dxa"/>
        </w:tblCellMar>
      </w:tblPr>
      <w:tblGrid>
        <w:gridCol w:w="1168"/>
        <w:gridCol w:w="1026"/>
        <w:gridCol w:w="1030"/>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24"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Direct Operating Cost of Submission</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587,371 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563,552 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644,706 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Sales/Direct Operating 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increase in Sales/Direct Operating Cost of Submission compared to the prior year was primarily attributable to improvements in agent productivity through enhanced training programs and investment in our technology. The increase in Direct Operating Cost of Submission compared to the prior year was primarily attributable to increases in marketing and advertising and consumer care and enrollment expenses, partially offset by a decrease in revenue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see Note 1. “Description of Business and Significant Accounting Policies,” to the Consolidated Financial Statements included in Item 8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16280"/>
                <wp:effectExtent l="0" t="0" r="0" b="0"/>
                <wp:wrapNone/>
                <wp:docPr id="59" name="Frame5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Overview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liquidity needs primarily include working capital and debt service requirements. At December 31, 2024, cash and cash equivalents totaled $40.9 million. We believe that our current sources of liquidity, which include cash and cash equivalents and funds available under the Credit Facilities, as described further below, will be sufficient to meet our projected operating and debt service requirements for at least the next twelve months. Short-term liquidity needs will primarily be funded through the Revolving Credit Facilities, as described further below, if necessary.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a summary of cash flows for the twelve months ended December 31, 2024, 2023, and 2022;</w:t>
      </w:r>
    </w:p>
    <w:tbl>
      <w:tblPr>
        <w:tblW w:w="8191" w:type="dxa"/>
        <w:jc w:val="left"/>
        <w:tblInd w:w="0" w:type="dxa"/>
        <w:tblLayout w:type="fixed"/>
        <w:tblCellMar>
          <w:top w:w="28" w:type="dxa"/>
          <w:left w:w="28" w:type="dxa"/>
          <w:bottom w:w="28" w:type="dxa"/>
          <w:right w:w="28" w:type="dxa"/>
        </w:tblCellMar>
      </w:tblPr>
      <w:tblGrid>
        <w:gridCol w:w="1364"/>
        <w:gridCol w:w="1197"/>
        <w:gridCol w:w="1203"/>
        <w:gridCol w:w="109"/>
        <w:gridCol w:w="109"/>
        <w:gridCol w:w="109"/>
        <w:gridCol w:w="196"/>
        <w:gridCol w:w="721"/>
        <w:gridCol w:w="109"/>
        <w:gridCol w:w="109"/>
        <w:gridCol w:w="109"/>
        <w:gridCol w:w="109"/>
        <w:gridCol w:w="196"/>
        <w:gridCol w:w="736"/>
        <w:gridCol w:w="109"/>
        <w:gridCol w:w="109"/>
        <w:gridCol w:w="109"/>
        <w:gridCol w:w="109"/>
        <w:gridCol w:w="196"/>
        <w:gridCol w:w="811"/>
        <w:gridCol w:w="109"/>
        <w:gridCol w:w="109"/>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(21,607)</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109,141 </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60,904 </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 primarily consists of net income (loss) adjusted for certain non-cash items including share-based compensation, depreciation and amortization, amortization of intangible assets, amortization of debt discount and issuance costs, intangible impairment charges, loss on extinguishment of debt, operating lease impairment charges, deferred tax liability, non-cash restructuring charges, non-cash lease expense, gain on bargain purchase and the effect of changes in working capital and other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operating activities was $21.6 million for the twelve months ended December 31, 2024, compared to net cash provided by operating activities of $109.1 million for the twelve months ended December 31, 2023. The $130.7 million decrease was primarily driven by a decrease in cash from working capital components from commissions receivable, other liabilities, accounts payable, accounts receivable and accrued liabilities. The decrease was partially offset by an increase in cash from working capital components from prepaid assets and other current assets and commissions payable, as well as an increase in net income (loss).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 increased to $3.8 million for the twelve months ended December 31, 2024, from $13.7 million net cash used in investing activities for the twelve months ended December 31, 2023. The change was primarily driven by the acquisition of e-TeleQuote, partially offset by an increase in capitalized internal-use software related to new technology, software and systems.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financing activities was $32.0 million for the twelve months ended December 31, 2024, from $21.1 million for the twelve months ended December 31, 2023. The increase was primarily driven by an increase in repayments of our Term Loan Facilities, an increase in payments related to debt issuance costs related to the Amended and Restated Credit Agreement, partially offset by an increase in borrowings under the Revolving Credit Facilities and a decrease in payments of preferred stock dividends compared to the prior year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During 2019, Norvax (the “Borrower”) entered into a first lien credit agreement (as amended from time to time, the “Credit Agreement”) which provided for, among other items as further described below, (i) $117.0 million of incremental term loans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16280"/>
                <wp:effectExtent l="0" t="0" r="0" b="0"/>
                <wp:wrapNone/>
                <wp:docPr id="60" name="Frame5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18"/>
        </w:rPr>
        <w:t>Incremental Term Loan Facility”), (ii) a new class of incremental term loans (the ”2021 Incremental Term Loans”) in an aggregate principal amount equal to $310.0 million and (iii) a new class of incremental term loans (the “2021-2 Incremental Term Loans”) in an aggregate principal amount equal to $100.0 million. The Company collectively refers to the Incremental Term Loan Facility, the 2021 Incremental Term Loans and the 2021-2 Incremental Term Loans as the “Term Loan Facilities.”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November 4, 2024 (the “Effective Date”), the Borrower entered into the Amendment and Restatement Agreement, which amended and restated the Credit Agreement to provide for, among other items as further described below, a new class of term loan facilities (the “New Term Loan Facility”) in an aggregate principal amount equal to $475.0 million. The proceeds of the New Term Loan Facility were used to (i) refinance the $427.7 million principal amount outstanding as of the Effective Date under the Term Loan Facilities (ii) pay all accrued and unpaid interest related to the foregoing and (iii) pay related fees and expenses. In connection with the refinancing of the Term Loan Facilities, the Company recognized a $10.5 million loss on extinguishment of debt, representing the write-down of deferred debt discount and debt issuance costs of the extinguished Term Loan Facilities. In connection with the New Term Loan Facility, the Borrower incurred $16.6 million of debt discount and $1.6 million of debt issuance costs, which are being amortized over the life of the debt to interest expense using the effective interest method. Beginning on March 31, 2025, principal payments equal to 2.00% of the outstanding principal balance per annum of the New Term Loans will be paid in equal quarterly installments. To the extent not previously paid, the New Term Loan Facility, together with all accrued and unpaid interest thereon, is due and payable on November 4, 2029.</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of December 31, 2024, the Company had a principal amount of $475.0 million outstanding under the New Term Loan Facility and no principal amounts outstanding under Term Loan Facilities. The effective interest rate of the New Term Loan Facility was 12.06% at December 31, 2024. As of December 31, 2023, the Company had a principal amount of $110.4 million, $296.3 million and $96.1 million outstanding under the Incremental Term Loan Facility, 2021 Incremental Term Loans and 2021-2 Incremental Term Loans, respectively. The effective interest rate of the Term Loan Facilities was 13.0% at December 31,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Subject to the terms of the Credit Agreement, the lenders accepted the Company’s offer of an Excess Cash Flow prepayment (as defined in the Credit Agreement prior to the Effective Date of the Amended and Restated Credit Agreement) in connection with fiscal year 2022, and as such, the Company paid $14.0 million during the second quarter of 2023. During the twelve months ended December 31, 2024, the Borrower paid two prepayments totaling $75.0 million pursuant to Amendment No. 11. No other mandatory prepayments were required or made during the twelve months ended December 31, 2024, 2023 or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5, “Long-Term Debt,” to the Consolidated Financial Statements in this Annual Report on Form 10-K for additional information regarding the Company’s term loans.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Through a series of amendments during 2020 and 2021, the Credit Agreement provided for a revolving credit facility in an aggregate principal amount of $200.0 million which was separated into two classes of revolving commitments consisting of Class A Revolving Commitments in the amount of $30.0 million and Class B Revolving Commitments in the amount of $170.0 million</w:t>
      </w:r>
      <w:r>
        <w:rPr>
          <w:rFonts w:ascii="Arial;sans-serif" w:hAnsi="Arial;sans-serif"/>
          <w:b w:val="false"/>
          <w:color w:val="000000"/>
          <w:sz w:val="18"/>
          <w:shd w:fill="FFFFFF" w:val="clear"/>
        </w:rPr>
        <w:t xml:space="preserve">, each maturing on September 13, 2024. Pursuant to Amendment No. 11, effective </w:t>
      </w:r>
      <w:r>
        <w:rPr>
          <w:rFonts w:ascii="Arial;sans-serif" w:hAnsi="Arial;sans-serif"/>
          <w:b w:val="false"/>
          <w:color w:val="000000"/>
          <w:sz w:val="18"/>
        </w:rPr>
        <w:t xml:space="preserve">March 12, 2024, lenders consenting to an extension to the maturity of their respective commitments formed </w:t>
      </w:r>
      <w:r>
        <w:rPr>
          <w:rFonts w:ascii="Arial;sans-serif" w:hAnsi="Arial;sans-serif"/>
          <w:b w:val="false"/>
          <w:color w:val="000000"/>
          <w:sz w:val="18"/>
          <w:shd w:fill="FFFFFF" w:val="clear"/>
        </w:rPr>
        <w:t xml:space="preserve">a new tranche of Class A Revolving Commitments (the “New Class A Revolving Commitments”) and the non-consenting lenders remained part of the existing Class B Revolving Commitments. Each consenting lender received a 50% commitment reduction, resulting in a total of </w:t>
      </w:r>
      <w:r>
        <w:rPr>
          <w:rFonts w:ascii="Arial;sans-serif" w:hAnsi="Arial;sans-serif"/>
          <w:b w:val="false"/>
          <w:color w:val="000000"/>
          <w:sz w:val="18"/>
        </w:rPr>
        <w:t xml:space="preserve">$88.5 million </w:t>
      </w:r>
      <w:r>
        <w:rPr>
          <w:rFonts w:ascii="Arial;sans-serif" w:hAnsi="Arial;sans-serif"/>
          <w:b w:val="false"/>
          <w:color w:val="000000"/>
          <w:sz w:val="18"/>
          <w:shd w:fill="FFFFFF" w:val="clear"/>
        </w:rPr>
        <w:t xml:space="preserve">available to the Company under the New Class A Revolving Commitments, with $23.0 million remaining available to the Company under the Class B Revolving Commitments. </w:t>
      </w:r>
      <w:r>
        <w:rPr>
          <w:rFonts w:ascii="Arial;sans-serif" w:hAnsi="Arial;sans-serif"/>
          <w:b w:val="false"/>
          <w:color w:val="000000"/>
          <w:sz w:val="18"/>
        </w:rPr>
        <w:t>The New Class A Revolving Commitments mature on June 30, 2025 and bear interest at either ABR plus 5.50% per annum or SOFR plus 6.50% per annum. The remaining Class B Revolving Commitments matured on September 13, 2024 and bore interest at either ABR plus 3.00% per annum or SOFR plus 4.00% per annum. The Borrower is required to pay a commitment fee of 0.50% per annum on undrawn amounts under the New Class A Revolving Commitments.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The Amendment and Restatement Agreement, which amended and restated the Credit Agreement, provided for, among other items, an additional revolving credit facility with a commitment amount of $35.0 million (the “Class A-1 Revolving Credit Facility”), which will be made available to the Borrower upon the termination of the </w:t>
      </w:r>
      <w:r>
        <w:rPr>
          <w:rFonts w:ascii="Arial;sans-serif" w:hAnsi="Arial;sans-serif"/>
          <w:b w:val="false"/>
          <w:color w:val="000000"/>
          <w:sz w:val="18"/>
          <w:shd w:fill="FFFFFF" w:val="clear"/>
        </w:rPr>
        <w:t>New Class A Revolving Commitments</w:t>
      </w:r>
      <w:r>
        <w:rPr>
          <w:color w:val="000000"/>
        </w:rPr>
        <w:t xml:space="preserve"> </w:t>
      </w:r>
      <w:r>
        <w:rPr>
          <w:rFonts w:ascii="Arial;sans-serif" w:hAnsi="Arial;sans-serif"/>
          <w:b w:val="false"/>
          <w:color w:val="000000"/>
          <w:sz w:val="18"/>
        </w:rPr>
        <w:t>on or prior to June 30, 2025 (the “New Class A Revolving Facility Termination Date”). Outstanding borrowings under the Class A-1 Revolving Credit Facility are due and payable on November 4, 2029. The proceeds of any loans under the Class A-1 Revolving Credit Facility, once available, may be used to repay the New Class A Revolving Loans that remain outstanding on June 30, 2025, to finance working capital needs and for general corporate purposes. At the option of the Borrower and prior to the New Class A Revolving Facility Termination Date, the Class A-1 Revolving Credit Facility will bear interest at either (i) ABR plus 6.50% per annum or (ii) SOFR plus 7.50% per annum. After the New Class A Revolving Facility Termination Date, the Class A-1 Revolving Credit Facility will bear interest at either (i) ABR plus 6.25% per annum or (ii) SOFR plus 7.25% per annum. The Borrower is required to pay a commitment fee of 1% per annum on undrawn amounts under the Class A-1 Revolving Credit Facility.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 Company had $30.0 million outstanding under the New Class A Revolving Credit Facility and no amounts outstanding under the Class A-1 Revolving Credit Facility. The New Class A Revolving Credit Facility and Class A-1 Revolving Credit Facility had a remaining capacity of $58.5 million and $35.0 million, respectively, as of December 31, 2024. The Company had no amounts outstanding under the Class A Revolving Credit Facilities and Class B Revolving Credit Facilities as of December 31, 2023. The Class A Revolving Credit Facilities and Class B Revolving Credit Facilities had a remaining capacity of $200.0 million in the aggregate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16280"/>
                <wp:effectExtent l="0" t="0" r="0" b="0"/>
                <wp:wrapNone/>
                <wp:docPr id="61" name="Frame5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See Note 5, “Long-Term Debt,” to the Consolidated Financial Statements in this Annual Report on Form 10-K for additional information regarding the Company’s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240" w:after="283"/>
        <w:jc w:val="left"/>
        <w:rPr/>
      </w:pPr>
      <w:r>
        <w:rPr>
          <w:rFonts w:ascii="Arial;sans-serif" w:hAnsi="Arial;sans-serif"/>
          <w:b w:val="false"/>
          <w:color w:val="000000"/>
          <w:sz w:val="18"/>
        </w:rPr>
        <w:t>The Medicare annual enrollment period (“AEP”)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and in general, we experience an increase in the number of Submissions during the fourth quarter and an increase in expense related to the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Submissions are typically second-highest in the first quarter. The second and third quarters are known as special election periods, during which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Commission revenue recognition and commissions receivable;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Share-based compensation;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Intangible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Impairment of operating lease ROU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Liabilities pursuant to the TRA.</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Commission Revenue Recognition and Commissions Receivable</w:t>
      </w:r>
    </w:p>
    <w:p>
      <w:pPr>
        <w:pStyle w:val="TextBody"/>
        <w:bidi w:val="0"/>
        <w:spacing w:lineRule="auto" w:line="288" w:before="240" w:after="283"/>
        <w:jc w:val="left"/>
        <w:rPr/>
      </w:pPr>
      <w:r>
        <w:rPr>
          <w:rFonts w:ascii="Arial;sans-serif" w:hAnsi="Arial;sans-serif"/>
          <w:b w:val="false"/>
          <w:color w:val="000000"/>
          <w:sz w:val="18"/>
        </w:rPr>
        <w:t xml:space="preserve">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revenue is recognized when a customer obtains control of promised goods or services and is recognized in an amount that reflects the consideration that an entity expects to receive in exchange for those goods or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Significant management judgments and estimates must be made to determine the commission revenue to be recognized in any accounting period. If we made different judgments or utilized different estimates for any period, material differences in the amount and timing of commission revenue recognized could result. The accounting estimates and judgments related to the recognition of commission revenue require us to make assumptions about numerous factors, such as the determination of performance obligations and determination of the transaction price. The estimate of renewal commissions is considered variable consideration in the transaction price and requires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health plan partner experience data, historical payment data by health plan partner, as well as current forecast data to estimate forecasted renewal commissions, and then to constrain commission revenue recognized to the extent that it is probable that a significant reversal in the amount of cumulative revenue recognized will not occur. The uncertainty associated with the variable consideration is subsequently resolved when the policy terminates.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includes the variable consideration for policies that may renew, and therefore, are subject to the same assumptions, judgments and estimates used when recognizing commission revenue as noted above. See Note 10, “Revenue,” for further discussion of commission revenue and commissions receivable.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16280"/>
                <wp:effectExtent l="0" t="0" r="0" b="0"/>
                <wp:wrapNone/>
                <wp:docPr id="62" name="Frame6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grant share-based awards to employees and non-employee directors. Share-based awards include time-vesting profits units (“Time-Vesting Units”), restricted stock units (“RSUs”), stock options, performance stock units (“PSUs”) and stock appreciation rights ("SARs"). We recognize compensation expense for all share-based awards based on the estimated grant date fair value. Share-based compensation expense for Time-Vesting Units, RSUs, stock options and PSUs are recognized on a straight-line basis over the requisite service or performance period, which is generally three to five years. We recognize forfeitures as they occur.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Time-Vesting Units and market-based PSUs are determined using a Monte Carlo simulation. Embedded in the simulation are several assumptions, including the expected life of the award, expected dividend yield, the risk-free interest rate and the expected volatility.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fair value of RSUs and performance-based PSUs are determined based on the closing stock price on the grant date. For awards contingent on the achievement of a performance condition, we reassess the probability of attainment using assumptions of future earnings based on management’s most recent long-range forecast.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stock options is calculated using a Black-Scholes pricing model. Embedded in the pricing model are several assumptions, including the expected life of the award, the expected dividend yield, the risk-free interest rate and the expected volatility.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pricing model based on the life of the award, dividend yield, risk-free interest rate, volatility and our period-end stock price. SARs are liability-classified awards, and as such, are recorded as a liability on the Consolidated Balance Sheets.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assumptions we use represent management's best estimates. If factors change and different assumptions are used, our compensation expense for stock options could be materially different for future grants.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7, “Share-Based Compensation Plans,” for further discussion of share-based compensation.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Intangible Assets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8"/>
        </w:rPr>
        <w:t>Our trade names asset is an indefinite-lived intangible asset tested for impairment, using either a qualitative or quantitative approach, on November 30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of each year or whenever events or changes in circumstances indicate that an impairment may exist. In conducting the qualitative assessment, we first determine if, based on qualitative factors, it is more likely than not that an impairment exists. Factors considered include macroeconomic conditions, industry and competitive conditions, legal and regulatory environment and actual and projected operating performance, among other factors. If the qualitative assessment indicates that it is more likely than not that an impairment exists, then a quantitative assessment is performed. In the quantitative assessment for indefinite-lived intangible assets, an assessment is performed to determine the fair value of the indefinite-lived intangible asset. We may choose to bypass the qualitative assessment for an indefinite-lived intangible asset in any period and proceed directly to calculating its fair value. If the carrying amount of our indefinite-lived intangible trade names exceeds its fair value, an impairment loss is recognized in an amount equal to that excess. Determination of fair value involves significant estimates and assumptions including, among others, cash flow projections and selecting appropriate royalty and discount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performed a qualitative assessment for our annual indefinite-lived impairment test performed as of November 30, 2024. After consideration of the qualitative factors described above, we concluded that it is more likely than not that the fair value of the trade names asset exceeds the carrying value of such asset. As such, we did not perform a quantitative analysis at the assessment date and recorded no impairment charges during the twelve months ended December 31,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our annual indefinite-lived impairment test performed as of November 30, 2023, the Company determined that the fair value of our indefinite-lived trade names no longer exceeded their carrying value. As a result, during the twelve months ended December 31, 2023, we recorded an indefinite-lived trade names impairment charge of $10.0 million to write down the carrying value of the indefinite-lived trade names to their fair value of $73.0 million. Determination of fair value involves utilizing the relief-from-royalty under the income approach which contains significant estimates and assumptions including, among others, revenue projections as well as selecting appropriate royalty and discount rates. While we believe the judgments and assumptions are reasonable, different assumptions could change the estimated fair value and, therefore, additional impairments could be required. Weakening industry or economic trends, disruptions to our business, changes in discount rate assumptions, unexpected significant changes or planned changes in the use of the assets or in our entity structure are all factors which may adversely impact the assumptions used in the valuation.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Intangible assets subject to amortization are also evaluated for impairment when indicators of impairment are determined to exist. Recoverability of these assets is measured by a comparison of the carrying amounts to the future undiscounted cash flows the assets are expected to generate from their use and eventual disposition. If such review indicates that the carrying amount of intangible assets is not recoverable, the carrying amount of such assets is reduced to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16280"/>
                <wp:effectExtent l="0" t="0" r="0" b="0"/>
                <wp:wrapNone/>
                <wp:docPr id="63" name="Frame6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4, "Intangible Assets, Net" for further discussion of our intangible assets.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Impairment of Operating Lease ROU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reviews operating lease right-of-use (“ROU”) assets, in conjunction with other long-lived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Assets are grouped at the lowest level for which identifiable cash flows are largely independent of the cash flows of other groups of assets and liabilities, unless facts and circumstances indicate otherwise. During the twelve months ended December 31, 2024, 2023 and 2022, the Company was actively looking to terminate or sublease certain office spaces and call centers that were deemed no longer economically beneficial to the Company. As a result, these properties are considered individual asset groups for the purpose of testing for impairment.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fair values were estimated using a discounted cash flow approach on forecasted future cash flows expected to be derived from the property based on current sublease market rent, which is considered a level 3 input in the fair value hierarchy. There are additional estimates and assumptions used to arrive at estimated future cash flows, including discount rate, downtime, abatement and commissions.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result of the impairment testing over certain operating lease ROU assets, the Company recorded operating lease impairment charges of $2.7 million and $25.3 million for the twelve months ended December 31, 2023 and 2022, respectively. There were no operating lease impairment charges for the twelve months ended December 31, 2024. See Note 3, “Fair Value Measurements,” for further discussion around fair value determinations.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Liabilities Pursuant to the TRA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the TRA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TRA. The Company may benefit from the remaining 15% of any tax benefits that the Company actually realizes.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amounts payable under the TRA will vary depending upon a number of factors, including the amount, character and timing of the taxable income of the Company in the future. In projecting future taxable income, the Company considers its historical results and incorporates certain assumptions, including revenue growth and operating margins, among others. The projection of future taxable income involves judgement and actual taxable income may differ from our estimates, which could impact the timing of payments under the TRA. If the Company determines that it will not be able to fully utilize all or part of the related tax benefits, the Company would reduce the portion of the TRA liability related to the tax benefits not expected to be utilized through earnings at that time.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and December 31, 2023, the Company determined that a $1.1 million and $0.8 million liability related to the Tax Receivable Agreement arose from the Transactions, respectively. Should the Company determine that any additional Tax Receivable Agreement liability is considered probable at a future date based on new information, any changes will be recorded within earnings at that time. See Note 9, “Income Taxes” for further discussion of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7A. QUANTITATIVE AND QUALITATIVE DISCLOSURES ABOUT MARKET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16280"/>
                <wp:effectExtent l="0" t="0" r="0" b="0"/>
                <wp:wrapNone/>
                <wp:docPr id="64" name="Frame6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To the Stockholders and the Board of Directors of GoHealth, Inc. </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have audited the accompanying consolidated balance sheets of GoHealth, Inc. (the Company) as of December 31, 2024 and 2023, the related consolidated statements of operations, comprehensive income (loss),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8"/>
          <w:shd w:fill="FFFFFF" w:val="clear"/>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r>
        <w:rPr>
          <w:rFonts w:ascii="Arial;sans-serif" w:hAnsi="Arial;sans-serif"/>
          <w:b w:val="false"/>
          <w:color w:val="000000"/>
          <w:sz w:val="18"/>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Critical Audit Matter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16280"/>
                <wp:effectExtent l="0" t="0" r="0" b="0"/>
                <wp:wrapNone/>
                <wp:docPr id="65" name="Frame6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465"/>
        <w:gridCol w:w="408"/>
        <w:gridCol w:w="410"/>
        <w:gridCol w:w="2713"/>
        <w:gridCol w:w="2563"/>
        <w:gridCol w:w="3646"/>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Revenue recognition: Estimated constrained lifetime value of commission revenue</w:t>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Description of the Matter</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Company recognized commission revenue of approximately $507 million in 2024 and the related commissions receivable was approximately $1,054 million at December 31, 2024. As described in Notes 1 and 10 to its consolidated financial statements, the Company’s commission revenue is recognized as the expected amount of initial commissions received from the health plan partners and any renewal commissions to be paid as the policyholder remains with the same insurance product, also known as the constrained lifetime value (“LTV”) of the policy.</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Auditing management’s determination of the LTV was complex and highly judgmental due to the complexity of the model used and the subjectivity required by the Company to: i. estimate the amount and timing of future cash flows, ii. calculate the amount of LTV that is probable of not being reversed, and iii. determine the timing and amount of any adjustment to revenue that results from changes in the estimates of previously recorded LTV based on an assessment of qualitative and quantitative factors, including actual cash received versus estimated cash collections of previously recorded LTV. The Company’s estimate of LTV is based on a number of assumptions, including forecasting persistency of a policyholder and forecasting the commission amounts probable to be received. These assumptions are based on historical experience, carrier experience, and industry data and incorporate management’s judgment in interpreting those trends and in applying constraints.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How We Addressed the Matter in Our Audit</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Our audit procedures included, among others, evaluating the methodology used and significant assumptions discussed above, testing the completeness and accuracy of the underlying data used by the Company, comparing contract terms to the underlying data, and agreeing amounts to cash receipts. We involved our valuation specialists to assist in our testing of the estimated persistency of policyholders, which includes policyholder attrition assumptions used to develop the LTV, including performing certain independent calculations. We inspected and compared the results of the Company’s retrospective review analysis of historical estimates for certain vintages to historical cash collection experience, including reperforming the calculations and assessing the completeness and accuracy of the underlying data used. In addition, we performed inquiries of key personnel regarding their evaluation of adjustments to LTV. We also inspected analyst reports, press releases, and other relevant third-party data for contrary evidence. </w:t>
            </w:r>
          </w:p>
          <w:p>
            <w:pPr>
              <w:pStyle w:val="TableContents"/>
              <w:bidi w:val="0"/>
              <w:spacing w:before="0" w:after="0"/>
              <w:jc w:val="left"/>
              <w:rPr/>
            </w:pPr>
            <w:r>
              <w:rPr/>
            </w:r>
          </w:p>
        </w:tc>
      </w:tr>
    </w:tbl>
    <w:tbl>
      <w:tblPr>
        <w:tblW w:w="4601" w:type="dxa"/>
        <w:jc w:val="left"/>
        <w:tblInd w:w="0" w:type="dxa"/>
        <w:tblLayout w:type="fixed"/>
        <w:tblCellMar>
          <w:top w:w="28" w:type="dxa"/>
          <w:left w:w="28" w:type="dxa"/>
          <w:bottom w:w="28" w:type="dxa"/>
          <w:right w:w="28" w:type="dxa"/>
        </w:tblCellMar>
      </w:tblPr>
      <w:tblGrid>
        <w:gridCol w:w="1392"/>
        <w:gridCol w:w="1225"/>
        <w:gridCol w:w="1229"/>
        <w:gridCol w:w="221"/>
        <w:gridCol w:w="221"/>
        <w:gridCol w:w="313"/>
      </w:tblGrid>
      <w:tr>
        <w:trPr/>
        <w:tc>
          <w:tcPr>
            <w:tcW w:w="139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Ernst &amp; Young LLP</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have served as the Company’s auditor since 2013.</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Chicago, Illinois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16280"/>
                <wp:effectExtent l="0" t="0" r="0" b="0"/>
                <wp:wrapNone/>
                <wp:docPr id="66" name="Frame6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OPERATIONS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2228"/>
        <w:gridCol w:w="1934"/>
        <w:gridCol w:w="1944"/>
        <w:gridCol w:w="109"/>
        <w:gridCol w:w="109"/>
        <w:gridCol w:w="109"/>
        <w:gridCol w:w="196"/>
        <w:gridCol w:w="628"/>
        <w:gridCol w:w="109"/>
        <w:gridCol w:w="109"/>
        <w:gridCol w:w="109"/>
        <w:gridCol w:w="109"/>
        <w:gridCol w:w="196"/>
        <w:gridCol w:w="718"/>
        <w:gridCol w:w="109"/>
        <w:gridCol w:w="109"/>
        <w:gridCol w:w="109"/>
        <w:gridCol w:w="109"/>
        <w:gridCol w:w="196"/>
        <w:gridCol w:w="808"/>
        <w:gridCol w:w="158"/>
      </w:tblGrid>
      <w:tr>
        <w:trPr/>
        <w:tc>
          <w:tcPr>
            <w:tcW w:w="222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950,341 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(318,666)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bargain 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(375,620)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(148,706)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loss per share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of Class A common stock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16280"/>
                <wp:effectExtent l="0" t="0" r="0" b="0"/>
                <wp:wrapNone/>
                <wp:docPr id="67" name="Frame6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COMPREHENSIVE INCOME (LOSS)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tbl>
      <w:tblPr>
        <w:tblW w:w="9466" w:type="dxa"/>
        <w:jc w:val="left"/>
        <w:tblInd w:w="0" w:type="dxa"/>
        <w:tblLayout w:type="fixed"/>
        <w:tblCellMar>
          <w:top w:w="28" w:type="dxa"/>
          <w:left w:w="28" w:type="dxa"/>
          <w:bottom w:w="28" w:type="dxa"/>
          <w:right w:w="28" w:type="dxa"/>
        </w:tblCellMar>
      </w:tblPr>
      <w:tblGrid>
        <w:gridCol w:w="1832"/>
        <w:gridCol w:w="1602"/>
        <w:gridCol w:w="1620"/>
        <w:gridCol w:w="109"/>
        <w:gridCol w:w="109"/>
        <w:gridCol w:w="109"/>
        <w:gridCol w:w="196"/>
        <w:gridCol w:w="631"/>
        <w:gridCol w:w="109"/>
        <w:gridCol w:w="109"/>
        <w:gridCol w:w="109"/>
        <w:gridCol w:w="109"/>
        <w:gridCol w:w="196"/>
        <w:gridCol w:w="811"/>
        <w:gridCol w:w="109"/>
        <w:gridCol w:w="109"/>
        <w:gridCol w:w="109"/>
        <w:gridCol w:w="109"/>
        <w:gridCol w:w="196"/>
        <w:gridCol w:w="811"/>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11"/>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(148,791)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16280"/>
                <wp:effectExtent l="0" t="0" r="0" b="0"/>
                <wp:wrapNone/>
                <wp:docPr id="68" name="Frame6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6"/>
        </w:rPr>
      </w:pPr>
      <w:r>
        <w:rPr>
          <w:rFonts w:ascii="Arial;sans-serif" w:hAnsi="Arial;sans-serif"/>
          <w:b/>
          <w:color w:val="0A2299"/>
          <w:sz w:val="16"/>
        </w:rPr>
        <w:t>GOHEALTH, INC.</w:t>
      </w:r>
    </w:p>
    <w:p>
      <w:pPr>
        <w:pStyle w:val="TextBody"/>
        <w:bidi w:val="0"/>
        <w:spacing w:lineRule="auto" w:line="288" w:before="60" w:after="283"/>
        <w:jc w:val="center"/>
        <w:rPr>
          <w:rFonts w:ascii="Arial;sans-serif" w:hAnsi="Arial;sans-serif"/>
          <w:b/>
          <w:color w:val="0A2299"/>
          <w:sz w:val="16"/>
        </w:rPr>
      </w:pPr>
      <w:r>
        <w:rPr>
          <w:rFonts w:ascii="Arial;sans-serif" w:hAnsi="Arial;sans-serif"/>
          <w:b/>
          <w:color w:val="0A2299"/>
          <w:sz w:val="16"/>
        </w:rPr>
        <w:t>CONSOLIDATED BALANCE SHEETS</w:t>
      </w:r>
    </w:p>
    <w:p>
      <w:pPr>
        <w:pStyle w:val="TextBody"/>
        <w:bidi w:val="0"/>
        <w:spacing w:lineRule="auto" w:line="288" w:before="60" w:after="283"/>
        <w:jc w:val="center"/>
        <w:rPr>
          <w:rFonts w:ascii="Arial;sans-serif" w:hAnsi="Arial;sans-serif"/>
          <w:b w:val="false"/>
          <w:i/>
          <w:color w:val="0A2299"/>
          <w:sz w:val="16"/>
        </w:rPr>
      </w:pPr>
      <w:r>
        <w:rPr>
          <w:rFonts w:ascii="Arial;sans-serif" w:hAnsi="Arial;sans-serif"/>
          <w:b w:val="false"/>
          <w:i/>
          <w:color w:val="0A2299"/>
          <w:sz w:val="16"/>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10"/>
        <w:gridCol w:w="2280"/>
        <w:gridCol w:w="2273"/>
        <w:gridCol w:w="109"/>
        <w:gridCol w:w="109"/>
        <w:gridCol w:w="109"/>
        <w:gridCol w:w="181"/>
        <w:gridCol w:w="781"/>
        <w:gridCol w:w="109"/>
        <w:gridCol w:w="109"/>
        <w:gridCol w:w="109"/>
        <w:gridCol w:w="109"/>
        <w:gridCol w:w="181"/>
        <w:gridCol w:w="781"/>
        <w:gridCol w:w="155"/>
      </w:tblGrid>
      <w:tr>
        <w:trPr/>
        <w:tc>
          <w:tcPr>
            <w:tcW w:w="281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 31,</w:t>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Accounts receivable, net of allowance for doubtful accounts of $1 in 2024 and $27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476,440 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575,482 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1,499,570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370,013 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674,602 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 redeemable convertible preferred stock — $0.0001 par value; 50 shares authorized; 50 shares issued and outstanding as of both December 31, 2024 and December 31, 2023. Liquidation preference of $54.6 million and $50.9 million as of December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A common stock – $0.0001 par value; 1,100,000 shares authorized; 10,614 and 9,823 shares issued; 10,292 and 9,651 shares outstanding as of December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B common stock – $0.0001 par value; 615,917 shares authorized; 12,711 and 12,814 shares issued and outstanding as of December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$0.0001 par value; 20,000 shares authorized (including 50 shares of Series A redeemable convertible preferred stock authorized and 200 shares of Series A-1 convertible preferred stock authorized); 50 shares issued and outstanding as of both December 31,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A-1 convertible preferred stock— $0.0001 par value; 200 shares authorized; no shares issued and outstanding as of both December 31,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Treasury stock – at cost; 322 and 173 shares of Class A common stock as of December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(420,280)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231,014 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174,639 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405,653 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1,499,570</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16280"/>
                <wp:effectExtent l="0" t="0" r="0" b="0"/>
                <wp:wrapNone/>
                <wp:docPr id="69" name="Frame6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CHANGES IN STOCKHOLDERS’ EQUITY</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p>
      <w:pPr>
        <w:pStyle w:val="TextBody"/>
        <w:bidi w:val="0"/>
        <w:spacing w:before="60" w:after="283"/>
        <w:jc w:val="center"/>
        <w:rPr/>
      </w:pPr>
      <w:r>
        <w:rPr/>
      </w:r>
    </w:p>
    <w:tbl>
      <w:tblPr>
        <w:tblW w:w="1266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9,823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654,059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(420,280)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174,639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405,653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(7,319)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paid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10,614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12,711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(322)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(4,150)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669,346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(423,208)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(151)</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163,599</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405,438</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260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(88,013)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(151,270)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accrued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9,823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654,059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(420,280)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(127)</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174,639</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405,653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16280"/>
                <wp:effectExtent l="0" t="0" r="0" b="0"/>
                <wp:wrapNone/>
                <wp:docPr id="70" name="Frame6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266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203"/>
        <w:gridCol w:w="203"/>
        <w:gridCol w:w="161"/>
        <w:gridCol w:w="109"/>
        <w:gridCol w:w="109"/>
        <w:gridCol w:w="109"/>
        <w:gridCol w:w="166"/>
        <w:gridCol w:w="406"/>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2022</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7,699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13,690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561,477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(208,317)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539,387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892,490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(227,678)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(376,384)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accrued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16280"/>
                <wp:effectExtent l="0" t="0" r="0" b="0"/>
                <wp:wrapNone/>
                <wp:docPr id="71" name="Frame6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CASH FLOWS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tbl>
      <w:tblPr>
        <w:tblW w:w="9984" w:type="dxa"/>
        <w:jc w:val="left"/>
        <w:tblInd w:w="0" w:type="dxa"/>
        <w:tblLayout w:type="fixed"/>
        <w:tblCellMar>
          <w:top w:w="28" w:type="dxa"/>
          <w:left w:w="28" w:type="dxa"/>
          <w:bottom w:w="28" w:type="dxa"/>
          <w:right w:w="28" w:type="dxa"/>
        </w:tblCellMar>
      </w:tblPr>
      <w:tblGrid>
        <w:gridCol w:w="2218"/>
        <w:gridCol w:w="1949"/>
        <w:gridCol w:w="1953"/>
        <w:gridCol w:w="109"/>
        <w:gridCol w:w="109"/>
        <w:gridCol w:w="109"/>
        <w:gridCol w:w="181"/>
        <w:gridCol w:w="586"/>
        <w:gridCol w:w="109"/>
        <w:gridCol w:w="109"/>
        <w:gridCol w:w="109"/>
        <w:gridCol w:w="109"/>
        <w:gridCol w:w="181"/>
        <w:gridCol w:w="691"/>
        <w:gridCol w:w="109"/>
        <w:gridCol w:w="109"/>
        <w:gridCol w:w="109"/>
        <w:gridCol w:w="109"/>
        <w:gridCol w:w="181"/>
        <w:gridCol w:w="69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of business,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cost payments from issuance of 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payments under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40,921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90,809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16,464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16280"/>
                <wp:effectExtent l="0" t="0" r="0" b="0"/>
                <wp:wrapNone/>
                <wp:docPr id="72" name="Frame7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 DESCRIPTION OF BUSINESS AND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Description of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(the “Company”) is a leading health insurance marketplace and Medicare-focused digital health company whose purpose is to compassionately ensure consumers’ peace of mind when making healthcare decisions so they can focus on living life. GoHealth’s proprietary technology platform leverages modern machine-learning algorithms, powered by over two decades of insurance purchasing behavior, to reimagine the process of matching a health plan to a consumer’s specific needs. Coupled with highly skilled licensed agents, GoHealth’s unbiased, technology-driven marketplace has facilitated the enrollment of millions of consumers in Medicare plans since its inception. For further discussion of GoHealth’s business, refer to Item 1, “Business” of this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Consolidated Financial Statements and reports non-controlling interests for the economic interest in GHH, LLC held by the Continuing Equity Owners.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accompanying Consolidated Financial Statements and related notes have been prepared in accordance with U.S. generally accepted accounting principles (“GAAP”). In the opinion of management, the Consolidated Financial Statements include all adjustments, consisting only of normal recurring adjustments, necessary for the fair presentation of the Company’s financial position, results of operations and cash flows as of the dates and for the periods presented. All intercompany balances and transactions are eliminated in consolidation.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Certain prior period amounts have been reclassified to conform with the current period presentation. The Company reclassified $8.5 million related to certain commissions payable to external agents from other current liabilities to commissions payable - current on the Consolidated Balance Sheets for the period ended December 31, 2023 to conform to current period presentation. During the first quarter of 2023, the Company reorganized its operating and reportable segments into a single operating and reportable segment. Refer to the “Segment Information” section within this Note below for further information regarding this update. The Company also changed the presentation of its disaggregation of revenue table, which is further described in Note 10, “Revenue” of the Notes to Consolidated Financial Statements. These reclassifications had no impact on the Company’s financial position, results of operations or cash flows. All share and per share amounts have been retroactively adjusted to reflect the one-for-fifteen reverse stock split. See Note 6, “Stockholders' Equity” for more information. </w:t>
      </w:r>
    </w:p>
    <w:p>
      <w:pPr>
        <w:pStyle w:val="TextBody"/>
        <w:bidi w:val="0"/>
        <w:spacing w:lineRule="auto" w:line="288" w:before="240" w:after="283"/>
        <w:jc w:val="left"/>
        <w:rPr>
          <w:color w:val="000000"/>
        </w:rPr>
      </w:pPr>
      <w:r>
        <w:rPr>
          <w:color w:val="000000"/>
        </w:rPr>
        <w:t>“</w:t>
      </w:r>
      <w:r>
        <w:rPr>
          <w:rFonts w:ascii="Arial;sans-serif" w:hAnsi="Arial;sans-serif"/>
          <w:b w:val="false"/>
          <w:color w:val="000000"/>
          <w:sz w:val="18"/>
        </w:rPr>
        <w:t xml:space="preserve">Revenue share” and “consumer care and enrollment” on the Consolidated Statement of Operations, previously referred to as “cost of revenue” and “customer care and enrollment,” respectively, reflects a name change and does not require any financial information to be reclassified from previous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the Consolidated Financial Statements in conformity with GAAP requires management to make certain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Cash and Cash Equivalents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considers all investments with an original maturity of 90 days or less from the date of purchase to be cash equivalents. Cash includes all deposits in banks. The Company maintains its cash balances at financial institutions in the U.S. and Europe.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Concentration of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16280"/>
                <wp:effectExtent l="0" t="0" r="0" b="0"/>
                <wp:wrapNone/>
                <wp:docPr id="73" name="Frame7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Financial instruments that potentially subject the Company to concentrations of credit risk consist principally of cash, accounts receivable, unbilled receivables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Accounts receivable, unbilled receivables and commissions receivable are derived from customers located in North America. The Company performs credit evaluations of customers’ financial condition and requires no collateral or other security in granting credit to customers. The Company maintains an allowance for doubtful accounts and credit losses based upon the expected collectability of accounts receivable, unbilled receivables and 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two customers each represented 10% or more of the Company’s total accounts receivable and unbilled receivables and, in aggregate, represented 74.6%, or $17.6 million, of the combined total. As of December 31, 2023, three customers each represented 10% or more of the Company’s total accounts receivable and unbilled receivables and, in aggregate, represented 88.3%, or $32.1 million, of the combined total.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Accounts Receivable and Allowance for Doubtful Accounts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are contract balances that represent estimated variable consideration for commissions to be received from health plan partners for performance obligations that have been satisfied. The current portion of commissions receivable are commissions expected to be received within one year, while the non-current portion of commissions receivable are expected to be received beyond one year.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Estimated exposure of default is determined by applying these internal and external factors to the commissions receivable balances. The Company estimates the maximum credit risk in determining the commissions receivable amount recorded on the Consolidated Balance Sheets.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Payable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payable represents estimated commissions to be paid to the Company’s external partners. The current portion of commissions payable are commissions expected to be paid within one year, while the non-current portion of commissions payable are expected to be paid beyond one year.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Equipment, and Capitalized Software, Net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Property and equipment are stated at cost, less accumulated depreciation. Depreciation is computed using the straight-line method over the estimated useful lives as follows:</w:t>
      </w:r>
    </w:p>
    <w:tbl>
      <w:tblPr>
        <w:tblW w:w="8441"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1516"/>
        <w:gridCol w:w="1516"/>
        <w:gridCol w:w="214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Estimated Useful Life</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equipment and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 years</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equipment and furniture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 years</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Lesser of useful life (typically 5 years) or remaining lease term</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Expenditures for major renewals and improvements that extend the useful life of property and equipment are capitalized. Expenditures for maintenance and repairs are charged to expense as incurred.</w:t>
      </w:r>
    </w:p>
    <w:p>
      <w:pPr>
        <w:pStyle w:val="TextBody"/>
        <w:bidi w:val="0"/>
        <w:spacing w:lineRule="auto" w:line="288" w:before="240" w:after="283"/>
        <w:jc w:val="left"/>
        <w:rPr/>
      </w:pPr>
      <w:r>
        <w:rPr>
          <w:rFonts w:ascii="Arial;sans-serif" w:hAnsi="Arial;sans-serif"/>
          <w:b w:val="false"/>
          <w:color w:val="000000"/>
          <w:sz w:val="18"/>
        </w:rPr>
        <w:t xml:space="preserve">The Company accounts for costs incurred to develop and maintain source code software and other internally developed software applications, primarily consisting of employee-related and third-party contractor costs, pursuant to Accounting Standards Codification (“ASC”) Topic 350-40, </w:t>
      </w:r>
      <w:r>
        <w:rPr>
          <w:rFonts w:ascii="Arial;sans-serif" w:hAnsi="Arial;sans-serif"/>
          <w:b w:val="false"/>
          <w:i/>
          <w:color w:val="000000"/>
          <w:sz w:val="18"/>
        </w:rPr>
        <w:t>Internal Use Software</w:t>
      </w:r>
      <w:r>
        <w:rPr>
          <w:rFonts w:ascii="Arial;sans-serif" w:hAnsi="Arial;sans-serif"/>
          <w:b w:val="false"/>
          <w:color w:val="000000"/>
          <w:sz w:val="18"/>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16280"/>
                <wp:effectExtent l="0" t="0" r="0" b="0"/>
                <wp:wrapNone/>
                <wp:docPr id="74" name="Frame7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lease agreements primarily consisting of real estate. At inception of the arrangement, the Company determines if an arrangement is a lease. If an arrangement contains a lease, the Company recognizes a right-of-use (“ROU”) asset and a lease liability on the Consolidated Balance Sheets at lease commencement. The Company has elected the practical expedient to apply the short-term lease recognition exemption for leases with an initial term of twelve months or less.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Operating lease ROU assets represent the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the Company uses its incremental borrowing rate at the lease commencement date to determine the present value of the lease payments. The determination of the incremental borrowing rate requires judgement. The Company determined its incremental borrowing rate for each lease using indicative bank borrowing rates, adjusted for various factors including level of collateralization, term and treasury yield curves that align with the terms of a lease.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After the lease commencement date, changes to a lease are assessed to determine if it represents a lease modification or a separate contract. If a modification exists, operating lease ROU assets and lease liabilities are remeasured using the present value of remaining lease payments and a revised estimated incremental borrowing rate upon lease modification.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does not include any renewal options in the lease terms for calculating lease liability, as it is not reasonably certain that the Company will exercise these renewal options at the time of lease commencement or at the time of a lease modification.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lease agreements with lease and nonlease components. The Company elected the practical expedient to not separate nonlease components from the associated lease components and account for each separate lease component and its associated nonlease components as a single lease component. The Company has applied this accounting policy election to all underlying asset classes.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using either a qualitative or quantitative approach,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indefinite-lived intangible asset may not be recoverable. Where we use the qualitative assessment, first we determine if, based on qualitative factors, it is more likely than not that an impairment exists. Factors considered include macroeconomic conditions, industry and competitive conditions, legal and regulatory environment, and actual and projected operating performance, among other factors. If the qualitative assessment indicates that it is more likely than not that an impairment exists, then a quantitative assessment is performed. In the quantitative assessment for indefinite-lived intangible assets, an assessment is performed to determine the fair value of the indefinite-lived intangible asset. We may choose to bypass the qualitative assessment for an indefinite-lived intangible asset in any period and proceed directly to calculating its fair value. If the carrying amount of our indefinite-lived intangible trade names exceeds its fair value, an impairment loss is recognized in an amount equal to that excess. Determination of fair value involves significant estimates and assumptions including, among others, cash flow projections and selecting appropriate royalty and discount rates. See Note 4, “Intangible Assets, Net,” for further discussion of indefinite-lived intangible asset impairment charges.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amortizes the cost of definite-lived intangible assets over the respective estimated useful lives on a straight-line basis.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Impairment of Long-Lived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reviews long-lived assets, which include property, equipment and capitalized software, net, operating lease ROU assets and definite-lived intangible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values are determined based on quoted market values, discounted cash flows or external appraisals, as applicable. See Note 3, “Fair Value Measurements,” for further discussion around impairment of long-lived assets.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16280"/>
                <wp:effectExtent l="0" t="0" r="0" b="0"/>
                <wp:wrapNone/>
                <wp:docPr id="75" name="Frame7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applies the accounting guidance related to fair value measurements and discloses information on all financial instruments reported at fair value that enables an assessment of the inputs used in determining the reported fair values. See Note 3, “Fair Value Measurements,” for further discussion around fair value determinations.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Recognition</w:t>
      </w:r>
    </w:p>
    <w:p>
      <w:pPr>
        <w:pStyle w:val="TextBody"/>
        <w:bidi w:val="0"/>
        <w:spacing w:lineRule="auto" w:line="288" w:before="240" w:after="283"/>
        <w:jc w:val="left"/>
        <w:rPr/>
      </w:pPr>
      <w:r>
        <w:rPr>
          <w:rFonts w:ascii="Arial;sans-serif" w:hAnsi="Arial;sans-serif"/>
          <w:b w:val="false"/>
          <w:color w:val="000000"/>
          <w:sz w:val="18"/>
        </w:rPr>
        <w:t xml:space="preserve">The Company recognizes revenue 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xml:space="preserve">. The primary services provided by the Company relate to the sale and administration of Medicare insurance products through either the agency model or the non-agency model. The agency model refers to the commission revenue and partner marketing and other revenue the Company receives when GoHealth agents or the Company’s independent network of outsourced agents, also referred to as external agents, enroll the consumer and submit the policy application to the health plan partner, becoming the agent of record. The Company also generates revenue through the non-agency model, which refers to services provided by the Company that support enrollment and engagement activities in which the Company is not the agent of record.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or 60 days from the invoice date.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Determination of the transaction price. The transaction price is determined based on the consideration to which the Company will be entitled in exchange for transferring goods or services to the customer.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Allocation of the transaction price to the performance obligations in the contract. If the contract contains a single performance obligation, the entire transaction price is allocated to the single performance obligation.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The Company defines its customer to be the health plan partner.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typically enters into contractual agency relationships with health plans partners that are non-exclusive and terminable on short notice by either party for any reason. In addition, health plan partners often can terminate or amend agreements unilaterally on short notice, including provisions in agreements relating to the commission rates paid to the Company by the health plan partners. The amendment or termination of an agreement the Company has with a health plan partner may adversely impact the commissions it is paid on health insurance plans sold on behalf of the health plan partner.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Compensation in the form of commissions is received from health plan partners for the multiple types of insurance products sold by the Company on behalf of the health plan partners. Commission revenue generally represents a percentage of the premium amount expected to be collected by the health plan partner while the policyholder is enrolled in the insurance product, including renewal periods. The Company’s performance obligation is complete when a health plan partner has received and approved an insurance application, after which the Company has no remaining performance obligations. As such, the Company recognizes revenue at this point in time, which represents the expected amount of initial commissions received from the health plan partners and any renewal commissions to be paid on such placement as long as the policyholder remains with the same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16280"/>
                <wp:effectExtent l="0" t="0" r="0" b="0"/>
                <wp:wrapNone/>
                <wp:docPr id="76" name="Frame7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utilizes a practical expedient to estimate commission revenue for each insurance product by applying the use of a portfolio approach to group approved members by the effective month of the relevant policy (referred to as a “vintage”). This allows the Company to estimate the commissions it expects to collect for each vintage by evaluating various factors, including but not limited to, contracted commission rates and expected churn.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variable consideration includes estimated and constrained LTVs.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twelve months ended December 31, 2024 and 2023, the Company recorded no revenue adjustments. Based on market and retention trends observed during the Medicare annual enrollment period in prior years, the Company recorded negative revenue adjustments of $275.7 million for the twelve months ended December 31, 2022 as changes in estimates relating to performance obligations satisfied in prior periods.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also compensated by its health plan partners for providing marketing services over a predetermined measurement period, which the Company records as partner marketing and other revenue. The Company recognizes these revenues over the measurement period as insurance applications produced by the Company are generated. The Company generally gets paid a fixed fee per application, with the amount of variable consideration resolved within 90 days of the application.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provides services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participating partners. The Company is compensated for generating and transferring leads to the health plan partners, at which time the health plan partner representative will enroll and submit the application, becoming the agent of record. Revenue is recognized at a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commissions revenue or health plan partner experience to the extent available, and expectations as to future retention rates. The Company does not receive commissions or fees on subsequent renewals generated from the transferred leads. 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Non-agency revenue also includes value-based care provider engagement, health risk assessments, social determinants of health screening and preferred pharmacy programs. The Company recognizes revenue for the related performance obligation at a point in time. </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Incremental Costs to Obtain a Contract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reviewed its sales compensation plans, which are directed at converting leads into Submissions, and concluded that they are fulfillment costs and not costs to obtain a contract with a health plan partner, which the Company defines as its customer. Additionally, the Company reviewed compensation plans related to personnel responsible for identifying new health plan partners as well as entering into contracts with new health plan partners and concluded that no incremental costs are incurred to obtain such contracts. The Company updates its review of compensation plans each time it enters into a new contract with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16280"/>
                <wp:effectExtent l="0" t="0" r="0" b="0"/>
                <wp:wrapNone/>
                <wp:docPr id="77" name="Frame7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Deferred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Deferred revenue includes amounts collected for partner marketing services and non-agency revenue in advance of the Company satisfying its performance obligations for such customers. The current portion of deferred revenue is the revenue associated with these remaining performance obligations that the Company expects to recognize within one year, while the non-current portion of deferred revenue is the revenue associated with these remaining performance obligations that the Company expects to recognize beyond one year.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Revenue share represents payments related to health plans sold to consumers who were enrolled by partners with whom the Company has commission revenue-sharing arrangements. In order to enter into a revenue-sharing arrangement, partners must be licensed to sell health insurance in the state where the policy is sold. Costs related to revenue-sharing arrangements are expensed as the related revenue is recognized. Changes in previous revenue estimates may result in an increase or a decrease to revenue share and a corresponding increase or decrease to commissions payable.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Revenue share on the Consolidated Statement of Operations, previously referred to as “cost of revenue,” reflects a name change and does not require any financial information to be reclassified from previous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Marketing and Advertising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Advertising expenses consist of costs incurred to acquire consumers through online, television and direct mail advertisements. Advertising costs incurred during the twelve months ended December 31, 2024, 2023, and 2022, totaled $201.7 million, $188.3 million and $178.7 million, respectively. Advertising costs are expensed as incurred.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also has arrangements with certain health plan partners that allow the Company to increase marketing efforts, including through direct mail, television advertisements and online advertising for various insurance products that are being offered by these health plan partners. The Company is reimbursed by health plan partners for the incremental marketing efforts and records the amounts received as a reduction of the marketing costs incurred.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Consumer Care and Enrollment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Consumer care and enrollment expenses primarily consist of compensation (including share-based compensation expense) and benefits costs for enrollment personnel who assist consumers during the health plan enrollment and application processes, along with management and support personnel.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Consumer care and enrollment on the Consolidated Statement of Operations, previously referred to as “customer care and enrollment,” reflects a name change and does not require any financial information to be reclassified from previous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Technology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health plan partners and federal marketplaces. Technology expense also includes costs for contracted services and supplies and amortization expense of capitalized software.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General and Administrative Expenses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General and administrative expenses include compensation (including share-based compensation expense) and benefits costs for staff working in the Company’s executive, finance, legal, human resources and facilities departments. These expenses also include depreciation and amortization, except amortization expense to capitalized software, facilities costs and fees paid for outside professional services, including audit, tax, legal and governmental affairs.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16280"/>
                <wp:effectExtent l="0" t="0" r="0" b="0"/>
                <wp:wrapNone/>
                <wp:docPr id="78" name="Frame7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grants share-based awards, including time-vesting profits units, restricted stock units (“RSUs”), stock options, performance stock units (“PSUs”) and stock appreciation rights ("SARs"). Compensation expense for time-vesting profits units, RSUs, stock options and PSUs are recognized on a straight-line basis over the requisite service or performance period for each award.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estimated grant date fair value of market-based PSUs is determined using a Monte Carlo simulation and Level 3 inputs. The estimated grant date fair value of stock options is determined using a Black-Scholes pricing model. Assumptions utilized in the Monte Carlo simulation and Black-Scholes pricing model for valuing the awards include the expected life of the award, the expected dividend yield, the risk-free interest rate and the expected volatility. The fair value of RSUs and performance-based PSUs are determined based on the stock price on the date of grant.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401(k)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maintains a tax-qualified 401(k) retirement plan (the “Plan”) that provides eligible employees with an opportunity to save for retirement on a tax-advantaged basis. Eligible employees may defer compensation 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contributes 50% of the first 4% of compensation a participant contributes to the Plan. These matching contributions are expensed as incurred. The Company recognized expense of $2.1 million, $2.1 million and $2.3 million for the twelve months ended December 31, 2024, 2023 and 2022, respectively, related to these matching contributions.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Contingencies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 For more information, see Note 12,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Income Taxes</w:t>
      </w:r>
    </w:p>
    <w:p>
      <w:pPr>
        <w:pStyle w:val="TextBody"/>
        <w:bidi w:val="0"/>
        <w:spacing w:lineRule="auto" w:line="288" w:before="240" w:after="283"/>
        <w:jc w:val="left"/>
        <w:rPr/>
      </w:pPr>
      <w:r>
        <w:rPr>
          <w:rFonts w:ascii="Arial;sans-serif" w:hAnsi="Arial;sans-serif"/>
          <w:b w:val="false"/>
          <w:color w:val="000000"/>
          <w:sz w:val="18"/>
        </w:rPr>
        <w:t xml:space="preserve">The Company accounts for income taxes under the liability method in accordance with ASC Topic 740, </w:t>
      </w:r>
      <w:r>
        <w:rPr>
          <w:rFonts w:ascii="Arial;sans-serif" w:hAnsi="Arial;sans-serif"/>
          <w:b w:val="false"/>
          <w:i/>
          <w:color w:val="000000"/>
          <w:sz w:val="18"/>
        </w:rPr>
        <w:t>Income Taxes</w:t>
      </w:r>
      <w:r>
        <w:rPr>
          <w:rFonts w:ascii="Arial;sans-serif" w:hAnsi="Arial;sans-serif"/>
          <w:b w:val="false"/>
          <w:color w:val="000000"/>
          <w:sz w:val="18"/>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utilizes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Step two, measurement, is based on the largest amount of benefit, which is more likely than not to be realized on ultimate settlement. The Company records interest and penalties related to uncertain tax positions as income tax expense in the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more information, see Note 9, “Income Taxes.”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Business Combinations</w:t>
      </w:r>
    </w:p>
    <w:p>
      <w:pPr>
        <w:pStyle w:val="TextBody"/>
        <w:bidi w:val="0"/>
        <w:spacing w:lineRule="auto" w:line="288" w:before="240" w:after="283"/>
        <w:jc w:val="left"/>
        <w:rPr/>
      </w:pPr>
      <w:r>
        <w:rPr>
          <w:rFonts w:ascii="Arial;sans-serif" w:hAnsi="Arial;sans-serif"/>
          <w:b w:val="false"/>
          <w:color w:val="000000"/>
          <w:sz w:val="18"/>
        </w:rPr>
        <w:t xml:space="preserve">In accordance with ASC 805, </w:t>
      </w:r>
      <w:r>
        <w:rPr>
          <w:rFonts w:ascii="Arial;sans-serif" w:hAnsi="Arial;sans-serif"/>
          <w:b w:val="false"/>
          <w:i/>
          <w:color w:val="000000"/>
          <w:sz w:val="18"/>
        </w:rPr>
        <w:t xml:space="preserve">Business Combinations </w:t>
      </w:r>
      <w:r>
        <w:rPr>
          <w:rFonts w:ascii="Arial;sans-serif" w:hAnsi="Arial;sans-serif"/>
          <w:b w:val="false"/>
          <w:color w:val="000000"/>
          <w:sz w:val="18"/>
        </w:rPr>
        <w:t xml:space="preserve">(“ASC 805”), the Company accounts for all business combinations using the acquisition method of accounting. Under the acquisition method, the Company allocates the fair value of consideration transferred to the assets acquired and liabilities assumed based on their estimated fair values at the acquisition date. The excess of the fair value of consideration transferred over the fair value of the identified net assets acquired is recorded as goodwill. Conversely, a bargain purchase gain is recorded when the fair value of the identified net assets acquired exceeds the fair value of consideration transferred. Acquisition-related expenses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16280"/>
                <wp:effectExtent l="0" t="0" r="0" b="0"/>
                <wp:wrapNone/>
                <wp:docPr id="79" name="Frame7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15, “Acquisitions” for additional information regarding the Company’s business combinations.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Refer to discussion in Item 7. “Management’s Discussion and Analysis of Financial Condition and Results of Operations” of this Annual Report on Form 10-K.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Segment Information</w:t>
      </w:r>
    </w:p>
    <w:p>
      <w:pPr>
        <w:pStyle w:val="TextBody"/>
        <w:bidi w:val="0"/>
        <w:spacing w:lineRule="auto" w:line="288" w:before="240" w:after="283"/>
        <w:jc w:val="left"/>
        <w:rPr/>
      </w:pPr>
      <w:r>
        <w:rPr>
          <w:rFonts w:ascii="Arial;sans-serif" w:hAnsi="Arial;sans-serif"/>
          <w:b w:val="false"/>
          <w:color w:val="000000"/>
          <w:sz w:val="18"/>
        </w:rPr>
        <w:t xml:space="preserve">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Adopted Accounting Pronouncements</w:t>
      </w:r>
    </w:p>
    <w:p>
      <w:pPr>
        <w:pStyle w:val="TextBody"/>
        <w:bidi w:val="0"/>
        <w:spacing w:lineRule="auto" w:line="288" w:before="240" w:after="283"/>
        <w:jc w:val="left"/>
        <w:rPr/>
      </w:pPr>
      <w:r>
        <w:rPr>
          <w:rFonts w:ascii="Arial;sans-serif" w:hAnsi="Arial;sans-serif"/>
          <w:b w:val="false"/>
          <w:color w:val="000000"/>
          <w:sz w:val="18"/>
        </w:rPr>
        <w:t xml:space="preserve">In November 2023, the FASB issued ASU 2023-07, </w:t>
      </w:r>
      <w:r>
        <w:rPr>
          <w:rFonts w:ascii="Arial;sans-serif" w:hAnsi="Arial;sans-serif"/>
          <w:b w:val="false"/>
          <w:i/>
          <w:color w:val="000000"/>
          <w:sz w:val="18"/>
        </w:rPr>
        <w:t>Segment Reporting (Topic 280): Improvements to Reportable Segment Disclosures</w:t>
      </w:r>
      <w:r>
        <w:rPr>
          <w:color w:val="000000"/>
        </w:rPr>
        <w:t xml:space="preserve"> </w:t>
      </w:r>
      <w:r>
        <w:rPr>
          <w:rFonts w:ascii="Arial;sans-serif" w:hAnsi="Arial;sans-serif"/>
          <w:b w:val="false"/>
          <w:color w:val="000000"/>
          <w:sz w:val="18"/>
        </w:rPr>
        <w:t>(“ASU 2023-07”), which aims to improve reportable segment disclosure requirements, primarily through enhanced disclosures about significant segment expenses. The amendments in ASU 2023-07 do not change how a public entity identifies its operating segments, aggregates those operating segments or applies the quantitative thresholds to determine its reportable segments. ASU 2023-07 is effective for fiscal years beginning after December 15, 2023, and for interim periods beginning after December 15, 2024 with early adoption permitted. The Company adopted ASU 2023-07 on January 1, 2024. The adoption did not impact how the Company identifies its one reportable segment. Refer to Note 16, “Segment Reporting” for more information.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240" w:after="283"/>
        <w:jc w:val="left"/>
        <w:rPr/>
      </w:pPr>
      <w:r>
        <w:rPr>
          <w:rFonts w:ascii="Arial;sans-serif" w:hAnsi="Arial;sans-serif"/>
          <w:b w:val="false"/>
          <w:color w:val="000000"/>
          <w:sz w:val="18"/>
        </w:rPr>
        <w:t>In December 2023, the FASB issued ASU 2023-09,</w:t>
      </w:r>
      <w:r>
        <w:rPr>
          <w:color w:val="000000"/>
        </w:rPr>
        <w:t xml:space="preserve">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("ASU 2023-09"). ASU 2023-09 enhanced annual disclosures regarding the income tax rate reconciliation and income taxes paid information. For public business entities, ASU 2023-09 is effective for annual periods beginning after December 15, 2024. The Company is currently assessing the impact on our related disclosures.</w:t>
      </w:r>
    </w:p>
    <w:p>
      <w:pPr>
        <w:pStyle w:val="TextBody"/>
        <w:bidi w:val="0"/>
        <w:spacing w:lineRule="auto" w:line="288" w:before="240" w:after="283"/>
        <w:jc w:val="left"/>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 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18"/>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2. BALANCE SHEET ACCOUNTS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5945"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196"/>
        <w:gridCol w:w="736"/>
        <w:gridCol w:w="109"/>
        <w:gridCol w:w="109"/>
        <w:gridCol w:w="109"/>
        <w:gridCol w:w="109"/>
        <w:gridCol w:w="196"/>
        <w:gridCol w:w="87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911,697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575,482 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includes commissions generated through the Company’s Non-Encompass BPO Services, the sale of individual and family plan insurance products and certain other fees collected with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16280"/>
                <wp:effectExtent l="0" t="0" r="0" b="0"/>
                <wp:wrapNone/>
                <wp:docPr id="80" name="Frame7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Consolidated Balance Sheets.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Equipment and Capitalized Software, Net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Property, equipment, and capitalized software, net, consist of the following:</w:t>
      </w:r>
    </w:p>
    <w:tbl>
      <w:tblPr>
        <w:tblW w:w="6696" w:type="dxa"/>
        <w:jc w:val="left"/>
        <w:tblInd w:w="0" w:type="dxa"/>
        <w:tblLayout w:type="fixed"/>
        <w:tblCellMar>
          <w:top w:w="28" w:type="dxa"/>
          <w:left w:w="28" w:type="dxa"/>
          <w:bottom w:w="28" w:type="dxa"/>
          <w:right w:w="28" w:type="dxa"/>
        </w:tblCellMar>
      </w:tblPr>
      <w:tblGrid>
        <w:gridCol w:w="1473"/>
        <w:gridCol w:w="1293"/>
        <w:gridCol w:w="1299"/>
        <w:gridCol w:w="109"/>
        <w:gridCol w:w="109"/>
        <w:gridCol w:w="109"/>
        <w:gridCol w:w="196"/>
        <w:gridCol w:w="661"/>
        <w:gridCol w:w="109"/>
        <w:gridCol w:w="109"/>
        <w:gridCol w:w="109"/>
        <w:gridCol w:w="109"/>
        <w:gridCol w:w="196"/>
        <w:gridCol w:w="66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 equipment and furniture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26,843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Depreciation expense related to property and equipment for the twelve months ended December 31, 2024, 2023 and 2022 was $3.7 million, $3.9 million and $6.4 million,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expense related to capitalized software was $8.1 million, $7.8 million and $6.5 million for the twelve months ended December 31, 2024, 2023 and 2022,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Liabilities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Accrued liabilities consist of the following:</w:t>
      </w:r>
    </w:p>
    <w:tbl>
      <w:tblPr>
        <w:tblW w:w="5571" w:type="dxa"/>
        <w:jc w:val="left"/>
        <w:tblInd w:w="0" w:type="dxa"/>
        <w:tblLayout w:type="fixed"/>
        <w:tblCellMar>
          <w:top w:w="28" w:type="dxa"/>
          <w:left w:w="28" w:type="dxa"/>
          <w:bottom w:w="28" w:type="dxa"/>
          <w:right w:w="28" w:type="dxa"/>
        </w:tblCellMar>
      </w:tblPr>
      <w:tblGrid>
        <w:gridCol w:w="1032"/>
        <w:gridCol w:w="907"/>
        <w:gridCol w:w="911"/>
        <w:gridCol w:w="109"/>
        <w:gridCol w:w="109"/>
        <w:gridCol w:w="109"/>
        <w:gridCol w:w="196"/>
        <w:gridCol w:w="751"/>
        <w:gridCol w:w="109"/>
        <w:gridCol w:w="109"/>
        <w:gridCol w:w="109"/>
        <w:gridCol w:w="109"/>
        <w:gridCol w:w="196"/>
        <w:gridCol w:w="66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Bonuses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payments for 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121,346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86,254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3. 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16280"/>
                <wp:effectExtent l="0" t="0" r="0" b="0"/>
                <wp:wrapNone/>
                <wp:docPr id="81" name="Frame7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part of the Company’s continued cost savings initiatives, the Company is actively looking to terminate or sublease certain office spaces and call centers. These actions resulted in operating lease impairment charges of $2.7 million and $25.3 million for the twelve months ended December 31, 2023 and 2022, respectively. There were no operating lease impairment charges for the twelve months ended December 31, 2024. The Company continues to evaluate its portfolio of properties, and thus it is possible that impairments could be identified in future periods, and such amounts could be material. The operating lease impairment charges reduce the carrying value of the associated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 </w:t>
      </w:r>
    </w:p>
    <w:p>
      <w:pPr>
        <w:pStyle w:val="TextBody"/>
        <w:bidi w:val="0"/>
        <w:spacing w:lineRule="auto" w:line="288" w:before="240" w:after="283"/>
        <w:jc w:val="left"/>
        <w:rPr/>
      </w:pPr>
      <w:r>
        <w:rPr>
          <w:rFonts w:ascii="Arial;sans-serif" w:hAnsi="Arial;sans-serif"/>
          <w:b w:val="false"/>
          <w:color w:val="000000"/>
          <w:sz w:val="18"/>
        </w:rPr>
        <w:t>During the twelve months ended December 31, 2023, the Company recorded an indefinite-lived trade names impairment charge of $10.0 million. Determination of the fair value of the indefinite-lived trade names involves estimates and assumptions which are considered a level 3 input in the fair value hierarchy. There was no impairment of indefinite-lived intangible assets for the twelve months ended December 31, 2024 and 2022. For more information, refer to Note 4,</w:t>
      </w:r>
      <w:r>
        <w:rPr>
          <w:color w:val="000000"/>
        </w:rPr>
        <w:t xml:space="preserve"> </w:t>
      </w:r>
      <w:r>
        <w:rPr>
          <w:rFonts w:ascii="Arial;sans-serif" w:hAnsi="Arial;sans-serif"/>
          <w:b w:val="false"/>
          <w:color w:val="000000"/>
          <w:sz w:val="18"/>
        </w:rPr>
        <w:t>Intangible Assets,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4. INTANGIBLE ASSETS,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Fourth Quarter 2023 Indefinite-Lived Intangible Asset Impairment Charge</w:t>
      </w:r>
    </w:p>
    <w:p>
      <w:pPr>
        <w:pStyle w:val="TextBody"/>
        <w:bidi w:val="0"/>
        <w:spacing w:lineRule="auto" w:line="288" w:before="240" w:after="283"/>
        <w:jc w:val="left"/>
        <w:rPr/>
      </w:pPr>
      <w:r>
        <w:rPr>
          <w:rFonts w:ascii="Arial;sans-serif" w:hAnsi="Arial;sans-serif"/>
          <w:b w:val="false"/>
          <w:color w:val="000000"/>
          <w:sz w:val="18"/>
        </w:rPr>
        <w:t xml:space="preserve">In connection with its annual indefinite-lived impairment test performed as of November 30, 2023, the Company determined that the fair value of its indefinite-lived trade names no longer exceeded their carrying value. As a result, during the twelve months ended December 31, 2023, the Company recorded an indefinite-lived trade names impairment charge of $10.0 million to write down the carrying value of the indefinite-lived trade names to their fair value of $73.0 million. Determination of fair value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The indefinite-lived trade names impairment charge was a result of </w:t>
      </w:r>
      <w:r>
        <w:rPr>
          <w:rFonts w:ascii="Arial;sans-serif" w:hAnsi="Arial;sans-serif"/>
          <w:b w:val="false"/>
          <w:color w:val="000000"/>
          <w:sz w:val="18"/>
          <w:shd w:fill="FFFFFF" w:val="clear"/>
        </w:rPr>
        <w:t xml:space="preserve">an increase in the discount rate driven by changes in forecast assumptions from the prior year. </w:t>
      </w:r>
      <w:r>
        <w:rPr>
          <w:rFonts w:ascii="Arial;sans-serif" w:hAnsi="Arial;sans-serif"/>
          <w:b w:val="false"/>
          <w:color w:val="000000"/>
          <w:sz w:val="18"/>
        </w:rPr>
        <w:t xml:space="preserve">While the Company believes the judgments and assumptions are reasonable, different assumptions could change the estimated fair value and, therefore, additional impairments could be required.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$10.0 million impairment charge is included in “Intangible asset impairment charges” on the Consolidated Statement of Operations for the year ended December 31, 2023. There was no impairment of indefinite-lived intangible assets for the twelve months ended December 31, 2024 and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4504" w:type="dxa"/>
            <w:gridSpan w:val="12"/>
            <w:tcBorders/>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2024</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375,543 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498,503</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229,497</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302,497</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16280"/>
                <wp:effectExtent l="0" t="0" r="0" b="0"/>
                <wp:wrapNone/>
                <wp:docPr id="82" name="Frame8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4504" w:type="dxa"/>
            <w:gridSpan w:val="12"/>
            <w:tcBorders/>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2023</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304,686 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191,314 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404,446</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323,554</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396,554</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expected annual amortization expense related to intangible assets for each of the five succeeding years is as follows:</w:t>
      </w:r>
    </w:p>
    <w:tbl>
      <w:tblPr>
        <w:tblW w:w="7210"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359"/>
        <w:gridCol w:w="1376"/>
        <w:gridCol w:w="199"/>
        <w:gridCol w:w="109"/>
        <w:gridCol w:w="109"/>
        <w:gridCol w:w="109"/>
        <w:gridCol w:w="374"/>
        <w:gridCol w:w="1440"/>
        <w:gridCol w:w="210"/>
        <w:gridCol w:w="109"/>
        <w:gridCol w:w="109"/>
        <w:gridCol w:w="109"/>
        <w:gridCol w:w="196"/>
        <w:gridCol w:w="75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120,457</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109,040</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229,497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 weighted-average remaining amortization period for amortizable intangible assets was 1.8 years for developed technology and 4.8 years for customer relationships.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5. LONG-TERM DEBT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long-term debt consisted of the following:</w:t>
      </w:r>
    </w:p>
    <w:tbl>
      <w:tblPr>
        <w:tblW w:w="6801" w:type="dxa"/>
        <w:jc w:val="left"/>
        <w:tblInd w:w="0" w:type="dxa"/>
        <w:tblLayout w:type="fixed"/>
        <w:tblCellMar>
          <w:top w:w="28" w:type="dxa"/>
          <w:left w:w="28" w:type="dxa"/>
          <w:bottom w:w="28" w:type="dxa"/>
          <w:right w:w="28" w:type="dxa"/>
        </w:tblCellMar>
      </w:tblPr>
      <w:tblGrid>
        <w:gridCol w:w="1446"/>
        <w:gridCol w:w="1268"/>
        <w:gridCol w:w="1276"/>
        <w:gridCol w:w="109"/>
        <w:gridCol w:w="109"/>
        <w:gridCol w:w="109"/>
        <w:gridCol w:w="196"/>
        <w:gridCol w:w="751"/>
        <w:gridCol w:w="109"/>
        <w:gridCol w:w="109"/>
        <w:gridCol w:w="109"/>
        <w:gridCol w:w="109"/>
        <w:gridCol w:w="196"/>
        <w:gridCol w:w="75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487,365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497,705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447,865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422,705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Maturities of long-term debt for each of the next five years is as follows:</w:t>
      </w:r>
    </w:p>
    <w:tbl>
      <w:tblPr>
        <w:tblW w:w="259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196"/>
        <w:gridCol w:w="75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505,000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2019, Norvax (the “Borrower”) entered into a first lien credit agreement (as amended from time to time, the “Credit Agreement”) which provided for, among other items as further described below, (i) $117.0 million of incremental term loans (the “Incremental Term Loan Facility”), (ii) a new class of incremental term loans (the ”2021 Incremental Term Loans”) in an aggregate principal amount equal to $310.0 million and (iii) a new class of incremental term loans (the “2021-2 Incremental Term Loans”) in an aggregate principal amount equal to $100.0 million. The Company collectively refers to the Incremental Term Loan Facility, the 2021 Incremental Term Loans and the 2021-2 Incremental Term Loans as the “Term Loan Facilities.” On March 12, 2024, the Borrower entered into Amendment No. 11 to the Credit Agreement (“Amendment No. 11”), which increased the interest rate applicable to the Term Loan Facilities beginning on August 31, 2024 from (i) ABR plus 6.50% per annum or (ii) SOFR plus 7.50%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16280"/>
                <wp:effectExtent l="0" t="0" r="0" b="0"/>
                <wp:wrapNone/>
                <wp:docPr id="83" name="Frame8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per annum to ABR plus 7.00% per annum or SOFR plus 8.00% per annum. Pursuant to Amendment No. 11, in April 2024 and October 2024 the Borrower repaid $50 million and $25 million, respectively, in borrowings under the 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November 4, 2024 (the “Effective Date”), the Borrower entered into the Amendment and Restatement Agreement, which amended and restated the Credit Agreement to provide for, among other items as further described below, a new class of term loan facilities (the “New Term Loan Facility”) in an aggregate principal amount equal to $475.0 million. The proceeds of the New Term Loan Facility were used to (i) refinance the $427.7 million principal amount outstanding as of the Effective Date under the Term Loan Facilities (ii) pay all accrued and unpaid interest related to the foregoing and (iii) pay related fees and expenses. In connection with the refinancing of the Term Loan Facilities, the Company recognized a $10.5 million loss on extinguishment of debt, representing the write-down of deferred debt discount and debt issuance costs of the extinguished Term Loan Facilities. In connection with the New Term Loan Facility, the Borrower incurred $16.6 million of debt discount and $1.6 million of debt issuance costs, which are being amortized over the life of the debt to interest expense using the effective interest method. Beginning on March 31, 2025, principal payments equal to 2.00% of the outstanding principal balance per annum of the New Term Loans will be paid in equal quarterly installments. To the extent not previously paid, the New Term Loan Facility, together with all accrued and unpaid interest thereon, is due and payable on November 4, 2029. At the option of the Borrower and prior to the New Class A Revolving Facility Termination Date, as defined below, the New Term Loan Facility will bear interest at either (i) ABR plus 6.50% per annum or (ii) SOFR plus 7.50% per annum. After the New Class A Revolving Facility Termination Date, which is on or prior to June 30, 2025, the New Term Loan Facility will bear interest at either (i) ABR plus 6.25% per annum or (ii) SOFR plus 7.25% per annum.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 Company had a principal amount of $475.0 million outstanding under the New Term Loan Facility and no principal amounts outstanding under Term Loan Facilities. The effective interest rate of the New Term Loan Facility was 12.06% at December 31, 2024. As of December 31, 2023, the Company had a principal amount of $110.4 million, $296.3 million and $96.1 million outstanding under the Incremental Term Loan Facility, 2021 Incremental Term Loans and 2021-2 Incremental Term Loans, respectively. The effective interest rate of the Term Loan Facilities was 13.0% at December 31, 2023.</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Voluntary Prepayment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Borrower may voluntarily prepay outstanding borrowings under the New Term Loan Facility at any time in whole or in part without premium or penalty; provided, that, with respect to voluntary prepayments of the New Term Loan Facility and in certain other circumstances, the Borrower may have to pay a prepayment premium. Principal repayment obligations are reduced by the amount of any prepayment.</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the Effective Date of the Amendment and Restatement Agreement, the Credit Agreement requires that the Borrower, following the end of each fiscal year commencing with the fiscal year ending December 31, 2025, offer to prepay the outstanding principal amount of all term loans in an aggregate amount equal to (a) 65% of the excess cash flow of the Borrower and its restricted subsidiaries for such fiscal year if the Total Cash Leverage Ratio (as defined in the Credit Agreement) is greater than or equal to 3.00:1.00 and (b) 0% if the Total Cash Leverage Ratio is less than 3.00:1.00.</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twelve months after the receipt of such net proceeds, then no prepayment shall be required except to the extent such net proceeds have not been so invested (or committed to be invested) by the end of such 12-month period. Pursuant to the Credit Agreement, 100% percent of the net proceeds from the issuance or incurrence of certain indebtedness must be applied to prepay the outstanding term loans, except to the extent the indebtedness constitutes refinancing indebtedness.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 Principal repayment obligations are reduced by the amount of any prepayment.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Subject to the terms of the Credit Agreement, the lenders accepted the Company’s offer of an Excess Cash Flow prepayment (as defined in the Credit Agreement prior to the Effective Date of the Amended and Restated Credit Agreement) in connection with fiscal year 2022, and as such, the Company paid $14.0 million during the second quarter of 2023. During the twelve months ended December 31, 2024, the Borrower paid two prepayments totaling $75.0 million pursuant to Amendment No. 11. No other mandatory prepayments were required or made during the twelve months ended December 31, 2024, 2023 or 2022.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Through a series of amendments during 2020 and 2021, the Credit Agreement provided for a revolving credit facility in an aggregate principal amount of $200.0 million which was separated into two classes of revolving commitments consisting of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16280"/>
                <wp:effectExtent l="0" t="0" r="0" b="0"/>
                <wp:wrapNone/>
                <wp:docPr id="84" name="Frame8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pPr>
      <w:r>
        <w:rPr>
          <w:rFonts w:ascii="Arial;sans-serif" w:hAnsi="Arial;sans-serif"/>
          <w:b w:val="false"/>
          <w:color w:val="000000"/>
          <w:sz w:val="18"/>
        </w:rPr>
        <w:t>A Revolving Commitments in the amount of $30.0 million and Class B Revolving Commitments in the amount of $170.0 million</w:t>
      </w:r>
      <w:r>
        <w:rPr>
          <w:rFonts w:ascii="Arial;sans-serif" w:hAnsi="Arial;sans-serif"/>
          <w:b w:val="false"/>
          <w:color w:val="000000"/>
          <w:sz w:val="18"/>
          <w:shd w:fill="FFFFFF" w:val="clear"/>
        </w:rPr>
        <w:t xml:space="preserve">, each maturing on September 13, 2024. Pursuant to Amendment No. 11, effective </w:t>
      </w:r>
      <w:r>
        <w:rPr>
          <w:rFonts w:ascii="Arial;sans-serif" w:hAnsi="Arial;sans-serif"/>
          <w:b w:val="false"/>
          <w:color w:val="000000"/>
          <w:sz w:val="18"/>
        </w:rPr>
        <w:t xml:space="preserve">March 12, 2024, lenders consenting to an extension to the maturity of their respective commitments formed </w:t>
      </w:r>
      <w:r>
        <w:rPr>
          <w:rFonts w:ascii="Arial;sans-serif" w:hAnsi="Arial;sans-serif"/>
          <w:b w:val="false"/>
          <w:color w:val="000000"/>
          <w:sz w:val="18"/>
          <w:shd w:fill="FFFFFF" w:val="clear"/>
        </w:rPr>
        <w:t xml:space="preserve">a new tranche of Class A Revolving Commitments (the “New Class A Revolving Commitments”) and the non-consenting lenders remained part of the existing Class B Revolving Commitments. Each consenting lender received a 50% commitment reduction, resulting in a total of </w:t>
      </w:r>
      <w:r>
        <w:rPr>
          <w:rFonts w:ascii="Arial;sans-serif" w:hAnsi="Arial;sans-serif"/>
          <w:b w:val="false"/>
          <w:color w:val="000000"/>
          <w:sz w:val="18"/>
        </w:rPr>
        <w:t xml:space="preserve">$88.5 million </w:t>
      </w:r>
      <w:r>
        <w:rPr>
          <w:rFonts w:ascii="Arial;sans-serif" w:hAnsi="Arial;sans-serif"/>
          <w:b w:val="false"/>
          <w:color w:val="000000"/>
          <w:sz w:val="18"/>
          <w:shd w:fill="FFFFFF" w:val="clear"/>
        </w:rPr>
        <w:t xml:space="preserve">available to the Company under the New Class A Revolving Commitments, with $23.0 million remaining available to the Company under the Class B Revolving Commitments. </w:t>
      </w:r>
      <w:r>
        <w:rPr>
          <w:rFonts w:ascii="Arial;sans-serif" w:hAnsi="Arial;sans-serif"/>
          <w:b w:val="false"/>
          <w:color w:val="000000"/>
          <w:sz w:val="18"/>
        </w:rPr>
        <w:t>The New Class A Revolving Commitments mature on June 30, 2025 and bear interest at either ABR plus 5.50% per annum or SOFR plus 6.50% per annum. The remaining Class B Revolving Commitments matured on September 13, 2024 and bore interest at either ABR plus 3.00% per annum or SOFR plus 4.00% per annum. The Borrower is required to pay a commitment fee of 0.50% per annum on undrawn amounts under the New Class A Revolving Commitments.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The Amendment and Restatement Agreement, which amended and restated the Credit Agreement, provided for, among other items, an additional revolving credit facility with a commitment amount of $35.0 million (the “Class A-1 Revolving Credit Facility”), which will be made available to the Borrower upon the termination of the </w:t>
      </w:r>
      <w:r>
        <w:rPr>
          <w:rFonts w:ascii="Arial;sans-serif" w:hAnsi="Arial;sans-serif"/>
          <w:b w:val="false"/>
          <w:color w:val="000000"/>
          <w:sz w:val="18"/>
          <w:shd w:fill="FFFFFF" w:val="clear"/>
        </w:rPr>
        <w:t>New Class A Revolving Commitments</w:t>
      </w:r>
      <w:r>
        <w:rPr>
          <w:color w:val="000000"/>
        </w:rPr>
        <w:t xml:space="preserve"> </w:t>
      </w:r>
      <w:r>
        <w:rPr>
          <w:rFonts w:ascii="Arial;sans-serif" w:hAnsi="Arial;sans-serif"/>
          <w:b w:val="false"/>
          <w:color w:val="000000"/>
          <w:sz w:val="18"/>
        </w:rPr>
        <w:t>on or prior to June 30, 2025 (the “New Class A Revolving Facility Termination Date”). Outstanding borrowings under the Class A-1 Revolving Credit Facility are due and payable on November 4, 2029. The proceeds of any loans under the Class A-1 Revolving Credit Facility, once available, may be used to repay the New Class A Revolving Loans that remain outstanding on June 30, 2025, to finance working capital needs and for general corporate purposes. At the option of the Borrower and prior to the New Class A Revolving Facility Termination Date, the Class A-1 Revolving Credit Facility will bear interest at either (i) ABR plus 6.50% per annum or (ii) SOFR plus 7.50% per annum. After the New Class A Revolving Facility Termination Date, the Class A-1 Revolving Credit Facility will bear interest at either (i) ABR plus 6.25% per annum or (ii) SOFR plus 7.25% per annum. The Borrower is required to pay a commitment fee of 1% per annum on undrawn amounts under the Class A-1 Revolving Credit Facility.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 Company had $30.0 million outstanding under the New Class A Revolving Credit Facility and no amounts outstanding under the Class A-1 Revolving Credit Facility. The New Class A Revolving Credit Facility and Class A-1 Revolving Credit Facility had a remaining capacity of $58.5 million and $35.0 million, respectively, as of December 31, 2024. The Company had no amounts outstanding under the Class A Revolving Credit Facilities and Class B Revolving Credit Facilities as of December 31, 2023. The Class A Revolving Credit Facilities and Class B Revolving Credit Facilities had a remaining capacity of $200.0 million in the aggregate as of December 31, 2023.</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Guarantees and 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Blizzard Midco, LLC, the Borrower and certain other subsidiaries of the Company are guarantors of the Borrower’s obligations under the Credit Agreement. In addition, the obligations of the Borrower are secured by a first priority lien on substantially all of such guarantors’ assets, including a pledge of all of the equity interests of each of their respective subsidiaries, in each case, subject to customary exceptions and limitations.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Covenants and Other Matters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 The Company is in compliance with all covenants as of December 31,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6. STOCKHOLDERS' EQUITY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16280"/>
                <wp:effectExtent l="0" t="0" r="0" b="0"/>
                <wp:wrapNone/>
                <wp:docPr id="85" name="Frame8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Board of Directors is authorized to direct the Company to issue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twelve months ended December 31, 2024, 2023, and 2022 were 56.2%, 58.2% and 61.1%,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Redeemable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December 31, 2024 and 2023,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twelve months ended December 31, 2024 and 2022, the Company accrued $3.7 million and $0.9 million, respectively, of dividends relating to the Series A redeemable convertible preferred stock that were not paid in cash, which were included within temporary equity on the Consolidated Balance Sheets. For the twelve months ended December 31, 2023, the Company paid in cash $3.6 million of dividends relating to the Series A redeemable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16280"/>
                <wp:effectExtent l="0" t="0" r="0" b="0"/>
                <wp:wrapNone/>
                <wp:docPr id="86" name="Frame8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December 31, 2024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The Nasdaq Global Market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listing rules of The Nasdaq Global Market.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16280"/>
                <wp:effectExtent l="0" t="0" r="0" b="0"/>
                <wp:wrapNone/>
                <wp:docPr id="87" name="Frame8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Reverse Stock Split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10, 2022, the Board of Directors approved a resolution to effect a reverse stock split such that every holder of Class A and Class B common stock received one share of the respective class of stock for every fifteen shares of the respective class of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7. SHARE-BASED COMPENSATION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by operating function for the periods presented:</w:t>
      </w:r>
    </w:p>
    <w:tbl>
      <w:tblPr>
        <w:tblW w:w="7576" w:type="dxa"/>
        <w:jc w:val="left"/>
        <w:tblInd w:w="0" w:type="dxa"/>
        <w:tblLayout w:type="fixed"/>
        <w:tblCellMar>
          <w:top w:w="28" w:type="dxa"/>
          <w:left w:w="28" w:type="dxa"/>
          <w:bottom w:w="28" w:type="dxa"/>
          <w:right w:w="28" w:type="dxa"/>
        </w:tblCellMar>
      </w:tblPr>
      <w:tblGrid>
        <w:gridCol w:w="1245"/>
        <w:gridCol w:w="1091"/>
        <w:gridCol w:w="1098"/>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2020 Incentive Award Plan</w:t>
      </w:r>
    </w:p>
    <w:p>
      <w:pPr>
        <w:pStyle w:val="TextBody"/>
        <w:bidi w:val="0"/>
        <w:spacing w:lineRule="auto" w:line="288" w:before="240" w:after="283"/>
        <w:jc w:val="left"/>
        <w:rPr/>
      </w:pPr>
      <w:r>
        <w:rPr>
          <w:rFonts w:ascii="Arial;sans-serif" w:hAnsi="Arial;sans-serif"/>
          <w:b w:val="false"/>
          <w:color w:val="000000"/>
          <w:sz w:val="18"/>
        </w:rPr>
        <w:t>During 2020, the Company adopted the 2020 Incentive Award Plan, which became effective on July 14, 2020. The number of Class A shares available for issuance will be increased annually on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 xml:space="preserve">of each calendar year beginning in 2021 and ending in and including 2030, equal to the lesser of (A) 5% of the shares of the Company’s Class A common stock and Class B common stock outstanding on the final day of the immediately preceding calendar year and (B) a smaller number of shares as determined by the Board of Directors. The number of Class A shares available for issuance under the 2020 Incentive Award Plan as of December 31, 2024 was 739,157 shares.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2021 Employment Inducement Award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2021, the Board of Directors approved the adoption of the GoHealth, Inc. 2021 Employment Inducement Award Plan (as amended from time to time,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16280"/>
                <wp:effectExtent l="0" t="0" r="0" b="0"/>
                <wp:wrapNone/>
                <wp:docPr id="88" name="Frame8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inducement to the employee’s entering into employment with the Company or its subsidiary. As of December 31, 2024, there were 388,890 Class A shares available for issuance under the Inducement Award Plan.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Profits Units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Effective September 13, 2019 and in conjunction with the acquisition by Centerbridge of a 100% interest in Norvax, the Company authorized the grants of non-voting, time-vesting Profits Units (“Time-Vesting Units”). The Time-Vesting Units were issued by Blizzard Management Feeder, LLC (“Feeder”), to employees on behalf of the Company. The Time-Vesting Units granted to each employee will vest in 5 equal installments on the first through fifth anniversaries of the date of grant, so long as the employee remains employed by the Company through the applicable vesting date. Following the completion of the Transactions, each of the members of Feeder directly holds common units of Feeder that correspond to the LLC Interests (and associated shares of Class B common stock on a one-for-one basis) directly held by Feeder for each such member’s benefit. Compensation expense for the Time-Vesting Units is recognized on a straight-line basis over the five-year requisite service period beginning on the grant date.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Time-Vesting Units issued is as follows:</w:t>
      </w:r>
    </w:p>
    <w:tbl>
      <w:tblPr>
        <w:tblW w:w="9607"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834"/>
        <w:gridCol w:w="834"/>
        <w:gridCol w:w="836"/>
        <w:gridCol w:w="109"/>
        <w:gridCol w:w="109"/>
        <w:gridCol w:w="109"/>
        <w:gridCol w:w="705"/>
        <w:gridCol w:w="2055"/>
        <w:gridCol w:w="5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Time-Vesting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29.97</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32.11 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35.98</w:t>
            </w: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Restricted Stock Units (“RSUs”)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measures expense for RSUs based on the fair value of the awards on the grant date. The Company recognizes the grant date fair value of RSUs as compensation expense on a straight-line basis over the requisite service period of each award, which is generally two to three years.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RSUs issued is as follows:</w:t>
      </w:r>
    </w:p>
    <w:tbl>
      <w:tblPr>
        <w:tblW w:w="8527"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474"/>
        <w:gridCol w:w="474"/>
        <w:gridCol w:w="476"/>
        <w:gridCol w:w="109"/>
        <w:gridCol w:w="109"/>
        <w:gridCol w:w="109"/>
        <w:gridCol w:w="705"/>
        <w:gridCol w:w="2055"/>
        <w:gridCol w:w="5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15.92</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19.47 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11.83</w:t>
            </w: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there was $14.9 million of unamortized share-based compensation expense related to RSUs and these costs are expected to be recognized over a remaining weighted average period of 1.4 years.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 Options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measures expense for stock options based on the fair value of the awards on the grant date. The Company recognizes the grant date fair value of stock options as compensation expense on a straight-line basis over the requisite service period of each award, which is generally three years.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stock options issued to employees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16280"/>
                <wp:effectExtent l="0" t="0" r="0" b="0"/>
                <wp:wrapNone/>
                <wp:docPr id="89" name="Frame8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87"/>
        <w:gridCol w:w="563"/>
        <w:gridCol w:w="565"/>
        <w:gridCol w:w="109"/>
        <w:gridCol w:w="109"/>
        <w:gridCol w:w="109"/>
        <w:gridCol w:w="430"/>
        <w:gridCol w:w="430"/>
        <w:gridCol w:w="432"/>
        <w:gridCol w:w="109"/>
        <w:gridCol w:w="109"/>
        <w:gridCol w:w="109"/>
        <w:gridCol w:w="406"/>
        <w:gridCol w:w="1185"/>
        <w:gridCol w:w="226"/>
        <w:gridCol w:w="109"/>
        <w:gridCol w:w="109"/>
        <w:gridCol w:w="109"/>
        <w:gridCol w:w="794"/>
        <w:gridCol w:w="794"/>
        <w:gridCol w:w="797"/>
        <w:gridCol w:w="109"/>
        <w:gridCol w:w="109"/>
        <w:gridCol w:w="109"/>
        <w:gridCol w:w="369"/>
        <w:gridCol w:w="822"/>
        <w:gridCol w:w="297"/>
      </w:tblGrid>
      <w:tr>
        <w:trPr/>
        <w:tc>
          <w:tcPr>
            <w:tcW w:w="7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 Intrinsic Value</w:t>
            </w:r>
            <w:r>
              <w:rPr>
                <w:rFonts w:ascii="Arial;sans-serif" w:hAnsi="Arial;sans-serif"/>
                <w:b/>
                <w:color w:val="000000"/>
                <w:sz w:val="10"/>
              </w:rPr>
              <w:t>(1)</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w:t>
            </w:r>
            <w:r>
              <w:rPr>
                <w:color w:val="000000"/>
              </w:rPr>
              <w:t>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32.71</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Exercisable at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60.26</w:t>
            </w: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(1)The aggregate intrinsic value is calculated as the product between the Company’s closing stock price as of December 31, 2024 and 2023 and the exercise price of in-the-money options as of those dates.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stock options with a requisite service period of 3 years is determined using the Black-Scholes option pricing model using the following assumptions:</w:t>
      </w:r>
    </w:p>
    <w:tbl>
      <w:tblPr>
        <w:tblW w:w="5125" w:type="dxa"/>
        <w:jc w:val="left"/>
        <w:tblInd w:w="0" w:type="dxa"/>
        <w:tblLayout w:type="fixed"/>
        <w:tblCellMar>
          <w:top w:w="28" w:type="dxa"/>
          <w:left w:w="28" w:type="dxa"/>
          <w:bottom w:w="28" w:type="dxa"/>
          <w:right w:w="28" w:type="dxa"/>
        </w:tblCellMar>
      </w:tblPr>
      <w:tblGrid>
        <w:gridCol w:w="662"/>
        <w:gridCol w:w="581"/>
        <w:gridCol w:w="586"/>
        <w:gridCol w:w="109"/>
        <w:gridCol w:w="109"/>
        <w:gridCol w:w="109"/>
        <w:gridCol w:w="868"/>
        <w:gridCol w:w="868"/>
        <w:gridCol w:w="123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 2024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 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86.9%</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Performance Stock Units (“PSUs”)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June 7, 2022, the Company granted an aggregate of 194,444 shares of Class A common stock issuable pursuant to volume weighted average PSUs (“VWAPs”). The number of shares issued on the third anniversary of the date of grant is based on volume weighted average price performance over such three-year period (“Three Year VWAP”) in the following percentages: (i) 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 The Company estimated the grant-date fair value of the awards subject to a market condition using a Monte Carlo simulation model, using the following weighted-average assumptions: risk-free interest rate of 2.9% and annualized volatility of 94%. The grant-date fair value of the VWAPs was $8.25. The Company recognizes the grant-date fair value of VWAPs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10, 2023, the Company granted an aggregate of 100,000 shares of Class A common stock issuable pursuant to PSUs. The criteria for the performance-based PSUs are based on the Company’s compound annual growth rate in Adjusted EBITDA (“Adjusted EBITDA CAGR Percentage”), determined based on the Company’s Adjusted EBITDA for calendar year 2025 compared to the Company’s reported 2022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2025, subject to the participants’ continued service with the Company through that date. The grant-date fair value of the PSUs was $14.10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 2024, the Company granted an aggregate of 83,333 shares of Class A common stock issuable pursuant to PSUs. The criteria for the performance-based PSUs are based on the Company’s Adjusted EBITDA CAGR Percentage determined based on the Company’s Adjusted EBITDA for calendar year 2026 compared to the Company’s reported 2023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2026, subject to the participants’ continued service with the Company through that date. The grant-date fair value of the PSUs was $10.65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PSUs issued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16280"/>
                <wp:effectExtent l="0" t="0" r="0" b="0"/>
                <wp:wrapNone/>
                <wp:docPr id="90" name="Frame8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593"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469"/>
        <w:gridCol w:w="469"/>
        <w:gridCol w:w="471"/>
        <w:gridCol w:w="109"/>
        <w:gridCol w:w="109"/>
        <w:gridCol w:w="109"/>
        <w:gridCol w:w="935"/>
        <w:gridCol w:w="2725"/>
        <w:gridCol w:w="735"/>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Fair Value at Date of Grant Per Unit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20.77</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33.59 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11.36</w:t>
            </w:r>
            <w:r>
              <w:rPr>
                <w:color w:val="000000"/>
              </w:rPr>
              <w:t> </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2020 Employee Stock Purchase Plan</w:t>
      </w:r>
    </w:p>
    <w:p>
      <w:pPr>
        <w:pStyle w:val="TextBody"/>
        <w:bidi w:val="0"/>
        <w:spacing w:lineRule="auto" w:line="288" w:before="240" w:after="283"/>
        <w:jc w:val="left"/>
        <w:rPr/>
      </w:pPr>
      <w:r>
        <w:rPr>
          <w:rFonts w:ascii="Arial;sans-serif" w:hAnsi="Arial;sans-serif"/>
          <w:b w:val="false"/>
          <w:color w:val="000000"/>
          <w:sz w:val="18"/>
        </w:rPr>
        <w:t>During 2020, the Company adopted the 2020 Employee Stock Purchase Plan (“ESPP”). The purpose of the ESPP is to provide the Company's eligible employees with an opportunity to purchase designated shares of the Company’s Class A common stock at a price equal to 85% of the lower of the closing price at the beginning or end of each offering period. The number of shares available for issuance under the ESPP will be annually increased on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of each calendar year beginning in 2021 and ending in 2030, by an amount equal to the lesser of: (i) 1% of the aggregate number of shares of the Company’s Class A common stock outstanding on the final day of the immediately preceding calendar year and (ii) such smaller number of shares as is determined by the Board of Directors. The number of shares reserved for issuance at December 31, 2024 was 81,249 shares.</w:t>
      </w:r>
    </w:p>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Stock Appreciation Rights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June 6, 2022, the Founders were each granted two stock appreciation rights ("SARs") under the 2020 Plan. The first SAR commenced on June 6, 2022, and the second SAR commenced on June 21, 2023. Each SAR will be settled in cash with an aggregate commencement date value equal to $1.5 million (the number of shares determined by dividing such value by the per share Black-Scholes valuation as of the date of commencement), will have an exercise price equal to the fair market value of a share of the Company’s common stock on the date of commencement and will vest in full on the third anniversary of the date of commencement. The total initial fair value of the awards were recorded as expense at the time of the grant for the SARs with no future service requirement. The fair value of the awards with a future service requirement will be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Sheets. As of December 31, 2024 and December 31, 2023, the Company had a share-based compensation liability related to the SARs of $4.5 million and $5.0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8. NET LOSS PER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tbl>
      <w:tblPr>
        <w:tblW w:w="10205" w:type="dxa"/>
        <w:jc w:val="left"/>
        <w:tblInd w:w="0" w:type="dxa"/>
        <w:tblLayout w:type="fixed"/>
        <w:tblCellMar>
          <w:top w:w="28" w:type="dxa"/>
          <w:left w:w="28" w:type="dxa"/>
          <w:bottom w:w="28" w:type="dxa"/>
          <w:right w:w="28" w:type="dxa"/>
        </w:tblCellMar>
      </w:tblPr>
      <w:tblGrid>
        <w:gridCol w:w="2191"/>
        <w:gridCol w:w="1907"/>
        <w:gridCol w:w="1919"/>
        <w:gridCol w:w="109"/>
        <w:gridCol w:w="109"/>
        <w:gridCol w:w="109"/>
        <w:gridCol w:w="196"/>
        <w:gridCol w:w="628"/>
        <w:gridCol w:w="109"/>
        <w:gridCol w:w="109"/>
        <w:gridCol w:w="109"/>
        <w:gridCol w:w="109"/>
        <w:gridCol w:w="196"/>
        <w:gridCol w:w="808"/>
        <w:gridCol w:w="109"/>
        <w:gridCol w:w="109"/>
        <w:gridCol w:w="109"/>
        <w:gridCol w:w="109"/>
        <w:gridCol w:w="196"/>
        <w:gridCol w:w="808"/>
        <w:gridCol w:w="157"/>
      </w:tblGrid>
      <w:tr>
        <w:trPr/>
        <w:tc>
          <w:tcPr>
            <w:tcW w:w="219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(148,706)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Dividends paid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of Class A common stock—basic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income (loss) per share of Class A common stock because the effect of including such potentially dilutive shares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16280"/>
                <wp:effectExtent l="0" t="0" r="0" b="0"/>
                <wp:wrapNone/>
                <wp:docPr id="91" name="Frame8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488" w:type="dxa"/>
        <w:jc w:val="left"/>
        <w:tblInd w:w="0" w:type="dxa"/>
        <w:tblLayout w:type="fixed"/>
        <w:tblCellMar>
          <w:top w:w="28" w:type="dxa"/>
          <w:left w:w="28" w:type="dxa"/>
          <w:bottom w:w="28" w:type="dxa"/>
          <w:right w:w="28" w:type="dxa"/>
        </w:tblCellMar>
      </w:tblPr>
      <w:tblGrid>
        <w:gridCol w:w="1103"/>
        <w:gridCol w:w="968"/>
        <w:gridCol w:w="973"/>
        <w:gridCol w:w="109"/>
        <w:gridCol w:w="109"/>
        <w:gridCol w:w="109"/>
        <w:gridCol w:w="323"/>
        <w:gridCol w:w="323"/>
        <w:gridCol w:w="156"/>
        <w:gridCol w:w="109"/>
        <w:gridCol w:w="109"/>
        <w:gridCol w:w="109"/>
        <w:gridCol w:w="323"/>
        <w:gridCol w:w="323"/>
        <w:gridCol w:w="156"/>
        <w:gridCol w:w="109"/>
        <w:gridCol w:w="109"/>
        <w:gridCol w:w="109"/>
        <w:gridCol w:w="323"/>
        <w:gridCol w:w="323"/>
        <w:gridCol w:w="213"/>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31,</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 xml:space="preserve">9. INCOME TAXES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As a partnership, GHH, LLC does not pay any federal income taxes, as income or loss is included in the tax returns of the individual members. In 2024, the Company acquired a 100% equity interest in e-TeleQuote Insurance, Inc. (“e-TeleQuote”) which is taxed as a corporation. Prior to April 1, 2023 certain of the Company’s wholly-owned entities were taxed as corporations. These corporations are subject to federal and state income taxes in the jurisdictions in which they operate. Additionally, the Company’s foreign subsidiaries are subject to foreign income taxes in the jurisdiction in which they operate. The accruals for such taxes are included in the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income (loss) before income taxes are as follows:</w:t>
      </w:r>
    </w:p>
    <w:tbl>
      <w:tblPr>
        <w:tblW w:w="7044" w:type="dxa"/>
        <w:jc w:val="left"/>
        <w:tblInd w:w="0" w:type="dxa"/>
        <w:tblLayout w:type="fixed"/>
        <w:tblCellMar>
          <w:top w:w="28" w:type="dxa"/>
          <w:left w:w="28" w:type="dxa"/>
          <w:bottom w:w="28" w:type="dxa"/>
          <w:right w:w="28" w:type="dxa"/>
        </w:tblCellMar>
      </w:tblPr>
      <w:tblGrid>
        <w:gridCol w:w="1033"/>
        <w:gridCol w:w="906"/>
        <w:gridCol w:w="911"/>
        <w:gridCol w:w="109"/>
        <w:gridCol w:w="109"/>
        <w:gridCol w:w="109"/>
        <w:gridCol w:w="196"/>
        <w:gridCol w:w="631"/>
        <w:gridCol w:w="109"/>
        <w:gridCol w:w="109"/>
        <w:gridCol w:w="109"/>
        <w:gridCol w:w="109"/>
        <w:gridCol w:w="196"/>
        <w:gridCol w:w="811"/>
        <w:gridCol w:w="109"/>
        <w:gridCol w:w="109"/>
        <w:gridCol w:w="109"/>
        <w:gridCol w:w="109"/>
        <w:gridCol w:w="196"/>
        <w:gridCol w:w="81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(151,116)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(375,620)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income tax expense (benefit) are as follows:</w:t>
      </w:r>
    </w:p>
    <w:tbl>
      <w:tblPr>
        <w:tblW w:w="5799" w:type="dxa"/>
        <w:jc w:val="left"/>
        <w:tblInd w:w="0" w:type="dxa"/>
        <w:tblLayout w:type="fixed"/>
        <w:tblCellMar>
          <w:top w:w="28" w:type="dxa"/>
          <w:left w:w="28" w:type="dxa"/>
          <w:bottom w:w="28" w:type="dxa"/>
          <w:right w:w="28" w:type="dxa"/>
        </w:tblCellMar>
      </w:tblPr>
      <w:tblGrid>
        <w:gridCol w:w="875"/>
        <w:gridCol w:w="767"/>
        <w:gridCol w:w="773"/>
        <w:gridCol w:w="109"/>
        <w:gridCol w:w="109"/>
        <w:gridCol w:w="109"/>
        <w:gridCol w:w="196"/>
        <w:gridCol w:w="571"/>
        <w:gridCol w:w="109"/>
        <w:gridCol w:w="109"/>
        <w:gridCol w:w="109"/>
        <w:gridCol w:w="109"/>
        <w:gridCol w:w="196"/>
        <w:gridCol w:w="436"/>
        <w:gridCol w:w="109"/>
        <w:gridCol w:w="109"/>
        <w:gridCol w:w="109"/>
        <w:gridCol w:w="109"/>
        <w:gridCol w:w="196"/>
        <w:gridCol w:w="43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statutory U.S. federal income tax rate to our effective income tax rate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16280"/>
                <wp:effectExtent l="0" t="0" r="0" b="0"/>
                <wp:wrapNone/>
                <wp:docPr id="92" name="Frame9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089" w:type="dxa"/>
        <w:jc w:val="left"/>
        <w:tblInd w:w="0" w:type="dxa"/>
        <w:tblLayout w:type="fixed"/>
        <w:tblCellMar>
          <w:top w:w="28" w:type="dxa"/>
          <w:left w:w="28" w:type="dxa"/>
          <w:bottom w:w="28" w:type="dxa"/>
          <w:right w:w="28" w:type="dxa"/>
        </w:tblCellMar>
      </w:tblPr>
      <w:tblGrid>
        <w:gridCol w:w="1188"/>
        <w:gridCol w:w="1045"/>
        <w:gridCol w:w="1051"/>
        <w:gridCol w:w="109"/>
        <w:gridCol w:w="109"/>
        <w:gridCol w:w="109"/>
        <w:gridCol w:w="314"/>
        <w:gridCol w:w="316"/>
        <w:gridCol w:w="309"/>
        <w:gridCol w:w="131"/>
        <w:gridCol w:w="131"/>
        <w:gridCol w:w="131"/>
        <w:gridCol w:w="269"/>
        <w:gridCol w:w="271"/>
        <w:gridCol w:w="309"/>
        <w:gridCol w:w="131"/>
        <w:gridCol w:w="131"/>
        <w:gridCol w:w="131"/>
        <w:gridCol w:w="269"/>
        <w:gridCol w:w="271"/>
        <w:gridCol w:w="364"/>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taxes, net of the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bargain purchase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(44.9)</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(0.2)</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pPr>
      <w:r>
        <w:rPr>
          <w:rFonts w:ascii="Arial;sans-serif" w:hAnsi="Arial;sans-serif"/>
          <w:b w:val="false"/>
          <w:i/>
          <w:color w:val="000000"/>
          <w:sz w:val="14"/>
        </w:rPr>
        <w:t xml:space="preserve">(1)Related to the acquisition of e-TeleQuote, as further described in Note </w:t>
      </w:r>
      <w:r>
        <w:rPr>
          <w:rFonts w:ascii="Arial;sans-serif" w:hAnsi="Arial;sans-serif"/>
          <w:b w:val="false"/>
          <w:color w:val="000000"/>
          <w:sz w:val="14"/>
        </w:rPr>
        <w:t>15</w:t>
      </w:r>
      <w:r>
        <w:rPr>
          <w:rFonts w:ascii="Arial;sans-serif" w:hAnsi="Arial;sans-serif"/>
          <w:b w:val="false"/>
          <w:i/>
          <w:color w:val="000000"/>
          <w:sz w:val="14"/>
        </w:rPr>
        <w:t>, Acquisitions.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Company’s effective tax rate for the twelve months ended December 31, 2024, 2023, and 2022, was (44.9)%, (0.1)% and (0.2)%, respectively. For the twelve months ended December 31, 2024, the effective tax rate was impacted by the loss attributable to non-controlling interest, change in valuation allowance and gain on bargain purchase. For the twelve months ended December 31, 2023, the effective tax rate was impacted by the change in deferred income tax rates, the loss attributable to non-controlling interest and change in valuation allowance. For the twelve months ended December 31, 2022, the effective tax rate was impacted by the loss attributable to non-controlling interest and change in valuation allowance.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Deferred Taxes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deferred tax assets and liabilities are as follows:</w:t>
      </w:r>
    </w:p>
    <w:tbl>
      <w:tblPr>
        <w:tblW w:w="6681" w:type="dxa"/>
        <w:jc w:val="left"/>
        <w:tblInd w:w="0" w:type="dxa"/>
        <w:tblLayout w:type="fixed"/>
        <w:tblCellMar>
          <w:top w:w="28" w:type="dxa"/>
          <w:left w:w="28" w:type="dxa"/>
          <w:bottom w:w="28" w:type="dxa"/>
          <w:right w:w="28" w:type="dxa"/>
        </w:tblCellMar>
      </w:tblPr>
      <w:tblGrid>
        <w:gridCol w:w="1413"/>
        <w:gridCol w:w="1240"/>
        <w:gridCol w:w="1247"/>
        <w:gridCol w:w="109"/>
        <w:gridCol w:w="109"/>
        <w:gridCol w:w="109"/>
        <w:gridCol w:w="196"/>
        <w:gridCol w:w="736"/>
        <w:gridCol w:w="109"/>
        <w:gridCol w:w="109"/>
        <w:gridCol w:w="109"/>
        <w:gridCol w:w="109"/>
        <w:gridCol w:w="196"/>
        <w:gridCol w:w="73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Basis in partnership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Disallowed business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(22,350)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a result of the Transactions and the IPO, the Company acquired LLC Interests and has recognized a deferred tax asset for the difference between the financial reporting and tax basis of its investment in GHH, LLC. In addition, the Company increased its ownership in GHH, LLC during the years ended December 31, 2024 and 2023, primarily through the redemption of LLC Interests. The Company recognized a reduction in deferred tax assets in the amount of $1.9 million for the year ended December 31, 2024 associated with the basis difference in our investment in GHH, LLC upon acquiring these LLC Interests. As of December 31, 2024, the total deferred tax asset related to the basis difference in the Company's investment in GHH, LLC was $130.3 million.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records valuation allowances against its deferred tax assets when it is more likely than not that all or a portion of a deferred tax asset will not be realized. The Company routinely evaluates the realizability of its deferred tax assets by assessing the likelihood that its deferred tax assets will be recovered based on all available positive and negative evidence, including scheduled reversals of deferred tax liabilities, estimates of future taxable income, tax planning strategies and results of operations. In projecting future taxable income, the Company considers its historical results and incorporates certain assumptions, including revenue growth and operating margins, among others. Based on the lack of sufficient sources of taxable income at GHH, LLC, the Company has concluded that its deferred tax assets will not be realized and has recorded a valuation allowance against all deferred tax assets as of December 31, 2024. As a corporation, e-TeleQuote separately assesses its ability to recover the deferred tax assets. At e-TeleQuote, there is a significant source of future taxable income from the reversal of the deferred contract asset. As such, the Company has determined that there is ample positive evidence to overcome the negative weight of cumulative losses. As such, valuation allowances have not been recorded against the deferred tax assets of e-TeleQuote.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16280"/>
                <wp:effectExtent l="0" t="0" r="0" b="0"/>
                <wp:wrapNone/>
                <wp:docPr id="93" name="Frame9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2024, the Company had gross U.S. federal net operating loss carryforwards and state tax net operating loss carryforwards of $454.8 million and $341.7 million, respectively. As of December 31, 2023, the Company had gross U.S. federal net operating loss carryforwards and state tax net operating loss carryforwards of $370.5 million and $291.2 million, respectively. The U.S. federal net operating losses can be carried forward indefinitely as they were generated after 2017. Certain state tax net operating loss carryforwards will begin to expire in 2025. As of both December 31, 2024 and December 31, 2023, the Company had U.S. federal credits and incentives of $0.5 million.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Uncertain Tax Positions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were no reserves for uncertain tax positions as of December 31, 2024 and 2023. GoHealth, Inc. was formed in March of 2020 and did not engage in any operations prior to the Transactions and the IPO. GoHealth, Inc. filed its first tax returns for the tax year 2020 in 2021, which is the first tax year subject to examination by taxing authorities for U.S. federal and state income tax purposes. Additionally, although GHH, LLC is treated as a partnership for U.S. federal and state income tax purposes, it is still required to file an annual U.S. Return of Partnership Income, which is subject to examination by taxing authorities for U.S. federal and state income tax purposes. The statute of limitations has expired for tax years through 2020 for GHH, LLC and Creatix, Inc.</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Company’s election under Section 754 of the Code, the Company expects to obtain an increase in its share of the tax basis in the net assets of GHH, LLC when LLC Interests are redeemed or exchanged by the Continuing Equity Owners. The Company intends to make an election under Section 754 of the Code for each taxable year in which a redemption or exchange of LLC Interest occurs. The Company intends to treat any redemptions and exchanges of LLC Interests by the Continuing Equity Owners as direct purchases of LLC Interests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amounts payable under the Tax Receivable Agreement will vary depending upon a number of factors, including the amount, character and timing of the taxable income of the Company in the future. As of December 31, 2024 and December 31, 2023, the Company determined that a $1.1 million and $0.8 million liability related to the Tax Receivable Agreement arose from the Transactions, respectively. Should the Company determine that any additional Tax Receivable Agreement liability is considered probable at a future date based on new information, any changes will be recorded within earnings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10. REVENUE</w:t>
      </w:r>
    </w:p>
    <w:p>
      <w:pPr>
        <w:pStyle w:val="TextBody"/>
        <w:bidi w:val="0"/>
        <w:spacing w:lineRule="auto" w:line="288" w:before="240" w:after="283"/>
        <w:jc w:val="left"/>
        <w:rPr/>
      </w:pPr>
      <w:r>
        <w:rPr>
          <w:rFonts w:ascii="Arial;sans-serif" w:hAnsi="Arial;sans-serif"/>
          <w:b w:val="false"/>
          <w:color w:val="000000"/>
          <w:sz w:val="18"/>
        </w:rPr>
        <w:t xml:space="preserve">The Company recognizes revenue 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The primary services provided by the Company relate to the sale and administration of Medicare insurance products through either the agency model or the non-agency model, as described below. Refer to Note 1, “Description of Business and Significant Accounting Policies” for more information about the Company’s revenues.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Disaggregation of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16280"/>
                <wp:effectExtent l="0" t="0" r="0" b="0"/>
                <wp:wrapNone/>
                <wp:docPr id="94" name="Frame9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440" w:type="dxa"/>
        <w:jc w:val="left"/>
        <w:tblInd w:w="0" w:type="dxa"/>
        <w:tblLayout w:type="fixed"/>
        <w:tblCellMar>
          <w:top w:w="28" w:type="dxa"/>
          <w:left w:w="28" w:type="dxa"/>
          <w:bottom w:w="28" w:type="dxa"/>
          <w:right w:w="28" w:type="dxa"/>
        </w:tblCellMar>
      </w:tblPr>
      <w:tblGrid>
        <w:gridCol w:w="1135"/>
        <w:gridCol w:w="997"/>
        <w:gridCol w:w="1002"/>
        <w:gridCol w:w="109"/>
        <w:gridCol w:w="109"/>
        <w:gridCol w:w="109"/>
        <w:gridCol w:w="196"/>
        <w:gridCol w:w="736"/>
        <w:gridCol w:w="109"/>
        <w:gridCol w:w="109"/>
        <w:gridCol w:w="109"/>
        <w:gridCol w:w="109"/>
        <w:gridCol w:w="196"/>
        <w:gridCol w:w="736"/>
        <w:gridCol w:w="109"/>
        <w:gridCol w:w="109"/>
        <w:gridCol w:w="109"/>
        <w:gridCol w:w="109"/>
        <w:gridCol w:w="196"/>
        <w:gridCol w:w="736"/>
        <w:gridCol w:w="311"/>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316,734 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112,983 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429,717 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107,336 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537,053 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Non-Encompass BPO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87,383 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94,622 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excludes commissions generated through the Company’s Non-Encompass BPO Services as well as from the sale of individual and family plan insurance products.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Medicare Revenue:</w:t>
      </w:r>
      <w:r>
        <w:rPr>
          <w:color w:val="000000"/>
        </w:rPr>
        <w:t xml:space="preserve"> </w:t>
      </w:r>
      <w:r>
        <w:rPr>
          <w:rFonts w:ascii="Arial;sans-serif" w:hAnsi="Arial;sans-serif"/>
          <w:b w:val="false"/>
          <w:color w:val="000000"/>
          <w:sz w:val="18"/>
        </w:rPr>
        <w:t xml:space="preserve">The primary services provided by the Company relate to the sale and administration of Medicare insurance products through either the agency model or the non-agency model. The agency model refers to the commission revenue and partner marketing and other revenue the Company receives when GoHealth agents or the Company’s independent network of outsourced agents, or external agents, enroll the consumer and submit the policy application to the health plan partner, becoming the agent of record. Non-agency revenue refers to services provided by the Company that support enrollment and engagement activities in which the Company is not the agent of record. </w:t>
      </w:r>
    </w:p>
    <w:p>
      <w:pPr>
        <w:pStyle w:val="TextBody"/>
        <w:bidi w:val="0"/>
        <w:spacing w:lineRule="auto" w:line="288" w:before="240" w:after="283"/>
        <w:jc w:val="left"/>
        <w:rPr/>
      </w:pPr>
      <w:r>
        <w:rPr>
          <w:rFonts w:ascii="Arial;sans-serif" w:hAnsi="Arial;sans-serif"/>
          <w:b w:val="false"/>
          <w:i/>
          <w:color w:val="000000"/>
          <w:sz w:val="18"/>
        </w:rPr>
        <w:t>Other Revenue:</w:t>
      </w:r>
      <w:r>
        <w:rPr>
          <w:color w:val="000000"/>
        </w:rPr>
        <w:t xml:space="preserve"> </w:t>
      </w:r>
      <w:r>
        <w:rPr>
          <w:rFonts w:ascii="Arial;sans-serif" w:hAnsi="Arial;sans-serif"/>
          <w:b w:val="false"/>
          <w:color w:val="000000"/>
          <w:sz w:val="18"/>
        </w:rPr>
        <w:t>Other revenue is comprised of Non-Encompass BPO Services, which refers to programs in which GoHealth-employed agents are dedicated to certain health plans and agencies the Company partners with outside of the Encompass operating model. These services include commission revenue and partner marketing and other revenue that is directly attributable to Non-Encompass BPO Services. The remaining revenue relates primarily to revenue generated from the sale of individual and family plan insurance products and ancillary services.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Contract Balances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records commissions receivable, commissions payable and deferred revenue related to its contracts with customers. Commissions receivable represents estimated variable consideration for commissions to be received from health plan partners for performance obligations that have been satisfied. Commissions payable represents estimated commissions to be paid to the Company’s external partners.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had unbilled receivables for performance-based enrollment fees and non-agency revenue, as well as prepaid expenses for revenue share, as of December 31, 2024 and 2023 of $20.9 million and $36.0 million, respectively, which are recorded in prepaid expenses and other current assets on the Consolidated Balance Sheets. In addition, the Company had accrued payments for revenue share of $29.8 million and $14.8 million as of December 31, 2024 and 2023, respectively, which are recorded in accrued liabilities.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Deferred revenue includes amounts collected for partner marketing services and non-agency revenue in advance of the Company satisfying its performance obligations for such customers. The slight increase in deferred revenue during the twelve months ended December 31, 2024 compared to the prior year period was primarily due to more cash received as of December 31, 2024 compared to December 31, 2023 for marketing, administrative and enrollment fees in advance of performing such services that the Company expects to satisfy within the next twelve months. During the twelve months ended December 31, 2024, 2023 and 2022, the Company recognized revenue that was recorded in deferred revenue on the Consolidated Balance Sheets at the beginning of the respective fiscal year of $51.1 million, $45.3 million and $0.1 million,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Significant Customers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revenue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16280"/>
                <wp:effectExtent l="0" t="0" r="0" b="0"/>
                <wp:wrapNone/>
                <wp:docPr id="95" name="Frame9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4289" w:type="dxa"/>
        <w:jc w:val="left"/>
        <w:tblInd w:w="0" w:type="dxa"/>
        <w:tblLayout w:type="fixed"/>
        <w:tblCellMar>
          <w:top w:w="28" w:type="dxa"/>
          <w:left w:w="28" w:type="dxa"/>
          <w:bottom w:w="28" w:type="dxa"/>
          <w:right w:w="28" w:type="dxa"/>
        </w:tblCellMar>
      </w:tblPr>
      <w:tblGrid>
        <w:gridCol w:w="287"/>
        <w:gridCol w:w="251"/>
        <w:gridCol w:w="258"/>
        <w:gridCol w:w="109"/>
        <w:gridCol w:w="109"/>
        <w:gridCol w:w="109"/>
        <w:gridCol w:w="233"/>
        <w:gridCol w:w="233"/>
        <w:gridCol w:w="309"/>
        <w:gridCol w:w="131"/>
        <w:gridCol w:w="131"/>
        <w:gridCol w:w="131"/>
        <w:gridCol w:w="233"/>
        <w:gridCol w:w="233"/>
        <w:gridCol w:w="309"/>
        <w:gridCol w:w="131"/>
        <w:gridCol w:w="131"/>
        <w:gridCol w:w="131"/>
        <w:gridCol w:w="233"/>
        <w:gridCol w:w="233"/>
        <w:gridCol w:w="364"/>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Aetna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Centene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11.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2025 and 2032. Lease expense for operating lease payments is recognized on a straight-line basis over the lease term.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Consolidated Statements of Operations:</w:t>
      </w:r>
    </w:p>
    <w:tbl>
      <w:tblPr>
        <w:tblW w:w="5633" w:type="dxa"/>
        <w:jc w:val="left"/>
        <w:tblInd w:w="0" w:type="dxa"/>
        <w:tblLayout w:type="fixed"/>
        <w:tblCellMar>
          <w:top w:w="28" w:type="dxa"/>
          <w:left w:w="28" w:type="dxa"/>
          <w:bottom w:w="28" w:type="dxa"/>
          <w:right w:w="28" w:type="dxa"/>
        </w:tblCellMar>
      </w:tblPr>
      <w:tblGrid>
        <w:gridCol w:w="718"/>
        <w:gridCol w:w="629"/>
        <w:gridCol w:w="632"/>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Finance lease cost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Short-term lease cost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Variable lease cost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4"/>
        </w:rPr>
      </w:pPr>
      <w:r>
        <w:rPr>
          <w:rFonts w:ascii="Arial;sans-serif" w:hAnsi="Arial;sans-serif"/>
          <w:b w:val="false"/>
          <w:i/>
          <w:color w:val="000000"/>
          <w:sz w:val="14"/>
        </w:rPr>
        <w:t xml:space="preserve">(1)Primarily consists of amortization of finance lease right-of-use assets and an immaterial amount of interest on finance lease liabilities recorded in operating expenses and interest expense in the Consolidated Statements of Operations. </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(2)Includes costs related to leases, which at the commencement date, have a lease term of twelve months or less.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(3)Includes costs incurred by the Company for the right to use an underlying asset that vary because of changes in facts or circumstances occurring after the commencement date, other than the passage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December 31, 2024, future minimum lease payments for operating leases consisted of the following:</w:t>
      </w:r>
    </w:p>
    <w:tbl>
      <w:tblPr>
        <w:tblW w:w="4465"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299"/>
        <w:gridCol w:w="1010"/>
        <w:gridCol w:w="23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53,669</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(13,064)</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40,605</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tbl>
      <w:tblPr>
        <w:tblW w:w="10205" w:type="dxa"/>
        <w:jc w:val="left"/>
        <w:tblInd w:w="0" w:type="dxa"/>
        <w:tblLayout w:type="fixed"/>
        <w:tblCellMar>
          <w:top w:w="28" w:type="dxa"/>
          <w:left w:w="28" w:type="dxa"/>
          <w:bottom w:w="28" w:type="dxa"/>
          <w:right w:w="28" w:type="dxa"/>
        </w:tblCellMar>
      </w:tblPr>
      <w:tblGrid>
        <w:gridCol w:w="2331"/>
        <w:gridCol w:w="2039"/>
        <w:gridCol w:w="2044"/>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233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6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lease assets obtained in exchange for new lease obligations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Reduction in operating lease ROU assets and lease liabilities due to reassessment of lease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(1)For the twelve months ended December 31, 2024, the Company recognized operating lease assets arising from operating leases of an acquiree. For the twelve months ended December 31, 2023, the Company entered into a lease agreement for its corporate headquarters in Chicago, Illinois, which commenced on July 5, 2023. For the twelve months ended December 31, 2022, the Company entered into a lease agreement with Wilson Tech 5, LLC for office space in Lindon, Utah, which commenced on June 8,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16280"/>
                <wp:effectExtent l="0" t="0" r="0" b="0"/>
                <wp:wrapNone/>
                <wp:docPr id="96" name="Frame9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tbl>
      <w:tblPr>
        <w:tblW w:w="7212" w:type="dxa"/>
        <w:jc w:val="left"/>
        <w:tblInd w:w="0" w:type="dxa"/>
        <w:tblLayout w:type="fixed"/>
        <w:tblCellMar>
          <w:top w:w="28" w:type="dxa"/>
          <w:left w:w="28" w:type="dxa"/>
          <w:bottom w:w="28" w:type="dxa"/>
          <w:right w:w="28" w:type="dxa"/>
        </w:tblCellMar>
      </w:tblPr>
      <w:tblGrid>
        <w:gridCol w:w="1357"/>
        <w:gridCol w:w="1194"/>
        <w:gridCol w:w="1198"/>
        <w:gridCol w:w="109"/>
        <w:gridCol w:w="109"/>
        <w:gridCol w:w="109"/>
        <w:gridCol w:w="188"/>
        <w:gridCol w:w="188"/>
        <w:gridCol w:w="432"/>
        <w:gridCol w:w="109"/>
        <w:gridCol w:w="109"/>
        <w:gridCol w:w="109"/>
        <w:gridCol w:w="188"/>
        <w:gridCol w:w="188"/>
        <w:gridCol w:w="432"/>
        <w:gridCol w:w="109"/>
        <w:gridCol w:w="109"/>
        <w:gridCol w:w="109"/>
        <w:gridCol w:w="188"/>
        <w:gridCol w:w="188"/>
        <w:gridCol w:w="490"/>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years</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12.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Legal Proceedings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September 2020, three purported securities class action complaints were filed in the U.S.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In December 2023, the parties notified the court that they had reached an agreement in principle to settle the Securities Class Action. On February 7, 2024, the plaintiffs filed an application with the court seeking preliminary approval of the parties’ proposed settlement, which application was granted by the court on February 27, 2024. The terms of the parties’ settlement agreement are contained in the settlement documents filed with the court on February 7, 2024. On May 22, 2024, the Court granted its final approval of the settlement, fully resolving the Securities Class Action.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May 19, 2021, a derivative action (the “Derivative Action”) was filed in the U.S.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 The settlement in the Securities Class Action did not resolve the Derivative Action. The Company is contesting the Derivative Action, but may pursue settlement negotiations, as it deems appropriate.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Although outcomes of unresolved cases are uncertain until final disposition, the Company establishes an accrual for such matters when a loss is deemed to be probable and reasonably estimable. On March 13, 2024, the Company paid $10.5 million toward the Securities Class Action settlement, which had been accrued in 2023. This payment was the remaining amount of the retention amount for which the Company was responsible under its applicable directors’ and officers’ liability insurance policies. The Company does not expect to make any further contribution to the settlement amount in the Securities Class Action. The remaining settlement amount was</w:t>
      </w:r>
      <w:r>
        <w:rPr>
          <w:color w:val="4472C4"/>
        </w:rPr>
        <w:t xml:space="preserve"> </w:t>
      </w:r>
      <w:r>
        <w:rPr>
          <w:rFonts w:ascii="Arial;sans-serif" w:hAnsi="Arial;sans-serif"/>
          <w:b w:val="false"/>
          <w:color w:val="000000"/>
          <w:sz w:val="18"/>
        </w:rPr>
        <w:t>paid by the Company’s insurance carriers under the applicable insurance policies and pursuant to the terms of the approved settlement.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On January 15, 2025, we were made aware that the Department of Justice filed a notice of intervention in a pending </w:t>
      </w:r>
      <w:r>
        <w:rPr>
          <w:rFonts w:ascii="Arial;sans-serif" w:hAnsi="Arial;sans-serif"/>
          <w:b w:val="false"/>
          <w:i/>
          <w:color w:val="000000"/>
          <w:sz w:val="18"/>
        </w:rPr>
        <w:t>qui tam</w:t>
      </w:r>
      <w:r>
        <w:rPr>
          <w:color w:val="000000"/>
        </w:rPr>
        <w:t xml:space="preserve"> </w:t>
      </w:r>
      <w:r>
        <w:rPr>
          <w:rFonts w:ascii="Arial;sans-serif" w:hAnsi="Arial;sans-serif"/>
          <w:b w:val="false"/>
          <w:color w:val="000000"/>
          <w:sz w:val="18"/>
        </w:rPr>
        <w:t xml:space="preserve">proceeding filed by private party relators under seal in the U.S. District Court for the District of Massachusetts related to our arrangements with certain insurance health plan partners. The United States Attorney’s Office has not filed a Complaint-in-Intervention, and it is unknown whether they intend to pursue the matter following the Administration change. Depending upon the outcome of the lawsuit, we could be subject to civil penalties and/or damages, which could have a material adverse effect on our consolidated financial position, results of operations, or cash flows. Because the aforementioned complaint has not been filed, and the </w:t>
      </w:r>
      <w:r>
        <w:rPr>
          <w:rFonts w:ascii="Arial;sans-serif" w:hAnsi="Arial;sans-serif"/>
          <w:b w:val="false"/>
          <w:i/>
          <w:color w:val="000000"/>
          <w:sz w:val="18"/>
        </w:rPr>
        <w:t xml:space="preserve">qui tam </w:t>
      </w:r>
      <w:r>
        <w:rPr>
          <w:rFonts w:ascii="Arial;sans-serif" w:hAnsi="Arial;sans-serif"/>
          <w:b w:val="false"/>
          <w:color w:val="000000"/>
          <w:sz w:val="18"/>
        </w:rPr>
        <w:t>lawsuit is under seal, we currently are unable to estimate an amount or range of reasonably possible loss or to express an opinion regarding the ultimate outcome.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13. RELATED PARTY TRANSACTIONS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party to various lease agreements with 214 W Huron LLC, 220 W Huron Street Holdings LLC, 215 W Superior LLC and Wilson Tech 5, LLC, each of which is controlled by significant shareholders of the Company, to lease its former corporate offices in Chicago, Illinois and offices in Lindon, Utah. The Company pays rent, operating expenses, maintenance and utilities under the terms of the leases. For the twelve months ended December 31, 2024, 2023 and 2022, the Company made aggregate lease payments of $5.5 million, $6.0 million and $3.9 million, respectively, under these leases. The lease agreement with 214 W Huron LLC expired during the twelve months ended December 31,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Under the agreement, the Company is required to pay $6,036.94 per flight hour for use of the aircraft. For the twelve months ended December 31, 2024 and 2023, the Company recorded no expense under this lease. For the twelve months ended December 31, 2022, the Company recorded expense of $0.6 million under this lease. The lease was terminated during the twelve months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16280"/>
                <wp:effectExtent l="0" t="0" r="0" b="0"/>
                <wp:wrapNone/>
                <wp:docPr id="97" name="Frame9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fourth quarter of 2023 the Company paid $0.2 million to the Continuing Equity Owners and Blocker Shareholders related to fiscal year 2022 under the TRA. Additionally, the Company made tax distributions related to the 2023 tax year totaling $0.1 million to several current and former employees, including certain executive officers, as well as other partners related to state taxable income allocated to such persons.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14. RESTRUCTURING COSTS</w:t>
      </w:r>
    </w:p>
    <w:p>
      <w:pPr>
        <w:pStyle w:val="TextBody"/>
        <w:bidi w:val="0"/>
        <w:spacing w:lineRule="auto" w:line="288" w:before="240" w:after="283"/>
        <w:jc w:val="left"/>
        <w:rPr/>
      </w:pPr>
      <w:r>
        <w:rPr>
          <w:rFonts w:ascii="Arial;sans-serif" w:hAnsi="Arial;sans-serif"/>
          <w:b w:val="false"/>
          <w:color w:val="000000"/>
          <w:sz w:val="18"/>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consumer care and enrollment group. The majority of the restructuring charges incurred relate to employee termination benefits and will be settled in cash through the first quarter of 2025. The restructuring activities related to this plan were materially complete as of December 31, 2022. The Company evaluates restructuring charges in accordance with ASC 420 </w:t>
      </w:r>
      <w:r>
        <w:rPr>
          <w:rFonts w:ascii="Arial;sans-serif" w:hAnsi="Arial;sans-serif"/>
          <w:b w:val="false"/>
          <w:i/>
          <w:color w:val="000000"/>
          <w:sz w:val="18"/>
        </w:rPr>
        <w:t xml:space="preserve">Exit or Disposal Cost Obligations </w:t>
      </w:r>
      <w:r>
        <w:rPr>
          <w:rFonts w:ascii="Arial;sans-serif" w:hAnsi="Arial;sans-serif"/>
          <w:b w:val="false"/>
          <w:color w:val="000000"/>
          <w:sz w:val="18"/>
        </w:rPr>
        <w:t xml:space="preserve">and ASC 712 </w:t>
      </w:r>
      <w:r>
        <w:rPr>
          <w:rFonts w:ascii="Arial;sans-serif" w:hAnsi="Arial;sans-serif"/>
          <w:b w:val="false"/>
          <w:i/>
          <w:color w:val="000000"/>
          <w:sz w:val="18"/>
        </w:rPr>
        <w:t>Compensation—Nonretirement Post-Employment Benefits.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twelve months ended December 31, 2024 and 2023, the Company incurred no restructuring and other related charges. The components of the restructuring and other related charges for the twelve months ended December 31, 2022 are as follows:</w:t>
      </w:r>
    </w:p>
    <w:tbl>
      <w:tblPr>
        <w:tblW w:w="6971" w:type="dxa"/>
        <w:jc w:val="left"/>
        <w:tblInd w:w="0" w:type="dxa"/>
        <w:tblLayout w:type="fixed"/>
        <w:tblCellMar>
          <w:top w:w="28" w:type="dxa"/>
          <w:left w:w="28" w:type="dxa"/>
          <w:bottom w:w="28" w:type="dxa"/>
          <w:right w:w="28" w:type="dxa"/>
        </w:tblCellMar>
      </w:tblPr>
      <w:tblGrid>
        <w:gridCol w:w="1331"/>
        <w:gridCol w:w="1169"/>
        <w:gridCol w:w="1175"/>
        <w:gridCol w:w="109"/>
        <w:gridCol w:w="109"/>
        <w:gridCol w:w="109"/>
        <w:gridCol w:w="575"/>
        <w:gridCol w:w="1942"/>
        <w:gridCol w:w="452"/>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Employee termination benefits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associated costs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restructuring and other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12,184</w:t>
            </w:r>
            <w:r>
              <w:rPr>
                <w:color w:val="000000"/>
              </w:rPr>
              <w:t>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(1)Employee termination benefits primarily consist of employee severance and benefits that will be settled in cash.</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(2)Other associated costs primarily consist of the non-cash acceleration of agent licensing fees as well as legal expenses incurred in connection with the reduction-in-force. </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the changes in the Company’s restructuring and other related charges that will be settled in cash, included in accrued liabilities on the Consolidated Balance Sheets:</w:t>
      </w:r>
    </w:p>
    <w:tbl>
      <w:tblPr>
        <w:tblW w:w="4109" w:type="dxa"/>
        <w:jc w:val="left"/>
        <w:tblInd w:w="0" w:type="dxa"/>
        <w:tblLayout w:type="fixed"/>
        <w:tblCellMar>
          <w:top w:w="28" w:type="dxa"/>
          <w:left w:w="28" w:type="dxa"/>
          <w:bottom w:w="28" w:type="dxa"/>
          <w:right w:w="28" w:type="dxa"/>
        </w:tblCellMar>
      </w:tblPr>
      <w:tblGrid>
        <w:gridCol w:w="582"/>
        <w:gridCol w:w="510"/>
        <w:gridCol w:w="513"/>
        <w:gridCol w:w="109"/>
        <w:gridCol w:w="109"/>
        <w:gridCol w:w="109"/>
        <w:gridCol w:w="109"/>
        <w:gridCol w:w="109"/>
        <w:gridCol w:w="196"/>
        <w:gridCol w:w="421"/>
        <w:gridCol w:w="109"/>
        <w:gridCol w:w="109"/>
        <w:gridCol w:w="109"/>
        <w:gridCol w:w="109"/>
        <w:gridCol w:w="196"/>
        <w:gridCol w:w="55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31,</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15. ACQUISITIONS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September 30, 2024 (the “Acquisition Date”), the Company completed the acquisition of e-TeleQuote Insurance, Inc. (“e-TeleQuote”), a health insurance marketplace that helps Medicare beneficiaries compare Medicare Advantage and Medicare Supplement plans and enroll in the plan that is right for them. The acquisition increases the Company’s agent base without the need for further hiring, thus expanding its operational capacity.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obtained control of e-TeleQuote through two steps, which are accounted for as a single transaction under the acquisition method under ASC 805. On August 30, 2024, e-TeleQuote Holdings, LLC (“Subscriber”), a wholly-owned subsidiary of the Company, entered into a Purchase &amp; Subscription Agreement (the “Subscription Agreement”), by and between Subscriber and e-TeleQuote. Pursuant to the Subscription Agreement, on September 30, 2024 the Subscriber subscribed for and acquired newly issued shares of e-TeleQuote’s common stock representing approximately 18.9% of e-TeleQuote’s outstanding common stock post-acquisition. On the Acquisition Date, e-TeleQuote’s former parent company irrevocably and permanently surrendered and relinquished all rights in e-TeleQuote without receipt of consideration. As a result, the Company obtained a 100% equity interest in e-TeleQuote.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obtained control of e-TeleQuote without the transfer of consideration. On the Acquisition Date, the Company recognized a gain on bargain purchase of $84.5 million, which is included in the line item “Gain on bargain purchase” in the Consolidated Statements of Operations. The gain represents the excess of the acquisition-date fair value of the net assets acquired over the acquisition-date fair value of the consideration transferred. The Company determined the gain on bargain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16280"/>
                <wp:effectExtent l="0" t="0" r="0" b="0"/>
                <wp:wrapNone/>
                <wp:docPr id="98" name="Frame9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purchase is appropriate as the seller’s board of directors previously authorized the abandonment of the seller’s ownership in e-TeleQuote with a target date of September 30,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measurement period of up to one year from the Acquisition Date, the Company will record adjustments identified, if any, to the acquisition-date fair values of assets acquired and liabilities assumed with the corresponding offset to gain on bargain purchase. Upon the conclusion of the measurement period, any subsequent adjustments will be included in the Company's Consolidated Statements of Operations. During the three months ended December 31, 2024, the Company recorded a $7.1 million measurement period adjustment to prepaid expense and other current assets and deferred tax liabilities with a corresponding increase to gain on bargain purchase. The $7.1 million measurement period adjustment recorded in the fourth quarter of 2024 relates to changes in the estimate of state deferred tax liabilities and realization of net operating losses.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the preliminary estimated fair values of the assets acquired and liabilities assumed on the Acquisition Date:</w:t>
      </w:r>
    </w:p>
    <w:tbl>
      <w:tblPr>
        <w:tblW w:w="10205" w:type="dxa"/>
        <w:jc w:val="left"/>
        <w:tblInd w:w="0" w:type="dxa"/>
        <w:tblLayout w:type="fixed"/>
        <w:tblCellMar>
          <w:top w:w="28" w:type="dxa"/>
          <w:left w:w="28" w:type="dxa"/>
          <w:bottom w:w="28" w:type="dxa"/>
          <w:right w:w="28" w:type="dxa"/>
        </w:tblCellMar>
      </w:tblPr>
      <w:tblGrid>
        <w:gridCol w:w="1123"/>
        <w:gridCol w:w="975"/>
        <w:gridCol w:w="978"/>
        <w:gridCol w:w="109"/>
        <w:gridCol w:w="109"/>
        <w:gridCol w:w="109"/>
        <w:gridCol w:w="326"/>
        <w:gridCol w:w="1075"/>
        <w:gridCol w:w="180"/>
        <w:gridCol w:w="109"/>
        <w:gridCol w:w="109"/>
        <w:gridCol w:w="109"/>
        <w:gridCol w:w="676"/>
        <w:gridCol w:w="1401"/>
        <w:gridCol w:w="378"/>
        <w:gridCol w:w="109"/>
        <w:gridCol w:w="109"/>
        <w:gridCol w:w="109"/>
        <w:gridCol w:w="414"/>
        <w:gridCol w:w="1367"/>
        <w:gridCol w:w="331"/>
      </w:tblGrid>
      <w:tr>
        <w:trPr/>
        <w:tc>
          <w:tcPr>
            <w:tcW w:w="112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Preliminary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Subsequent Adjustments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Revised Preliminary Fair Value</w:t>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73,325 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113,255</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2,768</w:t>
            </w: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116,023</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35,892</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(4,361)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31,531</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77,363</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7,129</w:t>
            </w: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84,492</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(77,363)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(7,129)</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incurred acquisition-related costs of $0.9 million during the twelve months ended December 31, 2024 for legal fees and other professional services which were expensed as incurred and included in general and administrative expenses in the Consolidated Statements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results of operations of e-TeleQuote since the Acquisition Date have been included in the Company’s Consolidated Financial Statements. e-TeleQuote contributed $40.5 million of revenues and $7.4 million of net income (loss) to the Company’s consolidated results for the twelve months ended December 31, 2024.</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Supplemental Pro Forma Financial Information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certain unaudited pro forma financial information for the combined entity as if the e-TeleQuote acquisition occurred on January 1, 2023. The unaudited pro forma financial information for the periods presented is provided for illustrative purposes only and is not necessarily indicative of the historical results of operations had the acquisition occurred on January 1, 2023, nor is it indicative of the results of operations in future periods.</w:t>
      </w:r>
    </w:p>
    <w:tbl>
      <w:tblPr>
        <w:tblW w:w="4297"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198"/>
        <w:gridCol w:w="822"/>
        <w:gridCol w:w="110"/>
        <w:gridCol w:w="110"/>
        <w:gridCol w:w="110"/>
        <w:gridCol w:w="110"/>
        <w:gridCol w:w="198"/>
        <w:gridCol w:w="746"/>
        <w:gridCol w:w="156"/>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871,950 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801,855 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unaudited pro forma financial information is based on estimates and assumptions that have been made solely for purposes of developing such unaudited pro forma information. These pro forma amounts include the impact of certain pro forma adjustments related to (i) acquisition-related costs, (ii) amortization of the acquiree’s intangible assets before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16280"/>
                <wp:effectExtent l="0" t="0" r="0" b="0"/>
                <wp:wrapNone/>
                <wp:docPr id="99" name="Frame9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Date, (iii) impairment charges related to the acquiree’s intangible assets and goodwill before the Acquisition Date and (iv) gain on bargain purchase. The impact of other pro forma adjustments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16. SEGMENT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Operating segments are identified as components of an enterprise about which separate discrete financial information is available and regularly reviewed by the chief operating decision maker (“CODM”) The Company has one operating and reportable segment which has the same accounting policies as those described in Note 1, Description of Business and Significant Accounting Policies. The single operating and reportable segment aligns with the Company’s core focus on the sale and administration of Medicare products and reflects how the CODM evaluates the Company’s operating and financial performance, which is on a consolidated basis. The Company’s CODM is its chief executive officer.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primary services provided by the Company relate to the sale and administration of Medicare insurance products offered by the health plan partners with which GoHealth has contractual relationships. The health plan partners are responsible for paying commissions and fees for enrollment and engagement services and, for these purposes, act as GoHealth’s customers. The Company derives substantially all of its revenues from customers located in the United States. The measure of segment assets is reported on the Consolidated Balance Sheets as consolidated total assets. Substantially all of the Company’s assets are located in the United States.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CODM assesses the Company’s performance and decides how to allocate resources based on consolidated net income (loss), as presented on the Consolidated Statements of Operations. The significant expenses that are regularly provided to the CODM and included within consolidated net income (loss) are consistent with those that are presented on the Consolidated Statement of Operations.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Budget approval, which primarily drives resource allocation, is prepared and approved at a consolidated level. Consolidated net income (loss) is used to monitor budget versus actual results. The CODM also uses consolidated net income (loss) to identify trends in the Company’s performance over time and to benchmark the Company’s performance against its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16280"/>
                <wp:effectExtent l="0" t="0" r="0" b="0"/>
                <wp:wrapNone/>
                <wp:docPr id="100" name="Frame9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 CHANGES IN AND DISAGREEMENTS WITH ACCOUNTANTS ON ACCOUNTING AND FINANCIAL DISCLOSURE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9A. CONTROLS AND PROCEDURES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2024.</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On September 30, 2024 we completed the acquisition of e-TeleQuote Insurance, Inc. (“e-TeleQuote”). Under guidelines established by the Securities and Exchange Commission,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e-TeleQuote from our evaluation for the twelve months ended December 31, 2024.</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Management’s Annual Report on 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rFonts w:ascii="Arial;sans-serif" w:hAnsi="Arial;sans-serif"/>
          <w:b w:val="false"/>
          <w:color w:val="000000"/>
          <w:sz w:val="18"/>
        </w:rPr>
        <w:t>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2.</w:t>
      </w:r>
      <w:r>
        <w:rPr>
          <w:rFonts w:ascii="Arial;sans-serif" w:hAnsi="Arial;sans-serif"/>
          <w:b w:val="false"/>
          <w:color w:val="000000"/>
          <w:sz w:val="18"/>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3.</w:t>
      </w:r>
      <w:r>
        <w:rPr>
          <w:rFonts w:ascii="Arial;sans-serif" w:hAnsi="Arial;sans-serif"/>
          <w:b w:val="false"/>
          <w:color w:val="000000"/>
          <w:sz w:val="18"/>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conducted an evaluation of the effectiveness of our internal control over financial reporting as of December 31, 2024,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Based on this evaluation and those criteria, our management concluded that our internal control over financial reporting was effective as of December 31, 2024. We reviewed the results of our management’s assessment with our Audit Committee.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management has concluded that the consolidated financial statements included in this Annual Report on Form 10-K fairly present, in all material respects, our financial position, results of operations and cash flows as of the dates, and for the periods presented, in conformity with GAAP.</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identified in management’s evaluation pursuant to Rules 13a-15(d) or 15d-15(d) of the Exchange Act during the quarter ended December 31, 2024 that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A2299"/>
          <w:sz w:val="18"/>
        </w:rPr>
      </w:pPr>
      <w:r>
        <w:rPr>
          <w:rFonts w:ascii="Arial;sans-serif" w:hAnsi="Arial;sans-serif"/>
          <w:b/>
          <w:color w:val="0A2299"/>
          <w:sz w:val="18"/>
        </w:rPr>
        <w:t>ITEM 9B. OTHER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16280"/>
                <wp:effectExtent l="0" t="0" r="0" b="0"/>
                <wp:wrapNone/>
                <wp:docPr id="101" name="Frame9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fiscal year ended December 31, 2024, none of our directors or officers (as defined in Rule 16a-1(f) under the Exchange Act) adopted, modified, or terminated a Rule 10b5-1 trading plan or a non-Rule 10b5-1 trading arrangement for our securities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9C. DISCLOSURE REGARDING FOREIGN JURISDICTIONS THAT PREVENT INSPECTIONS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16280"/>
                <wp:effectExtent l="0" t="0" r="0" b="0"/>
                <wp:wrapNone/>
                <wp:docPr id="102" name="Frame10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29" w:type="dxa"/>
        <w:jc w:val="left"/>
        <w:tblInd w:w="0" w:type="dxa"/>
        <w:tblLayout w:type="fixed"/>
        <w:tblCellMar>
          <w:top w:w="28" w:type="dxa"/>
          <w:left w:w="28" w:type="dxa"/>
          <w:bottom w:w="28" w:type="dxa"/>
          <w:right w:w="28" w:type="dxa"/>
        </w:tblCellMar>
      </w:tblPr>
      <w:tblGrid>
        <w:gridCol w:w="297"/>
        <w:gridCol w:w="261"/>
        <w:gridCol w:w="371"/>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PART III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10. DIRECTORS, EXECUTIVE OFFICERS AND CORPORATE GOVERNANCE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Code of Ethics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adopted a written Code of Business Conduct and Ethics (the “Code”) which applies to all of our directors, officers and other employees, including our principal executive officer and principal financial officer. A copy of the Code is available on our corporate website, www.gohealth.com, under “Investor Relations—Governance—Documents &amp; Charters.” In addition, we intend to post on our website all disclosures that are required by law or The Nasdaq Stock Market LLC concerning any amendments to, or waivers from, any provision of our Code of Business Conduct and Ethics. The information contained on our website does not constitute a part of this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Insider Trading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information concerning our insider trading policy required by this Item 10 is incorporated herein by reference from the information contained in the Definitive Proxy Statement for the 2025 Annual Meeting of Stockholders under the heading “Insider Trading Policy,” which is expected to be filed within 120 days after our fiscal year ended December 31, 2024.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Executive Officers and Directors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10 of Form 10-K is incorporated herein by reference from the information contained in the Definitive Proxy Statement for the 2025 Annual Meeting of Stockholders under the headings “Delinquent Section 16(a) Reports” (if applicable), “Proposal 1: Election of Directors” and “Committees of the Board,” which is expected to be filed within 120 days after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11. EXECUTIVE COMPENSATION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11 of Form 10-K is incorporated herein by reference from the information contained in the Definitive Proxy Statement for the 2025 Annual Meeting of Stockholders under the headings “Executive Compensation,” “Director Compensation” and “Compensation Committee Interlocks and Insider Participation” (if applicable), which is expected to be filed within 120 days after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12. SECURITY OWNERSHIP OF CERTAIN BENEFICIAL OWNERS AND MANAGEMENT AND RELATED STOCKHOLDER MATTERS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12 of Form 10-K is incorporated herein by reference from the information contained in the Definitive Proxy Statement for the 2025 Annual Meeting of Stockholders under the headings “Security Ownership of Certain Beneficial Owners and Management” and “Securities Authorized For Issuance under Equity Compensation Plans”, which is expected to be filed within 120 days after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A2299"/>
          <w:sz w:val="18"/>
        </w:rPr>
      </w:pPr>
      <w:r>
        <w:rPr>
          <w:rFonts w:ascii="Arial;sans-serif" w:hAnsi="Arial;sans-serif"/>
          <w:b/>
          <w:color w:val="0A2299"/>
          <w:sz w:val="18"/>
        </w:rPr>
        <w:t>ITEM 13. CERTAIN RELATIONSHIPS AND RELATED TRANSACTIONS, AND DIRECTOR INDEPENDENCE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13 of Form 10-K is incorporated herein by reference from the information contained in the Definitive Proxy Statement for the 2025 Annual Meeting of Stockholders under the headings “Corporate Governance” and “Certain Relationships and Related Party Transactions,” which is expected to be filed within 120 days after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14. PRINCIPAL ACCOUNTANT FEES AND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14 of Form 10-K is incorporated herein by reference from the information contained in the Definitive Proxy Statement for the 2025 Annual Meeting of Stockholders under the heading “Independent Registered Public Accounting Firm Fees and Other Matters,” which is expected to be filed within 120 days after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16280"/>
                <wp:effectExtent l="0" t="0" r="0" b="0"/>
                <wp:wrapNone/>
                <wp:docPr id="103" name="Frame10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A2299"/>
          <w:sz w:val="18"/>
        </w:rPr>
      </w:pPr>
      <w:r>
        <w:rPr>
          <w:rFonts w:ascii="Arial;sans-serif" w:hAnsi="Arial;sans-serif"/>
          <w:b/>
          <w:color w:val="0A2299"/>
          <w:sz w:val="18"/>
        </w:rPr>
        <w:t>ITEM 15. EXHIBITS AND FINANCIAL STATEMENT SCHEDULES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We have filed the following documents as part of this Annual Report on Form 10-K:</w:t>
      </w:r>
    </w:p>
    <w:p>
      <w:pPr>
        <w:pStyle w:val="TextBody"/>
        <w:bidi w:val="0"/>
        <w:spacing w:lineRule="auto" w:line="288" w:before="240" w:after="283"/>
        <w:jc w:val="left"/>
        <w:rPr/>
      </w:pPr>
      <w:r>
        <w:rPr>
          <w:rFonts w:ascii="Arial;sans-serif" w:hAnsi="Arial;sans-serif"/>
          <w:b/>
          <w:color w:val="000000"/>
          <w:sz w:val="18"/>
        </w:rPr>
        <w:t>1.</w:t>
      </w:r>
      <w:r>
        <w:rPr>
          <w:rFonts w:ascii="Arial;sans-serif" w:hAnsi="Arial;sans-serif"/>
          <w:b/>
          <w:color w:val="000000"/>
          <w:sz w:val="18"/>
        </w:rPr>
        <w:t>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Information in response to this Item is included in Item 8 of Part II of this Annual Report on Form 10-K.</w:t>
      </w:r>
    </w:p>
    <w:p>
      <w:pPr>
        <w:pStyle w:val="TextBody"/>
        <w:bidi w:val="0"/>
        <w:spacing w:lineRule="auto" w:line="288" w:before="240" w:after="283"/>
        <w:jc w:val="left"/>
        <w:rPr/>
      </w:pPr>
      <w:r>
        <w:rPr>
          <w:rFonts w:ascii="Arial;sans-serif" w:hAnsi="Arial;sans-serif"/>
          <w:b/>
          <w:color w:val="000000"/>
          <w:sz w:val="18"/>
        </w:rPr>
        <w:t>2.</w:t>
      </w:r>
      <w:r>
        <w:rPr>
          <w:rFonts w:ascii="Arial;sans-serif" w:hAnsi="Arial;sans-serif"/>
          <w:b/>
          <w:color w:val="000000"/>
          <w:sz w:val="18"/>
        </w:rPr>
        <w:t>Financial Statement Schedules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All financial statement schedules have been omitted because they are not applicable, not material or because the required information is included in Item 8 of Part II of this Annual Report on Form 10-K.</w:t>
      </w:r>
    </w:p>
    <w:p>
      <w:pPr>
        <w:pStyle w:val="TextBody"/>
        <w:bidi w:val="0"/>
        <w:spacing w:lineRule="auto" w:line="288" w:before="240" w:after="283"/>
        <w:jc w:val="left"/>
        <w:rPr/>
      </w:pPr>
      <w:r>
        <w:rPr>
          <w:rFonts w:ascii="Arial;sans-serif" w:hAnsi="Arial;sans-serif"/>
          <w:b/>
          <w:color w:val="000000"/>
          <w:sz w:val="18"/>
        </w:rPr>
        <w:t>3.</w:t>
      </w:r>
      <w:r>
        <w:rPr>
          <w:rFonts w:ascii="Arial;sans-serif" w:hAnsi="Arial;sans-serif"/>
          <w:b/>
          <w:color w:val="000000"/>
          <w:sz w:val="18"/>
        </w:rPr>
        <w:t>Exhibits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documents listed below are incorporated by reference or are filed with this Annual Report on Form 10-K, in each case as indicated therein (numbered in accordance with Item 601 of Regulation S-K).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376"/>
        <w:gridCol w:w="1336"/>
        <w:gridCol w:w="1350"/>
        <w:gridCol w:w="109"/>
        <w:gridCol w:w="109"/>
        <w:gridCol w:w="109"/>
        <w:gridCol w:w="175"/>
        <w:gridCol w:w="175"/>
        <w:gridCol w:w="176"/>
        <w:gridCol w:w="109"/>
        <w:gridCol w:w="109"/>
        <w:gridCol w:w="109"/>
        <w:gridCol w:w="270"/>
        <w:gridCol w:w="259"/>
        <w:gridCol w:w="153"/>
        <w:gridCol w:w="109"/>
        <w:gridCol w:w="109"/>
        <w:gridCol w:w="109"/>
        <w:gridCol w:w="220"/>
        <w:gridCol w:w="220"/>
        <w:gridCol w:w="221"/>
        <w:gridCol w:w="109"/>
        <w:gridCol w:w="109"/>
        <w:gridCol w:w="109"/>
        <w:gridCol w:w="198"/>
        <w:gridCol w:w="198"/>
        <w:gridCol w:w="199"/>
        <w:gridCol w:w="109"/>
        <w:gridCol w:w="109"/>
        <w:gridCol w:w="109"/>
        <w:gridCol w:w="281"/>
        <w:gridCol w:w="281"/>
        <w:gridCol w:w="40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Certificate of Amendment to 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6"/>
                  <w:u w:val="single"/>
                </w:rPr>
                <w:t>Incremental Facility Agreement and Technical Amendment No. 2 to Credit Agreement, dated as of May 7, 2020,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16"/>
                  <w:u w:val="single"/>
                </w:rPr>
                <w:t>Incremental Facility Agreement and Technical Amendment No. 3 to Credit Agreement, dated as of June 11, 2020,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16"/>
                  <w:u w:val="single"/>
                </w:rPr>
                <w:t>Amendment No. 4 to the Credit Agreement and Incremental Facility Agreement, dated as of May 7,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16"/>
                  <w:u w:val="single"/>
                </w:rPr>
                <w:t>Amendment No. 5 to the Credit Agreement and Incremental Facility Agreement, dated as of June 11,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16280"/>
                <wp:effectExtent l="0" t="0" r="0" b="0"/>
                <wp:wrapNone/>
                <wp:docPr id="104" name="Frame10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90"/>
        <w:gridCol w:w="166"/>
        <w:gridCol w:w="170"/>
        <w:gridCol w:w="109"/>
        <w:gridCol w:w="109"/>
        <w:gridCol w:w="109"/>
        <w:gridCol w:w="1770"/>
        <w:gridCol w:w="1770"/>
        <w:gridCol w:w="1775"/>
        <w:gridCol w:w="109"/>
        <w:gridCol w:w="109"/>
        <w:gridCol w:w="109"/>
        <w:gridCol w:w="126"/>
        <w:gridCol w:w="124"/>
        <w:gridCol w:w="117"/>
        <w:gridCol w:w="109"/>
        <w:gridCol w:w="109"/>
        <w:gridCol w:w="109"/>
        <w:gridCol w:w="203"/>
        <w:gridCol w:w="203"/>
        <w:gridCol w:w="204"/>
        <w:gridCol w:w="109"/>
        <w:gridCol w:w="109"/>
        <w:gridCol w:w="109"/>
        <w:gridCol w:w="169"/>
        <w:gridCol w:w="169"/>
        <w:gridCol w:w="173"/>
        <w:gridCol w:w="109"/>
        <w:gridCol w:w="109"/>
        <w:gridCol w:w="109"/>
        <w:gridCol w:w="179"/>
        <w:gridCol w:w="179"/>
        <w:gridCol w:w="180"/>
        <w:gridCol w:w="109"/>
        <w:gridCol w:w="109"/>
        <w:gridCol w:w="109"/>
        <w:gridCol w:w="109"/>
        <w:gridCol w:w="109"/>
        <w:gridCol w:w="158"/>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16"/>
                  <w:u w:val="single"/>
                </w:rPr>
                <w:t>Amendment No. 6 to the Credit Agreement and Incremental Facility Agreement, dated as of November 10,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16"/>
                  <w:u w:val="single"/>
                </w:rPr>
                <w:t>Amendment No. 7 to the Credit Agreement and Incremental Facility Agreement, dated as of March 14,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16"/>
                  <w:u w:val="single"/>
                </w:rPr>
                <w:t>Amendment No. 8 to the Credit Agreement, dated as of August 12,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16"/>
                  <w:u w:val="single"/>
                </w:rPr>
                <w:t>Amendment No. 9 to the Credit Agreement, dated as of November 9,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16"/>
                  <w:u w:val="single"/>
                </w:rPr>
                <w:t>Amendment No. 10 to the Credit Agreement, dated as of March 15, 2023, among Norvax, LLC, as borrower, Owl Rock Capital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16"/>
                  <w:u w:val="single"/>
                </w:rPr>
                <w:t>Amendment No. 11 to the Credit Agreement, dated as of March 12, 2024, among Norvax, LLC, as borrower, Blue Owl Capital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16"/>
                  <w:u w:val="single"/>
                </w:rPr>
                <w:t>Amendment No. 12 to the Credit Agreement dated as of October 15, 2024, among Norvax LLC, as borrower, Blue Owl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16"/>
                  <w:u w:val="single"/>
                </w:rPr>
                <w:t>Consent Letter to the Credit Agreement, dated as of September 13, 2024, by and among the Borrower, each other Guarantor, Holdings, Blue Owl Capital Corporation, and each of the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16"/>
                  <w:u w:val="single"/>
                </w:rPr>
                <w:t>Amendment and Restatement Agreement, dated as of November 4, 2024, by and among Blizzard Midco, LLC, Norvax, LLC, the lenders party thereto, the issuing banks party thereto, Blue Owl Capital Corporation, as the predecessor agent, and Blue Torch Finance, LLC,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16"/>
                  <w:u w:val="single"/>
                </w:rPr>
                <w:t>Amended and Restated Credit Agreement, dated as of November 4, 2024, by and among Blizzard Midco, LLC, Norvax, LLC, the lenders party thereto, the issuing banks party thereto and Blue Torch Finance, LLC,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16"/>
                  <w:u w:val="single"/>
                </w:rPr>
                <w:t>Tax Receivable Agreement, dated July 15, 2020, by and among the GoHealth, Inc., GoHealth, LLC, CB Blizzard Co-Invest Holdings, L.P., CCP III AIV VII Holdings, L.P. and each of the Members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16"/>
                  <w:u w:val="single"/>
                </w:rPr>
                <w:t>Registration Rights Agreement, dated July 15, 2020, by and among GoHealth, Inc. and each other person identified on the schedule of investors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16"/>
                  <w:u w:val="single"/>
                </w:rPr>
                <w:t>Second Amended and Restated Limited Liability Company Agreement of GoHealth, LLC, dated July 15, 2020, by and among GoHealth, LLC and its Members.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16"/>
                  <w:u w:val="single"/>
                </w:rPr>
                <w:t>Stockholders Agreement, dated July 15, 2020, by and among GoHealth, Inc. and the persons and entities listed on the schedules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16"/>
                  <w:u w:val="single"/>
                </w:rPr>
                <w:t>Amendment No. 2 to the Second Amended and Restated Limited Liability Company Agreement of GoHealth Holdings, LLC, dated as of September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16280"/>
                <wp:effectExtent l="0" t="0" r="0" b="0"/>
                <wp:wrapNone/>
                <wp:docPr id="105" name="Frame10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20"/>
        <w:gridCol w:w="193"/>
        <w:gridCol w:w="195"/>
        <w:gridCol w:w="109"/>
        <w:gridCol w:w="109"/>
        <w:gridCol w:w="109"/>
        <w:gridCol w:w="1765"/>
        <w:gridCol w:w="1604"/>
        <w:gridCol w:w="1610"/>
        <w:gridCol w:w="109"/>
        <w:gridCol w:w="109"/>
        <w:gridCol w:w="109"/>
        <w:gridCol w:w="141"/>
        <w:gridCol w:w="129"/>
        <w:gridCol w:w="129"/>
        <w:gridCol w:w="109"/>
        <w:gridCol w:w="109"/>
        <w:gridCol w:w="109"/>
        <w:gridCol w:w="291"/>
        <w:gridCol w:w="231"/>
        <w:gridCol w:w="232"/>
        <w:gridCol w:w="109"/>
        <w:gridCol w:w="109"/>
        <w:gridCol w:w="109"/>
        <w:gridCol w:w="169"/>
        <w:gridCol w:w="169"/>
        <w:gridCol w:w="173"/>
        <w:gridCol w:w="109"/>
        <w:gridCol w:w="109"/>
        <w:gridCol w:w="109"/>
        <w:gridCol w:w="204"/>
        <w:gridCol w:w="204"/>
        <w:gridCol w:w="205"/>
        <w:gridCol w:w="109"/>
        <w:gridCol w:w="109"/>
        <w:gridCol w:w="109"/>
        <w:gridCol w:w="109"/>
        <w:gridCol w:w="109"/>
        <w:gridCol w:w="161"/>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16"/>
                  <w:u w:val="single"/>
                </w:rPr>
                <w:t>Investment Agreement dated as of September 23, 2022 among GoHealth, Inc. and the purchasers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16"/>
                  <w:u w:val="single"/>
                </w:rPr>
                <w:t>Registration Rights Agreement dated as of September 23, 2022 among GoHealth, Inc. and the persons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16"/>
                  <w:u w:val="single"/>
                </w:rPr>
                <w:t>Form of Indemnification and Advancement Agreement between GoHealth, Inc.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16"/>
                  <w:u w:val="single"/>
                </w:rPr>
                <w:t>GoHealth Holdings, LLC Profits Unit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16"/>
                  <w:u w:val="single"/>
                </w:rPr>
                <w:t>Form of Executive Common Unit and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16"/>
                  <w:u w:val="single"/>
                </w:rPr>
                <w:t>Form of Amendment No. 1 to Executive Common Unit and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16"/>
                  <w:u w:val="single"/>
                </w:rPr>
                <w:t>GoHealth, Inc. 2020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16"/>
                  <w:u w:val="single"/>
                </w:rPr>
                <w:t>GoHealth, Inc.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16"/>
                  <w:u w:val="single"/>
                </w:rPr>
                <w:t>GoHealth, Inc.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Arial;sans-serif" w:hAnsi="Arial;sans-serif"/>
                  <w:b w:val="false"/>
                  <w:color w:val="0000FF"/>
                  <w:sz w:val="16"/>
                  <w:u w:val="single"/>
                </w:rPr>
                <w:t>Form Director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Arial;sans-serif" w:hAnsi="Arial;sans-serif"/>
                  <w:b w:val="false"/>
                  <w:color w:val="0000FF"/>
                  <w:sz w:val="16"/>
                  <w:u w:val="single"/>
                </w:rPr>
                <w:t>Form Amendment No. 1 to Director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Arial;sans-serif" w:hAnsi="Arial;sans-serif"/>
                  <w:b w:val="false"/>
                  <w:color w:val="0000FF"/>
                  <w:sz w:val="16"/>
                  <w:u w:val="single"/>
                </w:rPr>
                <w:t>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Arial;sans-serif" w:hAnsi="Arial;sans-serif"/>
                  <w:b w:val="false"/>
                  <w:color w:val="0000FF"/>
                  <w:sz w:val="16"/>
                  <w:u w:val="single"/>
                </w:rPr>
                <w:t>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Arial;sans-serif" w:hAnsi="Arial;sans-serif"/>
                  <w:b w:val="false"/>
                  <w:color w:val="0000FF"/>
                  <w:sz w:val="16"/>
                  <w:u w:val="single"/>
                </w:rPr>
                <w:t>GoHealth, Inc. 2021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Arial;sans-serif" w:hAnsi="Arial;sans-serif"/>
                  <w:b w:val="false"/>
                  <w:color w:val="0000FF"/>
                  <w:sz w:val="16"/>
                  <w:u w:val="single"/>
                </w:rPr>
                <w:t>Inducement Award Plan 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Arial;sans-serif" w:hAnsi="Arial;sans-serif"/>
                  <w:b w:val="false"/>
                  <w:color w:val="0000FF"/>
                  <w:sz w:val="16"/>
                  <w:u w:val="single"/>
                </w:rPr>
                <w:t>Inducement Award Plan 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Arial;sans-serif" w:hAnsi="Arial;sans-serif"/>
                  <w:b w:val="false"/>
                  <w:color w:val="0000FF"/>
                  <w:sz w:val="16"/>
                  <w:u w:val="single"/>
                </w:rPr>
                <w:t>First Amendment to the GoHealth, Inc. 2021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Arial;sans-serif" w:hAnsi="Arial;sans-serif"/>
                  <w:b w:val="false"/>
                  <w:color w:val="0000FF"/>
                  <w:sz w:val="16"/>
                  <w:u w:val="single"/>
                </w:rPr>
                <w:t>Incentive Award Plan Form of Stock Appreciation Rights Grant Notice and Stock Appreciation Rights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Arial;sans-serif" w:hAnsi="Arial;sans-serif"/>
                  <w:b w:val="false"/>
                  <w:color w:val="0000FF"/>
                  <w:sz w:val="16"/>
                  <w:u w:val="single"/>
                </w:rPr>
                <w:t>Inducement Award Plan 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Arial;sans-serif" w:hAnsi="Arial;sans-serif"/>
                  <w:b w:val="false"/>
                  <w:color w:val="0000FF"/>
                  <w:sz w:val="16"/>
                  <w:u w:val="single"/>
                </w:rPr>
                <w:t>Inducement Award Plan 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Arial;sans-serif" w:hAnsi="Arial;sans-serif"/>
                  <w:b w:val="false"/>
                  <w:color w:val="0000FF"/>
                  <w:sz w:val="16"/>
                  <w:u w:val="single"/>
                </w:rPr>
                <w:t>Employment Agreement, dated June 3, 2022, by and among GoHealth, Inc., GoHealth Holdings, LLC, and Vijay Kotte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Arial;sans-serif" w:hAnsi="Arial;sans-serif"/>
                  <w:b w:val="false"/>
                  <w:color w:val="0000FF"/>
                  <w:sz w:val="16"/>
                  <w:u w:val="single"/>
                </w:rPr>
                <w:t>Separation and General Release Agreement, dated July 28, 2023, by and between Shane Cruz, Norvax, LLC, GoHealth, Inc., and GoHealth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Arial;sans-serif" w:hAnsi="Arial;sans-serif"/>
                  <w:b w:val="false"/>
                  <w:color w:val="0000FF"/>
                  <w:sz w:val="16"/>
                  <w:u w:val="single"/>
                </w:rPr>
                <w:t>Amended and Restated Employment Agreement signed May 8, 2024, by and among GoHealth, Inc., GoHealth Holdings, LLC, and Michael Hargis.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Arial;sans-serif" w:hAnsi="Arial;sans-serif"/>
                  <w:b w:val="false"/>
                  <w:color w:val="0000FF"/>
                  <w:sz w:val="16"/>
                  <w:u w:val="single"/>
                </w:rPr>
                <w:t>Employment Agreement, dated as of October 4, 2024, by and among Brendan Shanahan, GoHealth, Inc. and Norvax,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Arial;sans-serif" w:hAnsi="Arial;sans-serif"/>
                  <w:b w:val="false"/>
                  <w:color w:val="0000FF"/>
                  <w:sz w:val="16"/>
                  <w:u w:val="single"/>
                </w:rPr>
                <w:t>Employment Agreement, dated as of October 4, 2024, by and between Katherine O'Halloran and Norvax,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healthinsidertradingpo.htm">
              <w:r>
                <w:rPr>
                  <w:rStyle w:val="InternetLink"/>
                  <w:rFonts w:ascii="Arial;sans-serif" w:hAnsi="Arial;sans-serif"/>
                  <w:b w:val="false"/>
                  <w:color w:val="0000FF"/>
                  <w:sz w:val="16"/>
                  <w:u w:val="single"/>
                </w:rPr>
                <w:t>GoHealth, Inc. Insider Trading Compliance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41231xex211xform10.htm">
              <w:r>
                <w:rPr>
                  <w:rStyle w:val="InternetLink"/>
                  <w:rFonts w:ascii="Arial;sans-serif" w:hAnsi="Arial;sans-serif"/>
                  <w:b w:val="false"/>
                  <w:color w:val="0000FF"/>
                  <w:sz w:val="16"/>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41231xex231xform10.htm">
              <w:r>
                <w:rPr>
                  <w:rStyle w:val="InternetLink"/>
                  <w:rFonts w:ascii="Arial;sans-serif" w:hAnsi="Arial;sans-serif"/>
                  <w:b w:val="false"/>
                  <w:color w:val="0000FF"/>
                  <w:sz w:val="16"/>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41231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41231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41231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41231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Arial;sans-serif" w:hAnsi="Arial;sans-serif"/>
                  <w:b w:val="false"/>
                  <w:color w:val="0000FF"/>
                  <w:sz w:val="16"/>
                  <w:u w:val="single"/>
                </w:rPr>
                <w:t>GoHealth, Inc. Policy on Recoupment of Incentive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16280"/>
                <wp:effectExtent l="0" t="0" r="0" b="0"/>
                <wp:wrapNone/>
                <wp:docPr id="106" name="Frame10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62"/>
        <w:gridCol w:w="229"/>
        <w:gridCol w:w="233"/>
        <w:gridCol w:w="109"/>
        <w:gridCol w:w="109"/>
        <w:gridCol w:w="109"/>
        <w:gridCol w:w="1955"/>
        <w:gridCol w:w="1938"/>
        <w:gridCol w:w="194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Furnished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16. FORM 10-K SUMMARY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16280"/>
                <wp:effectExtent l="0" t="0" r="0" b="0"/>
                <wp:wrapNone/>
                <wp:docPr id="107" name="Frame10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6478"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215"/>
        <w:gridCol w:w="215"/>
        <w:gridCol w:w="215"/>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indicated on February 27, 2025.</w:t>
      </w:r>
    </w:p>
    <w:tbl>
      <w:tblPr>
        <w:tblW w:w="7241" w:type="dxa"/>
        <w:jc w:val="left"/>
        <w:tblInd w:w="0" w:type="dxa"/>
        <w:tblLayout w:type="fixed"/>
        <w:tblCellMar>
          <w:top w:w="28" w:type="dxa"/>
          <w:left w:w="28" w:type="dxa"/>
          <w:bottom w:w="28" w:type="dxa"/>
          <w:right w:w="28" w:type="dxa"/>
        </w:tblCellMar>
      </w:tblPr>
      <w:tblGrid>
        <w:gridCol w:w="1175"/>
        <w:gridCol w:w="1030"/>
        <w:gridCol w:w="1035"/>
        <w:gridCol w:w="109"/>
        <w:gridCol w:w="109"/>
        <w:gridCol w:w="109"/>
        <w:gridCol w:w="1074"/>
        <w:gridCol w:w="1074"/>
        <w:gridCol w:w="1526"/>
      </w:tblGrid>
      <w:tr>
        <w:trPr/>
        <w:tc>
          <w:tcPr>
            <w:tcW w:w="117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Clinton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Brandon Cruz</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Clinton Jones</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Brandon Cruz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Co-Chairman of the Board of Directors</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David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Jeremy Gelber</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David Fisher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Jeremy Gelber</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Karolina Hilu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Abhiraj Modi</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Karolina Hilu</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Abhiraj Modi</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Alexander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Alan Wheatley</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Alexander Timm</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Alan Wheatley</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w:t>
            </w:r>
          </w:p>
        </w:tc>
      </w:tr>
    </w:tbl>
    <w:p>
      <w:pPr>
        <w:pStyle w:val="TextBody"/>
        <w:bidi w:val="0"/>
        <w:spacing w:before="0" w:after="0"/>
        <w:jc w:val="center"/>
        <w:rPr/>
      </w:pPr>
      <w:bookmarkStart w:id="0" w:name="gohealthinsidertradingpo.htm"/>
      <w:bookmarkStart w:id="1" w:name="ksgohealthinsidertradingpo"/>
      <w:bookmarkEnd w:id="0"/>
      <w:bookmarkEnd w:id="1"/>
      <w:r>
        <w:rPr/>
        <w:drawing>
          <wp:inline distT="0" distB="0" distL="0" distR="0">
            <wp:extent cx="10048875" cy="13001625"/>
            <wp:effectExtent l="0" t="0" r="0" b="0"/>
            <wp:docPr id="1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16280"/>
                <wp:effectExtent l="0" t="0" r="0" b="0"/>
                <wp:wrapNone/>
                <wp:docPr id="109" name="Frame10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r>
                                    <w:br w:type="page"/>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102</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GOHEALTH, INC. INSIDER TRADING COMPLIANCE POLICY (As of February 25, 2025) This Insider Trading Compliance Policy (this “Policy”) consists of seven sections: • Section I provides an overview; • Section II sets forth the policies of the Company prohibiting insider trading; • Section III explains insider trading; • Section IV consists of procedures that have been put in place by the Company to prevent insider trading; • Section V sets forth additional transactions that are prohibited by this Policy; • Section VI explains Rule 10b5-1 trading plans; and • Section VII refers to the execution and return of a certificate of compliance. I. SUMMARY Preventing insider trading is necessary to comply with securities laws and to preserve the reputation and integrity of GoHealth, Inc. (the “Company”) as well as that of all persons affiliated with the Company. “Insider trading” occurs when any person engages in a transaction involving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 This Policy applies to [all officers, directors and employees]1 of the Company. Individuals subject to this Policy are responsible for ensuring that family members also comply with this Policy. For purposes of this Policy, a “family member” includes a person’s spouse, parents, children, siblings, mothers and fathers-in-law, sons and daughters-in-law, brothers and sisters-in- law, and anyone (other than domestic employees) who share such person’s home. This Policy also applies to any entities controlled by individuals subject to the Policy, including any corporations, partnerships or trusts (such entities, together with all officers, directors and employees of the Company, are referred to as the “Covered Persons”)2,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Chief Legal Officer. II. STATEMENT OF POLICIES PROHIBITING . . 4926-4965-5561v.2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INSIDER TRADING Covered Persons are prohibited from engaging in any transaction in any securities of the Company while aware of material, non-public information about the Company. Prohibited transactions include but are not limited to purchasing, selling, and gifting Company securities and any other direct or indirect transfer of Company securities. Covered Persons are also prohibited from engaging in any transactions in the securities of another company while aware of material, non-public information relating to such other company gained in connection with his or her service with the Company.3 Additionally, no Covered Person shall engage in any transaction in any security of the Company during the period beginning at 11:59 p.m., Eastern time, on the 15th calendar day before the end of any fiscal quarter of the Company and ending upon the completion of the second full trading day after the public release of earnings data for such fiscal quarter or during any other trading suspension period declared by the Company. For example, if the Company’s fourth fiscal quarter ends at 11:59 p.m., Eastern time, on December 31, the corresponding blackout period would begin at 11:59 p.m., Eastern time, on December 16. For the purposes of this Policy, a “trading day” is a day on which national stock exchanges are open for trading. For the avoidance of doubt, any designation by the Board of Directors of the employees who are subject to quarterly blackout periods may be updated from time to time by the Chief Legal Officer or Chief Financial Officer. These prohibitions do not apply to: • purchases of the Company’s securities by a Covered Person from the Company or sales of the Company’s securities by a Covered Person to the Company; • 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does involve a market sale of the Company’s securities, and therefore would not qualify under this exception); or • 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 No Covered Person shall directly or indirectly communicate (or “tip”) material, non-public information to anyone outside of the Company (except in accordance with the Company’s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regarding the protection or authorized external disclosure of Company information) or to anyone within the Company other than on a need-to-know basis. III. EXPLANATION OF INSIDER TRADING “Insider trading” refers to the purchase or sale of a security while in possession of “material,” “non-public” information relating to the security or its issuer. “Securities” includes stocks, bonds, notes, debentures, options, warrants and other convertible securities, as well as derivative instruments.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 It is generally understood that insider trading includes the following: • trading by insiders while in possession of material, non-public information; • trading by persons other than insiders while in possession of material, non-public information, if the information either was given in breach of an insider’s fiduciary duty to keep it confidential or was misappropriated; and • communicating or tipping material, non-public information to others, including recommending the purchase or sale of a security while in possession of such information. A. What Facts are Material? The materiality of a fact depends upon the circumstances. A fact is considered “material” if there is a substantial likelihood that a reasonable investor would consider it important in making a decision to buy, sell or hold a security, if the fact would be viewed by a reasonable investor as significantly altering the total mix of information available publicly about the security or if the fact is likely to have a significant effect on the market price of the security. Material information can be positive or negative and can relate to virtually any aspect of a company’s business or to any type of security, debt or equity. Examples of material information include (but are not limited to) information about: • corporate earnings or earnings forecasts; • guidance or changes in guidance to be provided publicly regarding earnings, revenues or other financial performance; • quarterly or annual earnings, revenues or other financial performance significantly different than analysts’ consensus; • possible mergers, acquisitions, tender offers or dispositions; • major new products, product developments or pricing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important business developments such as developments regarding strategic collaborations, the gain or loss of a substantial customer or supplier or entry into or the termination of a significant agreement; • changes in the structure and payment rates under the Medicare program; • changes in our relationships with carriers; • management or control changes; • significant financing developments including pending public sales or offerings of debt or equity securities; • a change in auditors or notification that the auditor’s reports may no longer be relied upon; • stock splits; • defaults on borrowings; • bankruptcies or financial liquidity problems; • significant cybersecurity incidents, such as a data breach, or any other significant disruption in the Company’s operations or loss, potential loss, breach or unauthorized access of its property or assets, whether at its offices or through its information technology infrastructure; and • significant litigation or regulatory developments or actions. Moreover, material information does not have to be related to a company’s business. For example, the contents of a forthcoming newspaper column that is expected to affect the market price of a security can be material. A good general rule of thumb: When in doubt, do not trade. B. What is Non-Public? Information is “non-public” if it is not available to the general public. In order for information to be considered public, it must be widely disseminated in a manner making it generally available to investors through such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Securities and Exchange Commission (“SEC”) that are available on the SEC’s web site.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days]4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you have any question as to whether information is publicly available, please direct an inquiry to the Chief Legal Officer. C. Who is an Insider? “Insiders” include officers, directors and employees of a company and anyone else who is aware of5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securities while aware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basis.6 D. Trading by Persons Other than Insiders 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become aware of material, non-public information by receiving overt tips from others or through, among other things, conversations at social, business, or other gatherings. E. Penalties for Engaging in Insider Trading 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 • SEC administrative sanctions; • securities industry self-regulatory organization sanctions; • civil injunctions; • damage awards to private plaintiffs; • disgorgement of all profits;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civil fines for the violator of up to three times the amount of profit gained or loss avoided; • civil fines for the employer or other controlling person of a violator (i.e., where the violator is an employee or other controlled person) of up to the greater of $1,000,000 (subject to adjustment for inflation) or three times the amount of profit gained or loss avoided by the violator; • criminal fines for individual violators of up to $5,000,000 ($25,000,000 for an entity); and • jail sentences of up to 20 years. 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 F. Size of Transaction and Reason for Transaction Do Not Matter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 G. Examples of Insider Trading Examples of insider trading cases include: • actions brought against corporate officers, directors, and employees who traded in a company’s securities after learning of significant confidential corporate developments; • friends, business associates, family members and other tippees of such officers, directors, and employees who traded in the securities after receiving such information; • government employees who learned of such information in the course of their employment; and • other persons who misappropriated, and took advantage of, confidential information from their employers. The following are illustrations of insider trading violations. These illustrations are hypothetical and, consequently, not intended to reflect on the actual activities or business of the Company or any other entity. Trading by Insider 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things, criminal prosecution, including up to $5,000,000 in additional fines and 20 years in jail. Depending upon the circumstances, X Corporation and the individual to whom the officer reports also could be liable as controlling persons. Trading by Tippee 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 H. Prohibition of Records Falsification and False Statements 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 IV. STATEMENT OF PROCEDURES PREVENTING INSIDER TRADING The following procedures have been established, and will be maintained and enforced, by the Company to prevent insider trading. Every Covered Person is required to follow these procedures. A. Pre-Clearance of All Trades by All Officers, Directors and Certain Employees 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the exercise of stock options and the sale of Company stock issued upon exercise of stock options) by officers, directors and such other employees as are designated from time to time by the Board of Directors, the Chief Legal Officer or the Chief Financial Officer as being subject to this pre-clearance process (each, a “Pre-Clearance Person”) must be pre-cleared by the Chief Legal Officer. Pre-clearance does not relieve anyone of his or her responsibility under SEC rules. For the avoidance of doubt, any designation by the Board of Directors of the employees who are subject to pre-clearance may be updated from time to time by the Chief Legal Officer or Chief Financial Officer. A request for pre-clearance may be oral or in writing (including without limitation by e- 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transaction and the number of shares, options or other securities to be involved. In addition, unless otherwise determined by the Chief Legal Officer, the Pre-Clearance Person must execute a certification (in the form approved by the Chief Legal Officer) that he, she or it is not aware of material, non-public information about the Company. The Chief Legal Officer shall have sole discretion to decide whether to clear any contemplated transaction, provided that the Chief Financial Officer shall have sole discretion to decide whether to clear transactions by the Chief Legal Officer or persons or entities subject to this Policy as a result of their relationship with the Chief Legal Officer. All trades that are pre-cleared must be effected within five business days of receipt of the pre-clearance unless a specific exception has been granted by the Chief Legal Officer (or the Chief Financial Officer, in the case of the Chief Legal Officer or persons or entities subject to this Policy as a result of their relationship with the Chief Legal Officer). A pre-cleared trade (or any portion of a pre-cleared trade) that has not been effected during the five business day period must be pre-cleared again prior to execution. Notwithstanding receipt of pre-clearance, if the Pre- Clearance Person becomes aware of material, non-public information or becomes subject to a black-out period before the transaction is effected, the transaction may not be completed. If a Pre- Clearance Person seeks pre-clearance and permission to engage in a transaction is denied, they must refrain from initiating any transaction involving the Company’s securities, and should not disclose the restriction to any other person. B. Black-Out Periods Additionally, no Covered Person designated from time to time by the Board of Directors, the Chief Legal Officer or the Chief Financial Officer as being subject to quarterly blackout periods shall purchase or sell any security of the Company during the period beginning at 11:59 p.m., Eastern time, on the 15th calendar day before the end of any fiscal quarter of the Company and ending upon the completion of the second full trading day after the public release of earnings data for such fiscal quarter or during any other trading suspension period declared by the Company, except for purchases and sales made pursuant to the permitted transactions described in Section II. For example, if the Company’s fourth fiscal quarter ends at 11:59 p.m., Eastern time, on December 31, the corresponding blackout period would begin at 11:59 p.m., Eastern time, on December 16. Exceptions to the black-out period policy may be approved only by the Chief Legal Officer (or, in the case of an exception for the Chief Legal Officer or persons or entities subject to this Policy as a result of their relationship with the Chief Legal Officer, the Chief Financial Officer or, in the case of exceptions for directors or persons or entities subject to this Policy as a result of their relationship with a director, the Board of Directors). From time to time, the Company, through the Board of Directors, the Company’s disclosure committee or the Chief Legal Officer,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 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Post-Termination Transactions If an individual is in possession of material, non-public information when his or her service terminates, that individual may not trade in the Company’s securities until that information has become public or is no longer material. D. Information Relating to the Company 1. Access to Information 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other than on a need-to-know basis. In communicating material, non-public information to employees of the Company, all officers, directors and employees must take care to emphasize the need for confidential treatment of such information and adherence to the Company’s policies with regard to confidential information. 2. Inquiries From Third Parties Inquiries from third parties, such as industry analysts or members of the media, about the Company should be directed to the Chief Legal Officer. E. Limitations on Access to Company Information The following procedures are designed to maintain confidentiality with respect to the Company’s business operations and activities. All officers, directors and employees should take all steps and precautions necessary to restrict access to, and secure, material, non-public information by, among other things: • maintaining the confidentiality of Company-related transactions; • conducting their business and social activities so as not to risk inadvertent disclosure of confidential information. Review of confidential documents in public places should be conducted so as to prevent access by unauthorized persons; • restricting access to documents and files (including computer files) containing material, non-public information to individuals on a need-to-know basis (including maintaining control over the distribution of documents and drafts of documents); • promptly removing and cleaning up all confidential documents and other materials from conference rooms following the conclusion of any meetings; • disposing of all confidential documents and other papers, after there is no longer any business or other legally required need, through shredders when appropriate; • restricting access to areas likely to contain confidential documents or material, non- public information; • safeguarding laptop computers, mobile devices, tablets, memory sticks, CDs and other items that contain confidential information;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avoiding the discussion of material, non-public information in places where the information could be overheard by others such as in elevators, restrooms, hallways, restaurants, airplanes or taxicabs. Personnel involved with material, non-public information, to the extent feasible, should conduct their business and activities in areas separate from other Company activities. V. ADDITIONAL PROHIBITED TRANSACTIONS 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 A. Short Sales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holders of 10% or greater of the Company’s securities) from making short sales of the Company’s equity securities, i.e., sales of shares that the insider does not own at the time of sale, or sales of shares that are not closedwithin 20 days after the sale. B. Options A transaction in options is, in effect, a bet on the short-term movement of the Company’s stock and therefore creates the appearance that a Covered Person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 C. Hedging Transactions 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Purchases of the Company’s Securities on Margin; Pledging the Company’s Securities to Secure Margin or Other Loans 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 E. Director and Executive Officer Cashless Exercises 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“T+2” cashless exercise arrangement, in which the Company agrees to deliver stock against the payment of the purchase price on the same day the sale of the stock underlying the equity award settles and (iv) the director or executive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Legal Officer. F. Partnership Distributions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RULE 10B5-1 TRADING PLANS A. Overview Rule 10b5-1 will protect directors, officers and employees from insider trading liability under Rule 10b5-1 for transactions under a previously established contract, plan or instruction to trade in the Company’s stock (a “Trading Plan”) entered into and operated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Chief Legal Officer, or such other person as the Board of Directors may designate from time to time (the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 Trading Plans do not exempt individuals subject to Section 16 of the 1934 Act from complying with Section 16 short-swing profit rules or liability. 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 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 Officers, directors and employees may adopt Trading Plans with brokers that outline a pre- set plan for trading of the Company’s stock, including the exercise of options. Trades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Trading Plan generally may occur at any time. However, the Company requires compliance with the following “cooling-off” periods: • For the Company’s directors and Section 16 reporting persons, no trade under a Trading Plan may occur until the later of (i) the 91st calendar day after the adoption of the Trading Plan or (ii) the third business day after the filing date of the Company’s Form 10-Q (or Form 10-K for any plan executed during the fourth fiscal quarter) for the fiscal quarter in which the Trading Plan was adopted, up to a maximum of 120 calendar days after adoption of the Trading Plan. • For other insiders, no trade may occur until the 31st day after the adoption of the Trading Plan. An individual may adopt more than one Trading Plan only if a specific exception has been granted by the Chief Legal Officer (or the Chief Financial Officer, in the case of the Chief Legal Officer or persons or entities subject to this Policy as a result of their relationship with the Chief Legal Officer). Please review the following description of how a Trading Plan works. Pursuant to Rule 10b5-1, an individual’s purchase or sale of securities will not be “on the basis of” material, non-public information if: • First, before becoming aware of the information, the individual enters into a binding contract to purchase or sell the securities, provides instructions to another person to sell the securities or adopts a written plan for trading the securities (i.e., the Trading Plan). • Second, the Trading Plan must either: • specify the amount of securities to be purchased or sold, the price at which the securities are to be purchased or sold and the date on which the securities are to be purchased or sold; • include a written formula or computer program for determining the amount, price and date of the transactions; or • prohibit the individual from exercising any subsequent influence over the purchase or sale of the Company’s stock under the Trading Plan in question. • Third, the purchase or sale must occur pursuant to the Trading Plan and the individual must not enter into a corresponding hedging transaction or alter or deviate from the Trading Plan. If a Trading Plan entered into by an individual is a single-trade plan, then it must be the sole single-trade plan with respect to that individual within any consecutive 12-month period. Finally, the Company requires that any individual that has adopted a Trading Plan must act in good faith with respect to the Trading Plan for its entire duration. B. Revocation of and Amendments to Trading Plans 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180 calendar days before establishing a new Trading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person acting in good faith may amend a prior Trading Plan so long as such amendments are made outside of a quarterly trading black-out period and at a time when the Trading Plan participant does not possess material, non-public information and are approved by the Authorizing Officer of the Company. Trades made pursuant to an amended Trading Plan must comply with the above “cooling off” periods. Under certain circumstances, a Trading Plan must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 C. Discretionary Plans Although non-discretionary Trading Plans are preferred, discretionary Trading Plans, where the discretion or control over trading is transferred to a broker, are permitted if pre-approved by the Authorizing Officer. 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 D. Reporting (if Required) 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 E. Options 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the previously signed exercise form. The insider should not be involved with this part of the exercise. F. Trades Outside of a Trading Plan During an open trading window, trades differing from Trading Plan instructions that are already in place are allowed as long as the Trading Plan continues to be followed. Such trades must be made in good faith and may not, directly or indirectly, alter or offset a transaction made under the Trading Plan. G. Public Announcements 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 H. Prohibited Transactions The transactions prohibited under Section V of this Policy, including among others short sales and hedging transactions, may not be carried out through a Trading Plan or other arrangement or trading instruction involving potential sales or purchases of the Company’s securities. I. Limitation on Liability None of the Company, the Chief Legal Officer, the Chief Financial Officer,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Legal Officer, the Authorizing Officer, the Company’s other employees or any other person assumes any liability for the legality or consequences of such Trading Plan or transaction to the person engaging in or adopting such Trading Plan or transaction. VII. EXECUTION AND RETURN OF CERTIFICATION OF COMPLIANCE After reading this Policy, all officers, directors and employees should execute and return to the Company acknowledgement of the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21.1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Subsidiaries of GoHealth, Inc.</w:t>
      </w:r>
    </w:p>
    <w:tbl>
      <w:tblPr>
        <w:tblW w:w="7182" w:type="dxa"/>
        <w:jc w:val="center"/>
        <w:tblInd w:w="0" w:type="dxa"/>
        <w:tblLayout w:type="fixed"/>
        <w:tblCellMar>
          <w:top w:w="28" w:type="dxa"/>
          <w:left w:w="28" w:type="dxa"/>
          <w:bottom w:w="28" w:type="dxa"/>
          <w:right w:w="28" w:type="dxa"/>
        </w:tblCellMar>
      </w:tblPr>
      <w:tblGrid>
        <w:gridCol w:w="1138"/>
        <w:gridCol w:w="993"/>
        <w:gridCol w:w="1004"/>
        <w:gridCol w:w="109"/>
        <w:gridCol w:w="109"/>
        <w:gridCol w:w="109"/>
        <w:gridCol w:w="1088"/>
        <w:gridCol w:w="1088"/>
        <w:gridCol w:w="1544"/>
      </w:tblGrid>
      <w:tr>
        <w:trPr/>
        <w:tc>
          <w:tcPr>
            <w:tcW w:w="113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Legal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Jurisdiction of Incorporation or Organization</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Blizzard Midco,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Norvax,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Connected Benefits,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s.r.o.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Slovakia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ETQ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e-TeleQuote Insurance,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Florida,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ETeleQuote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Pakistan</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ETQ HK SPV,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Florida,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ETelequote Nicaragua Sociedad Anonima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Nicaragua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23.1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We consent to the incorporation by reference in the following Registration Statements: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Registration Statements (Form S-8 Nos. 333-239879, 333-252962, 333-263787, 333-269223,and 333-278112) pertaining to the 2020 Incentive Award Plan, as amended, and the 2020 Employee Stock Purchase Plan of GoHealth, Inc.;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Registration Statement (Form S-8 No. 333-261770) pertaining to the 2021 Inducement Award Plan of GoHealth, Inc.;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Registration Statement (Form S-8 No. 333-265442) pertaining to the 2020 Incentive Award Plan and the 2021 Inducement Award Plan of GoHealth, Inc.;</w:t>
            </w:r>
          </w:p>
        </w:tc>
      </w:tr>
    </w:tbl>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o</w:t>
      </w:r>
      <w:r>
        <w:rPr>
          <w:rFonts w:ascii="Arial;sans-serif" w:hAnsi="Arial;sans-serif"/>
          <w:b w:val="false"/>
          <w:color w:val="000000"/>
          <w:sz w:val="18"/>
        </w:rPr>
        <w:t>f our reports dated February 27, 2025, with respect to the consolidated financial statements of GoHealth, Inc. included in this Annual Report (Form 10-K) of GoHealth, Inc. for the year ended December 31, 2024.</w:t>
      </w:r>
    </w:p>
    <w:tbl>
      <w:tblPr>
        <w:tblW w:w="2262" w:type="dxa"/>
        <w:jc w:val="left"/>
        <w:tblInd w:w="0" w:type="dxa"/>
        <w:tblLayout w:type="fixed"/>
        <w:tblCellMar>
          <w:top w:w="28" w:type="dxa"/>
          <w:left w:w="28" w:type="dxa"/>
          <w:bottom w:w="28" w:type="dxa"/>
          <w:right w:w="28" w:type="dxa"/>
        </w:tblCellMar>
      </w:tblPr>
      <w:tblGrid>
        <w:gridCol w:w="684"/>
        <w:gridCol w:w="602"/>
        <w:gridCol w:w="604"/>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Ernst &amp; Young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Chicago, Illinois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918"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120"/>
        <w:gridCol w:w="120"/>
        <w:gridCol w:w="120"/>
        <w:gridCol w:w="700"/>
        <w:gridCol w:w="700"/>
        <w:gridCol w:w="99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Brendan Shanahan,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6193"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120"/>
        <w:gridCol w:w="120"/>
        <w:gridCol w:w="120"/>
        <w:gridCol w:w="1073"/>
        <w:gridCol w:w="1073"/>
        <w:gridCol w:w="152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GoHealth, Inc. (the “Company”) for the period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918"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GoHealth, Inc. (the “Company”) for the period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6193" w:type="dxa"/>
        <w:jc w:val="left"/>
        <w:tblInd w:w="0" w:type="dxa"/>
        <w:tblLayout w:type="fixed"/>
        <w:tblCellMar>
          <w:top w:w="28" w:type="dxa"/>
          <w:left w:w="28" w:type="dxa"/>
          <w:bottom w:w="28" w:type="dxa"/>
          <w:right w:w="28" w:type="dxa"/>
        </w:tblCellMar>
      </w:tblPr>
      <w:tblGrid>
        <w:gridCol w:w="201"/>
        <w:gridCol w:w="176"/>
        <w:gridCol w:w="178"/>
        <w:gridCol w:w="534"/>
        <w:gridCol w:w="534"/>
        <w:gridCol w:w="536"/>
        <w:gridCol w:w="120"/>
        <w:gridCol w:w="120"/>
        <w:gridCol w:w="120"/>
        <w:gridCol w:w="1074"/>
        <w:gridCol w:w="1074"/>
        <w:gridCol w:w="1526"/>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2288595/d341111dex31.htm" TargetMode="External"/><Relationship Id="rId9" Type="http://schemas.openxmlformats.org/officeDocument/2006/relationships/hyperlink" Target="https://www.sec.gov/Archives/edgar/data/1808220/000119312520173051/d797183dex41.htm" TargetMode="External"/><Relationship Id="rId10" Type="http://schemas.openxmlformats.org/officeDocument/2006/relationships/hyperlink" Target="https://www.sec.gov/Archives/edgar/data/0001808220/000180822021000010/goco-20201231xex42xform10xk.htm" TargetMode="External"/><Relationship Id="rId11" Type="http://schemas.openxmlformats.org/officeDocument/2006/relationships/hyperlink" Target="https://www.sec.gov/Archives/edgar/data/1808220/000119312520173051/d797183dex105.htm" TargetMode="External"/><Relationship Id="rId12" Type="http://schemas.openxmlformats.org/officeDocument/2006/relationships/hyperlink" Target="https://www.sec.gov/Archives/edgar/data/1808220/000119312520224832/d935246dex102.htm" TargetMode="External"/><Relationship Id="rId13" Type="http://schemas.openxmlformats.org/officeDocument/2006/relationships/hyperlink" Target="https://www.sec.gov/Archives/edgar/data/1808220/000180822021000019/exhibit102.htm" TargetMode="External"/><Relationship Id="rId14" Type="http://schemas.openxmlformats.org/officeDocument/2006/relationships/hyperlink" Target="https://www.sec.gov/Archives/edgar/data/0001808220/000180822021000022/exhibit101toformdated614.htm" TargetMode="External"/><Relationship Id="rId15" Type="http://schemas.openxmlformats.org/officeDocument/2006/relationships/hyperlink" Target="https://www.sec.gov/Archives/edgar/data/0001808220/000180822021000066/exhibit101toformdated111.htm" TargetMode="External"/><Relationship Id="rId16" Type="http://schemas.openxmlformats.org/officeDocument/2006/relationships/hyperlink" Target="https://www.sec.gov/Archives/edgar/data/1808220/000119312522076947/d229647dex101.htm" TargetMode="External"/><Relationship Id="rId17" Type="http://schemas.openxmlformats.org/officeDocument/2006/relationships/hyperlink" Target="https://www.sec.gov/Archives/edgar/data/1808220/000119312522221229/d291134dex101.htm" TargetMode="External"/><Relationship Id="rId18" Type="http://schemas.openxmlformats.org/officeDocument/2006/relationships/hyperlink" Target="https://www.sec.gov/Archives/edgar/data/1808220/000180822022000112/exhibit101.htm" TargetMode="External"/><Relationship Id="rId19" Type="http://schemas.openxmlformats.org/officeDocument/2006/relationships/hyperlink" Target="https://www.sec.gov/Archives/edgar/data/1808220/000119312523073274/d467836dex101.htm" TargetMode="External"/><Relationship Id="rId20" Type="http://schemas.openxmlformats.org/officeDocument/2006/relationships/hyperlink" Target="https://www.sec.gov/Archives/edgar/data/1808220/000180822024000017/gohealth-amendmentno11a0.htm" TargetMode="External"/><Relationship Id="rId21" Type="http://schemas.openxmlformats.org/officeDocument/2006/relationships/hyperlink" Target="https://www.sec.gov/Archives/edgar/data/1808220/000180822024000130/a103-gohealthxamendmentn.htm" TargetMode="External"/><Relationship Id="rId22" Type="http://schemas.openxmlformats.org/officeDocument/2006/relationships/hyperlink" Target="https://www.sec.gov/Archives/edgar/data/1808220/000180822024000130/a104-gohealthxconsentlet.htm" TargetMode="External"/><Relationship Id="rId23" Type="http://schemas.openxmlformats.org/officeDocument/2006/relationships/hyperlink" Target="https://www.sec.gov/Archives/edgar/data/1808220/000180822024000130/a105amendedandrestatemen.htm" TargetMode="External"/><Relationship Id="rId24" Type="http://schemas.openxmlformats.org/officeDocument/2006/relationships/hyperlink" Target="https://www.sec.gov/Archives/edgar/data/1808220/000180822024000130/a106-amendedandrestatedc.htm" TargetMode="External"/><Relationship Id="rId25" Type="http://schemas.openxmlformats.org/officeDocument/2006/relationships/hyperlink" Target="https://www.sec.gov/Archives/edgar/data/1808220/000119312520194605/d924307dex101.htm" TargetMode="External"/><Relationship Id="rId26" Type="http://schemas.openxmlformats.org/officeDocument/2006/relationships/hyperlink" Target="https://www.sec.gov/Archives/edgar/data/1808220/000119312520194605/d924307dex102.htm" TargetMode="External"/><Relationship Id="rId27" Type="http://schemas.openxmlformats.org/officeDocument/2006/relationships/hyperlink" Target="https://www.sec.gov/Archives/edgar/data/1808220/000119312520194605/d924307dex103.htm" TargetMode="External"/><Relationship Id="rId28" Type="http://schemas.openxmlformats.org/officeDocument/2006/relationships/hyperlink" Target="https://www.sec.gov/Archives/edgar/data/1808220/000119312520194605/d924307dex104.htm" TargetMode="External"/><Relationship Id="rId29" Type="http://schemas.openxmlformats.org/officeDocument/2006/relationships/hyperlink" Target="https://www.sec.gov/Archives/edgar/data/1808220/000119312522250700/d299834dex103.htm" TargetMode="External"/><Relationship Id="rId30" Type="http://schemas.openxmlformats.org/officeDocument/2006/relationships/hyperlink" Target="https://www.sec.gov/Archives/edgar/data/1808220/000119312522250700/d299834dex101.htm" TargetMode="External"/><Relationship Id="rId31" Type="http://schemas.openxmlformats.org/officeDocument/2006/relationships/hyperlink" Target="https://www.sec.gov/Archives/edgar/data/1808220/000119312522250700/d299834dex102.htm" TargetMode="External"/><Relationship Id="rId32" Type="http://schemas.openxmlformats.org/officeDocument/2006/relationships/hyperlink" Target="https://www.sec.gov/Archives/edgar/data/1808220/000119312520173051/d797183dex109.htm" TargetMode="External"/><Relationship Id="rId33" Type="http://schemas.openxmlformats.org/officeDocument/2006/relationships/hyperlink" Target="https://www.sec.gov/Archives/edgar/data/1808220/000119312520187065/d797183dex109.htm" TargetMode="External"/><Relationship Id="rId34" Type="http://schemas.openxmlformats.org/officeDocument/2006/relationships/hyperlink" Target="https://www.sec.gov/Archives/edgar/data/1808220/000119312520187065/d797183dex1010.htm" TargetMode="External"/><Relationship Id="rId35" Type="http://schemas.openxmlformats.org/officeDocument/2006/relationships/hyperlink" Target="https://www.sec.gov/Archives/edgar/data/1808220/000119312520189225/d797183dex1011.htm" TargetMode="External"/><Relationship Id="rId36" Type="http://schemas.openxmlformats.org/officeDocument/2006/relationships/hyperlink" Target="https://www.sec.gov/Archives/edgar/data/1808220/000119312520189225/d797183dex106.htm" TargetMode="External"/><Relationship Id="rId37" Type="http://schemas.openxmlformats.org/officeDocument/2006/relationships/hyperlink" Target="https://www.sec.gov/Archives/edgar/data/1808220/000119312520189225/d797183dex107.htm" TargetMode="External"/><Relationship Id="rId38" Type="http://schemas.openxmlformats.org/officeDocument/2006/relationships/hyperlink" Target="https://www.sec.gov/Archives/edgar/data/1808220/000119312520189225/d797183dex1016.htm" TargetMode="External"/><Relationship Id="rId39" Type="http://schemas.openxmlformats.org/officeDocument/2006/relationships/hyperlink" Target="https://www.sec.gov/Archives/edgar/data/1808220/000119312520189225/d797183dex1017.htm" TargetMode="External"/><Relationship Id="rId40" Type="http://schemas.openxmlformats.org/officeDocument/2006/relationships/hyperlink" Target="https://www.sec.gov/Archives/edgar/data/1808220/000119312520189225/d797183dex1018.htm" TargetMode="External"/><Relationship Id="rId41" Type="http://schemas.openxmlformats.org/officeDocument/2006/relationships/hyperlink" Target="https://www.sec.gov/Archives/edgar/data/1808220/000119312520189225/d797183dex1019.htm" TargetMode="External"/><Relationship Id="rId42" Type="http://schemas.openxmlformats.org/officeDocument/2006/relationships/hyperlink" Target="https://www.sec.gov/Archives/edgar/data/1808220/000119312520189225/d797183dex1020.htm" TargetMode="External"/><Relationship Id="rId43" Type="http://schemas.openxmlformats.org/officeDocument/2006/relationships/hyperlink" Target="https://www.sec.gov/Archives/edgar/data/0001808220/000119312521362438/d270006dex991.htm" TargetMode="External"/><Relationship Id="rId44" Type="http://schemas.openxmlformats.org/officeDocument/2006/relationships/hyperlink" Target="https://www.sec.gov/Archives/edgar/data/0001808220/000119312521362438/d270006dex992.htm" TargetMode="External"/><Relationship Id="rId45" Type="http://schemas.openxmlformats.org/officeDocument/2006/relationships/hyperlink" Target="https://www.sec.gov/Archives/edgar/data/0001808220/000119312521362438/d270006dex993.htm" TargetMode="External"/><Relationship Id="rId46" Type="http://schemas.openxmlformats.org/officeDocument/2006/relationships/hyperlink" Target="https://www.sec.gov/Archives/edgar/data/1808220/000119312522168376/d365724dex996.htm" TargetMode="External"/><Relationship Id="rId47" Type="http://schemas.openxmlformats.org/officeDocument/2006/relationships/hyperlink" Target="https://www.sec.gov/Archives/edgar/data/1808220/000119312522168376/d365724dex994.htm" TargetMode="External"/><Relationship Id="rId48" Type="http://schemas.openxmlformats.org/officeDocument/2006/relationships/hyperlink" Target="https://www.sec.gov/Archives/edgar/data/1808220/000119312522168376/d365724dex997.htm" TargetMode="External"/><Relationship Id="rId49" Type="http://schemas.openxmlformats.org/officeDocument/2006/relationships/hyperlink" Target="https://www.sec.gov/Archives/edgar/data/1808220/000119312522168376/d365724dex998.htm" TargetMode="External"/><Relationship Id="rId50" Type="http://schemas.openxmlformats.org/officeDocument/2006/relationships/hyperlink" Target="https://www.sec.gov/Archives/edgar/data/1808220/000180822022000090/exhibit101.htm" TargetMode="External"/><Relationship Id="rId51" Type="http://schemas.openxmlformats.org/officeDocument/2006/relationships/hyperlink" Target="https://www.sec.gov/Archives/edgar/data/1808220/000180822023000090/exhibit10_1.htm" TargetMode="External"/><Relationship Id="rId52" Type="http://schemas.openxmlformats.org/officeDocument/2006/relationships/hyperlink" Target="https://www.sec.gov/Archives/edgar/data/1808220/000180822024000053/hargisemploymentagreemen.htm" TargetMode="External"/><Relationship Id="rId53" Type="http://schemas.openxmlformats.org/officeDocument/2006/relationships/hyperlink" Target="https://www.sec.gov/Archives/edgar/data/0001808220/000180822024000118/shanahan_brendanemployme.htm" TargetMode="External"/><Relationship Id="rId54" Type="http://schemas.openxmlformats.org/officeDocument/2006/relationships/hyperlink" Target="https://www.sec.gov/Archives/edgar/data/0001808220/000180822024000118/ohalloran_katherinecaoem.htm" TargetMode="External"/><Relationship Id="rId55" Type="http://schemas.openxmlformats.org/officeDocument/2006/relationships/hyperlink" Target="https://www.sec.gov/Archives/edgar/data/0001808220/000180822024000017/compensationclawbackpoli.htm" TargetMode="External"/><Relationship Id="rId56" Type="http://schemas.openxmlformats.org/officeDocument/2006/relationships/image" Target="media/image3.jpeg"/><Relationship Id="rId57" Type="http://schemas.openxmlformats.org/officeDocument/2006/relationships/image" Target="media/image4.jpeg"/><Relationship Id="rId58" Type="http://schemas.openxmlformats.org/officeDocument/2006/relationships/image" Target="media/image5.jpeg"/><Relationship Id="rId59" Type="http://schemas.openxmlformats.org/officeDocument/2006/relationships/image" Target="media/image6.jpeg"/><Relationship Id="rId60" Type="http://schemas.openxmlformats.org/officeDocument/2006/relationships/image" Target="media/image7.jpeg"/><Relationship Id="rId61" Type="http://schemas.openxmlformats.org/officeDocument/2006/relationships/image" Target="media/image8.jpeg"/><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image" Target="media/image11.jpeg"/><Relationship Id="rId65" Type="http://schemas.openxmlformats.org/officeDocument/2006/relationships/image" Target="media/image12.jpeg"/><Relationship Id="rId66" Type="http://schemas.openxmlformats.org/officeDocument/2006/relationships/image" Target="media/image13.jpeg"/><Relationship Id="rId67" Type="http://schemas.openxmlformats.org/officeDocument/2006/relationships/image" Target="media/image14.jpeg"/><Relationship Id="rId68" Type="http://schemas.openxmlformats.org/officeDocument/2006/relationships/image" Target="media/image15.jpeg"/><Relationship Id="rId69" Type="http://schemas.openxmlformats.org/officeDocument/2006/relationships/image" Target="media/image16.jpeg"/><Relationship Id="rId70" Type="http://schemas.openxmlformats.org/officeDocument/2006/relationships/image" Target="media/image17.jpeg"/><Relationship Id="rId71" Type="http://schemas.openxmlformats.org/officeDocument/2006/relationships/image" Target="media/image18.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81266</Words>
  <Characters>454969</Characters>
  <CharactersWithSpaces>533326</CharactersWithSpaces>
  <Paragraphs>4370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gohealthinsidertradingpo</dc:title>
</cp:coreProperties>
</file>