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169545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189865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10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93" w:lineRule="exact"/>
        <w:rPr>
          <w:sz w:val="24"/>
          <w:szCs w:val="24"/>
          <w:color w:val="auto"/>
        </w:rPr>
      </w:pPr>
    </w:p>
    <w:p>
      <w:pPr>
        <w:ind w:left="4640"/>
        <w:spacing w:after="0"/>
        <w:rPr>
          <w:sz w:val="20"/>
          <w:szCs w:val="20"/>
          <w:color w:val="auto"/>
        </w:rPr>
      </w:pPr>
      <w:r>
        <w:rPr>
          <w:rFonts w:ascii="Arial" w:cs="Arial" w:eastAsia="Arial" w:hAnsi="Arial"/>
          <w:sz w:val="17"/>
          <w:szCs w:val="17"/>
          <w:color w:val="auto"/>
        </w:rPr>
        <w:t>WASHINGTON, DC 20549</w:t>
      </w:r>
    </w:p>
    <w:p>
      <w:pPr>
        <w:spacing w:after="0" w:line="354" w:lineRule="exact"/>
        <w:rPr>
          <w:sz w:val="24"/>
          <w:szCs w:val="24"/>
          <w:color w:val="auto"/>
        </w:rPr>
      </w:pPr>
    </w:p>
    <w:p>
      <w:pPr>
        <w:ind w:left="4720"/>
        <w:spacing w:after="0"/>
        <w:rPr>
          <w:sz w:val="20"/>
          <w:szCs w:val="20"/>
          <w:color w:val="auto"/>
        </w:rPr>
      </w:pPr>
      <w:r>
        <w:rPr>
          <w:rFonts w:ascii="Arial" w:cs="Arial" w:eastAsia="Arial" w:hAnsi="Arial"/>
          <w:sz w:val="34"/>
          <w:szCs w:val="34"/>
          <w:b w:val="1"/>
          <w:bCs w:val="1"/>
          <w:color w:val="auto"/>
        </w:rPr>
        <w:t>FORM 10-Q</w:t>
      </w:r>
    </w:p>
    <w:p>
      <w:pPr>
        <w:spacing w:after="0" w:line="11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37"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For the quarterly period ended March 31, 2024</w:t>
      </w:r>
    </w:p>
    <w:p>
      <w:pPr>
        <w:spacing w:after="0" w:line="95"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OR</w:t>
      </w:r>
    </w:p>
    <w:p>
      <w:pPr>
        <w:spacing w:after="0" w:line="126"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98" w:lineRule="exact"/>
        <w:rPr>
          <w:sz w:val="24"/>
          <w:szCs w:val="24"/>
          <w:color w:val="auto"/>
        </w:rPr>
      </w:pPr>
    </w:p>
    <w:p>
      <w:pPr>
        <w:ind w:left="4020"/>
        <w:spacing w:after="0"/>
        <w:tabs>
          <w:tab w:leader="none" w:pos="640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3"/>
          <w:szCs w:val="13"/>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3608705</wp:posOffset>
            </wp:positionH>
            <wp:positionV relativeFrom="paragraph">
              <wp:posOffset>-6985</wp:posOffset>
            </wp:positionV>
            <wp:extent cx="1010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0920" cy="6985"/>
                    </a:xfrm>
                    <a:prstGeom prst="rect">
                      <a:avLst/>
                    </a:prstGeom>
                    <a:noFill/>
                  </pic:spPr>
                </pic:pic>
              </a:graphicData>
            </a:graphic>
          </wp:anchor>
        </w:drawing>
      </w:r>
    </w:p>
    <w:p>
      <w:pPr>
        <w:spacing w:after="0" w:line="34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59690</wp:posOffset>
            </wp:positionV>
            <wp:extent cx="1684020" cy="88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4020"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34"/>
          <w:szCs w:val="34"/>
          <w:b w:val="1"/>
          <w:bCs w:val="1"/>
          <w:color w:val="auto"/>
        </w:rPr>
        <w:t>GoHealth, Inc.</w:t>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ectPr>
          <w:pgSz w:w="11900" w:h="16838" w:orient="portrait"/>
          <w:cols w:equalWidth="0" w:num="1">
            <w:col w:w="10159"/>
          </w:cols>
          <w:pgMar w:left="300" w:top="891" w:right="1440" w:bottom="1440" w:gutter="0" w:footer="0" w:header="0"/>
        </w:sectPr>
      </w:pPr>
    </w:p>
    <w:p>
      <w:pPr>
        <w:spacing w:after="0" w:line="131" w:lineRule="exact"/>
        <w:rPr>
          <w:sz w:val="24"/>
          <w:szCs w:val="24"/>
          <w:color w:val="auto"/>
        </w:rPr>
      </w:pPr>
    </w:p>
    <w:p>
      <w:pPr>
        <w:ind w:left="256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85-0563805</w:t>
      </w:r>
    </w:p>
    <w:p>
      <w:pPr>
        <w:spacing w:after="0" w:line="50" w:lineRule="exact"/>
        <w:rPr>
          <w:sz w:val="24"/>
          <w:szCs w:val="24"/>
          <w:color w:val="auto"/>
        </w:rPr>
      </w:pPr>
    </w:p>
    <w:p>
      <w:pPr>
        <w:sectPr>
          <w:pgSz w:w="11900" w:h="16838" w:orient="portrait"/>
          <w:cols w:equalWidth="0" w:num="2">
            <w:col w:w="7420" w:space="720"/>
            <w:col w:w="2019"/>
          </w:cols>
          <w:pgMar w:left="300" w:top="891" w:right="1440" w:bottom="1440" w:gutter="0" w:footer="0" w:header="0"/>
          <w:type w:val="continuous"/>
        </w:sectPr>
      </w:pPr>
    </w:p>
    <w:p>
      <w:pPr>
        <w:ind w:left="118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2">
            <w:col w:w="6740" w:space="720"/>
            <w:col w:w="2699"/>
          </w:cols>
          <w:pgMar w:left="300" w:top="891" w:right="1440" w:bottom="1440" w:gutter="0" w:footer="0" w:header="0"/>
          <w:type w:val="continuous"/>
        </w:sectPr>
      </w:pPr>
    </w:p>
    <w:p>
      <w:pPr>
        <w:spacing w:after="0" w:line="59"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222 W Merchandise Mart Plaza, Suite 1750</w:t>
      </w:r>
    </w:p>
    <w:p>
      <w:pPr>
        <w:sectPr>
          <w:pgSz w:w="11900" w:h="16838" w:orient="portrait"/>
          <w:cols w:equalWidth="0" w:num="1">
            <w:col w:w="10159"/>
          </w:cols>
          <w:pgMar w:left="300" w:top="891" w:right="1440" w:bottom="1440" w:gutter="0" w:footer="0" w:header="0"/>
          <w:type w:val="continuous"/>
        </w:sectPr>
      </w:pPr>
    </w:p>
    <w:p>
      <w:pPr>
        <w:spacing w:after="0" w:line="75" w:lineRule="exact"/>
        <w:rPr>
          <w:sz w:val="24"/>
          <w:szCs w:val="24"/>
          <w:color w:val="auto"/>
        </w:rPr>
      </w:pPr>
    </w:p>
    <w:p>
      <w:pPr>
        <w:ind w:left="2200"/>
        <w:spacing w:after="0"/>
        <w:rPr>
          <w:sz w:val="20"/>
          <w:szCs w:val="20"/>
          <w:color w:val="auto"/>
        </w:rPr>
      </w:pPr>
      <w:r>
        <w:rPr>
          <w:rFonts w:ascii="Arial" w:cs="Arial" w:eastAsia="Arial" w:hAnsi="Arial"/>
          <w:sz w:val="11"/>
          <w:szCs w:val="11"/>
          <w:b w:val="1"/>
          <w:bCs w:val="1"/>
          <w:color w:val="auto"/>
        </w:rPr>
        <w:t>Chicago, Illinois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60654</w:t>
      </w:r>
    </w:p>
    <w:p>
      <w:pPr>
        <w:spacing w:after="0" w:line="50" w:lineRule="exact"/>
        <w:rPr>
          <w:sz w:val="24"/>
          <w:szCs w:val="24"/>
          <w:color w:val="auto"/>
        </w:rPr>
      </w:pPr>
    </w:p>
    <w:p>
      <w:pPr>
        <w:sectPr>
          <w:pgSz w:w="11900" w:h="16838" w:orient="portrait"/>
          <w:cols w:equalWidth="0" w:num="2">
            <w:col w:w="7420" w:space="720"/>
            <w:col w:w="2019"/>
          </w:cols>
          <w:pgMar w:left="300" w:top="891" w:right="1440" w:bottom="1440" w:gutter="0" w:footer="0" w:header="0"/>
          <w:type w:val="continuous"/>
        </w:sectPr>
      </w:pPr>
    </w:p>
    <w:p>
      <w:pPr>
        <w:ind w:left="16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(Zip Code)</w:t>
      </w:r>
    </w:p>
    <w:p>
      <w:pPr>
        <w:spacing w:after="0" w:line="191" w:lineRule="exact"/>
        <w:rPr>
          <w:sz w:val="24"/>
          <w:szCs w:val="24"/>
          <w:color w:val="auto"/>
        </w:rPr>
      </w:pPr>
    </w:p>
    <w:p>
      <w:pPr>
        <w:sectPr>
          <w:pgSz w:w="11900" w:h="16838" w:orient="portrait"/>
          <w:cols w:equalWidth="0" w:num="2">
            <w:col w:w="7280" w:space="720"/>
            <w:col w:w="2159"/>
          </w:cols>
          <w:pgMar w:left="300" w:top="891" w:right="1440" w:bottom="1440" w:gutter="0" w:footer="0" w:header="0"/>
          <w:type w:val="continuous"/>
        </w:sectPr>
      </w:pPr>
    </w:p>
    <w:p>
      <w:pPr>
        <w:jc w:val="center"/>
        <w:ind w:right="-1140"/>
        <w:spacing w:after="0"/>
        <w:rPr>
          <w:sz w:val="20"/>
          <w:szCs w:val="20"/>
          <w:color w:val="auto"/>
        </w:rPr>
      </w:pPr>
      <w:r>
        <w:rPr>
          <w:rFonts w:ascii="Arial" w:cs="Arial" w:eastAsia="Arial" w:hAnsi="Arial"/>
          <w:sz w:val="13"/>
          <w:szCs w:val="13"/>
          <w:b w:val="1"/>
          <w:bCs w:val="1"/>
          <w:color w:val="auto"/>
        </w:rPr>
        <w:t>(312) 386-8200</w:t>
      </w:r>
    </w:p>
    <w:p>
      <w:pPr>
        <w:spacing w:after="0" w:line="84" w:lineRule="exact"/>
        <w:rPr>
          <w:sz w:val="24"/>
          <w:szCs w:val="24"/>
          <w:color w:val="auto"/>
        </w:rPr>
      </w:pPr>
    </w:p>
    <w:p>
      <w:pPr>
        <w:jc w:val="center"/>
        <w:ind w:right="-1140"/>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0159"/>
          </w:cols>
          <w:pgMar w:left="300" w:top="891" w:right="1440" w:bottom="1440" w:gutter="0" w:footer="0" w:header="0"/>
          <w:type w:val="continuous"/>
        </w:sectPr>
      </w:pPr>
    </w:p>
    <w:p>
      <w:pPr>
        <w:spacing w:after="0" w:line="371"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N/A</w:t>
      </w:r>
    </w:p>
    <w:p>
      <w:pPr>
        <w:spacing w:after="0" w:line="95" w:lineRule="exact"/>
        <w:rPr>
          <w:sz w:val="24"/>
          <w:szCs w:val="24"/>
          <w:color w:val="auto"/>
        </w:rPr>
      </w:pPr>
    </w:p>
    <w:p>
      <w:pPr>
        <w:jc w:val="center"/>
        <w:ind w:right="-1140"/>
        <w:spacing w:after="0"/>
        <w:rPr>
          <w:sz w:val="20"/>
          <w:szCs w:val="20"/>
          <w:color w:val="auto"/>
        </w:rPr>
      </w:pPr>
      <w:r>
        <w:rPr>
          <w:rFonts w:ascii="Arial" w:cs="Arial" w:eastAsia="Arial" w:hAnsi="Arial"/>
          <w:sz w:val="12"/>
          <w:szCs w:val="12"/>
          <w:color w:val="auto"/>
        </w:rPr>
        <w:t>(Former name, former address and former fiscal year, if changed since last report)</w:t>
      </w:r>
    </w:p>
    <w:p>
      <w:pPr>
        <w:spacing w:after="0" w:line="95"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7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64"/>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62" w:lineRule="exact"/>
        <w:rPr>
          <w:sz w:val="20"/>
          <w:szCs w:val="20"/>
          <w:color w:val="auto"/>
        </w:rPr>
      </w:pPr>
    </w:p>
    <w:p>
      <w:pPr>
        <w:ind w:right="26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0" w:lineRule="exact"/>
        <w:rPr>
          <w:sz w:val="20"/>
          <w:szCs w:val="20"/>
          <w:color w:val="auto"/>
        </w:rPr>
      </w:pPr>
    </w:p>
    <w:p>
      <w:pPr>
        <w:ind w:right="2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60"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Accelerated filer</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191"/>
        </w:trPr>
        <w:tc>
          <w:tcPr>
            <w:tcW w:w="3180" w:type="dxa"/>
            <w:vAlign w:val="bottom"/>
          </w:tcPr>
          <w:p>
            <w:pPr>
              <w:spacing w:after="0"/>
              <w:rPr>
                <w:sz w:val="20"/>
                <w:szCs w:val="20"/>
                <w:color w:val="auto"/>
              </w:rPr>
            </w:pPr>
            <w:r>
              <w:rPr>
                <w:rFonts w:ascii="Arial" w:cs="Arial" w:eastAsia="Arial" w:hAnsi="Arial"/>
                <w:sz w:val="13"/>
                <w:szCs w:val="13"/>
                <w:color w:val="auto"/>
              </w:rPr>
              <w:t>Non-accelerated filer</w:t>
            </w:r>
          </w:p>
        </w:tc>
        <w:tc>
          <w:tcPr>
            <w:tcW w:w="2220" w:type="dxa"/>
            <w:vAlign w:val="bottom"/>
          </w:tcPr>
          <w:p>
            <w:pPr>
              <w:ind w:left="19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480" w:type="dxa"/>
            <w:vAlign w:val="bottom"/>
          </w:tcPr>
          <w:p>
            <w:pPr>
              <w:ind w:left="140"/>
              <w:spacing w:after="0"/>
              <w:rPr>
                <w:sz w:val="20"/>
                <w:szCs w:val="20"/>
                <w:color w:val="auto"/>
              </w:rPr>
            </w:pPr>
            <w:r>
              <w:rPr>
                <w:rFonts w:ascii="Arial" w:cs="Arial" w:eastAsia="Arial" w:hAnsi="Arial"/>
                <w:sz w:val="13"/>
                <w:szCs w:val="13"/>
                <w:color w:val="auto"/>
              </w:rPr>
              <w:t>Smaller reporting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214"/>
        </w:trPr>
        <w:tc>
          <w:tcPr>
            <w:tcW w:w="3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Emerging growth company</w:t>
            </w:r>
          </w:p>
        </w:tc>
        <w:tc>
          <w:tcPr>
            <w:tcW w:w="1920" w:type="dxa"/>
            <w:vAlign w:val="bottom"/>
          </w:tcPr>
          <w:p>
            <w:pPr>
              <w:ind w:left="18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bl>
    <w:p>
      <w:pPr>
        <w:spacing w:after="0" w:line="144" w:lineRule="exact"/>
        <w:rPr>
          <w:sz w:val="20"/>
          <w:szCs w:val="20"/>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31" w:lineRule="exact"/>
        <w:rPr>
          <w:sz w:val="20"/>
          <w:szCs w:val="20"/>
          <w:color w:val="auto"/>
        </w:rPr>
      </w:pPr>
    </w:p>
    <w:p>
      <w:pPr>
        <w:spacing w:after="0" w:line="150" w:lineRule="exact"/>
        <w:tabs>
          <w:tab w:leader="none" w:pos="6480" w:val="left"/>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highlight w:val="black"/>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highlight w:val="black"/>
        </w:rPr>
        <w:t>☒</w:t>
      </w:r>
    </w:p>
    <w:p>
      <w:pPr>
        <w:spacing w:after="0" w:line="113" w:lineRule="exact"/>
        <w:rPr>
          <w:sz w:val="20"/>
          <w:szCs w:val="20"/>
          <w:color w:val="auto"/>
        </w:rPr>
      </w:pPr>
    </w:p>
    <w:p>
      <w:pPr>
        <w:ind w:right="160"/>
        <w:spacing w:after="0" w:line="283" w:lineRule="auto"/>
        <w:rPr>
          <w:sz w:val="20"/>
          <w:szCs w:val="20"/>
          <w:color w:val="auto"/>
        </w:rPr>
      </w:pPr>
      <w:r>
        <w:rPr>
          <w:rFonts w:ascii="Arial" w:cs="Arial" w:eastAsia="Arial" w:hAnsi="Arial"/>
          <w:sz w:val="13"/>
          <w:szCs w:val="13"/>
          <w:color w:val="auto"/>
        </w:rPr>
        <w:t>As of May 1, 2024, the registrant had 9,946,669 shares of Class A common stock, $0.0001 par value per share, outstanding and 12,781,528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403225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288290</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308610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98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gridSpan w:val="9"/>
          </w:tcPr>
          <w:p>
            <w:pPr>
              <w:jc w:val="center"/>
              <w:ind w:right="2500"/>
              <w:spacing w:after="0"/>
              <w:rPr>
                <w:sz w:val="20"/>
                <w:szCs w:val="20"/>
                <w:color w:val="auto"/>
              </w:rPr>
            </w:pPr>
            <w:r>
              <w:rPr>
                <w:rFonts w:ascii="Arial" w:cs="Arial" w:eastAsia="Arial" w:hAnsi="Arial"/>
                <w:sz w:val="13"/>
                <w:szCs w:val="13"/>
                <w:b w:val="1"/>
                <w:bCs w:val="1"/>
                <w:color w:val="auto"/>
                <w:w w:val="97"/>
              </w:rPr>
              <w:t>TABLE OF CONTENTS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40" w:type="dxa"/>
            <w:vAlign w:val="bottom"/>
            <w:gridSpan w:val="4"/>
          </w:tcPr>
          <w:p>
            <w:pPr>
              <w:ind w:left="1320"/>
              <w:spacing w:after="0"/>
              <w:rPr>
                <w:sz w:val="20"/>
                <w:szCs w:val="20"/>
                <w:color w:val="auto"/>
              </w:rPr>
            </w:pPr>
            <w:r>
              <w:rPr>
                <w:rFonts w:ascii="Arial" w:cs="Arial" w:eastAsia="Arial" w:hAnsi="Arial"/>
                <w:sz w:val="13"/>
                <w:szCs w:val="13"/>
                <w:color w:val="auto"/>
              </w:rPr>
              <w:t>PAGE</w:t>
            </w:r>
          </w:p>
        </w:tc>
      </w:tr>
      <w:tr>
        <w:trPr>
          <w:trHeight w:val="171"/>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780" w:type="dxa"/>
            <w:vAlign w:val="bottom"/>
            <w:shd w:val="clear" w:color="auto" w:fill="00497F"/>
          </w:tcPr>
          <w:p>
            <w:pPr>
              <w:spacing w:after="0"/>
              <w:rPr>
                <w:sz w:val="14"/>
                <w:szCs w:val="14"/>
                <w:color w:val="auto"/>
              </w:rPr>
            </w:pPr>
          </w:p>
        </w:tc>
        <w:tc>
          <w:tcPr>
            <w:tcW w:w="4720" w:type="dxa"/>
            <w:vAlign w:val="bottom"/>
            <w:gridSpan w:val="10"/>
            <w:shd w:val="clear" w:color="auto" w:fill="00497F"/>
          </w:tcPr>
          <w:p>
            <w:pPr>
              <w:jc w:val="center"/>
              <w:ind w:right="2280"/>
              <w:spacing w:after="0"/>
              <w:rPr>
                <w:sz w:val="20"/>
                <w:szCs w:val="20"/>
                <w:color w:val="auto"/>
              </w:rPr>
            </w:pPr>
            <w:r>
              <w:rPr>
                <w:rFonts w:ascii="Arial" w:cs="Arial" w:eastAsia="Arial" w:hAnsi="Arial"/>
                <w:sz w:val="13"/>
                <w:szCs w:val="13"/>
                <w:b w:val="1"/>
                <w:bCs w:val="1"/>
                <w:color w:val="FFFFFF"/>
                <w:w w:val="96"/>
              </w:rPr>
              <w:t>PART I - FINANCIAL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7920" w:type="dxa"/>
            <w:vAlign w:val="bottom"/>
            <w:gridSpan w:val="20"/>
          </w:tcPr>
          <w:p>
            <w:pPr>
              <w:spacing w:after="0" w:line="138" w:lineRule="exact"/>
              <w:rPr>
                <w:sz w:val="20"/>
                <w:szCs w:val="20"/>
                <w:color w:val="auto"/>
              </w:rPr>
            </w:pPr>
            <w:r>
              <w:rPr>
                <w:rFonts w:ascii="Arial" w:cs="Arial" w:eastAsia="Arial" w:hAnsi="Arial"/>
                <w:sz w:val="13"/>
                <w:szCs w:val="13"/>
                <w:color w:val="0000FF"/>
              </w:rPr>
              <w:t>FINANCIAL STATEMENTS.</w:t>
            </w: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CONDENSED CONSOLIDATED FINANCIAL STATEMENTS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740" w:type="dxa"/>
            <w:vAlign w:val="bottom"/>
            <w:gridSpan w:val="19"/>
          </w:tcPr>
          <w:p>
            <w:pPr>
              <w:spacing w:after="0"/>
              <w:rPr>
                <w:sz w:val="20"/>
                <w:szCs w:val="20"/>
                <w:color w:val="auto"/>
              </w:rPr>
            </w:pPr>
            <w:r>
              <w:rPr>
                <w:rFonts w:ascii="Arial" w:cs="Arial" w:eastAsia="Arial" w:hAnsi="Arial"/>
                <w:sz w:val="13"/>
                <w:szCs w:val="13"/>
                <w:color w:val="0000FF"/>
              </w:rPr>
              <w:t>CONDENSED CONSOLIDATED STATEMENTS OF COMPREHENSIVE INCOME (LOSS)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5</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9"/>
          </w:tcPr>
          <w:p>
            <w:pPr>
              <w:spacing w:after="0"/>
              <w:rPr>
                <w:sz w:val="20"/>
                <w:szCs w:val="20"/>
                <w:color w:val="auto"/>
              </w:rPr>
            </w:pPr>
            <w:r>
              <w:rPr>
                <w:rFonts w:ascii="Arial" w:cs="Arial" w:eastAsia="Arial" w:hAnsi="Arial"/>
                <w:sz w:val="13"/>
                <w:szCs w:val="13"/>
                <w:color w:val="0000FF"/>
                <w:w w:val="97"/>
              </w:rPr>
              <w:t>CONDENSED CONSOLIDATED BALANCE SHEETS</w:t>
            </w:r>
          </w:p>
        </w:tc>
        <w:tc>
          <w:tcPr>
            <w:tcW w:w="2060" w:type="dxa"/>
            <w:vAlign w:val="bottom"/>
            <w:gridSpan w:val="7"/>
          </w:tcPr>
          <w:p>
            <w:pPr>
              <w:spacing w:after="0"/>
              <w:rPr>
                <w:sz w:val="13"/>
                <w:szCs w:val="13"/>
                <w:color w:val="auto"/>
              </w:rPr>
            </w:pPr>
          </w:p>
        </w:tc>
        <w:tc>
          <w:tcPr>
            <w:tcW w:w="2660" w:type="dxa"/>
            <w:vAlign w:val="bottom"/>
            <w:gridSpan w:val="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6</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gridSpan w:val="17"/>
          </w:tcPr>
          <w:p>
            <w:pPr>
              <w:spacing w:after="0"/>
              <w:rPr>
                <w:sz w:val="20"/>
                <w:szCs w:val="20"/>
                <w:color w:val="auto"/>
              </w:rPr>
            </w:pPr>
            <w:r>
              <w:rPr>
                <w:rFonts w:ascii="Arial" w:cs="Arial" w:eastAsia="Arial" w:hAnsi="Arial"/>
                <w:sz w:val="13"/>
                <w:szCs w:val="13"/>
                <w:color w:val="0000FF"/>
                <w:w w:val="96"/>
              </w:rPr>
              <w:t>CONDENSED CONSOLIDATED STATEMENTS OF CHANGES IN STOCKHOLDERS’ EQUITY</w:t>
            </w:r>
          </w:p>
        </w:tc>
        <w:tc>
          <w:tcPr>
            <w:tcW w:w="236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7</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gridSpan w:val="17"/>
          </w:tcPr>
          <w:p>
            <w:pPr>
              <w:spacing w:after="0"/>
              <w:rPr>
                <w:sz w:val="20"/>
                <w:szCs w:val="20"/>
                <w:color w:val="auto"/>
              </w:rPr>
            </w:pPr>
            <w:r>
              <w:rPr>
                <w:rFonts w:ascii="Arial" w:cs="Arial" w:eastAsia="Arial" w:hAnsi="Arial"/>
                <w:sz w:val="13"/>
                <w:szCs w:val="13"/>
                <w:color w:val="0000FF"/>
              </w:rPr>
              <w:t>CONDENSED CONSOLIDATED STATEMENTS OF CASH FLOWS</w:t>
            </w:r>
          </w:p>
        </w:tc>
        <w:tc>
          <w:tcPr>
            <w:tcW w:w="2360" w:type="dxa"/>
            <w:vAlign w:val="bottom"/>
            <w:gridSpan w:val="2"/>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8</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00" w:type="dxa"/>
            <w:vAlign w:val="bottom"/>
            <w:gridSpan w:val="13"/>
          </w:tcPr>
          <w:p>
            <w:pPr>
              <w:spacing w:after="0"/>
              <w:rPr>
                <w:sz w:val="20"/>
                <w:szCs w:val="20"/>
                <w:color w:val="auto"/>
              </w:rPr>
            </w:pPr>
            <w:r>
              <w:rPr>
                <w:rFonts w:ascii="Arial" w:cs="Arial" w:eastAsia="Arial" w:hAnsi="Arial"/>
                <w:sz w:val="13"/>
                <w:szCs w:val="13"/>
                <w:color w:val="0000FF"/>
                <w:w w:val="96"/>
              </w:rPr>
              <w:t>NOTES TO CONDENSED CONSOLIDATED FINANCIAL STATEMENTS</w:t>
            </w:r>
          </w:p>
        </w:tc>
        <w:tc>
          <w:tcPr>
            <w:tcW w:w="3640" w:type="dxa"/>
            <w:vAlign w:val="bottom"/>
            <w:gridSpan w:val="6"/>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82"/>
              </w:rPr>
              <w:t>9</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MANAGEMENT’S DISCUSSION AND ANALYSIS OF FINANCIAL CONDITIONS AND RESULTS OF OPERATIONS.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23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6580" w:type="dxa"/>
            <w:vAlign w:val="bottom"/>
            <w:gridSpan w:val="19"/>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1340" w:type="dxa"/>
            <w:vAlign w:val="bottom"/>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32</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4420" w:type="dxa"/>
            <w:vAlign w:val="bottom"/>
            <w:gridSpan w:val="15"/>
          </w:tcPr>
          <w:p>
            <w:pPr>
              <w:spacing w:after="0"/>
              <w:rPr>
                <w:sz w:val="20"/>
                <w:szCs w:val="20"/>
                <w:color w:val="auto"/>
              </w:rPr>
            </w:pPr>
            <w:r>
              <w:rPr>
                <w:rFonts w:ascii="Arial" w:cs="Arial" w:eastAsia="Arial" w:hAnsi="Arial"/>
                <w:sz w:val="13"/>
                <w:szCs w:val="13"/>
                <w:color w:val="0000FF"/>
              </w:rPr>
              <w:t>CONTROLS AND PROCEDURES.</w:t>
            </w:r>
          </w:p>
        </w:tc>
        <w:tc>
          <w:tcPr>
            <w:tcW w:w="3500" w:type="dxa"/>
            <w:vAlign w:val="bottom"/>
            <w:gridSpan w:val="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32</w:t>
            </w:r>
          </w:p>
        </w:tc>
        <w:tc>
          <w:tcPr>
            <w:tcW w:w="580" w:type="dxa"/>
            <w:vAlign w:val="bottom"/>
          </w:tcPr>
          <w:p>
            <w:pPr>
              <w:spacing w:after="0"/>
              <w:rPr>
                <w:sz w:val="13"/>
                <w:szCs w:val="13"/>
                <w:color w:val="auto"/>
              </w:rPr>
            </w:pPr>
          </w:p>
        </w:tc>
      </w:tr>
      <w:tr>
        <w:trPr>
          <w:trHeight w:val="54"/>
        </w:trPr>
        <w:tc>
          <w:tcPr>
            <w:tcW w:w="12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r>
      <w:tr>
        <w:trPr>
          <w:trHeight w:val="170"/>
        </w:trPr>
        <w:tc>
          <w:tcPr>
            <w:tcW w:w="1220" w:type="dxa"/>
            <w:vAlign w:val="bottom"/>
            <w:shd w:val="clear" w:color="auto" w:fill="00497F"/>
          </w:tcPr>
          <w:p>
            <w:pPr>
              <w:spacing w:after="0"/>
              <w:rPr>
                <w:sz w:val="14"/>
                <w:szCs w:val="14"/>
                <w:color w:val="auto"/>
              </w:rPr>
            </w:pPr>
          </w:p>
        </w:tc>
        <w:tc>
          <w:tcPr>
            <w:tcW w:w="18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200" w:type="dxa"/>
            <w:vAlign w:val="bottom"/>
            <w:shd w:val="clear" w:color="auto" w:fill="00497F"/>
          </w:tcPr>
          <w:p>
            <w:pPr>
              <w:spacing w:after="0"/>
              <w:rPr>
                <w:sz w:val="14"/>
                <w:szCs w:val="14"/>
                <w:color w:val="auto"/>
              </w:rPr>
            </w:pPr>
          </w:p>
        </w:tc>
        <w:tc>
          <w:tcPr>
            <w:tcW w:w="160" w:type="dxa"/>
            <w:vAlign w:val="bottom"/>
            <w:shd w:val="clear" w:color="auto" w:fill="00497F"/>
          </w:tcPr>
          <w:p>
            <w:pPr>
              <w:spacing w:after="0"/>
              <w:rPr>
                <w:sz w:val="14"/>
                <w:szCs w:val="14"/>
                <w:color w:val="auto"/>
              </w:rPr>
            </w:pPr>
          </w:p>
        </w:tc>
        <w:tc>
          <w:tcPr>
            <w:tcW w:w="420" w:type="dxa"/>
            <w:vAlign w:val="bottom"/>
            <w:shd w:val="clear" w:color="auto" w:fill="00497F"/>
          </w:tcPr>
          <w:p>
            <w:pPr>
              <w:spacing w:after="0"/>
              <w:rPr>
                <w:sz w:val="14"/>
                <w:szCs w:val="14"/>
                <w:color w:val="auto"/>
              </w:rPr>
            </w:pPr>
          </w:p>
        </w:tc>
        <w:tc>
          <w:tcPr>
            <w:tcW w:w="180" w:type="dxa"/>
            <w:vAlign w:val="bottom"/>
            <w:tcBorders>
              <w:left w:val="single" w:sz="8" w:color="00497F"/>
            </w:tcBorders>
            <w:shd w:val="clear" w:color="auto" w:fill="00497F"/>
          </w:tcPr>
          <w:p>
            <w:pPr>
              <w:spacing w:after="0"/>
              <w:rPr>
                <w:sz w:val="14"/>
                <w:szCs w:val="14"/>
                <w:color w:val="auto"/>
              </w:rPr>
            </w:pPr>
          </w:p>
        </w:tc>
        <w:tc>
          <w:tcPr>
            <w:tcW w:w="260" w:type="dxa"/>
            <w:vAlign w:val="bottom"/>
            <w:shd w:val="clear" w:color="auto" w:fill="00497F"/>
          </w:tcPr>
          <w:p>
            <w:pPr>
              <w:spacing w:after="0"/>
              <w:rPr>
                <w:sz w:val="14"/>
                <w:szCs w:val="14"/>
                <w:color w:val="auto"/>
              </w:rPr>
            </w:pPr>
          </w:p>
        </w:tc>
        <w:tc>
          <w:tcPr>
            <w:tcW w:w="140" w:type="dxa"/>
            <w:vAlign w:val="bottom"/>
            <w:shd w:val="clear" w:color="auto" w:fill="00497F"/>
          </w:tcPr>
          <w:p>
            <w:pPr>
              <w:spacing w:after="0"/>
              <w:rPr>
                <w:sz w:val="14"/>
                <w:szCs w:val="14"/>
                <w:color w:val="auto"/>
              </w:rPr>
            </w:pPr>
          </w:p>
        </w:tc>
        <w:tc>
          <w:tcPr>
            <w:tcW w:w="440" w:type="dxa"/>
            <w:vAlign w:val="bottom"/>
            <w:shd w:val="clear" w:color="auto" w:fill="00497F"/>
          </w:tcPr>
          <w:p>
            <w:pPr>
              <w:spacing w:after="0"/>
              <w:rPr>
                <w:sz w:val="14"/>
                <w:szCs w:val="14"/>
                <w:color w:val="auto"/>
              </w:rPr>
            </w:pPr>
          </w:p>
        </w:tc>
        <w:tc>
          <w:tcPr>
            <w:tcW w:w="780" w:type="dxa"/>
            <w:vAlign w:val="bottom"/>
            <w:shd w:val="clear" w:color="auto" w:fill="00497F"/>
          </w:tcPr>
          <w:p>
            <w:pPr>
              <w:spacing w:after="0"/>
              <w:rPr>
                <w:sz w:val="14"/>
                <w:szCs w:val="14"/>
                <w:color w:val="auto"/>
              </w:rPr>
            </w:pPr>
          </w:p>
        </w:tc>
        <w:tc>
          <w:tcPr>
            <w:tcW w:w="220" w:type="dxa"/>
            <w:vAlign w:val="bottom"/>
            <w:shd w:val="clear" w:color="auto" w:fill="00497F"/>
          </w:tcPr>
          <w:p>
            <w:pPr>
              <w:spacing w:after="0"/>
              <w:rPr>
                <w:sz w:val="14"/>
                <w:szCs w:val="14"/>
                <w:color w:val="auto"/>
              </w:rPr>
            </w:pPr>
          </w:p>
        </w:tc>
        <w:tc>
          <w:tcPr>
            <w:tcW w:w="4500" w:type="dxa"/>
            <w:vAlign w:val="bottom"/>
            <w:gridSpan w:val="9"/>
            <w:shd w:val="clear" w:color="auto" w:fill="00497F"/>
          </w:tcPr>
          <w:p>
            <w:pPr>
              <w:jc w:val="center"/>
              <w:ind w:right="2500"/>
              <w:spacing w:after="0"/>
              <w:rPr>
                <w:sz w:val="20"/>
                <w:szCs w:val="20"/>
                <w:color w:val="auto"/>
              </w:rPr>
            </w:pPr>
            <w:r>
              <w:rPr>
                <w:rFonts w:ascii="Arial" w:cs="Arial" w:eastAsia="Arial" w:hAnsi="Arial"/>
                <w:sz w:val="13"/>
                <w:szCs w:val="13"/>
                <w:b w:val="1"/>
                <w:bCs w:val="1"/>
                <w:color w:val="FFFFFF"/>
                <w:w w:val="96"/>
              </w:rPr>
              <w:t>PART II - OTHER INFORMATION</w:t>
            </w:r>
          </w:p>
        </w:tc>
        <w:tc>
          <w:tcPr>
            <w:tcW w:w="1420" w:type="dxa"/>
            <w:vAlign w:val="bottom"/>
            <w:shd w:val="clear" w:color="auto" w:fill="00497F"/>
          </w:tcPr>
          <w:p>
            <w:pPr>
              <w:spacing w:after="0"/>
              <w:rPr>
                <w:sz w:val="14"/>
                <w:szCs w:val="14"/>
                <w:color w:val="auto"/>
              </w:rPr>
            </w:pPr>
          </w:p>
        </w:tc>
        <w:tc>
          <w:tcPr>
            <w:tcW w:w="100" w:type="dxa"/>
            <w:vAlign w:val="bottom"/>
            <w:tcBorders>
              <w:right w:val="single" w:sz="8" w:color="00497F"/>
            </w:tcBorders>
            <w:shd w:val="clear" w:color="auto" w:fill="00497F"/>
          </w:tcPr>
          <w:p>
            <w:pPr>
              <w:spacing w:after="0"/>
              <w:rPr>
                <w:sz w:val="14"/>
                <w:szCs w:val="14"/>
                <w:color w:val="auto"/>
              </w:rPr>
            </w:pPr>
          </w:p>
        </w:tc>
        <w:tc>
          <w:tcPr>
            <w:tcW w:w="40" w:type="dxa"/>
            <w:vAlign w:val="bottom"/>
            <w:shd w:val="clear" w:color="auto" w:fill="00497F"/>
          </w:tcPr>
          <w:p>
            <w:pPr>
              <w:spacing w:after="0"/>
              <w:rPr>
                <w:sz w:val="14"/>
                <w:szCs w:val="14"/>
                <w:color w:val="auto"/>
              </w:rPr>
            </w:pPr>
          </w:p>
        </w:tc>
        <w:tc>
          <w:tcPr>
            <w:tcW w:w="580" w:type="dxa"/>
            <w:vAlign w:val="bottom"/>
            <w:shd w:val="clear" w:color="auto" w:fill="00497F"/>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1400" w:type="dxa"/>
            <w:vAlign w:val="bottom"/>
            <w:gridSpan w:val="5"/>
          </w:tcPr>
          <w:p>
            <w:pPr>
              <w:spacing w:after="0" w:line="138" w:lineRule="exact"/>
              <w:rPr>
                <w:sz w:val="20"/>
                <w:szCs w:val="20"/>
                <w:color w:val="auto"/>
              </w:rPr>
            </w:pPr>
            <w:r>
              <w:rPr>
                <w:rFonts w:ascii="Arial" w:cs="Arial" w:eastAsia="Arial" w:hAnsi="Arial"/>
                <w:sz w:val="13"/>
                <w:szCs w:val="13"/>
                <w:color w:val="0000FF"/>
                <w:w w:val="93"/>
              </w:rPr>
              <w:t>LEGAL PROCEEDINGS.</w:t>
            </w:r>
          </w:p>
        </w:tc>
        <w:tc>
          <w:tcPr>
            <w:tcW w:w="6520" w:type="dxa"/>
            <w:vAlign w:val="bottom"/>
            <w:gridSpan w:val="15"/>
          </w:tcPr>
          <w:p>
            <w:pPr>
              <w:spacing w:after="0"/>
              <w:rPr>
                <w:sz w:val="11"/>
                <w:szCs w:val="11"/>
                <w:color w:val="auto"/>
              </w:rPr>
            </w:pPr>
          </w:p>
        </w:tc>
        <w:tc>
          <w:tcPr>
            <w:tcW w:w="1560" w:type="dxa"/>
            <w:vAlign w:val="bottom"/>
            <w:gridSpan w:val="3"/>
          </w:tcPr>
          <w:p>
            <w:pPr>
              <w:jc w:val="center"/>
              <w:ind w:left="1356"/>
              <w:spacing w:after="0" w:line="138" w:lineRule="exact"/>
              <w:rPr>
                <w:sz w:val="20"/>
                <w:szCs w:val="20"/>
                <w:color w:val="auto"/>
              </w:rPr>
            </w:pPr>
            <w:r>
              <w:rPr>
                <w:rFonts w:ascii="Arial" w:cs="Arial" w:eastAsia="Arial" w:hAnsi="Arial"/>
                <w:sz w:val="13"/>
                <w:szCs w:val="13"/>
                <w:color w:val="0000FF"/>
                <w:w w:val="96"/>
              </w:rPr>
              <w:t>33</w:t>
            </w:r>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1A.</w:t>
            </w:r>
          </w:p>
        </w:tc>
        <w:tc>
          <w:tcPr>
            <w:tcW w:w="980" w:type="dxa"/>
            <w:vAlign w:val="bottom"/>
            <w:gridSpan w:val="4"/>
          </w:tcPr>
          <w:p>
            <w:pPr>
              <w:spacing w:after="0"/>
              <w:rPr>
                <w:sz w:val="20"/>
                <w:szCs w:val="20"/>
                <w:color w:val="auto"/>
              </w:rPr>
            </w:pPr>
            <w:r>
              <w:rPr>
                <w:rFonts w:ascii="Arial" w:cs="Arial" w:eastAsia="Arial" w:hAnsi="Arial"/>
                <w:sz w:val="13"/>
                <w:szCs w:val="13"/>
                <w:color w:val="0000FF"/>
                <w:w w:val="96"/>
              </w:rPr>
              <w:t>RISK FACTORS.</w:t>
            </w:r>
          </w:p>
        </w:tc>
        <w:tc>
          <w:tcPr>
            <w:tcW w:w="420" w:type="dxa"/>
            <w:vAlign w:val="bottom"/>
          </w:tcPr>
          <w:p>
            <w:pPr>
              <w:spacing w:after="0"/>
              <w:rPr>
                <w:sz w:val="13"/>
                <w:szCs w:val="13"/>
                <w:color w:val="auto"/>
              </w:rPr>
            </w:pP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7920" w:type="dxa"/>
            <w:vAlign w:val="bottom"/>
            <w:gridSpan w:val="20"/>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2420" w:type="dxa"/>
            <w:vAlign w:val="bottom"/>
            <w:gridSpan w:val="9"/>
          </w:tcPr>
          <w:p>
            <w:pPr>
              <w:spacing w:after="0"/>
              <w:rPr>
                <w:sz w:val="20"/>
                <w:szCs w:val="20"/>
                <w:color w:val="auto"/>
              </w:rPr>
            </w:pPr>
            <w:r>
              <w:rPr>
                <w:rFonts w:ascii="Arial" w:cs="Arial" w:eastAsia="Arial" w:hAnsi="Arial"/>
                <w:sz w:val="13"/>
                <w:szCs w:val="13"/>
                <w:color w:val="0000FF"/>
                <w:w w:val="96"/>
              </w:rPr>
              <w:t>DEFAULTS UPON SENIOR SECURITIES.</w:t>
            </w:r>
          </w:p>
        </w:tc>
        <w:tc>
          <w:tcPr>
            <w:tcW w:w="2160" w:type="dxa"/>
            <w:vAlign w:val="bottom"/>
            <w:gridSpan w:val="7"/>
          </w:tcPr>
          <w:p>
            <w:pPr>
              <w:spacing w:after="0"/>
              <w:rPr>
                <w:sz w:val="13"/>
                <w:szCs w:val="13"/>
                <w:color w:val="auto"/>
              </w:rPr>
            </w:pPr>
          </w:p>
        </w:tc>
        <w:tc>
          <w:tcPr>
            <w:tcW w:w="3340" w:type="dxa"/>
            <w:vAlign w:val="bottom"/>
            <w:gridSpan w:val="4"/>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2420" w:type="dxa"/>
            <w:vAlign w:val="bottom"/>
            <w:gridSpan w:val="9"/>
          </w:tcPr>
          <w:p>
            <w:pPr>
              <w:spacing w:after="0"/>
              <w:rPr>
                <w:sz w:val="20"/>
                <w:szCs w:val="20"/>
                <w:color w:val="auto"/>
              </w:rPr>
            </w:pPr>
            <w:r>
              <w:rPr>
                <w:rFonts w:ascii="Arial" w:cs="Arial" w:eastAsia="Arial" w:hAnsi="Arial"/>
                <w:sz w:val="13"/>
                <w:szCs w:val="13"/>
                <w:color w:val="0000FF"/>
              </w:rPr>
              <w:t>MINE SAFETY DISCLOSURES.</w:t>
            </w:r>
          </w:p>
        </w:tc>
        <w:tc>
          <w:tcPr>
            <w:tcW w:w="5500" w:type="dxa"/>
            <w:vAlign w:val="bottom"/>
            <w:gridSpan w:val="11"/>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08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5.</w:t>
            </w:r>
          </w:p>
        </w:tc>
        <w:tc>
          <w:tcPr>
            <w:tcW w:w="1840" w:type="dxa"/>
            <w:vAlign w:val="bottom"/>
            <w:gridSpan w:val="7"/>
          </w:tcPr>
          <w:p>
            <w:pPr>
              <w:spacing w:after="0"/>
              <w:rPr>
                <w:sz w:val="20"/>
                <w:szCs w:val="20"/>
                <w:color w:val="auto"/>
              </w:rPr>
            </w:pPr>
            <w:r>
              <w:rPr>
                <w:rFonts w:ascii="Arial" w:cs="Arial" w:eastAsia="Arial" w:hAnsi="Arial"/>
                <w:sz w:val="13"/>
                <w:szCs w:val="13"/>
                <w:color w:val="0000FF"/>
              </w:rPr>
              <w:t>OTHER INFORMATION.</w:t>
            </w:r>
          </w:p>
        </w:tc>
        <w:tc>
          <w:tcPr>
            <w:tcW w:w="6080" w:type="dxa"/>
            <w:vAlign w:val="bottom"/>
            <w:gridSpan w:val="13"/>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33</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520" w:type="dxa"/>
            <w:vAlign w:val="bottom"/>
            <w:gridSpan w:val="1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6.</w:t>
            </w:r>
          </w:p>
        </w:tc>
        <w:tc>
          <w:tcPr>
            <w:tcW w:w="1400" w:type="dxa"/>
            <w:vAlign w:val="bottom"/>
            <w:gridSpan w:val="5"/>
          </w:tcPr>
          <w:p>
            <w:pPr>
              <w:spacing w:after="0"/>
              <w:rPr>
                <w:sz w:val="20"/>
                <w:szCs w:val="20"/>
                <w:color w:val="auto"/>
              </w:rPr>
            </w:pPr>
            <w:r>
              <w:rPr>
                <w:rFonts w:ascii="Arial" w:cs="Arial" w:eastAsia="Arial" w:hAnsi="Arial"/>
                <w:sz w:val="13"/>
                <w:szCs w:val="13"/>
                <w:color w:val="0000FF"/>
              </w:rPr>
              <w:t>EXHIBITS.</w:t>
            </w:r>
          </w:p>
        </w:tc>
        <w:tc>
          <w:tcPr>
            <w:tcW w:w="6520" w:type="dxa"/>
            <w:vAlign w:val="bottom"/>
            <w:gridSpan w:val="15"/>
          </w:tcPr>
          <w:p>
            <w:pPr>
              <w:spacing w:after="0"/>
              <w:rPr>
                <w:sz w:val="13"/>
                <w:szCs w:val="13"/>
                <w:color w:val="auto"/>
              </w:rPr>
            </w:pP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34</w:t>
            </w:r>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7920" w:type="dxa"/>
            <w:vAlign w:val="bottom"/>
            <w:gridSpan w:val="20"/>
          </w:tcPr>
          <w:p>
            <w:pPr>
              <w:spacing w:after="0"/>
              <w:rPr>
                <w:sz w:val="20"/>
                <w:szCs w:val="20"/>
                <w:color w:val="auto"/>
              </w:rPr>
            </w:pPr>
            <w:r>
              <w:rPr>
                <w:rFonts w:ascii="Arial" w:cs="Arial" w:eastAsia="Arial" w:hAnsi="Arial"/>
                <w:sz w:val="13"/>
                <w:szCs w:val="13"/>
                <w:color w:val="0000FF"/>
              </w:rPr>
              <w:t>SIGNATURES</w:t>
            </w:r>
          </w:p>
        </w:tc>
        <w:tc>
          <w:tcPr>
            <w:tcW w:w="1560" w:type="dxa"/>
            <w:vAlign w:val="bottom"/>
            <w:gridSpan w:val="3"/>
          </w:tcPr>
          <w:p>
            <w:pPr>
              <w:jc w:val="center"/>
              <w:ind w:left="1356"/>
              <w:spacing w:after="0"/>
              <w:rPr>
                <w:sz w:val="20"/>
                <w:szCs w:val="20"/>
                <w:color w:val="auto"/>
              </w:rPr>
            </w:pPr>
            <w:r>
              <w:rPr>
                <w:rFonts w:ascii="Arial" w:cs="Arial" w:eastAsia="Arial" w:hAnsi="Arial"/>
                <w:sz w:val="13"/>
                <w:szCs w:val="13"/>
                <w:color w:val="0000FF"/>
                <w:w w:val="96"/>
              </w:rPr>
              <w:t>35</w:t>
            </w:r>
          </w:p>
        </w:tc>
        <w:tc>
          <w:tcPr>
            <w:tcW w:w="580" w:type="dxa"/>
            <w:vAlign w:val="bottom"/>
          </w:tcPr>
          <w:p>
            <w:pPr>
              <w:spacing w:after="0"/>
              <w:rPr>
                <w:sz w:val="13"/>
                <w:szCs w:val="13"/>
                <w:color w:val="auto"/>
              </w:rPr>
            </w:pPr>
          </w:p>
        </w:tc>
      </w:tr>
      <w:tr>
        <w:trPr>
          <w:trHeight w:val="777"/>
        </w:trPr>
        <w:tc>
          <w:tcPr>
            <w:tcW w:w="12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69" w:lineRule="exact"/>
        <w:rPr>
          <w:sz w:val="20"/>
          <w:szCs w:val="20"/>
          <w:color w:val="auto"/>
        </w:rPr>
      </w:pPr>
    </w:p>
    <w:p>
      <w:pPr>
        <w:ind w:right="160"/>
        <w:spacing w:after="0" w:line="254" w:lineRule="auto"/>
        <w:rPr>
          <w:sz w:val="20"/>
          <w:szCs w:val="20"/>
          <w:color w:val="auto"/>
        </w:rPr>
      </w:pPr>
      <w:r>
        <w:rPr>
          <w:rFonts w:ascii="Arial" w:cs="Arial" w:eastAsia="Arial" w:hAnsi="Arial"/>
          <w:sz w:val="13"/>
          <w:szCs w:val="13"/>
          <w:color w:val="auto"/>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64" w:lineRule="exact"/>
        <w:rPr>
          <w:sz w:val="20"/>
          <w:szCs w:val="20"/>
          <w:color w:val="auto"/>
        </w:rPr>
      </w:pPr>
    </w:p>
    <w:p>
      <w:pPr>
        <w:ind w:right="100"/>
        <w:spacing w:after="0" w:line="280" w:lineRule="auto"/>
        <w:rPr>
          <w:sz w:val="20"/>
          <w:szCs w:val="20"/>
          <w:color w:val="auto"/>
        </w:rPr>
      </w:pPr>
      <w:r>
        <w:rPr>
          <w:rFonts w:ascii="Arial" w:cs="Arial" w:eastAsia="Arial" w:hAnsi="Arial"/>
          <w:sz w:val="12"/>
          <w:szCs w:val="12"/>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and in our other filings with the Securities and Exchange Commission.</w:t>
      </w:r>
    </w:p>
    <w:p>
      <w:pPr>
        <w:spacing w:after="0" w:line="155"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CERTAIN DEFINITIONS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Quarterly Report on Form 10-Q, unless the context otherwise requires:</w:t>
      </w:r>
    </w:p>
    <w:p>
      <w:pPr>
        <w:spacing w:after="0" w:line="179" w:lineRule="exact"/>
        <w:rPr>
          <w:sz w:val="20"/>
          <w:szCs w:val="20"/>
          <w:color w:val="auto"/>
        </w:rPr>
      </w:pPr>
    </w:p>
    <w:p>
      <w:pPr>
        <w:ind w:left="520" w:right="10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“We,” “us,” “our,” the “Company,” “GoHealth” </w:t>
      </w:r>
      <w:r>
        <w:rPr>
          <w:rFonts w:ascii="Arial" w:cs="Arial" w:eastAsia="Arial" w:hAnsi="Arial"/>
          <w:sz w:val="13"/>
          <w:szCs w:val="13"/>
          <w:color w:val="auto"/>
        </w:rPr>
        <w:t>and similar references refer to GoHealth, Inc., and unless otherwise stated, all of its direct and indirect subsidiaries, including GoHealth Holdings,</w:t>
      </w:r>
      <w:r>
        <w:rPr>
          <w:rFonts w:ascii="Arial" w:cs="Arial" w:eastAsia="Arial" w:hAnsi="Arial"/>
          <w:sz w:val="13"/>
          <w:szCs w:val="13"/>
          <w:i w:val="1"/>
          <w:iCs w:val="1"/>
          <w:color w:val="auto"/>
        </w:rPr>
        <w:t xml:space="preserve"> </w:t>
      </w:r>
      <w:r>
        <w:rPr>
          <w:rFonts w:ascii="Arial" w:cs="Arial" w:eastAsia="Arial" w:hAnsi="Arial"/>
          <w:sz w:val="13"/>
          <w:szCs w:val="13"/>
          <w:color w:val="auto"/>
        </w:rPr>
        <w:t>LLC (“GHH, LLC”).</w:t>
      </w:r>
    </w:p>
    <w:p>
      <w:pPr>
        <w:spacing w:after="0" w:line="146" w:lineRule="exact"/>
        <w:rPr>
          <w:rFonts w:ascii="Arial" w:cs="Arial" w:eastAsia="Arial" w:hAnsi="Arial"/>
          <w:sz w:val="13"/>
          <w:szCs w:val="13"/>
          <w:color w:val="auto"/>
        </w:rPr>
      </w:pPr>
    </w:p>
    <w:p>
      <w:pPr>
        <w:ind w:left="520" w:right="28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“Blocker Company” </w:t>
      </w:r>
      <w:r>
        <w:rPr>
          <w:rFonts w:ascii="Arial" w:cs="Arial" w:eastAsia="Arial" w:hAnsi="Arial"/>
          <w:sz w:val="13"/>
          <w:szCs w:val="13"/>
          <w:color w:val="auto"/>
        </w:rPr>
        <w:t>refers to an entity affiliated with Centerbridge that was an indirect owner of LLC Interests in GHH, LLC prior to the Transactions and is taxable as a corporation for U.S.</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income tax purposes.</w:t>
      </w:r>
    </w:p>
    <w:p>
      <w:pPr>
        <w:spacing w:after="0" w:line="135" w:lineRule="exact"/>
        <w:rPr>
          <w:rFonts w:ascii="Arial" w:cs="Arial" w:eastAsia="Arial" w:hAnsi="Arial"/>
          <w:sz w:val="13"/>
          <w:szCs w:val="13"/>
          <w:color w:val="auto"/>
        </w:rPr>
      </w:pPr>
    </w:p>
    <w:p>
      <w:pPr>
        <w:ind w:left="520" w:right="24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Shareholders</w:t>
      </w:r>
      <w:r>
        <w:rPr>
          <w:rFonts w:ascii="Arial" w:cs="Arial" w:eastAsia="Arial" w:hAnsi="Arial"/>
          <w:sz w:val="13"/>
          <w:szCs w:val="13"/>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24" w:lineRule="exact"/>
        <w:rPr>
          <w:rFonts w:ascii="Arial" w:cs="Arial" w:eastAsia="Arial" w:hAnsi="Arial"/>
          <w:sz w:val="13"/>
          <w:szCs w:val="13"/>
          <w:color w:val="auto"/>
        </w:rPr>
      </w:pPr>
    </w:p>
    <w:p>
      <w:pPr>
        <w:ind w:left="520" w:right="28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Centerbridge</w:t>
      </w:r>
      <w:r>
        <w:rPr>
          <w:rFonts w:ascii="Arial" w:cs="Arial" w:eastAsia="Arial" w:hAnsi="Arial"/>
          <w:sz w:val="13"/>
          <w:szCs w:val="13"/>
          <w:color w:val="auto"/>
        </w:rPr>
        <w:t>” 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spacing w:after="0" w:line="124" w:lineRule="exact"/>
        <w:rPr>
          <w:rFonts w:ascii="Arial" w:cs="Arial" w:eastAsia="Arial" w:hAnsi="Arial"/>
          <w:sz w:val="13"/>
          <w:szCs w:val="13"/>
          <w:color w:val="auto"/>
        </w:rPr>
      </w:pPr>
    </w:p>
    <w:p>
      <w:pPr>
        <w:ind w:left="520" w:right="60" w:hanging="260"/>
        <w:spacing w:after="0" w:line="250"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Continuing Equity Owners</w:t>
      </w:r>
      <w:r>
        <w:rPr>
          <w:rFonts w:ascii="Arial" w:cs="Arial" w:eastAsia="Arial" w:hAnsi="Arial"/>
          <w:sz w:val="13"/>
          <w:szCs w:val="13"/>
          <w:color w:val="auto"/>
        </w:rPr>
        <w:t>” 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47"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Founders</w:t>
      </w:r>
      <w:r>
        <w:rPr>
          <w:rFonts w:ascii="Arial" w:cs="Arial" w:eastAsia="Arial" w:hAnsi="Arial"/>
          <w:sz w:val="13"/>
          <w:szCs w:val="13"/>
          <w:color w:val="auto"/>
        </w:rPr>
        <w:t>” refer to Brandon M. Cruz, our Co-Founder and Co-Chairman of the Board of Directors and Clinton P. Jones, our Co-Founder and Co-Chairman of the Board of Directors.</w:t>
      </w:r>
    </w:p>
    <w:p>
      <w:pPr>
        <w:spacing w:after="0" w:line="179" w:lineRule="exact"/>
        <w:rPr>
          <w:rFonts w:ascii="Arial" w:cs="Arial" w:eastAsia="Arial" w:hAnsi="Arial"/>
          <w:sz w:val="13"/>
          <w:szCs w:val="13"/>
          <w:color w:val="auto"/>
        </w:rPr>
      </w:pPr>
    </w:p>
    <w:p>
      <w:pPr>
        <w:ind w:left="520" w:right="240" w:hanging="260"/>
        <w:spacing w:after="0" w:line="26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Former Profits Unit Holders</w:t>
      </w:r>
      <w:r>
        <w:rPr>
          <w:rFonts w:ascii="Arial" w:cs="Arial" w:eastAsia="Arial" w:hAnsi="Arial"/>
          <w:sz w:val="13"/>
          <w:szCs w:val="13"/>
          <w:color w:val="auto"/>
        </w:rPr>
        <w:t>” refers collectively to certain of our directors and certain current and former officers and employees, in each case, who directly or indirectly held existing vested and unvested profits units, which were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4" w:name="page5"/>
    <w:bookmarkEnd w:id="4"/>
    <w:p>
      <w:pPr>
        <w:ind w:left="520" w:right="20"/>
        <w:spacing w:after="0" w:line="261" w:lineRule="auto"/>
        <w:rPr>
          <w:sz w:val="20"/>
          <w:szCs w:val="20"/>
          <w:color w:val="auto"/>
        </w:rPr>
      </w:pPr>
      <w:r>
        <w:rPr>
          <w:rFonts w:ascii="Arial" w:cs="Arial" w:eastAsia="Arial" w:hAnsi="Arial"/>
          <w:sz w:val="13"/>
          <w:szCs w:val="13"/>
          <w:color w:val="auto"/>
        </w:rPr>
        <w:t>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spacing w:after="0" w:line="138" w:lineRule="exact"/>
        <w:rPr>
          <w:sz w:val="20"/>
          <w:szCs w:val="20"/>
          <w:color w:val="auto"/>
        </w:rPr>
      </w:pPr>
    </w:p>
    <w:p>
      <w:pPr>
        <w:ind w:left="520" w:right="40" w:hanging="260"/>
        <w:spacing w:after="0" w:line="28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“GHH, LLC Agreement” </w:t>
      </w:r>
      <w:r>
        <w:rPr>
          <w:rFonts w:ascii="Arial" w:cs="Arial" w:eastAsia="Arial" w:hAnsi="Arial"/>
          <w:sz w:val="13"/>
          <w:szCs w:val="13"/>
          <w:color w:val="auto"/>
        </w:rPr>
        <w:t>refers to GHH, LLC’s amended and restated limited liability company agreement, as further amended, which became effective substantially concurrently with or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consummation of our IPO.</w:t>
      </w:r>
    </w:p>
    <w:p>
      <w:pPr>
        <w:spacing w:after="0" w:line="124"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LLC Interests</w:t>
      </w:r>
      <w:r>
        <w:rPr>
          <w:rFonts w:ascii="Arial" w:cs="Arial" w:eastAsia="Arial" w:hAnsi="Arial"/>
          <w:sz w:val="13"/>
          <w:szCs w:val="13"/>
          <w:color w:val="auto"/>
        </w:rPr>
        <w:t>” refer to the common units of GHH, LLC, including those that we purchased with a portion of the net proceeds from our IPO.</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Norvax</w:t>
      </w:r>
      <w:r>
        <w:rPr>
          <w:rFonts w:ascii="Arial" w:cs="Arial" w:eastAsia="Arial" w:hAnsi="Arial"/>
          <w:sz w:val="13"/>
          <w:szCs w:val="13"/>
          <w:color w:val="auto"/>
        </w:rPr>
        <w:t>” refers to Norvax, LLC, a Delaware limited liability company and a subsidiary of GHH, LLC.</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NVX Holdings</w:t>
      </w:r>
      <w:r>
        <w:rPr>
          <w:rFonts w:ascii="Arial" w:cs="Arial" w:eastAsia="Arial" w:hAnsi="Arial"/>
          <w:sz w:val="13"/>
          <w:szCs w:val="13"/>
          <w:color w:val="auto"/>
        </w:rPr>
        <w:t>” refers to NVX Holdings, Inc., a Delaware corporation that is controlled by the Founders.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Transactions</w:t>
      </w:r>
      <w:r>
        <w:rPr>
          <w:rFonts w:ascii="Arial" w:cs="Arial" w:eastAsia="Arial" w:hAnsi="Arial"/>
          <w:sz w:val="13"/>
          <w:szCs w:val="13"/>
          <w:color w:val="auto"/>
        </w:rPr>
        <w:t>” refer to our IPO and certain organizational transactions that were effected in connection with our IPO, and the application of the net proceeds therefrom.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GoHealth, Inc. is a holding company and the sole managing member of GHH, LLC, and its principal asset consists of LLC Interests.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TERMS AND PERFORMANCE INDICATORS; NON-GAAP FINANCIAL MEASURES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Throughout this Quarterly Report on Form 10-Q, we use a number of key terms and provide a number of key performance indicators used by management. We define these terms and key performance indicators as follows:</w:t>
      </w:r>
    </w:p>
    <w:p>
      <w:pPr>
        <w:spacing w:after="0" w:line="125" w:lineRule="exact"/>
        <w:rPr>
          <w:sz w:val="20"/>
          <w:szCs w:val="20"/>
          <w:color w:val="auto"/>
        </w:rPr>
      </w:pPr>
    </w:p>
    <w:p>
      <w:pPr>
        <w:ind w:left="520" w:right="160" w:hanging="260"/>
        <w:spacing w:after="0" w:line="26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“Adjusted EBITDA” </w:t>
      </w:r>
      <w:r>
        <w:rPr>
          <w:rFonts w:ascii="Arial" w:cs="Arial" w:eastAsia="Arial" w:hAnsi="Arial"/>
          <w:sz w:val="13"/>
          <w:szCs w:val="13"/>
          <w:color w:val="auto"/>
        </w:rPr>
        <w:t>represents, as applicable for the period, EBITDA as further adjusted for certain items discussed in Item 2. “Management’s Discussion and Analysis of Financial Condition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Results of Operations.”</w:t>
      </w:r>
    </w:p>
    <w:p>
      <w:pPr>
        <w:spacing w:after="0" w:line="146"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“Adjusted EBITDA Margin” </w:t>
      </w:r>
      <w:r>
        <w:rPr>
          <w:rFonts w:ascii="Arial" w:cs="Arial" w:eastAsia="Arial" w:hAnsi="Arial"/>
          <w:sz w:val="13"/>
          <w:szCs w:val="13"/>
          <w:color w:val="auto"/>
        </w:rPr>
        <w:t>refers to Adjusted EBITDA divided by net revenues.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“Adjusted Gross Margin per Submission” </w:t>
      </w:r>
      <w:r>
        <w:rPr>
          <w:rFonts w:ascii="Arial" w:cs="Arial" w:eastAsia="Arial" w:hAnsi="Arial"/>
          <w:sz w:val="13"/>
          <w:szCs w:val="13"/>
          <w:color w:val="auto"/>
        </w:rPr>
        <w:t>refers to Sales per Submission less Cost per Submission.</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“Cash Adjusted EBITDA” </w:t>
      </w:r>
      <w:r>
        <w:rPr>
          <w:rFonts w:ascii="Arial" w:cs="Arial" w:eastAsia="Arial" w:hAnsi="Arial"/>
          <w:sz w:val="13"/>
          <w:szCs w:val="13"/>
          <w:color w:val="auto"/>
        </w:rPr>
        <w:t>refers to Adjusted EBITDA plus a decrease or less an increase in the period over period change in net contract assets.</w:t>
      </w:r>
    </w:p>
    <w:p>
      <w:pPr>
        <w:spacing w:after="0" w:line="168" w:lineRule="exact"/>
        <w:rPr>
          <w:rFonts w:ascii="Arial" w:cs="Arial" w:eastAsia="Arial" w:hAnsi="Arial"/>
          <w:sz w:val="13"/>
          <w:szCs w:val="13"/>
          <w:color w:val="auto"/>
        </w:rPr>
      </w:pPr>
    </w:p>
    <w:p>
      <w:pPr>
        <w:ind w:left="520" w:right="160" w:hanging="260"/>
        <w:spacing w:after="0" w:line="261"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“Cost of Submission” </w:t>
      </w:r>
      <w:r>
        <w:rPr>
          <w:rFonts w:ascii="Arial" w:cs="Arial" w:eastAsia="Arial" w:hAnsi="Arial"/>
          <w:sz w:val="13"/>
          <w:szCs w:val="13"/>
          <w:color w:val="auto"/>
        </w:rPr>
        <w:t>refers to the aggregate cost to convert prospects into Submissions during a particular period. Cost of Submission is comprised of revenue share, marketing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expenses and consumer care and enrollment expenses, excluding share-based compensation expense, the impact of revenue adjustments recorded in the period, but relating to performance obligations satisfied in prior periods and such expenses related to Non-Encompass BPO Services.</w:t>
      </w:r>
    </w:p>
    <w:p>
      <w:pPr>
        <w:spacing w:after="0" w:line="138" w:lineRule="exact"/>
        <w:rPr>
          <w:rFonts w:ascii="Arial" w:cs="Arial" w:eastAsia="Arial" w:hAnsi="Arial"/>
          <w:sz w:val="13"/>
          <w:szCs w:val="13"/>
          <w:color w:val="auto"/>
        </w:rPr>
      </w:pPr>
    </w:p>
    <w:p>
      <w:pPr>
        <w:ind w:left="520" w:right="60" w:hanging="260"/>
        <w:spacing w:after="0" w:line="261"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“Cost per Submission” </w:t>
      </w:r>
      <w:r>
        <w:rPr>
          <w:rFonts w:ascii="Arial" w:cs="Arial" w:eastAsia="Arial" w:hAnsi="Arial"/>
          <w:sz w:val="13"/>
          <w:szCs w:val="13"/>
          <w:color w:val="auto"/>
        </w:rPr>
        <w:t>refers to (x) the aggregate cost to convert prospects into Submissions for a particular period (comprised of revenue share, marketing and advertising expenses and</w:t>
      </w:r>
      <w:r>
        <w:rPr>
          <w:rFonts w:ascii="Arial" w:cs="Arial" w:eastAsia="Arial" w:hAnsi="Arial"/>
          <w:sz w:val="13"/>
          <w:szCs w:val="13"/>
          <w:i w:val="1"/>
          <w:iCs w:val="1"/>
          <w:color w:val="auto"/>
        </w:rPr>
        <w:t xml:space="preserve"> </w:t>
      </w:r>
      <w:r>
        <w:rPr>
          <w:rFonts w:ascii="Arial" w:cs="Arial" w:eastAsia="Arial" w:hAnsi="Arial"/>
          <w:sz w:val="13"/>
          <w:szCs w:val="13"/>
          <w:color w:val="auto"/>
        </w:rPr>
        <w:t>consumer care and enrollment expenses, excluding share-based compensation expense and such expenses related to Non-Encompass BPO Services) divided by (y) number of Submissions for such period.</w:t>
      </w:r>
    </w:p>
    <w:p>
      <w:pPr>
        <w:spacing w:after="0" w:line="13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“EBITDA” </w:t>
      </w:r>
      <w:r>
        <w:rPr>
          <w:rFonts w:ascii="Arial" w:cs="Arial" w:eastAsia="Arial" w:hAnsi="Arial"/>
          <w:sz w:val="13"/>
          <w:szCs w:val="13"/>
          <w:color w:val="auto"/>
        </w:rPr>
        <w:t>represents net income (loss) before interest expense, income tax expense (benefit) and depreciation and amortization expense.</w:t>
      </w:r>
    </w:p>
    <w:p>
      <w:pPr>
        <w:spacing w:after="0" w:line="179" w:lineRule="exact"/>
        <w:rPr>
          <w:rFonts w:ascii="Arial" w:cs="Arial" w:eastAsia="Arial" w:hAnsi="Arial"/>
          <w:sz w:val="13"/>
          <w:szCs w:val="13"/>
          <w:color w:val="auto"/>
        </w:rPr>
      </w:pPr>
    </w:p>
    <w:p>
      <w:pPr>
        <w:ind w:left="520" w:right="320" w:hanging="260"/>
        <w:spacing w:after="0" w:line="309" w:lineRule="auto"/>
        <w:tabs>
          <w:tab w:leader="none" w:pos="511"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“LTV” </w:t>
      </w:r>
      <w:r>
        <w:rPr>
          <w:rFonts w:ascii="Arial" w:cs="Arial" w:eastAsia="Arial" w:hAnsi="Arial"/>
          <w:sz w:val="12"/>
          <w:szCs w:val="12"/>
          <w:color w:val="auto"/>
        </w:rPr>
        <w:t>refers to the Lifetime Value of Commissions, which we define as aggregate commissions estimated to be collected over the estimated life of all commissionable Submissions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relevant period based on multiple factors, including but not limited to, contracted commission rates, health plan partner mix and expected policy persistency with applied constraints.</w:t>
      </w:r>
    </w:p>
    <w:p>
      <w:pPr>
        <w:spacing w:after="0" w:line="122" w:lineRule="exact"/>
        <w:rPr>
          <w:rFonts w:ascii="Arial" w:cs="Arial" w:eastAsia="Arial" w:hAnsi="Arial"/>
          <w:sz w:val="12"/>
          <w:szCs w:val="12"/>
          <w:color w:val="auto"/>
        </w:rPr>
      </w:pPr>
    </w:p>
    <w:p>
      <w:pPr>
        <w:ind w:left="520" w:right="540" w:hanging="260"/>
        <w:spacing w:after="0" w:line="26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“Non-Encompass BPO Services” </w:t>
      </w:r>
      <w:r>
        <w:rPr>
          <w:rFonts w:ascii="Arial" w:cs="Arial" w:eastAsia="Arial" w:hAnsi="Arial"/>
          <w:sz w:val="13"/>
          <w:szCs w:val="13"/>
          <w:color w:val="auto"/>
        </w:rPr>
        <w:t>refer to programs in which GoHealth-employed agents are dedicated to certain health plans and agencies we partner with outside of the Encompass</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model.</w:t>
      </w:r>
    </w:p>
    <w:p>
      <w:pPr>
        <w:spacing w:after="0" w:line="135" w:lineRule="exact"/>
        <w:rPr>
          <w:rFonts w:ascii="Arial" w:cs="Arial" w:eastAsia="Arial" w:hAnsi="Arial"/>
          <w:sz w:val="13"/>
          <w:szCs w:val="13"/>
          <w:color w:val="auto"/>
        </w:rPr>
      </w:pPr>
    </w:p>
    <w:p>
      <w:pPr>
        <w:ind w:left="520" w:right="40" w:hanging="260"/>
        <w:spacing w:after="0" w:line="261"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“Sales per Submission” </w:t>
      </w:r>
      <w:r>
        <w:rPr>
          <w:rFonts w:ascii="Arial" w:cs="Arial" w:eastAsia="Arial" w:hAnsi="Arial"/>
          <w:sz w:val="13"/>
          <w:szCs w:val="13"/>
          <w:color w:val="auto"/>
        </w:rPr>
        <w:t>refers to (x) the sum of (i) aggregate commissions estimated to be collected over the estimated life of all commissionable Submissions for the relevant period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multiple factors, including but not limited to, contracted commission rates, health plan partner mix and expected policy persistency with applied constraints, excluding revenue adjustments recorded in the period, but relating to performance obligations satisfied in prior periods,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 w:name="page6"/>
    <w:bookmarkEnd w:id="5"/>
    <w:p>
      <w:pPr>
        <w:ind w:left="520"/>
        <w:spacing w:after="0"/>
        <w:rPr>
          <w:sz w:val="20"/>
          <w:szCs w:val="20"/>
          <w:color w:val="auto"/>
        </w:rPr>
      </w:pPr>
      <w:r>
        <w:rPr>
          <w:rFonts w:ascii="Arial" w:cs="Arial" w:eastAsia="Arial" w:hAnsi="Arial"/>
          <w:sz w:val="13"/>
          <w:szCs w:val="13"/>
          <w:color w:val="auto"/>
        </w:rPr>
        <w:t>(ii) non-agency revenue, and (iii) partner marketing and other revenue, divided by (y) the number of Submissions for such period.</w:t>
      </w:r>
    </w:p>
    <w:p>
      <w:pPr>
        <w:spacing w:after="0" w:line="168" w:lineRule="exact"/>
        <w:rPr>
          <w:sz w:val="20"/>
          <w:szCs w:val="20"/>
          <w:color w:val="auto"/>
        </w:rPr>
      </w:pPr>
    </w:p>
    <w:p>
      <w:pPr>
        <w:ind w:left="520" w:right="40" w:hanging="260"/>
        <w:spacing w:after="0" w:line="254"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“Sales/Cost of Submission” </w:t>
      </w:r>
      <w:r>
        <w:rPr>
          <w:rFonts w:ascii="Arial" w:cs="Arial" w:eastAsia="Arial" w:hAnsi="Arial"/>
          <w:sz w:val="13"/>
          <w:szCs w:val="13"/>
          <w:color w:val="auto"/>
        </w:rPr>
        <w:t>refers to (x) the sum of (i) aggregate commissions estimated to be collected over the estimated life of all commissionable Submissions for the relevant period</w:t>
      </w:r>
      <w:r>
        <w:rPr>
          <w:rFonts w:ascii="Arial" w:cs="Arial" w:eastAsia="Arial" w:hAnsi="Arial"/>
          <w:sz w:val="13"/>
          <w:szCs w:val="13"/>
          <w:i w:val="1"/>
          <w:iCs w:val="1"/>
          <w:color w:val="auto"/>
        </w:rPr>
        <w:t xml:space="preserve"> </w:t>
      </w:r>
      <w:r>
        <w:rPr>
          <w:rFonts w:ascii="Arial" w:cs="Arial" w:eastAsia="Arial" w:hAnsi="Arial"/>
          <w:sz w:val="13"/>
          <w:szCs w:val="13"/>
          <w:color w:val="auto"/>
        </w:rPr>
        <w:t>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aggregate cost to convert prospects into Submissions (comprised of revenue share, marketing and advertising expenses and consumer care and enrollment expenses, excluding share-based compensation expense) for such period. Sales and Cost of Submission exclude amounts related to Non-Encompass BPO Services.</w:t>
      </w:r>
    </w:p>
    <w:p>
      <w:pPr>
        <w:spacing w:after="0" w:line="142" w:lineRule="exact"/>
        <w:rPr>
          <w:rFonts w:ascii="Arial" w:cs="Arial" w:eastAsia="Arial" w:hAnsi="Arial"/>
          <w:sz w:val="13"/>
          <w:szCs w:val="13"/>
          <w:color w:val="auto"/>
        </w:rPr>
      </w:pPr>
    </w:p>
    <w:p>
      <w:pPr>
        <w:ind w:left="520" w:right="40" w:hanging="260"/>
        <w:spacing w:after="0" w:line="26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“Submission” </w:t>
      </w:r>
      <w:r>
        <w:rPr>
          <w:rFonts w:ascii="Arial" w:cs="Arial" w:eastAsia="Arial" w:hAnsi="Arial"/>
          <w:sz w:val="13"/>
          <w:szCs w:val="13"/>
          <w:color w:val="auto"/>
        </w:rPr>
        <w:t>refers to either (i) a completed application with our licensed agent that is submitted to the health plan partner and subsequently approved by the health plan partner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indicated period, excluding applications through our Non-Encompass BPO Services or (ii) a transfer by our agent to the health plan partner through the Encompass operating model during the indicated period.</w:t>
      </w:r>
    </w:p>
    <w:p>
      <w:pPr>
        <w:spacing w:after="0" w:line="170"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the business and monitor the results of operations. Sales per Submission, Cost per Submission and Adjusted Gross Margin per Submission are also presented on a non-GAAP basis and are key operating metrics used by management to understand the Company’s underlying financial performance and trends.</w:t>
      </w:r>
    </w:p>
    <w:p>
      <w:pPr>
        <w:spacing w:after="0" w:line="128"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Sales per Submission, Cost per Submission and Adjusted Gross Margin per Submission to its most directly comparable GAAP financial measure are presented in the tables within Item 2. “Management’s Discussion and Analysis of Financial Condition and Results of Operations” of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3</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FINANCIAL STATEMENTS</w:t>
      </w:r>
    </w:p>
    <w:p>
      <w:pPr>
        <w:spacing w:after="0" w:line="179"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00497F"/>
        </w:rPr>
        <w:t>CONDENSED CONSOLIDATED STATEMENTS OF OPERATIONS</w:t>
      </w:r>
    </w:p>
    <w:p>
      <w:pPr>
        <w:spacing w:after="0" w:line="43"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60" w:type="dxa"/>
            <w:vAlign w:val="bottom"/>
          </w:tcPr>
          <w:p>
            <w:pPr>
              <w:spacing w:after="0"/>
              <w:rPr>
                <w:sz w:val="13"/>
                <w:szCs w:val="13"/>
                <w:color w:val="auto"/>
              </w:rPr>
            </w:pPr>
          </w:p>
        </w:tc>
        <w:tc>
          <w:tcPr>
            <w:tcW w:w="22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1"/>
                <w:szCs w:val="11"/>
                <w:b w:val="1"/>
                <w:bCs w:val="1"/>
                <w:color w:val="auto"/>
              </w:rPr>
              <w:t>Three months ended Mar.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5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185,600</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183,158</w:t>
            </w:r>
          </w:p>
        </w:tc>
        <w:tc>
          <w:tcPr>
            <w:tcW w:w="0" w:type="dxa"/>
            <w:vAlign w:val="bottom"/>
          </w:tcPr>
          <w:p>
            <w:pPr>
              <w:spacing w:after="0"/>
              <w:rPr>
                <w:sz w:val="1"/>
                <w:szCs w:val="1"/>
                <w:color w:val="auto"/>
              </w:rPr>
            </w:pPr>
          </w:p>
        </w:tc>
      </w:tr>
      <w:tr>
        <w:trPr>
          <w:trHeight w:val="136"/>
        </w:trPr>
        <w:tc>
          <w:tcPr>
            <w:tcW w:w="8560" w:type="dxa"/>
            <w:vAlign w:val="bottom"/>
          </w:tcPr>
          <w:p>
            <w:pPr>
              <w:ind w:left="20"/>
              <w:spacing w:after="0"/>
              <w:rPr>
                <w:sz w:val="20"/>
                <w:szCs w:val="20"/>
                <w:color w:val="auto"/>
              </w:rPr>
            </w:pPr>
            <w:r>
              <w:rPr>
                <w:rFonts w:ascii="Arial" w:cs="Arial" w:eastAsia="Arial" w:hAnsi="Arial"/>
                <w:sz w:val="11"/>
                <w:szCs w:val="11"/>
                <w:i w:val="1"/>
                <w:iCs w:val="1"/>
                <w:color w:val="auto"/>
              </w:rPr>
              <w:t>Operating expenses:</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Revenue share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38,013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45,462</w:t>
            </w:r>
          </w:p>
        </w:tc>
        <w:tc>
          <w:tcPr>
            <w:tcW w:w="0" w:type="dxa"/>
            <w:vAlign w:val="bottom"/>
          </w:tcPr>
          <w:p>
            <w:pPr>
              <w:spacing w:after="0"/>
              <w:rPr>
                <w:sz w:val="1"/>
                <w:szCs w:val="1"/>
                <w:color w:val="auto"/>
              </w:rPr>
            </w:pPr>
          </w:p>
        </w:tc>
      </w:tr>
      <w:tr>
        <w:trPr>
          <w:trHeight w:val="156"/>
        </w:trPr>
        <w:tc>
          <w:tcPr>
            <w:tcW w:w="8560" w:type="dxa"/>
            <w:vAlign w:val="bottom"/>
          </w:tcPr>
          <w:p>
            <w:pPr>
              <w:ind w:left="180"/>
              <w:spacing w:after="0"/>
              <w:rPr>
                <w:sz w:val="20"/>
                <w:szCs w:val="20"/>
                <w:color w:val="auto"/>
              </w:rPr>
            </w:pPr>
            <w:r>
              <w:rPr>
                <w:rFonts w:ascii="Arial" w:cs="Arial" w:eastAsia="Arial" w:hAnsi="Arial"/>
                <w:sz w:val="11"/>
                <w:szCs w:val="11"/>
                <w:color w:val="auto"/>
              </w:rPr>
              <w:t>Marketing and advertising</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52,775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45,743</w:t>
            </w: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Consumer care and enrollment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47,861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42,027</w:t>
            </w:r>
          </w:p>
        </w:tc>
        <w:tc>
          <w:tcPr>
            <w:tcW w:w="0" w:type="dxa"/>
            <w:vAlign w:val="bottom"/>
          </w:tcPr>
          <w:p>
            <w:pPr>
              <w:spacing w:after="0"/>
              <w:rPr>
                <w:sz w:val="1"/>
                <w:szCs w:val="1"/>
                <w:color w:val="auto"/>
              </w:rPr>
            </w:pPr>
          </w:p>
        </w:tc>
      </w:tr>
      <w:tr>
        <w:trPr>
          <w:trHeight w:val="156"/>
        </w:trPr>
        <w:tc>
          <w:tcPr>
            <w:tcW w:w="8560" w:type="dxa"/>
            <w:vAlign w:val="bottom"/>
          </w:tcPr>
          <w:p>
            <w:pPr>
              <w:ind w:left="180"/>
              <w:spacing w:after="0"/>
              <w:rPr>
                <w:sz w:val="20"/>
                <w:szCs w:val="20"/>
                <w:color w:val="auto"/>
              </w:rPr>
            </w:pPr>
            <w:r>
              <w:rPr>
                <w:rFonts w:ascii="Arial" w:cs="Arial" w:eastAsia="Arial" w:hAnsi="Arial"/>
                <w:sz w:val="11"/>
                <w:szCs w:val="11"/>
                <w:color w:val="auto"/>
              </w:rPr>
              <w:t>Technology</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10,550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9,543</w:t>
            </w: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16,919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22,618</w:t>
            </w:r>
          </w:p>
        </w:tc>
        <w:tc>
          <w:tcPr>
            <w:tcW w:w="0" w:type="dxa"/>
            <w:vAlign w:val="bottom"/>
          </w:tcPr>
          <w:p>
            <w:pPr>
              <w:spacing w:after="0"/>
              <w:rPr>
                <w:sz w:val="1"/>
                <w:szCs w:val="1"/>
                <w:color w:val="auto"/>
              </w:rPr>
            </w:pPr>
          </w:p>
        </w:tc>
      </w:tr>
      <w:tr>
        <w:trPr>
          <w:trHeight w:val="156"/>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Amortization of intangible assets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23,514</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23,514</w:t>
            </w:r>
          </w:p>
        </w:tc>
        <w:tc>
          <w:tcPr>
            <w:tcW w:w="0" w:type="dxa"/>
            <w:vAlign w:val="bottom"/>
          </w:tcPr>
          <w:p>
            <w:pPr>
              <w:spacing w:after="0"/>
              <w:rPr>
                <w:sz w:val="1"/>
                <w:szCs w:val="1"/>
                <w:color w:val="auto"/>
              </w:rPr>
            </w:pPr>
          </w:p>
        </w:tc>
      </w:tr>
      <w:tr>
        <w:trPr>
          <w:trHeight w:val="153"/>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operating expenses</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189,632</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188,907</w:t>
            </w:r>
          </w:p>
        </w:tc>
        <w:tc>
          <w:tcPr>
            <w:tcW w:w="0" w:type="dxa"/>
            <w:vAlign w:val="bottom"/>
          </w:tcPr>
          <w:p>
            <w:pPr>
              <w:spacing w:after="0"/>
              <w:rPr>
                <w:sz w:val="1"/>
                <w:szCs w:val="1"/>
                <w:color w:val="auto"/>
              </w:rPr>
            </w:pPr>
          </w:p>
        </w:tc>
      </w:tr>
      <w:tr>
        <w:trPr>
          <w:trHeight w:val="147"/>
        </w:trPr>
        <w:tc>
          <w:tcPr>
            <w:tcW w:w="856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(4,032)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(5,749)</w:t>
            </w: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17,951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16,891</w:t>
            </w:r>
          </w:p>
        </w:tc>
        <w:tc>
          <w:tcPr>
            <w:tcW w:w="0" w:type="dxa"/>
            <w:vAlign w:val="bottom"/>
          </w:tcPr>
          <w:p>
            <w:pPr>
              <w:spacing w:after="0"/>
              <w:rPr>
                <w:sz w:val="1"/>
                <w:szCs w:val="1"/>
                <w:color w:val="auto"/>
              </w:rPr>
            </w:pPr>
          </w:p>
        </w:tc>
      </w:tr>
      <w:tr>
        <w:trPr>
          <w:trHeight w:val="156"/>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 expense, net</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(566)</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53"/>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(21,417)</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(22,587)</w:t>
            </w:r>
          </w:p>
        </w:tc>
        <w:tc>
          <w:tcPr>
            <w:tcW w:w="0" w:type="dxa"/>
            <w:vAlign w:val="bottom"/>
          </w:tcPr>
          <w:p>
            <w:pPr>
              <w:spacing w:after="0"/>
              <w:rPr>
                <w:sz w:val="1"/>
                <w:szCs w:val="1"/>
                <w:color w:val="auto"/>
              </w:rPr>
            </w:pPr>
          </w:p>
        </w:tc>
      </w:tr>
      <w:tr>
        <w:trPr>
          <w:trHeight w:val="14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tax (benefit) expense</w:t>
            </w: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3"/>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(21,346)</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(22,543)</w:t>
            </w:r>
          </w:p>
        </w:tc>
        <w:tc>
          <w:tcPr>
            <w:tcW w:w="0" w:type="dxa"/>
            <w:vAlign w:val="bottom"/>
          </w:tcPr>
          <w:p>
            <w:pPr>
              <w:spacing w:after="0"/>
              <w:rPr>
                <w:sz w:val="1"/>
                <w:szCs w:val="1"/>
                <w:color w:val="auto"/>
              </w:rPr>
            </w:pPr>
          </w:p>
        </w:tc>
      </w:tr>
      <w:tr>
        <w:trPr>
          <w:trHeight w:val="14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(12,130)</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(13,364)</w:t>
            </w:r>
          </w:p>
        </w:tc>
        <w:tc>
          <w:tcPr>
            <w:tcW w:w="0" w:type="dxa"/>
            <w:vAlign w:val="bottom"/>
          </w:tcPr>
          <w:p>
            <w:pPr>
              <w:spacing w:after="0"/>
              <w:rPr>
                <w:sz w:val="1"/>
                <w:szCs w:val="1"/>
                <w:color w:val="auto"/>
              </w:rPr>
            </w:pPr>
          </w:p>
        </w:tc>
      </w:tr>
      <w:tr>
        <w:trPr>
          <w:trHeight w:val="17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(9,216)</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(9,179)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i w:val="1"/>
                <w:iCs w:val="1"/>
                <w:color w:val="auto"/>
              </w:rPr>
              <w:t>Net loss per share (Note 7):</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5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per share of Class A common stock — basic and diluted</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Arial" w:cs="Arial" w:eastAsia="Arial" w:hAnsi="Arial"/>
                <w:sz w:val="11"/>
                <w:szCs w:val="11"/>
                <w:color w:val="auto"/>
              </w:rPr>
              <w:t>Weighted-average shares of Class A common stock outstanding — basic and diluted</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9,715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8,965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COMPREHENSIVE INCOME (LOSS)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 Mar. 31,</w:t>
            </w: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44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(21,346)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(22,543)</w:t>
            </w: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Other comprehensive income (loss):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adjustments</w:t>
            </w:r>
          </w:p>
        </w:tc>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20" w:type="dxa"/>
            <w:vAlign w:val="bottom"/>
            <w:tcBorders>
              <w:left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Comprehensive income (loss)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(21,351)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(22,538)</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income (loss) attributable to non-controlling interests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120" w:type="dxa"/>
            <w:vAlign w:val="bottom"/>
            <w:tcBorders>
              <w:left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(12,133)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(13,361)</w:t>
            </w: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GoHealth, Inc.</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(9,218)</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(9,177)</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880" w:type="dxa"/>
            <w:vAlign w:val="bottom"/>
            <w:gridSpan w:val="5"/>
          </w:tcPr>
          <w:p>
            <w:pPr>
              <w:jc w:val="center"/>
              <w:ind w:left="2343"/>
              <w:spacing w:after="0"/>
              <w:rPr>
                <w:sz w:val="20"/>
                <w:szCs w:val="20"/>
                <w:color w:val="auto"/>
              </w:rPr>
            </w:pPr>
            <w:r>
              <w:rPr>
                <w:rFonts w:ascii="Arial" w:cs="Arial" w:eastAsia="Arial" w:hAnsi="Arial"/>
                <w:sz w:val="13"/>
                <w:szCs w:val="13"/>
                <w:i w:val="1"/>
                <w:iCs w:val="1"/>
                <w:color w:val="auto"/>
                <w:w w:val="97"/>
              </w:rPr>
              <w:t>The accompanying Notes are an integral part of these Condensed Consolidated Financial Statements.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color w:val="auto"/>
              </w:rPr>
              <w:t>2024 Form 10-Q</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2120" w:type="dxa"/>
            <w:vAlign w:val="bottom"/>
            <w:tcBorders>
              <w:left w:val="single" w:sz="8" w:color="auto"/>
            </w:tcBorders>
          </w:tcPr>
          <w:p>
            <w:pPr>
              <w:jc w:val="right"/>
              <w:ind w:right="1923"/>
              <w:spacing w:after="0"/>
              <w:rPr>
                <w:sz w:val="20"/>
                <w:szCs w:val="20"/>
                <w:color w:val="auto"/>
              </w:rPr>
            </w:pPr>
            <w:r>
              <w:rPr>
                <w:rFonts w:ascii="Arial" w:cs="Arial" w:eastAsia="Arial" w:hAnsi="Arial"/>
                <w:sz w:val="11"/>
                <w:szCs w:val="11"/>
                <w:color w:val="auto"/>
              </w:rPr>
              <w:t>5</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00497F"/>
        </w:rPr>
        <w:t>CONDENSED CONSOLIDATED BALANCE SHEETS</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9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 31, 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b w:val="1"/>
                <w:bCs w:val="1"/>
                <w:color w:val="auto"/>
              </w:rPr>
              <w:t>Dec. 31, 2023</w:t>
            </w:r>
          </w:p>
        </w:tc>
        <w:tc>
          <w:tcPr>
            <w:tcW w:w="0" w:type="dxa"/>
            <w:vAlign w:val="bottom"/>
          </w:tcPr>
          <w:p>
            <w:pPr>
              <w:spacing w:after="0"/>
              <w:rPr>
                <w:sz w:val="1"/>
                <w:szCs w:val="1"/>
                <w:color w:val="auto"/>
              </w:rPr>
            </w:pPr>
          </w:p>
        </w:tc>
      </w:tr>
      <w:tr>
        <w:trPr>
          <w:trHeight w:val="121"/>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i w:val="1"/>
                <w:iCs w:val="1"/>
                <w:color w:val="auto"/>
              </w:rPr>
              <w:t>Current assets:</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and cash equivalents</w:t>
            </w:r>
          </w:p>
        </w:tc>
        <w:tc>
          <w:tcPr>
            <w:tcW w:w="1160" w:type="dxa"/>
            <w:vAlign w:val="bottom"/>
            <w:shd w:val="clear" w:color="auto" w:fill="CCEEFF"/>
          </w:tcPr>
          <w:p>
            <w:pPr>
              <w:jc w:val="right"/>
              <w:ind w:right="103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97,818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90,809</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Accounts receivable, net of allowance for doubtful accounts of $6 in 2024 and $27 in 2023</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9,226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250</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Commissions receivable - current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269,799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336,215</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Prepaid expense and other current assets</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20,254</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49,166</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current assets</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397,097</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476,440</w:t>
            </w:r>
          </w:p>
        </w:tc>
        <w:tc>
          <w:tcPr>
            <w:tcW w:w="0" w:type="dxa"/>
            <w:vAlign w:val="bottom"/>
          </w:tcPr>
          <w:p>
            <w:pPr>
              <w:spacing w:after="0"/>
              <w:rPr>
                <w:sz w:val="1"/>
                <w:szCs w:val="1"/>
                <w:color w:val="auto"/>
              </w:rPr>
            </w:pPr>
          </w:p>
        </w:tc>
      </w:tr>
      <w:tr>
        <w:trPr>
          <w:trHeight w:val="124"/>
        </w:trPr>
        <w:tc>
          <w:tcPr>
            <w:tcW w:w="7900" w:type="dxa"/>
            <w:vAlign w:val="bottom"/>
          </w:tcPr>
          <w:p>
            <w:pPr>
              <w:ind w:left="20"/>
              <w:spacing w:after="0" w:line="110" w:lineRule="exact"/>
              <w:rPr>
                <w:sz w:val="20"/>
                <w:szCs w:val="20"/>
                <w:color w:val="auto"/>
              </w:rPr>
            </w:pPr>
            <w:r>
              <w:rPr>
                <w:rFonts w:ascii="Arial" w:cs="Arial" w:eastAsia="Arial" w:hAnsi="Arial"/>
                <w:sz w:val="10"/>
                <w:szCs w:val="10"/>
                <w:color w:val="auto"/>
              </w:rPr>
              <w:t>Commissions receivable - non-current</w:t>
            </w:r>
          </w:p>
        </w:tc>
        <w:tc>
          <w:tcPr>
            <w:tcW w:w="1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573,328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575,482</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lease ROU asset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21,008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21,995</w:t>
            </w:r>
          </w:p>
        </w:tc>
        <w:tc>
          <w:tcPr>
            <w:tcW w:w="0" w:type="dxa"/>
            <w:vAlign w:val="bottom"/>
          </w:tcPr>
          <w:p>
            <w:pPr>
              <w:spacing w:after="0"/>
              <w:rPr>
                <w:sz w:val="1"/>
                <w:szCs w:val="1"/>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color w:val="auto"/>
              </w:rPr>
              <w:t>Other long-term assets</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2,118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2,256</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Property, equipment, and capitalized software, net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28,667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26,843</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Intangible assets, net</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373,040</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396,554</w:t>
            </w:r>
          </w:p>
        </w:tc>
        <w:tc>
          <w:tcPr>
            <w:tcW w:w="0" w:type="dxa"/>
            <w:vAlign w:val="bottom"/>
          </w:tcPr>
          <w:p>
            <w:pPr>
              <w:spacing w:after="0"/>
              <w:rPr>
                <w:sz w:val="1"/>
                <w:szCs w:val="1"/>
                <w:color w:val="auto"/>
              </w:rPr>
            </w:pPr>
          </w:p>
        </w:tc>
      </w:tr>
      <w:tr>
        <w:trPr>
          <w:trHeight w:val="1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160" w:type="dxa"/>
            <w:vAlign w:val="bottom"/>
            <w:tcBorders>
              <w:bottom w:val="single" w:sz="8" w:color="auto"/>
            </w:tcBorders>
            <w:shd w:val="clear" w:color="auto" w:fill="CCEEFF"/>
          </w:tcPr>
          <w:p>
            <w:pPr>
              <w:jc w:val="right"/>
              <w:ind w:right="1031"/>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94"/>
              </w:rPr>
              <w:t>1,395,258</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1,499,570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Liabilities, Redeemable Convertible Preferred Stock and Stockholders’ Equity</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79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Current liabilities:</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Accounts payable</w:t>
            </w:r>
          </w:p>
        </w:tc>
        <w:tc>
          <w:tcPr>
            <w:tcW w:w="1160" w:type="dxa"/>
            <w:vAlign w:val="bottom"/>
          </w:tcPr>
          <w:p>
            <w:pPr>
              <w:jc w:val="right"/>
              <w:ind w:right="103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5,773</w:t>
            </w:r>
          </w:p>
        </w:tc>
        <w:tc>
          <w:tcPr>
            <w:tcW w:w="8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17,705</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Accrued liabilities</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66,595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86,254</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Commissions payable - current</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94,896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118,732</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Short-term operating lease liability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5,309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5,797</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Deferred revenue</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38,723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52,403</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Current portion of long-term debt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75,000</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Other current liabilities</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13,707</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14,122</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current liabilities</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300,003</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370,013</w:t>
            </w:r>
          </w:p>
        </w:tc>
        <w:tc>
          <w:tcPr>
            <w:tcW w:w="0" w:type="dxa"/>
            <w:vAlign w:val="bottom"/>
          </w:tcPr>
          <w:p>
            <w:pPr>
              <w:spacing w:after="0"/>
              <w:rPr>
                <w:sz w:val="1"/>
                <w:szCs w:val="1"/>
                <w:color w:val="auto"/>
              </w:rPr>
            </w:pPr>
          </w:p>
        </w:tc>
      </w:tr>
      <w:tr>
        <w:trPr>
          <w:trHeight w:val="114"/>
        </w:trPr>
        <w:tc>
          <w:tcPr>
            <w:tcW w:w="7900" w:type="dxa"/>
            <w:vAlign w:val="bottom"/>
          </w:tcPr>
          <w:p>
            <w:pPr>
              <w:ind w:left="20"/>
              <w:spacing w:after="0" w:line="110" w:lineRule="exact"/>
              <w:rPr>
                <w:sz w:val="20"/>
                <w:szCs w:val="20"/>
                <w:color w:val="auto"/>
              </w:rPr>
            </w:pPr>
            <w:r>
              <w:rPr>
                <w:rFonts w:ascii="Arial" w:cs="Arial" w:eastAsia="Arial" w:hAnsi="Arial"/>
                <w:sz w:val="10"/>
                <w:szCs w:val="10"/>
                <w:i w:val="1"/>
                <w:iCs w:val="1"/>
                <w:color w:val="auto"/>
              </w:rPr>
              <w:t>Non-current liabilities:</w:t>
            </w: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Commissions payable - non-current</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201,653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203,255</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Long-term operating lease liability</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38,198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39,547</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Long-term debt, net of current portion</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410,324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422,705</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Other non-current liabilities</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9,247</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9,095</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non-current liabilities</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659,422</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674,602</w:t>
            </w:r>
          </w:p>
        </w:tc>
        <w:tc>
          <w:tcPr>
            <w:tcW w:w="0" w:type="dxa"/>
            <w:vAlign w:val="bottom"/>
          </w:tcPr>
          <w:p>
            <w:pPr>
              <w:spacing w:after="0"/>
              <w:rPr>
                <w:sz w:val="1"/>
                <w:szCs w:val="1"/>
                <w:color w:val="auto"/>
              </w:rPr>
            </w:pPr>
          </w:p>
        </w:tc>
      </w:tr>
      <w:tr>
        <w:trPr>
          <w:trHeight w:val="114"/>
        </w:trPr>
        <w:tc>
          <w:tcPr>
            <w:tcW w:w="7900" w:type="dxa"/>
            <w:vAlign w:val="bottom"/>
          </w:tcPr>
          <w:p>
            <w:pPr>
              <w:ind w:left="20"/>
              <w:spacing w:after="0" w:line="110" w:lineRule="exact"/>
              <w:rPr>
                <w:sz w:val="20"/>
                <w:szCs w:val="20"/>
                <w:color w:val="auto"/>
              </w:rPr>
            </w:pPr>
            <w:r>
              <w:rPr>
                <w:rFonts w:ascii="Arial" w:cs="Arial" w:eastAsia="Arial" w:hAnsi="Arial"/>
                <w:sz w:val="10"/>
                <w:szCs w:val="10"/>
                <w:color w:val="auto"/>
              </w:rPr>
              <w:t>Commitments and Contingencies (Note 11)</w:t>
            </w: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900" w:type="dxa"/>
            <w:vAlign w:val="bottom"/>
            <w:shd w:val="clear" w:color="auto" w:fill="CCEEFF"/>
          </w:tcPr>
          <w:p>
            <w:pPr>
              <w:ind w:left="180"/>
              <w:spacing w:after="0" w:line="108" w:lineRule="exact"/>
              <w:rPr>
                <w:sz w:val="20"/>
                <w:szCs w:val="20"/>
                <w:color w:val="auto"/>
              </w:rPr>
            </w:pPr>
            <w:r>
              <w:rPr>
                <w:rFonts w:ascii="Arial" w:cs="Arial" w:eastAsia="Arial" w:hAnsi="Arial"/>
                <w:sz w:val="10"/>
                <w:szCs w:val="10"/>
                <w:color w:val="auto"/>
              </w:rPr>
              <w:t>Series A redeemable convertible preferred stock — $0.0001 par value; 50 shares authorized; 50 shares issued and outstanding as of both March 31, 2024 and December 31,</w:t>
            </w:r>
          </w:p>
        </w:tc>
        <w:tc>
          <w:tcPr>
            <w:tcW w:w="116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
              <w:spacing w:after="0" w:line="108" w:lineRule="exact"/>
              <w:rPr>
                <w:sz w:val="20"/>
                <w:szCs w:val="20"/>
                <w:color w:val="auto"/>
              </w:rPr>
            </w:pPr>
            <w:r>
              <w:rPr>
                <w:rFonts w:ascii="Arial" w:cs="Arial" w:eastAsia="Arial" w:hAnsi="Arial"/>
                <w:sz w:val="10"/>
                <w:szCs w:val="10"/>
                <w:color w:val="auto"/>
              </w:rPr>
              <w:t>50,193</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49,302</w:t>
            </w:r>
          </w:p>
        </w:tc>
        <w:tc>
          <w:tcPr>
            <w:tcW w:w="0" w:type="dxa"/>
            <w:vAlign w:val="bottom"/>
          </w:tcPr>
          <w:p>
            <w:pPr>
              <w:spacing w:after="0"/>
              <w:rPr>
                <w:sz w:val="1"/>
                <w:szCs w:val="1"/>
                <w:color w:val="auto"/>
              </w:rPr>
            </w:pPr>
          </w:p>
        </w:tc>
      </w:tr>
      <w:tr>
        <w:trPr>
          <w:trHeight w:val="140"/>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2023. Liquidation preference of $51.9 million and $50.9 million as of March 31, 2024 and December 31, 2023, respectively.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20"/>
              <w:spacing w:after="0"/>
              <w:rPr>
                <w:sz w:val="20"/>
                <w:szCs w:val="20"/>
                <w:color w:val="auto"/>
              </w:rPr>
            </w:pPr>
            <w:r>
              <w:rPr>
                <w:rFonts w:ascii="Arial" w:cs="Arial" w:eastAsia="Arial" w:hAnsi="Arial"/>
                <w:sz w:val="10"/>
                <w:szCs w:val="10"/>
                <w:i w:val="1"/>
                <w:iCs w:val="1"/>
                <w:color w:val="auto"/>
              </w:rPr>
              <w:t>Stockholders’ equity:</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900" w:type="dxa"/>
            <w:vAlign w:val="bottom"/>
            <w:shd w:val="clear" w:color="auto" w:fill="CCEEFF"/>
          </w:tcPr>
          <w:p>
            <w:pPr>
              <w:ind w:left="180"/>
              <w:spacing w:after="0" w:line="108" w:lineRule="exact"/>
              <w:rPr>
                <w:sz w:val="20"/>
                <w:szCs w:val="20"/>
                <w:color w:val="auto"/>
              </w:rPr>
            </w:pPr>
            <w:r>
              <w:rPr>
                <w:rFonts w:ascii="Arial" w:cs="Arial" w:eastAsia="Arial" w:hAnsi="Arial"/>
                <w:sz w:val="10"/>
                <w:szCs w:val="10"/>
                <w:color w:val="auto"/>
              </w:rPr>
              <w:t>Class A common stock – $0.0001 par value; 1,100,000 shares authorized; 10,160 and 9,823 shares issued; 9,898 and 9,651 shares outstanding as of March 31, 2024 and</w:t>
            </w:r>
          </w:p>
        </w:tc>
        <w:tc>
          <w:tcPr>
            <w:tcW w:w="116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
              <w:spacing w:after="0" w:line="108"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0"/>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December 31, 2023, respectively.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900" w:type="dxa"/>
            <w:vAlign w:val="bottom"/>
          </w:tcPr>
          <w:p>
            <w:pPr>
              <w:ind w:left="180"/>
              <w:spacing w:after="0" w:line="104" w:lineRule="exact"/>
              <w:rPr>
                <w:sz w:val="20"/>
                <w:szCs w:val="20"/>
                <w:color w:val="auto"/>
              </w:rPr>
            </w:pPr>
            <w:r>
              <w:rPr>
                <w:rFonts w:ascii="Arial" w:cs="Arial" w:eastAsia="Arial" w:hAnsi="Arial"/>
                <w:sz w:val="10"/>
                <w:szCs w:val="10"/>
                <w:color w:val="auto"/>
              </w:rPr>
              <w:t>Class B common stock – $0.0001 par value; 615,987 and 616,018 shares authorized; 12,783 and 12,814 shares issued and outstanding as of March 31, 2024 and December</w:t>
            </w:r>
          </w:p>
        </w:tc>
        <w:tc>
          <w:tcPr>
            <w:tcW w:w="1160" w:type="dxa"/>
            <w:vAlign w:val="bottom"/>
          </w:tcPr>
          <w:p>
            <w:pPr>
              <w:spacing w:after="0"/>
              <w:rPr>
                <w:sz w:val="9"/>
                <w:szCs w:val="9"/>
                <w:color w:val="auto"/>
              </w:rPr>
            </w:pPr>
          </w:p>
        </w:tc>
        <w:tc>
          <w:tcPr>
            <w:tcW w:w="500" w:type="dxa"/>
            <w:vAlign w:val="bottom"/>
          </w:tcPr>
          <w:p>
            <w:pPr>
              <w:jc w:val="right"/>
              <w:ind w:right="11"/>
              <w:spacing w:after="0" w:line="104"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right"/>
              <w:spacing w:after="0" w:line="104"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7900" w:type="dxa"/>
            <w:vAlign w:val="bottom"/>
          </w:tcPr>
          <w:p>
            <w:pPr>
              <w:ind w:left="180"/>
              <w:spacing w:after="0"/>
              <w:rPr>
                <w:sz w:val="20"/>
                <w:szCs w:val="20"/>
                <w:color w:val="auto"/>
              </w:rPr>
            </w:pPr>
            <w:r>
              <w:rPr>
                <w:rFonts w:ascii="Arial" w:cs="Arial" w:eastAsia="Arial" w:hAnsi="Arial"/>
                <w:sz w:val="10"/>
                <w:szCs w:val="10"/>
                <w:color w:val="auto"/>
              </w:rPr>
              <w:t>31, 2023, respectively.</w:t>
            </w: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90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Preferred stock – $0.0001 par value; 20,000 shares authorized (including 50 shares of Series A redeemable convertible preferred stock authorized and 200 shares of Series</w:t>
            </w:r>
          </w:p>
        </w:tc>
        <w:tc>
          <w:tcPr>
            <w:tcW w:w="1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A-1 convertible preferred stock authorized); 50 shares issued and outstanding as of both March 31, 2024 and December 31, 2023.</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Series A-1 convertible preferred stock— $0.0001 par value; 200 shares authorized; no shares issued and outstanding as of both March 31, 2024 and December 31, 2023.</w:t>
            </w:r>
          </w:p>
        </w:tc>
        <w:tc>
          <w:tcPr>
            <w:tcW w:w="1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Treasury stock – at cost; 262 and 173 shares of Class A common stock as of March 31, 2024 and December 31, 2023, respectively.</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(3,582)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(2,640)</w:t>
            </w:r>
          </w:p>
        </w:tc>
        <w:tc>
          <w:tcPr>
            <w:tcW w:w="0" w:type="dxa"/>
            <w:vAlign w:val="bottom"/>
          </w:tcPr>
          <w:p>
            <w:pPr>
              <w:spacing w:after="0"/>
              <w:rPr>
                <w:sz w:val="1"/>
                <w:szCs w:val="1"/>
                <w:color w:val="auto"/>
              </w:rPr>
            </w:pPr>
          </w:p>
        </w:tc>
      </w:tr>
      <w:tr>
        <w:trPr>
          <w:trHeight w:val="134"/>
        </w:trPr>
        <w:tc>
          <w:tcPr>
            <w:tcW w:w="7900" w:type="dxa"/>
            <w:vAlign w:val="bottom"/>
          </w:tcPr>
          <w:p>
            <w:pPr>
              <w:ind w:left="180"/>
              <w:spacing w:after="0"/>
              <w:rPr>
                <w:sz w:val="20"/>
                <w:szCs w:val="20"/>
                <w:color w:val="auto"/>
              </w:rPr>
            </w:pPr>
            <w:r>
              <w:rPr>
                <w:rFonts w:ascii="Arial" w:cs="Arial" w:eastAsia="Arial" w:hAnsi="Arial"/>
                <w:sz w:val="10"/>
                <w:szCs w:val="10"/>
                <w:color w:val="auto"/>
              </w:rPr>
              <w:t>Additional paid-in capital</w:t>
            </w:r>
          </w:p>
        </w:tc>
        <w:tc>
          <w:tcPr>
            <w:tcW w:w="1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659,080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654,059</w:t>
            </w:r>
          </w:p>
        </w:tc>
        <w:tc>
          <w:tcPr>
            <w:tcW w:w="0" w:type="dxa"/>
            <w:vAlign w:val="bottom"/>
          </w:tcPr>
          <w:p>
            <w:pPr>
              <w:spacing w:after="0"/>
              <w:rPr>
                <w:sz w:val="1"/>
                <w:szCs w:val="1"/>
                <w:color w:val="auto"/>
              </w:rPr>
            </w:pPr>
          </w:p>
        </w:tc>
      </w:tr>
      <w:tr>
        <w:trPr>
          <w:trHeight w:val="142"/>
        </w:trPr>
        <w:tc>
          <w:tcPr>
            <w:tcW w:w="79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Accumulated other comprehensive income (loss)</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w:t>
            </w:r>
          </w:p>
        </w:tc>
        <w:tc>
          <w:tcPr>
            <w:tcW w:w="0" w:type="dxa"/>
            <w:vAlign w:val="bottom"/>
          </w:tcPr>
          <w:p>
            <w:pPr>
              <w:spacing w:after="0"/>
              <w:rPr>
                <w:sz w:val="1"/>
                <w:szCs w:val="1"/>
                <w:color w:val="auto"/>
              </w:rPr>
            </w:pPr>
          </w:p>
        </w:tc>
      </w:tr>
      <w:tr>
        <w:trPr>
          <w:trHeight w:val="13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Accumulated deficit</w:t>
            </w:r>
          </w:p>
        </w:tc>
        <w:tc>
          <w:tcPr>
            <w:tcW w:w="1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(429,496)</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(420,280)</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stockholders’ equity attributable to GoHealth, Inc.</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225,875</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231,014</w:t>
            </w:r>
          </w:p>
        </w:tc>
        <w:tc>
          <w:tcPr>
            <w:tcW w:w="0" w:type="dxa"/>
            <w:vAlign w:val="bottom"/>
          </w:tcPr>
          <w:p>
            <w:pPr>
              <w:spacing w:after="0"/>
              <w:rPr>
                <w:sz w:val="1"/>
                <w:szCs w:val="1"/>
                <w:color w:val="auto"/>
              </w:rPr>
            </w:pPr>
          </w:p>
        </w:tc>
      </w:tr>
      <w:tr>
        <w:trPr>
          <w:trHeight w:val="124"/>
        </w:trPr>
        <w:tc>
          <w:tcPr>
            <w:tcW w:w="79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Non-controlling interests</w:t>
            </w:r>
          </w:p>
        </w:tc>
        <w:tc>
          <w:tcPr>
            <w:tcW w:w="1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159,765</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174,639</w:t>
            </w:r>
          </w:p>
        </w:tc>
        <w:tc>
          <w:tcPr>
            <w:tcW w:w="0" w:type="dxa"/>
            <w:vAlign w:val="bottom"/>
          </w:tcPr>
          <w:p>
            <w:pPr>
              <w:spacing w:after="0"/>
              <w:rPr>
                <w:sz w:val="1"/>
                <w:szCs w:val="1"/>
                <w:color w:val="auto"/>
              </w:rPr>
            </w:pPr>
          </w:p>
        </w:tc>
      </w:tr>
      <w:tr>
        <w:trPr>
          <w:trHeight w:val="133"/>
        </w:trPr>
        <w:tc>
          <w:tcPr>
            <w:tcW w:w="79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stockholders’ equity</w:t>
            </w:r>
          </w:p>
        </w:tc>
        <w:tc>
          <w:tcPr>
            <w:tcW w:w="1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385,640</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405,653</w:t>
            </w:r>
          </w:p>
        </w:tc>
        <w:tc>
          <w:tcPr>
            <w:tcW w:w="0" w:type="dxa"/>
            <w:vAlign w:val="bottom"/>
          </w:tcPr>
          <w:p>
            <w:pPr>
              <w:spacing w:after="0"/>
              <w:rPr>
                <w:sz w:val="1"/>
                <w:szCs w:val="1"/>
                <w:color w:val="auto"/>
              </w:rPr>
            </w:pPr>
          </w:p>
        </w:tc>
      </w:tr>
      <w:tr>
        <w:trPr>
          <w:trHeight w:val="127"/>
        </w:trPr>
        <w:tc>
          <w:tcPr>
            <w:tcW w:w="7900" w:type="dxa"/>
            <w:vAlign w:val="bottom"/>
          </w:tcPr>
          <w:p>
            <w:pPr>
              <w:ind w:left="20"/>
              <w:spacing w:after="0"/>
              <w:rPr>
                <w:sz w:val="20"/>
                <w:szCs w:val="20"/>
                <w:color w:val="auto"/>
              </w:rPr>
            </w:pPr>
            <w:r>
              <w:rPr>
                <w:rFonts w:ascii="Arial" w:cs="Arial" w:eastAsia="Arial" w:hAnsi="Arial"/>
                <w:sz w:val="10"/>
                <w:szCs w:val="10"/>
                <w:b w:val="1"/>
                <w:bCs w:val="1"/>
                <w:color w:val="auto"/>
              </w:rPr>
              <w:t>Total liabilities, redeemable convertible preferred stock and stockholders’ equity</w:t>
            </w:r>
          </w:p>
        </w:tc>
        <w:tc>
          <w:tcPr>
            <w:tcW w:w="1160" w:type="dxa"/>
            <w:vAlign w:val="bottom"/>
            <w:tcBorders>
              <w:bottom w:val="single" w:sz="8" w:color="auto"/>
            </w:tcBorders>
          </w:tcPr>
          <w:p>
            <w:pPr>
              <w:jc w:val="right"/>
              <w:ind w:right="1031"/>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94"/>
              </w:rPr>
              <w:t>1,395,258</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1,499,570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620"/>
        <w:spacing w:after="0" w:line="359" w:lineRule="auto"/>
        <w:rPr>
          <w:sz w:val="20"/>
          <w:szCs w:val="20"/>
          <w:color w:val="auto"/>
        </w:rPr>
      </w:pPr>
      <w:r>
        <w:rPr>
          <w:rFonts w:ascii="Arial" w:cs="Arial" w:eastAsia="Arial" w:hAnsi="Arial"/>
          <w:sz w:val="8"/>
          <w:szCs w:val="8"/>
          <w:b w:val="1"/>
          <w:bCs w:val="1"/>
          <w:color w:val="auto"/>
        </w:rPr>
        <w:t xml:space="preserve">Balance at Jan. 1, 2024 </w:t>
      </w:r>
      <w:r>
        <w:rPr>
          <w:rFonts w:ascii="Arial" w:cs="Arial" w:eastAsia="Arial" w:hAnsi="Arial"/>
          <w:sz w:val="8"/>
          <w:szCs w:val="8"/>
          <w:color w:val="auto"/>
        </w:rPr>
        <w:t>Net income (loss)</w:t>
      </w:r>
    </w:p>
    <w:p>
      <w:pPr>
        <w:spacing w:after="0" w:line="1" w:lineRule="exact"/>
        <w:rPr>
          <w:sz w:val="20"/>
          <w:szCs w:val="20"/>
          <w:color w:val="auto"/>
        </w:rPr>
      </w:pPr>
    </w:p>
    <w:p>
      <w:pPr>
        <w:jc w:val="both"/>
        <w:ind w:left="20" w:right="140"/>
        <w:spacing w:after="0" w:line="245" w:lineRule="auto"/>
        <w:rPr>
          <w:sz w:val="20"/>
          <w:szCs w:val="20"/>
          <w:color w:val="auto"/>
        </w:rPr>
      </w:pPr>
      <w:r>
        <w:rPr>
          <w:rFonts w:ascii="Arial" w:cs="Arial" w:eastAsia="Arial" w:hAnsi="Arial"/>
          <w:sz w:val="8"/>
          <w:szCs w:val="8"/>
          <w:color w:val="auto"/>
        </w:rPr>
        <w:t>Issuance of Class A common shares related to share-based compensation plans</w:t>
      </w:r>
    </w:p>
    <w:p>
      <w:pPr>
        <w:spacing w:after="0" w:line="15" w:lineRule="exact"/>
        <w:rPr>
          <w:sz w:val="20"/>
          <w:szCs w:val="20"/>
          <w:color w:val="auto"/>
        </w:rPr>
      </w:pPr>
    </w:p>
    <w:p>
      <w:pPr>
        <w:ind w:left="20"/>
        <w:spacing w:after="0" w:line="332" w:lineRule="auto"/>
        <w:rPr>
          <w:sz w:val="20"/>
          <w:szCs w:val="20"/>
          <w:color w:val="auto"/>
        </w:rPr>
      </w:pPr>
      <w:r>
        <w:rPr>
          <w:rFonts w:ascii="Arial" w:cs="Arial" w:eastAsia="Arial" w:hAnsi="Arial"/>
          <w:sz w:val="8"/>
          <w:szCs w:val="8"/>
          <w:color w:val="auto"/>
        </w:rPr>
        <w:t>Share-based compensation expense Foreign currency translation adjustments</w:t>
      </w:r>
    </w:p>
    <w:p>
      <w:pPr>
        <w:ind w:left="20"/>
        <w:spacing w:after="0" w:line="270" w:lineRule="auto"/>
        <w:rPr>
          <w:sz w:val="20"/>
          <w:szCs w:val="20"/>
          <w:color w:val="auto"/>
        </w:rPr>
      </w:pPr>
      <w:r>
        <w:rPr>
          <w:rFonts w:ascii="Arial" w:cs="Arial" w:eastAsia="Arial" w:hAnsi="Arial"/>
          <w:sz w:val="8"/>
          <w:szCs w:val="8"/>
          <w:color w:val="auto"/>
        </w:rPr>
        <w:t>Class A common shares repurchased for employee tax withholdings</w:t>
      </w:r>
    </w:p>
    <w:p>
      <w:pPr>
        <w:spacing w:after="0" w:line="5" w:lineRule="exact"/>
        <w:rPr>
          <w:sz w:val="20"/>
          <w:szCs w:val="20"/>
          <w:color w:val="auto"/>
        </w:rPr>
      </w:pPr>
    </w:p>
    <w:p>
      <w:pPr>
        <w:ind w:left="20" w:right="60"/>
        <w:spacing w:after="0" w:line="270" w:lineRule="auto"/>
        <w:rPr>
          <w:sz w:val="20"/>
          <w:szCs w:val="20"/>
          <w:color w:val="auto"/>
        </w:rPr>
      </w:pPr>
      <w:r>
        <w:rPr>
          <w:rFonts w:ascii="Arial" w:cs="Arial" w:eastAsia="Arial" w:hAnsi="Arial"/>
          <w:sz w:val="8"/>
          <w:szCs w:val="8"/>
          <w:color w:val="auto"/>
        </w:rPr>
        <w:t>Dividends accumulated on Series A redeemable convertible preferred stock</w:t>
      </w:r>
    </w:p>
    <w:p>
      <w:pPr>
        <w:spacing w:after="0" w:line="5" w:lineRule="exact"/>
        <w:rPr>
          <w:sz w:val="20"/>
          <w:szCs w:val="20"/>
          <w:color w:val="auto"/>
        </w:rPr>
      </w:pPr>
    </w:p>
    <w:p>
      <w:pPr>
        <w:ind w:left="20" w:right="300"/>
        <w:spacing w:after="0" w:line="361" w:lineRule="auto"/>
        <w:rPr>
          <w:sz w:val="20"/>
          <w:szCs w:val="20"/>
          <w:color w:val="auto"/>
        </w:rPr>
      </w:pPr>
      <w:r>
        <w:rPr>
          <w:rFonts w:ascii="Arial" w:cs="Arial" w:eastAsia="Arial" w:hAnsi="Arial"/>
          <w:sz w:val="8"/>
          <w:szCs w:val="8"/>
          <w:color w:val="auto"/>
        </w:rPr>
        <w:t xml:space="preserve">Forfeitures of Time-Vesting Units Redemption of LLC Interests </w:t>
      </w:r>
      <w:r>
        <w:rPr>
          <w:rFonts w:ascii="Arial" w:cs="Arial" w:eastAsia="Arial" w:hAnsi="Arial"/>
          <w:sz w:val="8"/>
          <w:szCs w:val="8"/>
          <w:b w:val="1"/>
          <w:bCs w:val="1"/>
          <w:color w:val="auto"/>
        </w:rPr>
        <w:t>Balance at Mar.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620"/>
        <w:spacing w:after="0" w:line="359" w:lineRule="auto"/>
        <w:rPr>
          <w:sz w:val="20"/>
          <w:szCs w:val="20"/>
          <w:color w:val="auto"/>
        </w:rPr>
      </w:pPr>
      <w:r>
        <w:rPr>
          <w:rFonts w:ascii="Arial" w:cs="Arial" w:eastAsia="Arial" w:hAnsi="Arial"/>
          <w:sz w:val="8"/>
          <w:szCs w:val="8"/>
          <w:b w:val="1"/>
          <w:bCs w:val="1"/>
          <w:color w:val="auto"/>
        </w:rPr>
        <w:t xml:space="preserve">Balance at Jan. 1, 2023 </w:t>
      </w:r>
      <w:r>
        <w:rPr>
          <w:rFonts w:ascii="Arial" w:cs="Arial" w:eastAsia="Arial" w:hAnsi="Arial"/>
          <w:sz w:val="8"/>
          <w:szCs w:val="8"/>
          <w:color w:val="auto"/>
        </w:rPr>
        <w:t>Net income (loss)</w:t>
      </w:r>
    </w:p>
    <w:p>
      <w:pPr>
        <w:spacing w:after="0" w:line="1" w:lineRule="exact"/>
        <w:rPr>
          <w:sz w:val="20"/>
          <w:szCs w:val="20"/>
          <w:color w:val="auto"/>
        </w:rPr>
      </w:pPr>
    </w:p>
    <w:p>
      <w:pPr>
        <w:jc w:val="both"/>
        <w:ind w:left="20" w:right="140"/>
        <w:spacing w:after="0" w:line="245" w:lineRule="auto"/>
        <w:rPr>
          <w:sz w:val="20"/>
          <w:szCs w:val="20"/>
          <w:color w:val="auto"/>
        </w:rPr>
      </w:pPr>
      <w:r>
        <w:rPr>
          <w:rFonts w:ascii="Arial" w:cs="Arial" w:eastAsia="Arial" w:hAnsi="Arial"/>
          <w:sz w:val="8"/>
          <w:szCs w:val="8"/>
          <w:color w:val="auto"/>
        </w:rPr>
        <w:t>Issuance of Class A common shares related to share-based compensation plans</w:t>
      </w:r>
    </w:p>
    <w:p>
      <w:pPr>
        <w:spacing w:after="0" w:line="15" w:lineRule="exact"/>
        <w:rPr>
          <w:sz w:val="20"/>
          <w:szCs w:val="20"/>
          <w:color w:val="auto"/>
        </w:rPr>
      </w:pPr>
    </w:p>
    <w:p>
      <w:pPr>
        <w:ind w:left="20"/>
        <w:spacing w:after="0" w:line="332" w:lineRule="auto"/>
        <w:rPr>
          <w:sz w:val="20"/>
          <w:szCs w:val="20"/>
          <w:color w:val="auto"/>
        </w:rPr>
      </w:pPr>
      <w:r>
        <w:rPr>
          <w:rFonts w:ascii="Arial" w:cs="Arial" w:eastAsia="Arial" w:hAnsi="Arial"/>
          <w:sz w:val="8"/>
          <w:szCs w:val="8"/>
          <w:color w:val="auto"/>
        </w:rPr>
        <w:t>Share-based compensation expense Foreign currency translation adjustments</w:t>
      </w:r>
    </w:p>
    <w:p>
      <w:pPr>
        <w:ind w:left="20"/>
        <w:spacing w:after="0" w:line="270" w:lineRule="auto"/>
        <w:rPr>
          <w:sz w:val="20"/>
          <w:szCs w:val="20"/>
          <w:color w:val="auto"/>
        </w:rPr>
      </w:pPr>
      <w:r>
        <w:rPr>
          <w:rFonts w:ascii="Arial" w:cs="Arial" w:eastAsia="Arial" w:hAnsi="Arial"/>
          <w:sz w:val="8"/>
          <w:szCs w:val="8"/>
          <w:color w:val="auto"/>
        </w:rPr>
        <w:t>Class A common shares repurchased for employee tax withholdings</w:t>
      </w:r>
    </w:p>
    <w:p>
      <w:pPr>
        <w:spacing w:after="0" w:line="5" w:lineRule="exact"/>
        <w:rPr>
          <w:sz w:val="20"/>
          <w:szCs w:val="20"/>
          <w:color w:val="auto"/>
        </w:rPr>
      </w:pPr>
    </w:p>
    <w:p>
      <w:pPr>
        <w:ind w:left="20" w:right="60"/>
        <w:spacing w:after="0" w:line="270" w:lineRule="auto"/>
        <w:rPr>
          <w:sz w:val="20"/>
          <w:szCs w:val="20"/>
          <w:color w:val="auto"/>
        </w:rPr>
      </w:pPr>
      <w:r>
        <w:rPr>
          <w:rFonts w:ascii="Arial" w:cs="Arial" w:eastAsia="Arial" w:hAnsi="Arial"/>
          <w:sz w:val="8"/>
          <w:szCs w:val="8"/>
          <w:color w:val="auto"/>
        </w:rPr>
        <w:t>Dividends accumulated on Series A redeemable convertible preferred stock</w:t>
      </w:r>
    </w:p>
    <w:p>
      <w:pPr>
        <w:spacing w:after="0" w:line="5" w:lineRule="exact"/>
        <w:rPr>
          <w:sz w:val="20"/>
          <w:szCs w:val="20"/>
          <w:color w:val="auto"/>
        </w:rPr>
      </w:pPr>
    </w:p>
    <w:p>
      <w:pPr>
        <w:ind w:left="20" w:right="300"/>
        <w:spacing w:after="0" w:line="361" w:lineRule="auto"/>
        <w:rPr>
          <w:sz w:val="20"/>
          <w:szCs w:val="20"/>
          <w:color w:val="auto"/>
        </w:rPr>
      </w:pPr>
      <w:r>
        <w:rPr>
          <w:rFonts w:ascii="Arial" w:cs="Arial" w:eastAsia="Arial" w:hAnsi="Arial"/>
          <w:sz w:val="8"/>
          <w:szCs w:val="8"/>
          <w:color w:val="auto"/>
        </w:rPr>
        <w:t xml:space="preserve">Forfeitures of Time-Vesting Units Redemption of LLC Interests </w:t>
      </w:r>
      <w:r>
        <w:rPr>
          <w:rFonts w:ascii="Arial" w:cs="Arial" w:eastAsia="Arial" w:hAnsi="Arial"/>
          <w:sz w:val="8"/>
          <w:szCs w:val="8"/>
          <w:b w:val="1"/>
          <w:bCs w:val="1"/>
          <w:color w:val="auto"/>
        </w:rPr>
        <w:t>Balance at Mar. 31, 2023</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ind w:right="1600"/>
        <w:spacing w:after="0"/>
        <w:rPr>
          <w:sz w:val="20"/>
          <w:szCs w:val="20"/>
          <w:color w:val="auto"/>
        </w:rPr>
      </w:pPr>
      <w:r>
        <w:rPr>
          <w:rFonts w:ascii="Arial" w:cs="Arial" w:eastAsia="Arial" w:hAnsi="Arial"/>
          <w:sz w:val="13"/>
          <w:szCs w:val="13"/>
          <w:b w:val="1"/>
          <w:bCs w:val="1"/>
          <w:color w:val="00497F"/>
        </w:rPr>
        <w:t>CONDENSED CONSOLIDATED STATEMENTS OF CHANGES IN STOCKHOLDERS’ EQUITY</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13"/>
          <w:szCs w:val="13"/>
          <w:i w:val="1"/>
          <w:iCs w:val="1"/>
          <w:color w:val="00497F"/>
        </w:rPr>
        <w:t>(in thousands, unaudited)</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8"/>
          <w:szCs w:val="8"/>
          <w:b w:val="1"/>
          <w:bCs w:val="1"/>
          <w:color w:val="auto"/>
        </w:rPr>
        <w:t>Three months ended Mar.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8"/>
                <w:szCs w:val="8"/>
                <w:b w:val="1"/>
                <w:bCs w:val="1"/>
                <w:color w:val="auto"/>
              </w:rPr>
              <w:t>Class B Common Stock</w:t>
            </w:r>
          </w:p>
        </w:tc>
        <w:tc>
          <w:tcPr>
            <w:tcW w:w="1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60" w:type="dxa"/>
            <w:vAlign w:val="bottom"/>
            <w:tcBorders>
              <w:top w:val="single" w:sz="8" w:color="auto"/>
              <w:bottom w:val="single" w:sz="8" w:color="auto"/>
            </w:tcBorders>
            <w:gridSpan w:val="7"/>
          </w:tcPr>
          <w:p>
            <w:pPr>
              <w:jc w:val="right"/>
              <w:ind w:right="380"/>
              <w:spacing w:after="0"/>
              <w:rPr>
                <w:sz w:val="20"/>
                <w:szCs w:val="20"/>
                <w:color w:val="auto"/>
              </w:rPr>
            </w:pPr>
            <w:r>
              <w:rPr>
                <w:rFonts w:ascii="Arial" w:cs="Arial" w:eastAsia="Arial" w:hAnsi="Arial"/>
                <w:sz w:val="8"/>
                <w:szCs w:val="8"/>
                <w:b w:val="1"/>
                <w:bCs w:val="1"/>
                <w:color w:val="auto"/>
              </w:rPr>
              <w:t>Treasury Stock</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85"/>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2"/>
          </w:tcPr>
          <w:p>
            <w:pPr>
              <w:ind w:left="180"/>
              <w:spacing w:after="0" w:line="85" w:lineRule="exact"/>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5"/>
          </w:tcPr>
          <w:p>
            <w:pPr>
              <w:ind w:left="140"/>
              <w:spacing w:after="0" w:line="85" w:lineRule="exact"/>
              <w:rPr>
                <w:sz w:val="20"/>
                <w:szCs w:val="20"/>
                <w:color w:val="auto"/>
              </w:rPr>
            </w:pPr>
            <w:r>
              <w:rPr>
                <w:rFonts w:ascii="Arial" w:cs="Arial" w:eastAsia="Arial" w:hAnsi="Arial"/>
                <w:sz w:val="8"/>
                <w:szCs w:val="8"/>
                <w:b w:val="1"/>
                <w:bCs w:val="1"/>
                <w:color w:val="auto"/>
              </w:rPr>
              <w:t>Amount</w:t>
            </w:r>
          </w:p>
        </w:tc>
        <w:tc>
          <w:tcPr>
            <w:tcW w:w="640" w:type="dxa"/>
            <w:vAlign w:val="bottom"/>
            <w:gridSpan w:val="2"/>
          </w:tcPr>
          <w:p>
            <w:pPr>
              <w:jc w:val="right"/>
              <w:ind w:right="180"/>
              <w:spacing w:after="0" w:line="85" w:lineRule="exact"/>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5"/>
          </w:tcPr>
          <w:p>
            <w:pPr>
              <w:ind w:left="160"/>
              <w:spacing w:after="0" w:line="85" w:lineRule="exact"/>
              <w:rPr>
                <w:sz w:val="20"/>
                <w:szCs w:val="20"/>
                <w:color w:val="auto"/>
              </w:rPr>
            </w:pPr>
            <w:r>
              <w:rPr>
                <w:rFonts w:ascii="Arial" w:cs="Arial" w:eastAsia="Arial" w:hAnsi="Arial"/>
                <w:sz w:val="8"/>
                <w:szCs w:val="8"/>
                <w:b w:val="1"/>
                <w:bCs w:val="1"/>
                <w:color w:val="auto"/>
              </w:rPr>
              <w:t>Amount</w:t>
            </w:r>
          </w:p>
        </w:tc>
        <w:tc>
          <w:tcPr>
            <w:tcW w:w="640" w:type="dxa"/>
            <w:vAlign w:val="bottom"/>
            <w:gridSpan w:val="2"/>
          </w:tcPr>
          <w:p>
            <w:pPr>
              <w:jc w:val="right"/>
              <w:ind w:right="180"/>
              <w:spacing w:after="0" w:line="85" w:lineRule="exact"/>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160"/>
              <w:spacing w:after="0" w:line="85" w:lineRule="exact"/>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140"/>
              <w:spacing w:after="0" w:line="85" w:lineRule="exact"/>
              <w:rPr>
                <w:sz w:val="20"/>
                <w:szCs w:val="20"/>
                <w:color w:val="auto"/>
              </w:rPr>
            </w:pPr>
            <w:r>
              <w:rPr>
                <w:rFonts w:ascii="Arial" w:cs="Arial" w:eastAsia="Arial" w:hAnsi="Arial"/>
                <w:sz w:val="8"/>
                <w:szCs w:val="8"/>
                <w:b w:val="1"/>
                <w:bCs w:val="1"/>
                <w:color w:val="auto"/>
              </w:rPr>
              <w:t>Additional Paid-In</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80"/>
              <w:spacing w:after="0" w:line="85" w:lineRule="exact"/>
              <w:rPr>
                <w:sz w:val="20"/>
                <w:szCs w:val="20"/>
                <w:color w:val="auto"/>
              </w:rPr>
            </w:pPr>
            <w:r>
              <w:rPr>
                <w:rFonts w:ascii="Arial" w:cs="Arial" w:eastAsia="Arial" w:hAnsi="Arial"/>
                <w:sz w:val="8"/>
                <w:szCs w:val="8"/>
                <w:b w:val="1"/>
                <w:bCs w:val="1"/>
                <w:color w:val="auto"/>
              </w:rPr>
              <w:t>Accumulated Deficit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80"/>
              <w:spacing w:after="0" w:line="85" w:lineRule="exact"/>
              <w:rPr>
                <w:sz w:val="20"/>
                <w:szCs w:val="20"/>
                <w:color w:val="auto"/>
              </w:rPr>
            </w:pPr>
            <w:r>
              <w:rPr>
                <w:rFonts w:ascii="Arial" w:cs="Arial" w:eastAsia="Arial" w:hAnsi="Arial"/>
                <w:sz w:val="8"/>
                <w:szCs w:val="8"/>
                <w:b w:val="1"/>
                <w:bCs w:val="1"/>
                <w:color w:val="auto"/>
              </w:rPr>
              <w:t>Accumulated Other</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Non-Controlling</w:t>
            </w:r>
          </w:p>
        </w:tc>
        <w:tc>
          <w:tcPr>
            <w:tcW w:w="60" w:type="dxa"/>
            <w:vAlign w:val="bottom"/>
          </w:tcPr>
          <w:p>
            <w:pPr>
              <w:spacing w:after="0"/>
              <w:rPr>
                <w:sz w:val="7"/>
                <w:szCs w:val="7"/>
                <w:color w:val="auto"/>
              </w:rPr>
            </w:pPr>
          </w:p>
        </w:tc>
        <w:tc>
          <w:tcPr>
            <w:tcW w:w="920" w:type="dxa"/>
            <w:vAlign w:val="bottom"/>
          </w:tcPr>
          <w:p>
            <w:pPr>
              <w:jc w:val="right"/>
              <w:ind w:right="18"/>
              <w:spacing w:after="0" w:line="85" w:lineRule="exact"/>
              <w:rPr>
                <w:sz w:val="20"/>
                <w:szCs w:val="20"/>
                <w:color w:val="auto"/>
              </w:rPr>
            </w:pPr>
            <w:r>
              <w:rPr>
                <w:rFonts w:ascii="Arial" w:cs="Arial" w:eastAsia="Arial" w:hAnsi="Arial"/>
                <w:sz w:val="8"/>
                <w:szCs w:val="8"/>
                <w:b w:val="1"/>
                <w:bCs w:val="1"/>
                <w:color w:val="auto"/>
              </w:rPr>
              <w:t>Stockholders’ Equity</w:t>
            </w:r>
          </w:p>
        </w:tc>
      </w:tr>
      <w:tr>
        <w:trPr>
          <w:trHeight w:val="74"/>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tcPr>
          <w:p>
            <w:pPr>
              <w:jc w:val="right"/>
              <w:ind w:right="340"/>
              <w:spacing w:after="0" w:line="74" w:lineRule="exact"/>
              <w:rPr>
                <w:sz w:val="20"/>
                <w:szCs w:val="20"/>
                <w:color w:val="auto"/>
              </w:rPr>
            </w:pPr>
            <w:r>
              <w:rPr>
                <w:rFonts w:ascii="Arial" w:cs="Arial" w:eastAsia="Arial" w:hAnsi="Arial"/>
                <w:sz w:val="8"/>
                <w:szCs w:val="8"/>
                <w:b w:val="1"/>
                <w:bCs w:val="1"/>
                <w:color w:val="auto"/>
              </w:rPr>
              <w:t>Capital</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Comprehensive Income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Interest</w:t>
            </w: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w w:val="99"/>
              </w:rPr>
              <w:t>(Loss)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9,823</w:t>
            </w:r>
          </w:p>
        </w:tc>
        <w:tc>
          <w:tcPr>
            <w:tcW w:w="20" w:type="dxa"/>
            <w:vAlign w:val="bottom"/>
          </w:tcPr>
          <w:p>
            <w:pPr>
              <w:spacing w:after="0"/>
              <w:rPr>
                <w:sz w:val="10"/>
                <w:szCs w:val="10"/>
                <w:color w:val="auto"/>
              </w:rPr>
            </w:pPr>
          </w:p>
        </w:tc>
        <w:tc>
          <w:tcPr>
            <w:tcW w:w="540" w:type="dxa"/>
            <w:vAlign w:val="bottom"/>
            <w:gridSpan w:val="3"/>
          </w:tcPr>
          <w:p>
            <w:pPr>
              <w:jc w:val="right"/>
              <w:ind w:right="338"/>
              <w:spacing w:after="0"/>
              <w:rPr>
                <w:sz w:val="20"/>
                <w:szCs w:val="20"/>
                <w:color w:val="auto"/>
              </w:rPr>
            </w:pPr>
            <w:r>
              <w:rPr>
                <w:rFonts w:ascii="Arial" w:cs="Arial" w:eastAsia="Arial" w:hAnsi="Arial"/>
                <w:sz w:val="8"/>
                <w:szCs w:val="8"/>
                <w:b w:val="1"/>
                <w:bCs w:val="1"/>
                <w:color w:val="auto"/>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12,814</w:t>
            </w:r>
          </w:p>
        </w:tc>
        <w:tc>
          <w:tcPr>
            <w:tcW w:w="40" w:type="dxa"/>
            <w:vAlign w:val="bottom"/>
          </w:tcPr>
          <w:p>
            <w:pPr>
              <w:spacing w:after="0"/>
              <w:rPr>
                <w:sz w:val="10"/>
                <w:szCs w:val="10"/>
                <w:color w:val="auto"/>
              </w:rPr>
            </w:pPr>
          </w:p>
        </w:tc>
        <w:tc>
          <w:tcPr>
            <w:tcW w:w="540" w:type="dxa"/>
            <w:vAlign w:val="bottom"/>
            <w:gridSpan w:val="3"/>
          </w:tcPr>
          <w:p>
            <w:pPr>
              <w:jc w:val="right"/>
              <w:ind w:right="358"/>
              <w:spacing w:after="0"/>
              <w:rPr>
                <w:sz w:val="20"/>
                <w:szCs w:val="20"/>
                <w:color w:val="auto"/>
              </w:rPr>
            </w:pPr>
            <w:r>
              <w:rPr>
                <w:rFonts w:ascii="Arial" w:cs="Arial" w:eastAsia="Arial" w:hAnsi="Arial"/>
                <w:sz w:val="8"/>
                <w:szCs w:val="8"/>
                <w:b w:val="1"/>
                <w:bCs w:val="1"/>
                <w:color w:val="auto"/>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8"/>
                <w:szCs w:val="8"/>
                <w:b w:val="1"/>
                <w:bCs w:val="1"/>
                <w:color w:val="auto"/>
              </w:rPr>
              <w:t>(173)</w:t>
            </w:r>
          </w:p>
        </w:tc>
        <w:tc>
          <w:tcPr>
            <w:tcW w:w="18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8"/>
                <w:szCs w:val="8"/>
                <w:b w:val="1"/>
                <w:bCs w:val="1"/>
                <w:color w:val="auto"/>
              </w:rPr>
              <w:t>(2,640)</w:t>
            </w: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654,059</w:t>
            </w:r>
          </w:p>
        </w:tc>
        <w:tc>
          <w:tcPr>
            <w:tcW w:w="40" w:type="dxa"/>
            <w:vAlign w:val="bottom"/>
          </w:tcPr>
          <w:p>
            <w:pPr>
              <w:spacing w:after="0"/>
              <w:rPr>
                <w:sz w:val="10"/>
                <w:szCs w:val="10"/>
                <w:color w:val="auto"/>
              </w:rPr>
            </w:pP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8"/>
                <w:szCs w:val="8"/>
                <w:b w:val="1"/>
                <w:bCs w:val="1"/>
                <w:color w:val="auto"/>
              </w:rPr>
              <w:t>(420,280)</w:t>
            </w: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8"/>
                <w:szCs w:val="8"/>
                <w:b w:val="1"/>
                <w:bCs w:val="1"/>
                <w:color w:val="auto"/>
              </w:rPr>
              <w:t>(127)</w:t>
            </w: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8"/>
                <w:szCs w:val="8"/>
                <w:b w:val="1"/>
                <w:bCs w:val="1"/>
                <w:color w:val="auto"/>
              </w:rPr>
              <w:t>174,639</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405,653</w:t>
            </w:r>
          </w:p>
        </w:tc>
      </w:tr>
      <w:tr>
        <w:trPr>
          <w:trHeight w:val="108"/>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8"/>
                <w:szCs w:val="8"/>
                <w:color w:val="auto"/>
              </w:rPr>
              <w:t>(9,216)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(12,130)</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(21,346)</w:t>
            </w:r>
          </w:p>
        </w:tc>
      </w:tr>
      <w:tr>
        <w:trPr>
          <w:trHeight w:val="12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29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3,172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3,172</w:t>
            </w:r>
          </w:p>
        </w:tc>
      </w:tr>
      <w:tr>
        <w:trPr>
          <w:trHeight w:val="12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8"/>
                <w:szCs w:val="8"/>
                <w:color w:val="auto"/>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w:t>
            </w:r>
          </w:p>
        </w:tc>
      </w:tr>
      <w:tr>
        <w:trPr>
          <w:trHeight w:val="12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8"/>
                <w:szCs w:val="8"/>
                <w:color w:val="auto"/>
              </w:rPr>
              <w:t>(89)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8"/>
                <w:szCs w:val="8"/>
                <w:color w:val="auto"/>
              </w:rPr>
              <w:t>(942)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(942)</w:t>
            </w: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8"/>
                <w:szCs w:val="8"/>
                <w:color w:val="auto"/>
              </w:rPr>
              <w:t>(892)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(892)</w:t>
            </w: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8"/>
                <w:szCs w:val="8"/>
                <w:color w:val="auto"/>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8"/>
                <w:szCs w:val="8"/>
                <w:color w:val="auto"/>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36"/>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30</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8"/>
                <w:szCs w:val="8"/>
                <w:color w:val="auto"/>
              </w:rPr>
              <w:t>—</w:t>
            </w:r>
          </w:p>
        </w:tc>
        <w:tc>
          <w:tcPr>
            <w:tcW w:w="80" w:type="dxa"/>
            <w:vAlign w:val="bottom"/>
            <w:gridSpan w:val="2"/>
          </w:tcPr>
          <w:p>
            <w:pPr>
              <w:spacing w:after="0"/>
              <w:rPr>
                <w:sz w:val="11"/>
                <w:szCs w:val="11"/>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color w:val="auto"/>
              </w:rPr>
              <w:t>(30)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8"/>
                <w:szCs w:val="8"/>
                <w:color w:val="auto"/>
              </w:rPr>
              <w:t>—</w:t>
            </w:r>
          </w:p>
        </w:tc>
        <w:tc>
          <w:tcPr>
            <w:tcW w:w="80" w:type="dxa"/>
            <w:vAlign w:val="bottom"/>
            <w:gridSpan w:val="2"/>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2,741</w:t>
            </w: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(2,741)</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10,160</w:t>
            </w:r>
          </w:p>
        </w:tc>
        <w:tc>
          <w:tcPr>
            <w:tcW w:w="20" w:type="dxa"/>
            <w:vAlign w:val="bottom"/>
            <w:tcBorders>
              <w:bottom w:val="single" w:sz="8" w:color="auto"/>
            </w:tcBorders>
          </w:tcPr>
          <w:p>
            <w:pPr>
              <w:spacing w:after="0"/>
              <w:rPr>
                <w:sz w:val="10"/>
                <w:szCs w:val="10"/>
                <w:color w:val="auto"/>
              </w:rPr>
            </w:pPr>
          </w:p>
        </w:tc>
        <w:tc>
          <w:tcPr>
            <w:tcW w:w="100" w:type="dxa"/>
            <w:vAlign w:val="bottom"/>
            <w:gridSpan w:val="2"/>
          </w:tcPr>
          <w:p>
            <w:pPr>
              <w:spacing w:after="0"/>
              <w:rPr>
                <w:sz w:val="10"/>
                <w:szCs w:val="10"/>
                <w:color w:val="auto"/>
              </w:rPr>
            </w:pPr>
          </w:p>
        </w:tc>
        <w:tc>
          <w:tcPr>
            <w:tcW w:w="440" w:type="dxa"/>
            <w:vAlign w:val="bottom"/>
            <w:tcBorders>
              <w:bottom w:val="single" w:sz="8" w:color="auto"/>
            </w:tcBorders>
          </w:tcPr>
          <w:p>
            <w:pPr>
              <w:jc w:val="right"/>
              <w:ind w:right="33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12,783</w:t>
            </w:r>
          </w:p>
        </w:tc>
        <w:tc>
          <w:tcPr>
            <w:tcW w:w="4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60" w:type="dxa"/>
            <w:vAlign w:val="bottom"/>
            <w:tcBorders>
              <w:bottom w:val="single" w:sz="8" w:color="auto"/>
            </w:tcBorders>
          </w:tcPr>
          <w:p>
            <w:pPr>
              <w:jc w:val="right"/>
              <w:ind w:right="358"/>
              <w:spacing w:after="0"/>
              <w:rPr>
                <w:sz w:val="20"/>
                <w:szCs w:val="20"/>
                <w:color w:val="auto"/>
              </w:rPr>
            </w:pPr>
            <w:r>
              <w:rPr>
                <w:rFonts w:ascii="Arial" w:cs="Arial" w:eastAsia="Arial" w:hAnsi="Arial"/>
                <w:sz w:val="8"/>
                <w:szCs w:val="8"/>
                <w:b w:val="1"/>
                <w:bCs w:val="1"/>
                <w:color w:val="auto"/>
                <w:w w:val="88"/>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b w:val="1"/>
                <w:bCs w:val="1"/>
                <w:color w:val="auto"/>
              </w:rPr>
              <w:t>(262)</w:t>
            </w:r>
          </w:p>
        </w:tc>
        <w:tc>
          <w:tcPr>
            <w:tcW w:w="80" w:type="dxa"/>
            <w:vAlign w:val="bottom"/>
            <w:gridSpan w:val="2"/>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b w:val="1"/>
                <w:bCs w:val="1"/>
                <w:color w:val="auto"/>
              </w:rPr>
              <w:t>(3,582)</w:t>
            </w:r>
          </w:p>
        </w:tc>
        <w:tc>
          <w:tcPr>
            <w:tcW w:w="80" w:type="dxa"/>
            <w:vAlign w:val="bottom"/>
            <w:gridSpan w:val="2"/>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659,080</w:t>
            </w:r>
          </w:p>
        </w:tc>
        <w:tc>
          <w:tcPr>
            <w:tcW w:w="4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b w:val="1"/>
                <w:bCs w:val="1"/>
                <w:color w:val="auto"/>
              </w:rPr>
              <w:t>(429,496)</w:t>
            </w:r>
          </w:p>
        </w:tc>
        <w:tc>
          <w:tcPr>
            <w:tcW w:w="80" w:type="dxa"/>
            <w:vAlign w:val="bottom"/>
            <w:gridSpan w:val="2"/>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b w:val="1"/>
                <w:bCs w:val="1"/>
                <w:color w:val="auto"/>
              </w:rPr>
              <w:t>(129)</w:t>
            </w:r>
          </w:p>
        </w:tc>
        <w:tc>
          <w:tcPr>
            <w:tcW w:w="80" w:type="dxa"/>
            <w:vAlign w:val="bottom"/>
            <w:gridSpan w:val="2"/>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159,765</w:t>
            </w:r>
          </w:p>
        </w:tc>
        <w:tc>
          <w:tcPr>
            <w:tcW w:w="8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385,640</w:t>
            </w: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36"/>
        </w:trPr>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0"/>
          </w:tcPr>
          <w:p>
            <w:pPr>
              <w:jc w:val="right"/>
              <w:spacing w:after="0"/>
              <w:rPr>
                <w:sz w:val="20"/>
                <w:szCs w:val="20"/>
                <w:color w:val="auto"/>
              </w:rPr>
            </w:pPr>
            <w:r>
              <w:rPr>
                <w:rFonts w:ascii="Arial" w:cs="Arial" w:eastAsia="Arial" w:hAnsi="Arial"/>
                <w:sz w:val="8"/>
                <w:szCs w:val="8"/>
                <w:b w:val="1"/>
                <w:bCs w:val="1"/>
                <w:color w:val="auto"/>
              </w:rPr>
              <w:t>Three months ended Mar. 31, 2023</w:t>
            </w: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15"/>
        </w:trPr>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8"/>
                <w:szCs w:val="8"/>
                <w:b w:val="1"/>
                <w:bCs w:val="1"/>
                <w:color w:val="auto"/>
              </w:rPr>
              <w:t>Class A Common Stock</w:t>
            </w:r>
          </w:p>
        </w:tc>
        <w:tc>
          <w:tcPr>
            <w:tcW w:w="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8"/>
                <w:szCs w:val="8"/>
                <w:b w:val="1"/>
                <w:bCs w:val="1"/>
                <w:color w:val="auto"/>
              </w:rPr>
              <w:t>Class B Common Stock</w:t>
            </w:r>
          </w:p>
        </w:tc>
        <w:tc>
          <w:tcPr>
            <w:tcW w:w="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6"/>
          </w:tcPr>
          <w:p>
            <w:pPr>
              <w:jc w:val="right"/>
              <w:ind w:right="338"/>
              <w:spacing w:after="0"/>
              <w:rPr>
                <w:sz w:val="20"/>
                <w:szCs w:val="20"/>
                <w:color w:val="auto"/>
              </w:rPr>
            </w:pPr>
            <w:r>
              <w:rPr>
                <w:rFonts w:ascii="Arial" w:cs="Arial" w:eastAsia="Arial" w:hAnsi="Arial"/>
                <w:sz w:val="8"/>
                <w:szCs w:val="8"/>
                <w:b w:val="1"/>
                <w:bCs w:val="1"/>
                <w:color w:val="auto"/>
              </w:rPr>
              <w:t>Treasury Stock</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85"/>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2"/>
          </w:tcPr>
          <w:p>
            <w:pPr>
              <w:ind w:left="140"/>
              <w:spacing w:after="0" w:line="85" w:lineRule="exact"/>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gridSpan w:val="2"/>
          </w:tcPr>
          <w:p>
            <w:pPr>
              <w:jc w:val="right"/>
              <w:ind w:right="220"/>
              <w:spacing w:after="0" w:line="85" w:lineRule="exact"/>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jc w:val="right"/>
              <w:spacing w:after="0" w:line="85" w:lineRule="exact"/>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right"/>
              <w:ind w:right="220"/>
              <w:spacing w:after="0" w:line="85" w:lineRule="exact"/>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00"/>
              <w:spacing w:after="0" w:line="85" w:lineRule="exact"/>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160"/>
              <w:spacing w:after="0" w:line="85" w:lineRule="exact"/>
              <w:rPr>
                <w:sz w:val="20"/>
                <w:szCs w:val="20"/>
                <w:color w:val="auto"/>
              </w:rPr>
            </w:pPr>
            <w:r>
              <w:rPr>
                <w:rFonts w:ascii="Arial" w:cs="Arial" w:eastAsia="Arial" w:hAnsi="Arial"/>
                <w:sz w:val="8"/>
                <w:szCs w:val="8"/>
                <w:b w:val="1"/>
                <w:bCs w:val="1"/>
                <w:color w:val="auto"/>
              </w:rPr>
              <w:t>Additional Paid-In</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3"/>
          </w:tcPr>
          <w:p>
            <w:pPr>
              <w:jc w:val="right"/>
              <w:ind w:right="120"/>
              <w:spacing w:after="0" w:line="85" w:lineRule="exact"/>
              <w:rPr>
                <w:sz w:val="20"/>
                <w:szCs w:val="20"/>
                <w:color w:val="auto"/>
              </w:rPr>
            </w:pPr>
            <w:r>
              <w:rPr>
                <w:rFonts w:ascii="Arial" w:cs="Arial" w:eastAsia="Arial" w:hAnsi="Arial"/>
                <w:sz w:val="8"/>
                <w:szCs w:val="8"/>
                <w:b w:val="1"/>
                <w:bCs w:val="1"/>
                <w:color w:val="auto"/>
              </w:rPr>
              <w:t>Accumulated Deficit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Accumulated Other</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240"/>
              <w:spacing w:after="0" w:line="85" w:lineRule="exact"/>
              <w:rPr>
                <w:sz w:val="20"/>
                <w:szCs w:val="20"/>
                <w:color w:val="auto"/>
              </w:rPr>
            </w:pPr>
            <w:r>
              <w:rPr>
                <w:rFonts w:ascii="Arial" w:cs="Arial" w:eastAsia="Arial" w:hAnsi="Arial"/>
                <w:sz w:val="8"/>
                <w:szCs w:val="8"/>
                <w:b w:val="1"/>
                <w:bCs w:val="1"/>
                <w:color w:val="auto"/>
              </w:rPr>
              <w:t>Non-Controlling</w:t>
            </w:r>
          </w:p>
        </w:tc>
        <w:tc>
          <w:tcPr>
            <w:tcW w:w="60" w:type="dxa"/>
            <w:vAlign w:val="bottom"/>
          </w:tcPr>
          <w:p>
            <w:pPr>
              <w:spacing w:after="0"/>
              <w:rPr>
                <w:sz w:val="7"/>
                <w:szCs w:val="7"/>
                <w:color w:val="auto"/>
              </w:rPr>
            </w:pPr>
          </w:p>
        </w:tc>
        <w:tc>
          <w:tcPr>
            <w:tcW w:w="920" w:type="dxa"/>
            <w:vAlign w:val="bottom"/>
          </w:tcPr>
          <w:p>
            <w:pPr>
              <w:jc w:val="right"/>
              <w:ind w:right="18"/>
              <w:spacing w:after="0" w:line="85" w:lineRule="exact"/>
              <w:rPr>
                <w:sz w:val="20"/>
                <w:szCs w:val="20"/>
                <w:color w:val="auto"/>
              </w:rPr>
            </w:pPr>
            <w:r>
              <w:rPr>
                <w:rFonts w:ascii="Arial" w:cs="Arial" w:eastAsia="Arial" w:hAnsi="Arial"/>
                <w:sz w:val="8"/>
                <w:szCs w:val="8"/>
                <w:b w:val="1"/>
                <w:bCs w:val="1"/>
                <w:color w:val="auto"/>
              </w:rPr>
              <w:t>Stockholders’ Equity</w:t>
            </w:r>
          </w:p>
        </w:tc>
      </w:tr>
      <w:tr>
        <w:trPr>
          <w:trHeight w:val="74"/>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tcPr>
          <w:p>
            <w:pPr>
              <w:jc w:val="right"/>
              <w:ind w:right="380"/>
              <w:spacing w:after="0" w:line="74" w:lineRule="exact"/>
              <w:rPr>
                <w:sz w:val="20"/>
                <w:szCs w:val="20"/>
                <w:color w:val="auto"/>
              </w:rPr>
            </w:pPr>
            <w:r>
              <w:rPr>
                <w:rFonts w:ascii="Arial" w:cs="Arial" w:eastAsia="Arial" w:hAnsi="Arial"/>
                <w:sz w:val="8"/>
                <w:szCs w:val="8"/>
                <w:b w:val="1"/>
                <w:bCs w:val="1"/>
                <w:color w:val="auto"/>
              </w:rPr>
              <w:t>Capital</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gridSpan w:val="4"/>
          </w:tcPr>
          <w:p>
            <w:pPr>
              <w:jc w:val="center"/>
              <w:ind w:right="60"/>
              <w:spacing w:after="0" w:line="74" w:lineRule="exact"/>
              <w:rPr>
                <w:sz w:val="20"/>
                <w:szCs w:val="20"/>
                <w:color w:val="auto"/>
              </w:rPr>
            </w:pPr>
            <w:r>
              <w:rPr>
                <w:rFonts w:ascii="Arial" w:cs="Arial" w:eastAsia="Arial" w:hAnsi="Arial"/>
                <w:sz w:val="8"/>
                <w:szCs w:val="8"/>
                <w:b w:val="1"/>
                <w:bCs w:val="1"/>
                <w:color w:val="auto"/>
              </w:rPr>
              <w:t>Comprehensive Income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tcPr>
          <w:p>
            <w:pPr>
              <w:jc w:val="center"/>
              <w:ind w:right="220"/>
              <w:spacing w:after="0" w:line="74" w:lineRule="exact"/>
              <w:rPr>
                <w:sz w:val="20"/>
                <w:szCs w:val="20"/>
                <w:color w:val="auto"/>
              </w:rPr>
            </w:pPr>
            <w:r>
              <w:rPr>
                <w:rFonts w:ascii="Arial" w:cs="Arial" w:eastAsia="Arial" w:hAnsi="Arial"/>
                <w:sz w:val="8"/>
                <w:szCs w:val="8"/>
                <w:b w:val="1"/>
                <w:bCs w:val="1"/>
                <w:color w:val="auto"/>
              </w:rPr>
              <w:t>Interest</w:t>
            </w: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21"/>
        </w:trPr>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w w:val="99"/>
              </w:rPr>
              <w:t>(Loss)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8,963</w:t>
            </w:r>
          </w:p>
        </w:tc>
        <w:tc>
          <w:tcPr>
            <w:tcW w:w="20" w:type="dxa"/>
            <w:vAlign w:val="bottom"/>
          </w:tcPr>
          <w:p>
            <w:pPr>
              <w:spacing w:after="0"/>
              <w:rPr>
                <w:sz w:val="10"/>
                <w:szCs w:val="10"/>
                <w:color w:val="auto"/>
              </w:rPr>
            </w:pPr>
          </w:p>
        </w:tc>
        <w:tc>
          <w:tcPr>
            <w:tcW w:w="540" w:type="dxa"/>
            <w:vAlign w:val="bottom"/>
            <w:gridSpan w:val="3"/>
          </w:tcPr>
          <w:p>
            <w:pPr>
              <w:jc w:val="right"/>
              <w:ind w:right="378"/>
              <w:spacing w:after="0"/>
              <w:rPr>
                <w:sz w:val="20"/>
                <w:szCs w:val="20"/>
                <w:color w:val="auto"/>
              </w:rPr>
            </w:pPr>
            <w:r>
              <w:rPr>
                <w:rFonts w:ascii="Arial" w:cs="Arial" w:eastAsia="Arial" w:hAnsi="Arial"/>
                <w:sz w:val="8"/>
                <w:szCs w:val="8"/>
                <w:b w:val="1"/>
                <w:bCs w:val="1"/>
                <w:color w:val="auto"/>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13,054</w:t>
            </w:r>
          </w:p>
        </w:tc>
        <w:tc>
          <w:tcPr>
            <w:tcW w:w="40" w:type="dxa"/>
            <w:vAlign w:val="bottom"/>
          </w:tcPr>
          <w:p>
            <w:pPr>
              <w:spacing w:after="0"/>
              <w:rPr>
                <w:sz w:val="10"/>
                <w:szCs w:val="10"/>
                <w:color w:val="auto"/>
              </w:rPr>
            </w:pPr>
          </w:p>
        </w:tc>
        <w:tc>
          <w:tcPr>
            <w:tcW w:w="540" w:type="dxa"/>
            <w:vAlign w:val="bottom"/>
            <w:gridSpan w:val="3"/>
          </w:tcPr>
          <w:p>
            <w:pPr>
              <w:jc w:val="right"/>
              <w:ind w:right="398"/>
              <w:spacing w:after="0"/>
              <w:rPr>
                <w:sz w:val="20"/>
                <w:szCs w:val="20"/>
                <w:color w:val="auto"/>
              </w:rPr>
            </w:pPr>
            <w:r>
              <w:rPr>
                <w:rFonts w:ascii="Arial" w:cs="Arial" w:eastAsia="Arial" w:hAnsi="Arial"/>
                <w:sz w:val="8"/>
                <w:szCs w:val="8"/>
                <w:b w:val="1"/>
                <w:bCs w:val="1"/>
                <w:color w:val="auto"/>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(13)</w:t>
            </w:r>
          </w:p>
        </w:tc>
        <w:tc>
          <w:tcPr>
            <w:tcW w:w="40" w:type="dxa"/>
            <w:vAlign w:val="bottom"/>
          </w:tcPr>
          <w:p>
            <w:pPr>
              <w:spacing w:after="0"/>
              <w:rPr>
                <w:sz w:val="10"/>
                <w:szCs w:val="10"/>
                <w:color w:val="auto"/>
              </w:rPr>
            </w:pPr>
          </w:p>
        </w:tc>
        <w:tc>
          <w:tcPr>
            <w:tcW w:w="180" w:type="dxa"/>
            <w:vAlign w:val="bottom"/>
            <w:gridSpan w:val="3"/>
          </w:tcPr>
          <w:p>
            <w:pPr>
              <w:jc w:val="right"/>
              <w:ind w:right="38"/>
              <w:spacing w:after="0"/>
              <w:rPr>
                <w:sz w:val="20"/>
                <w:szCs w:val="20"/>
                <w:color w:val="auto"/>
              </w:rPr>
            </w:pPr>
            <w:r>
              <w:rPr>
                <w:rFonts w:ascii="Arial" w:cs="Arial" w:eastAsia="Arial" w:hAnsi="Arial"/>
                <w:sz w:val="8"/>
                <w:szCs w:val="8"/>
                <w:b w:val="1"/>
                <w:bCs w:val="1"/>
                <w:color w:val="auto"/>
              </w:rPr>
              <w:t>$</w:t>
            </w:r>
          </w:p>
        </w:tc>
        <w:tc>
          <w:tcPr>
            <w:tcW w:w="500" w:type="dxa"/>
            <w:vAlign w:val="bottom"/>
          </w:tcPr>
          <w:p>
            <w:pPr>
              <w:jc w:val="right"/>
              <w:spacing w:after="0"/>
              <w:rPr>
                <w:sz w:val="20"/>
                <w:szCs w:val="20"/>
                <w:color w:val="auto"/>
              </w:rPr>
            </w:pPr>
            <w:r>
              <w:rPr>
                <w:rFonts w:ascii="Arial" w:cs="Arial" w:eastAsia="Arial" w:hAnsi="Arial"/>
                <w:sz w:val="8"/>
                <w:szCs w:val="8"/>
                <w:b w:val="1"/>
                <w:bCs w:val="1"/>
                <w:color w:val="auto"/>
              </w:rPr>
              <w:t>(345)</w:t>
            </w:r>
          </w:p>
        </w:tc>
        <w:tc>
          <w:tcPr>
            <w:tcW w:w="40" w:type="dxa"/>
            <w:vAlign w:val="bottom"/>
          </w:tcPr>
          <w:p>
            <w:pPr>
              <w:spacing w:after="0"/>
              <w:rPr>
                <w:sz w:val="10"/>
                <w:szCs w:val="10"/>
                <w:color w:val="auto"/>
              </w:rPr>
            </w:pP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626,269</w:t>
            </w:r>
          </w:p>
        </w:tc>
        <w:tc>
          <w:tcPr>
            <w:tcW w:w="40" w:type="dxa"/>
            <w:vAlign w:val="bottom"/>
          </w:tcPr>
          <w:p>
            <w:pPr>
              <w:spacing w:after="0"/>
              <w:rPr>
                <w:sz w:val="10"/>
                <w:szCs w:val="10"/>
                <w:color w:val="auto"/>
              </w:rPr>
            </w:pP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840" w:type="dxa"/>
            <w:vAlign w:val="bottom"/>
          </w:tcPr>
          <w:p>
            <w:pPr>
              <w:jc w:val="right"/>
              <w:spacing w:after="0"/>
              <w:rPr>
                <w:sz w:val="20"/>
                <w:szCs w:val="20"/>
                <w:color w:val="auto"/>
              </w:rPr>
            </w:pPr>
            <w:r>
              <w:rPr>
                <w:rFonts w:ascii="Arial" w:cs="Arial" w:eastAsia="Arial" w:hAnsi="Arial"/>
                <w:sz w:val="8"/>
                <w:szCs w:val="8"/>
                <w:b w:val="1"/>
                <w:bCs w:val="1"/>
                <w:color w:val="auto"/>
              </w:rPr>
              <w:t>(357,023)</w:t>
            </w:r>
          </w:p>
        </w:tc>
        <w:tc>
          <w:tcPr>
            <w:tcW w:w="60" w:type="dxa"/>
            <w:vAlign w:val="bottom"/>
          </w:tcPr>
          <w:p>
            <w:pPr>
              <w:spacing w:after="0"/>
              <w:rPr>
                <w:sz w:val="10"/>
                <w:szCs w:val="10"/>
                <w:color w:val="auto"/>
              </w:rPr>
            </w:pPr>
          </w:p>
        </w:tc>
        <w:tc>
          <w:tcPr>
            <w:tcW w:w="160" w:type="dxa"/>
            <w:vAlign w:val="bottom"/>
            <w:gridSpan w:val="3"/>
          </w:tcPr>
          <w:p>
            <w:pPr>
              <w:jc w:val="right"/>
              <w:ind w:right="18"/>
              <w:spacing w:after="0"/>
              <w:rPr>
                <w:sz w:val="20"/>
                <w:szCs w:val="20"/>
                <w:color w:val="auto"/>
              </w:rPr>
            </w:pPr>
            <w:r>
              <w:rPr>
                <w:rFonts w:ascii="Arial" w:cs="Arial" w:eastAsia="Arial" w:hAnsi="Arial"/>
                <w:sz w:val="8"/>
                <w:szCs w:val="8"/>
                <w:b w:val="1"/>
                <w:bCs w:val="1"/>
                <w:color w:val="auto"/>
              </w:rPr>
              <w:t>$</w:t>
            </w: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(144)</w:t>
            </w:r>
          </w:p>
        </w:tc>
        <w:tc>
          <w:tcPr>
            <w:tcW w:w="60" w:type="dxa"/>
            <w:vAlign w:val="bottom"/>
          </w:tcPr>
          <w:p>
            <w:pPr>
              <w:spacing w:after="0"/>
              <w:rPr>
                <w:sz w:val="10"/>
                <w:szCs w:val="10"/>
                <w:color w:val="auto"/>
              </w:rPr>
            </w:pPr>
          </w:p>
        </w:tc>
        <w:tc>
          <w:tcPr>
            <w:tcW w:w="8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10"/>
                <w:szCs w:val="10"/>
                <w:color w:val="auto"/>
              </w:rPr>
            </w:pPr>
          </w:p>
        </w:tc>
        <w:tc>
          <w:tcPr>
            <w:tcW w:w="840" w:type="dxa"/>
            <w:vAlign w:val="bottom"/>
          </w:tcPr>
          <w:p>
            <w:pPr>
              <w:jc w:val="right"/>
              <w:ind w:right="18"/>
              <w:spacing w:after="0"/>
              <w:rPr>
                <w:sz w:val="20"/>
                <w:szCs w:val="20"/>
                <w:color w:val="auto"/>
              </w:rPr>
            </w:pPr>
            <w:r>
              <w:rPr>
                <w:rFonts w:ascii="Arial" w:cs="Arial" w:eastAsia="Arial" w:hAnsi="Arial"/>
                <w:sz w:val="8"/>
                <w:szCs w:val="8"/>
                <w:b w:val="1"/>
                <w:bCs w:val="1"/>
                <w:color w:val="auto"/>
              </w:rPr>
              <w:t>273,640</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542,399</w:t>
            </w:r>
          </w:p>
        </w:tc>
      </w:tr>
      <w:tr>
        <w:trPr>
          <w:trHeight w:val="108"/>
        </w:trPr>
        <w:tc>
          <w:tcPr>
            <w:tcW w:w="1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(9,179)</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(13,364)</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(22,543)</w:t>
            </w:r>
          </w:p>
        </w:tc>
      </w:tr>
      <w:tr>
        <w:trPr>
          <w:trHeight w:val="12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gridSpan w:val="4"/>
          </w:tcPr>
          <w:p>
            <w:pPr>
              <w:jc w:val="right"/>
              <w:ind w:right="160"/>
              <w:spacing w:after="0"/>
              <w:rPr>
                <w:sz w:val="20"/>
                <w:szCs w:val="20"/>
                <w:color w:val="auto"/>
              </w:rPr>
            </w:pPr>
            <w:r>
              <w:rPr>
                <w:rFonts w:ascii="Arial" w:cs="Arial" w:eastAsia="Arial" w:hAnsi="Arial"/>
                <w:sz w:val="8"/>
                <w:szCs w:val="8"/>
                <w:color w:val="auto"/>
                <w:w w:val="99"/>
              </w:rPr>
              <w:t>—</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29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4,444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4,444</w:t>
            </w:r>
          </w:p>
        </w:tc>
      </w:tr>
      <w:tr>
        <w:trPr>
          <w:trHeight w:val="12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18"/>
              <w:spacing w:after="0"/>
              <w:rPr>
                <w:sz w:val="20"/>
                <w:szCs w:val="20"/>
                <w:color w:val="auto"/>
              </w:rPr>
            </w:pPr>
            <w:r>
              <w:rPr>
                <w:rFonts w:ascii="Arial" w:cs="Arial" w:eastAsia="Arial" w:hAnsi="Arial"/>
                <w:sz w:val="8"/>
                <w:szCs w:val="8"/>
                <w:color w:val="auto"/>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8"/>
              <w:spacing w:after="0"/>
              <w:rPr>
                <w:sz w:val="20"/>
                <w:szCs w:val="20"/>
                <w:color w:val="auto"/>
              </w:rPr>
            </w:pPr>
            <w:r>
              <w:rPr>
                <w:rFonts w:ascii="Arial" w:cs="Arial" w:eastAsia="Arial" w:hAnsi="Arial"/>
                <w:sz w:val="8"/>
                <w:szCs w:val="8"/>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w:t>
            </w:r>
          </w:p>
        </w:tc>
      </w:tr>
      <w:tr>
        <w:trPr>
          <w:trHeight w:val="12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(114)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(114)</w:t>
            </w: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(892)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(892)</w:t>
            </w: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gridSpan w:val="4"/>
          </w:tcPr>
          <w:p>
            <w:pPr>
              <w:jc w:val="right"/>
              <w:ind w:right="160"/>
              <w:spacing w:after="0"/>
              <w:rPr>
                <w:sz w:val="20"/>
                <w:szCs w:val="20"/>
                <w:color w:val="auto"/>
              </w:rPr>
            </w:pPr>
            <w:r>
              <w:rPr>
                <w:rFonts w:ascii="Arial" w:cs="Arial" w:eastAsia="Arial" w:hAnsi="Arial"/>
                <w:sz w:val="8"/>
                <w:szCs w:val="8"/>
                <w:color w:val="auto"/>
                <w:w w:val="99"/>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36"/>
        </w:trPr>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99"/>
              </w:rPr>
              <w:t>—</w:t>
            </w:r>
          </w:p>
        </w:tc>
        <w:tc>
          <w:tcPr>
            <w:tcW w:w="10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99"/>
              </w:rPr>
              <w:t>—</w:t>
            </w:r>
          </w:p>
        </w:tc>
        <w:tc>
          <w:tcPr>
            <w:tcW w:w="80" w:type="dxa"/>
            <w:vAlign w:val="bottom"/>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495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(495)</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9,002</w:t>
            </w:r>
          </w:p>
        </w:tc>
        <w:tc>
          <w:tcPr>
            <w:tcW w:w="20" w:type="dxa"/>
            <w:vAlign w:val="bottom"/>
          </w:tcPr>
          <w:p>
            <w:pPr>
              <w:spacing w:after="0"/>
              <w:rPr>
                <w:sz w:val="10"/>
                <w:szCs w:val="10"/>
                <w:color w:val="auto"/>
              </w:rPr>
            </w:pPr>
          </w:p>
        </w:tc>
        <w:tc>
          <w:tcPr>
            <w:tcW w:w="540" w:type="dxa"/>
            <w:vAlign w:val="bottom"/>
            <w:gridSpan w:val="3"/>
          </w:tcPr>
          <w:p>
            <w:pPr>
              <w:jc w:val="right"/>
              <w:ind w:right="378"/>
              <w:spacing w:after="0"/>
              <w:rPr>
                <w:sz w:val="20"/>
                <w:szCs w:val="20"/>
                <w:color w:val="auto"/>
              </w:rPr>
            </w:pPr>
            <w:r>
              <w:rPr>
                <w:rFonts w:ascii="Arial" w:cs="Arial" w:eastAsia="Arial" w:hAnsi="Arial"/>
                <w:sz w:val="8"/>
                <w:szCs w:val="8"/>
                <w:b w:val="1"/>
                <w:bCs w:val="1"/>
                <w:color w:val="auto"/>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13,052</w:t>
            </w:r>
          </w:p>
        </w:tc>
        <w:tc>
          <w:tcPr>
            <w:tcW w:w="40" w:type="dxa"/>
            <w:vAlign w:val="bottom"/>
          </w:tcPr>
          <w:p>
            <w:pPr>
              <w:spacing w:after="0"/>
              <w:rPr>
                <w:sz w:val="10"/>
                <w:szCs w:val="10"/>
                <w:color w:val="auto"/>
              </w:rPr>
            </w:pPr>
          </w:p>
        </w:tc>
        <w:tc>
          <w:tcPr>
            <w:tcW w:w="540" w:type="dxa"/>
            <w:vAlign w:val="bottom"/>
            <w:gridSpan w:val="3"/>
          </w:tcPr>
          <w:p>
            <w:pPr>
              <w:jc w:val="right"/>
              <w:ind w:right="398"/>
              <w:spacing w:after="0"/>
              <w:rPr>
                <w:sz w:val="20"/>
                <w:szCs w:val="20"/>
                <w:color w:val="auto"/>
              </w:rPr>
            </w:pPr>
            <w:r>
              <w:rPr>
                <w:rFonts w:ascii="Arial" w:cs="Arial" w:eastAsia="Arial" w:hAnsi="Arial"/>
                <w:sz w:val="8"/>
                <w:szCs w:val="8"/>
                <w:b w:val="1"/>
                <w:bCs w:val="1"/>
                <w:color w:val="auto"/>
              </w:rPr>
              <w:t>$</w:t>
            </w:r>
          </w:p>
        </w:tc>
        <w:tc>
          <w:tcPr>
            <w:tcW w:w="14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(20)</w:t>
            </w:r>
          </w:p>
        </w:tc>
        <w:tc>
          <w:tcPr>
            <w:tcW w:w="40" w:type="dxa"/>
            <w:vAlign w:val="bottom"/>
          </w:tcPr>
          <w:p>
            <w:pPr>
              <w:spacing w:after="0"/>
              <w:rPr>
                <w:sz w:val="10"/>
                <w:szCs w:val="10"/>
                <w:color w:val="auto"/>
              </w:rPr>
            </w:pPr>
          </w:p>
        </w:tc>
        <w:tc>
          <w:tcPr>
            <w:tcW w:w="180" w:type="dxa"/>
            <w:vAlign w:val="bottom"/>
            <w:gridSpan w:val="3"/>
          </w:tcPr>
          <w:p>
            <w:pPr>
              <w:jc w:val="right"/>
              <w:ind w:right="38"/>
              <w:spacing w:after="0"/>
              <w:rPr>
                <w:sz w:val="20"/>
                <w:szCs w:val="20"/>
                <w:color w:val="auto"/>
              </w:rPr>
            </w:pPr>
            <w:r>
              <w:rPr>
                <w:rFonts w:ascii="Arial" w:cs="Arial" w:eastAsia="Arial" w:hAnsi="Arial"/>
                <w:sz w:val="8"/>
                <w:szCs w:val="8"/>
                <w:b w:val="1"/>
                <w:bCs w:val="1"/>
                <w:color w:val="auto"/>
              </w:rPr>
              <w:t>$</w:t>
            </w:r>
          </w:p>
        </w:tc>
        <w:tc>
          <w:tcPr>
            <w:tcW w:w="500" w:type="dxa"/>
            <w:vAlign w:val="bottom"/>
          </w:tcPr>
          <w:p>
            <w:pPr>
              <w:jc w:val="right"/>
              <w:spacing w:after="0"/>
              <w:rPr>
                <w:sz w:val="20"/>
                <w:szCs w:val="20"/>
                <w:color w:val="auto"/>
              </w:rPr>
            </w:pPr>
            <w:r>
              <w:rPr>
                <w:rFonts w:ascii="Arial" w:cs="Arial" w:eastAsia="Arial" w:hAnsi="Arial"/>
                <w:sz w:val="8"/>
                <w:szCs w:val="8"/>
                <w:b w:val="1"/>
                <w:bCs w:val="1"/>
                <w:color w:val="auto"/>
              </w:rPr>
              <w:t>(459)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630,316</w:t>
            </w:r>
          </w:p>
        </w:tc>
        <w:tc>
          <w:tcPr>
            <w:tcW w:w="40" w:type="dxa"/>
            <w:vAlign w:val="bottom"/>
          </w:tcPr>
          <w:p>
            <w:pPr>
              <w:spacing w:after="0"/>
              <w:rPr>
                <w:sz w:val="10"/>
                <w:szCs w:val="10"/>
                <w:color w:val="auto"/>
              </w:rPr>
            </w:pPr>
          </w:p>
        </w:tc>
        <w:tc>
          <w:tcPr>
            <w:tcW w:w="160" w:type="dxa"/>
            <w:vAlign w:val="bottom"/>
            <w:gridSpan w:val="3"/>
          </w:tcPr>
          <w:p>
            <w:pPr>
              <w:jc w:val="right"/>
              <w:spacing w:after="0"/>
              <w:rPr>
                <w:sz w:val="20"/>
                <w:szCs w:val="20"/>
                <w:color w:val="auto"/>
              </w:rPr>
            </w:pPr>
            <w:r>
              <w:rPr>
                <w:rFonts w:ascii="Arial" w:cs="Arial" w:eastAsia="Arial" w:hAnsi="Arial"/>
                <w:sz w:val="8"/>
                <w:szCs w:val="8"/>
                <w:b w:val="1"/>
                <w:bCs w:val="1"/>
                <w:color w:val="auto"/>
              </w:rPr>
              <w:t>$</w:t>
            </w:r>
          </w:p>
        </w:tc>
        <w:tc>
          <w:tcPr>
            <w:tcW w:w="840" w:type="dxa"/>
            <w:vAlign w:val="bottom"/>
          </w:tcPr>
          <w:p>
            <w:pPr>
              <w:jc w:val="right"/>
              <w:spacing w:after="0"/>
              <w:rPr>
                <w:sz w:val="20"/>
                <w:szCs w:val="20"/>
                <w:color w:val="auto"/>
              </w:rPr>
            </w:pPr>
            <w:r>
              <w:rPr>
                <w:rFonts w:ascii="Arial" w:cs="Arial" w:eastAsia="Arial" w:hAnsi="Arial"/>
                <w:sz w:val="8"/>
                <w:szCs w:val="8"/>
                <w:b w:val="1"/>
                <w:bCs w:val="1"/>
                <w:color w:val="auto"/>
              </w:rPr>
              <w:t>(366,202)</w:t>
            </w:r>
          </w:p>
        </w:tc>
        <w:tc>
          <w:tcPr>
            <w:tcW w:w="60" w:type="dxa"/>
            <w:vAlign w:val="bottom"/>
          </w:tcPr>
          <w:p>
            <w:pPr>
              <w:spacing w:after="0"/>
              <w:rPr>
                <w:sz w:val="10"/>
                <w:szCs w:val="10"/>
                <w:color w:val="auto"/>
              </w:rPr>
            </w:pPr>
          </w:p>
        </w:tc>
        <w:tc>
          <w:tcPr>
            <w:tcW w:w="160" w:type="dxa"/>
            <w:vAlign w:val="bottom"/>
            <w:gridSpan w:val="3"/>
          </w:tcPr>
          <w:p>
            <w:pPr>
              <w:jc w:val="right"/>
              <w:ind w:right="18"/>
              <w:spacing w:after="0"/>
              <w:rPr>
                <w:sz w:val="20"/>
                <w:szCs w:val="20"/>
                <w:color w:val="auto"/>
              </w:rPr>
            </w:pPr>
            <w:r>
              <w:rPr>
                <w:rFonts w:ascii="Arial" w:cs="Arial" w:eastAsia="Arial" w:hAnsi="Arial"/>
                <w:sz w:val="8"/>
                <w:szCs w:val="8"/>
                <w:b w:val="1"/>
                <w:bCs w:val="1"/>
                <w:color w:val="auto"/>
              </w:rPr>
              <w:t>$</w:t>
            </w: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(142)</w:t>
            </w:r>
          </w:p>
        </w:tc>
        <w:tc>
          <w:tcPr>
            <w:tcW w:w="60" w:type="dxa"/>
            <w:vAlign w:val="bottom"/>
          </w:tcPr>
          <w:p>
            <w:pPr>
              <w:spacing w:after="0"/>
              <w:rPr>
                <w:sz w:val="10"/>
                <w:szCs w:val="10"/>
                <w:color w:val="auto"/>
              </w:rPr>
            </w:pPr>
          </w:p>
        </w:tc>
        <w:tc>
          <w:tcPr>
            <w:tcW w:w="80" w:type="dxa"/>
            <w:vAlign w:val="bottom"/>
            <w:gridSpan w:val="2"/>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10"/>
                <w:szCs w:val="10"/>
                <w:color w:val="auto"/>
              </w:rPr>
            </w:pPr>
          </w:p>
        </w:tc>
        <w:tc>
          <w:tcPr>
            <w:tcW w:w="840" w:type="dxa"/>
            <w:vAlign w:val="bottom"/>
          </w:tcPr>
          <w:p>
            <w:pPr>
              <w:jc w:val="right"/>
              <w:ind w:right="18"/>
              <w:spacing w:after="0"/>
              <w:rPr>
                <w:sz w:val="20"/>
                <w:szCs w:val="20"/>
                <w:color w:val="auto"/>
              </w:rPr>
            </w:pPr>
            <w:r>
              <w:rPr>
                <w:rFonts w:ascii="Arial" w:cs="Arial" w:eastAsia="Arial" w:hAnsi="Arial"/>
                <w:sz w:val="8"/>
                <w:szCs w:val="8"/>
                <w:b w:val="1"/>
                <w:bCs w:val="1"/>
                <w:color w:val="auto"/>
              </w:rPr>
              <w:t>259,784</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523,299</w:t>
            </w:r>
          </w:p>
        </w:tc>
      </w:tr>
      <w:tr>
        <w:trPr>
          <w:trHeight w:val="20"/>
        </w:trPr>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-2896235</wp:posOffset>
            </wp:positionV>
            <wp:extent cx="7161530" cy="87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-2720975</wp:posOffset>
            </wp:positionV>
            <wp:extent cx="716153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-2451735</wp:posOffset>
            </wp:positionV>
            <wp:extent cx="7161530" cy="80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-2235835</wp:posOffset>
            </wp:positionV>
            <wp:extent cx="716153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-2020570</wp:posOffset>
            </wp:positionV>
            <wp:extent cx="7161530" cy="80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-1070610</wp:posOffset>
            </wp:positionV>
            <wp:extent cx="7161530" cy="87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-895350</wp:posOffset>
            </wp:positionV>
            <wp:extent cx="716153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-626110</wp:posOffset>
            </wp:positionV>
            <wp:extent cx="7161530" cy="80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8064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-410210</wp:posOffset>
            </wp:positionV>
            <wp:extent cx="716153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-194945</wp:posOffset>
            </wp:positionV>
            <wp:extent cx="7161530" cy="80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40"/>
            <w:col w:w="9680"/>
          </w:cols>
          <w:pgMar w:left="300" w:top="1073" w:right="31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CONDENSED 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0"/>
                <w:szCs w:val="10"/>
                <w:b w:val="1"/>
                <w:bCs w:val="1"/>
                <w:color w:val="auto"/>
              </w:rPr>
              <w:t>Three months ended Mar. 31,</w:t>
            </w:r>
          </w:p>
        </w:tc>
        <w:tc>
          <w:tcPr>
            <w:tcW w:w="0" w:type="dxa"/>
            <w:vAlign w:val="bottom"/>
          </w:tcPr>
          <w:p>
            <w:pPr>
              <w:spacing w:after="0"/>
              <w:rPr>
                <w:sz w:val="1"/>
                <w:szCs w:val="1"/>
                <w:color w:val="auto"/>
              </w:rPr>
            </w:pPr>
          </w:p>
        </w:tc>
      </w:tr>
      <w:tr>
        <w:trPr>
          <w:trHeight w:val="131"/>
        </w:trPr>
        <w:tc>
          <w:tcPr>
            <w:tcW w:w="48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19"/>
        </w:trPr>
        <w:tc>
          <w:tcPr>
            <w:tcW w:w="48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Activities</w:t>
            </w: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360" w:type="dxa"/>
            <w:vAlign w:val="bottom"/>
            <w:tcBorders>
              <w:lef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860" w:type="dxa"/>
            <w:vAlign w:val="bottom"/>
          </w:tcPr>
          <w:p>
            <w:pPr>
              <w:ind w:left="20"/>
              <w:spacing w:after="0"/>
              <w:rPr>
                <w:sz w:val="20"/>
                <w:szCs w:val="20"/>
                <w:color w:val="auto"/>
              </w:rPr>
            </w:pPr>
            <w:r>
              <w:rPr>
                <w:rFonts w:ascii="Arial" w:cs="Arial" w:eastAsia="Arial" w:hAnsi="Arial"/>
                <w:sz w:val="10"/>
                <w:szCs w:val="10"/>
                <w:color w:val="auto"/>
              </w:rPr>
              <w:t>Net income (loss)</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40" w:type="dxa"/>
            <w:vAlign w:val="bottom"/>
            <w:gridSpan w:val="2"/>
          </w:tcPr>
          <w:p>
            <w:pPr>
              <w:jc w:val="right"/>
              <w:ind w:right="17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(21,346)</w:t>
            </w:r>
          </w:p>
        </w:tc>
        <w:tc>
          <w:tcPr>
            <w:tcW w:w="80" w:type="dxa"/>
            <w:vAlign w:val="bottom"/>
          </w:tcPr>
          <w:p>
            <w:pPr>
              <w:spacing w:after="0"/>
              <w:rPr>
                <w:sz w:val="11"/>
                <w:szCs w:val="11"/>
                <w:color w:val="auto"/>
              </w:rPr>
            </w:pP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(22,543)</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Adjustments to reconcile net income (loss) to net cash provided by (used in) operating activities: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860" w:type="dxa"/>
            <w:vAlign w:val="bottom"/>
          </w:tcPr>
          <w:p>
            <w:pPr>
              <w:ind w:left="180"/>
              <w:spacing w:after="0"/>
              <w:rPr>
                <w:sz w:val="20"/>
                <w:szCs w:val="20"/>
                <w:color w:val="auto"/>
              </w:rPr>
            </w:pPr>
            <w:r>
              <w:rPr>
                <w:rFonts w:ascii="Arial" w:cs="Arial" w:eastAsia="Arial" w:hAnsi="Arial"/>
                <w:sz w:val="10"/>
                <w:szCs w:val="10"/>
                <w:color w:val="auto"/>
              </w:rPr>
              <w:t>Share-based compensation</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1,783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4,444</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2,753</w:t>
            </w:r>
          </w:p>
        </w:tc>
        <w:tc>
          <w:tcPr>
            <w:tcW w:w="0" w:type="dxa"/>
            <w:vAlign w:val="bottom"/>
          </w:tcPr>
          <w:p>
            <w:pPr>
              <w:spacing w:after="0"/>
              <w:rPr>
                <w:sz w:val="1"/>
                <w:szCs w:val="1"/>
                <w:color w:val="auto"/>
              </w:rPr>
            </w:pPr>
          </w:p>
        </w:tc>
      </w:tr>
      <w:tr>
        <w:trPr>
          <w:trHeight w:val="134"/>
        </w:trPr>
        <w:tc>
          <w:tcPr>
            <w:tcW w:w="4860" w:type="dxa"/>
            <w:vAlign w:val="bottom"/>
          </w:tcPr>
          <w:p>
            <w:pPr>
              <w:ind w:left="180"/>
              <w:spacing w:after="0"/>
              <w:rPr>
                <w:sz w:val="20"/>
                <w:szCs w:val="20"/>
                <w:color w:val="auto"/>
              </w:rPr>
            </w:pPr>
            <w:r>
              <w:rPr>
                <w:rFonts w:ascii="Arial" w:cs="Arial" w:eastAsia="Arial" w:hAnsi="Arial"/>
                <w:sz w:val="10"/>
                <w:szCs w:val="10"/>
                <w:color w:val="auto"/>
              </w:rPr>
              <w:t>Amortization of intangible assets</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23,514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23,514</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Amortization of debt discount and issuance costs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873</w:t>
            </w:r>
          </w:p>
        </w:tc>
        <w:tc>
          <w:tcPr>
            <w:tcW w:w="0" w:type="dxa"/>
            <w:vAlign w:val="bottom"/>
          </w:tcPr>
          <w:p>
            <w:pPr>
              <w:spacing w:after="0"/>
              <w:rPr>
                <w:sz w:val="1"/>
                <w:szCs w:val="1"/>
                <w:color w:val="auto"/>
              </w:rPr>
            </w:pPr>
          </w:p>
        </w:tc>
      </w:tr>
      <w:tr>
        <w:trPr>
          <w:trHeight w:val="134"/>
        </w:trPr>
        <w:tc>
          <w:tcPr>
            <w:tcW w:w="4860" w:type="dxa"/>
            <w:vAlign w:val="bottom"/>
          </w:tcPr>
          <w:p>
            <w:pPr>
              <w:ind w:left="180"/>
              <w:spacing w:after="0"/>
              <w:rPr>
                <w:sz w:val="20"/>
                <w:szCs w:val="20"/>
                <w:color w:val="auto"/>
              </w:rPr>
            </w:pPr>
            <w:r>
              <w:rPr>
                <w:rFonts w:ascii="Arial" w:cs="Arial" w:eastAsia="Arial" w:hAnsi="Arial"/>
                <w:sz w:val="10"/>
                <w:szCs w:val="10"/>
                <w:color w:val="auto"/>
              </w:rPr>
              <w:t>Non-cash lease expense</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988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1,108</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non-cash items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w:t>
            </w:r>
          </w:p>
        </w:tc>
        <w:tc>
          <w:tcPr>
            <w:tcW w:w="0" w:type="dxa"/>
            <w:vAlign w:val="bottom"/>
          </w:tcPr>
          <w:p>
            <w:pPr>
              <w:spacing w:after="0"/>
              <w:rPr>
                <w:sz w:val="1"/>
                <w:szCs w:val="1"/>
                <w:color w:val="auto"/>
              </w:rPr>
            </w:pPr>
          </w:p>
        </w:tc>
      </w:tr>
      <w:tr>
        <w:trPr>
          <w:trHeight w:val="134"/>
        </w:trPr>
        <w:tc>
          <w:tcPr>
            <w:tcW w:w="4860" w:type="dxa"/>
            <w:vAlign w:val="bottom"/>
          </w:tcPr>
          <w:p>
            <w:pPr>
              <w:ind w:left="180"/>
              <w:spacing w:after="0"/>
              <w:rPr>
                <w:sz w:val="20"/>
                <w:szCs w:val="20"/>
                <w:color w:val="auto"/>
              </w:rPr>
            </w:pPr>
            <w:r>
              <w:rPr>
                <w:rFonts w:ascii="Arial" w:cs="Arial" w:eastAsia="Arial" w:hAnsi="Arial"/>
                <w:sz w:val="10"/>
                <w:szCs w:val="10"/>
                <w:i w:val="1"/>
                <w:iCs w:val="1"/>
                <w:color w:val="auto"/>
              </w:rPr>
              <w:t>Changes in assets and liabilities:</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Accounts receivable</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(8,955)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(21,231)</w:t>
            </w:r>
          </w:p>
        </w:tc>
        <w:tc>
          <w:tcPr>
            <w:tcW w:w="0" w:type="dxa"/>
            <w:vAlign w:val="bottom"/>
          </w:tcPr>
          <w:p>
            <w:pPr>
              <w:spacing w:after="0"/>
              <w:rPr>
                <w:sz w:val="1"/>
                <w:szCs w:val="1"/>
                <w:color w:val="auto"/>
              </w:rPr>
            </w:pPr>
          </w:p>
        </w:tc>
      </w:tr>
      <w:tr>
        <w:trPr>
          <w:trHeight w:val="134"/>
        </w:trPr>
        <w:tc>
          <w:tcPr>
            <w:tcW w:w="4860" w:type="dxa"/>
            <w:vAlign w:val="bottom"/>
          </w:tcPr>
          <w:p>
            <w:pPr>
              <w:ind w:left="360"/>
              <w:spacing w:after="0"/>
              <w:rPr>
                <w:sz w:val="20"/>
                <w:szCs w:val="20"/>
                <w:color w:val="auto"/>
              </w:rPr>
            </w:pPr>
            <w:r>
              <w:rPr>
                <w:rFonts w:ascii="Arial" w:cs="Arial" w:eastAsia="Arial" w:hAnsi="Arial"/>
                <w:sz w:val="10"/>
                <w:szCs w:val="10"/>
                <w:color w:val="auto"/>
              </w:rPr>
              <w:t>Commissions receivable</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68,616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94,645</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Prepaid expenses and other assets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28,992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33,463</w:t>
            </w:r>
          </w:p>
        </w:tc>
        <w:tc>
          <w:tcPr>
            <w:tcW w:w="0" w:type="dxa"/>
            <w:vAlign w:val="bottom"/>
          </w:tcPr>
          <w:p>
            <w:pPr>
              <w:spacing w:after="0"/>
              <w:rPr>
                <w:sz w:val="1"/>
                <w:szCs w:val="1"/>
                <w:color w:val="auto"/>
              </w:rPr>
            </w:pPr>
          </w:p>
        </w:tc>
      </w:tr>
      <w:tr>
        <w:trPr>
          <w:trHeight w:val="134"/>
        </w:trPr>
        <w:tc>
          <w:tcPr>
            <w:tcW w:w="4860" w:type="dxa"/>
            <w:vAlign w:val="bottom"/>
          </w:tcPr>
          <w:p>
            <w:pPr>
              <w:ind w:left="360"/>
              <w:spacing w:after="0"/>
              <w:rPr>
                <w:sz w:val="20"/>
                <w:szCs w:val="20"/>
                <w:color w:val="auto"/>
              </w:rPr>
            </w:pPr>
            <w:r>
              <w:rPr>
                <w:rFonts w:ascii="Arial" w:cs="Arial" w:eastAsia="Arial" w:hAnsi="Arial"/>
                <w:sz w:val="10"/>
                <w:szCs w:val="10"/>
                <w:color w:val="auto"/>
              </w:rPr>
              <w:t>Accounts payable</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(11,932)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(3,863)</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Accrued liabilities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(33,242)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(22,355)</w:t>
            </w:r>
          </w:p>
        </w:tc>
        <w:tc>
          <w:tcPr>
            <w:tcW w:w="0" w:type="dxa"/>
            <w:vAlign w:val="bottom"/>
          </w:tcPr>
          <w:p>
            <w:pPr>
              <w:spacing w:after="0"/>
              <w:rPr>
                <w:sz w:val="1"/>
                <w:szCs w:val="1"/>
                <w:color w:val="auto"/>
              </w:rPr>
            </w:pPr>
          </w:p>
        </w:tc>
      </w:tr>
      <w:tr>
        <w:trPr>
          <w:trHeight w:val="134"/>
        </w:trPr>
        <w:tc>
          <w:tcPr>
            <w:tcW w:w="4860" w:type="dxa"/>
            <w:vAlign w:val="bottom"/>
          </w:tcPr>
          <w:p>
            <w:pPr>
              <w:ind w:left="360"/>
              <w:spacing w:after="0"/>
              <w:rPr>
                <w:sz w:val="20"/>
                <w:szCs w:val="20"/>
                <w:color w:val="auto"/>
              </w:rPr>
            </w:pPr>
            <w:r>
              <w:rPr>
                <w:rFonts w:ascii="Arial" w:cs="Arial" w:eastAsia="Arial" w:hAnsi="Arial"/>
                <w:sz w:val="10"/>
                <w:szCs w:val="10"/>
                <w:color w:val="auto"/>
              </w:rPr>
              <w:t>Deferred revenue</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(13,680)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(24,918)</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Commissions payable</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(25,438)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(45,706)</w:t>
            </w:r>
          </w:p>
        </w:tc>
        <w:tc>
          <w:tcPr>
            <w:tcW w:w="0" w:type="dxa"/>
            <w:vAlign w:val="bottom"/>
          </w:tcPr>
          <w:p>
            <w:pPr>
              <w:spacing w:after="0"/>
              <w:rPr>
                <w:sz w:val="1"/>
                <w:szCs w:val="1"/>
                <w:color w:val="auto"/>
              </w:rPr>
            </w:pPr>
          </w:p>
        </w:tc>
      </w:tr>
      <w:tr>
        <w:trPr>
          <w:trHeight w:val="134"/>
        </w:trPr>
        <w:tc>
          <w:tcPr>
            <w:tcW w:w="4860" w:type="dxa"/>
            <w:vAlign w:val="bottom"/>
          </w:tcPr>
          <w:p>
            <w:pPr>
              <w:ind w:left="360"/>
              <w:spacing w:after="0"/>
              <w:rPr>
                <w:sz w:val="20"/>
                <w:szCs w:val="20"/>
                <w:color w:val="auto"/>
              </w:rPr>
            </w:pPr>
            <w:r>
              <w:rPr>
                <w:rFonts w:ascii="Arial" w:cs="Arial" w:eastAsia="Arial" w:hAnsi="Arial"/>
                <w:sz w:val="10"/>
                <w:szCs w:val="10"/>
                <w:color w:val="auto"/>
              </w:rPr>
              <w:t>Operating lease liabilities</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(1,838)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(3,285)</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Other liabilities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1,123</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3,843</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Net cash provided by (used in) operating activities</w:t>
            </w:r>
          </w:p>
        </w:tc>
        <w:tc>
          <w:tcPr>
            <w:tcW w:w="2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23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12,512</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20,479</w:t>
            </w:r>
          </w:p>
        </w:tc>
        <w:tc>
          <w:tcPr>
            <w:tcW w:w="0" w:type="dxa"/>
            <w:vAlign w:val="bottom"/>
          </w:tcPr>
          <w:p>
            <w:pPr>
              <w:spacing w:after="0"/>
              <w:rPr>
                <w:sz w:val="1"/>
                <w:szCs w:val="1"/>
                <w:color w:val="auto"/>
              </w:rPr>
            </w:pPr>
          </w:p>
        </w:tc>
      </w:tr>
      <w:tr>
        <w:trPr>
          <w:trHeight w:val="122"/>
        </w:trPr>
        <w:tc>
          <w:tcPr>
            <w:tcW w:w="48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360" w:type="dxa"/>
            <w:vAlign w:val="bottom"/>
            <w:tcBorders>
              <w:lef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Purchases of property, equipment and software</w:t>
            </w:r>
          </w:p>
        </w:tc>
        <w:tc>
          <w:tcPr>
            <w:tcW w:w="2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(4,556)</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(2,226)</w:t>
            </w:r>
          </w:p>
        </w:tc>
        <w:tc>
          <w:tcPr>
            <w:tcW w:w="0" w:type="dxa"/>
            <w:vAlign w:val="bottom"/>
          </w:tcPr>
          <w:p>
            <w:pPr>
              <w:spacing w:after="0"/>
              <w:rPr>
                <w:sz w:val="1"/>
                <w:szCs w:val="1"/>
                <w:color w:val="auto"/>
              </w:rPr>
            </w:pPr>
          </w:p>
        </w:tc>
      </w:tr>
      <w:tr>
        <w:trPr>
          <w:trHeight w:val="133"/>
        </w:trPr>
        <w:tc>
          <w:tcPr>
            <w:tcW w:w="486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Net cash provided by (used in) investing activities</w:t>
            </w: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360" w:type="dxa"/>
            <w:vAlign w:val="bottom"/>
            <w:tcBorders>
              <w:left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(4,556)</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(2,226)</w:t>
            </w:r>
          </w:p>
        </w:tc>
        <w:tc>
          <w:tcPr>
            <w:tcW w:w="0" w:type="dxa"/>
            <w:vAlign w:val="bottom"/>
          </w:tcPr>
          <w:p>
            <w:pPr>
              <w:spacing w:after="0"/>
              <w:rPr>
                <w:sz w:val="1"/>
                <w:szCs w:val="1"/>
                <w:color w:val="auto"/>
              </w:rPr>
            </w:pPr>
          </w:p>
        </w:tc>
      </w:tr>
      <w:tr>
        <w:trPr>
          <w:trHeight w:val="117"/>
        </w:trPr>
        <w:tc>
          <w:tcPr>
            <w:tcW w:w="4860" w:type="dxa"/>
            <w:vAlign w:val="bottom"/>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Repayment of borrowings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(1,391)</w:t>
            </w:r>
          </w:p>
        </w:tc>
        <w:tc>
          <w:tcPr>
            <w:tcW w:w="0" w:type="dxa"/>
            <w:vAlign w:val="bottom"/>
          </w:tcPr>
          <w:p>
            <w:pPr>
              <w:spacing w:after="0"/>
              <w:rPr>
                <w:sz w:val="1"/>
                <w:szCs w:val="1"/>
                <w:color w:val="auto"/>
              </w:rPr>
            </w:pPr>
          </w:p>
        </w:tc>
      </w:tr>
      <w:tr>
        <w:trPr>
          <w:trHeight w:val="134"/>
        </w:trPr>
        <w:tc>
          <w:tcPr>
            <w:tcW w:w="4860" w:type="dxa"/>
            <w:vAlign w:val="bottom"/>
          </w:tcPr>
          <w:p>
            <w:pPr>
              <w:ind w:left="20"/>
              <w:spacing w:after="0"/>
              <w:rPr>
                <w:sz w:val="20"/>
                <w:szCs w:val="20"/>
                <w:color w:val="auto"/>
              </w:rPr>
            </w:pPr>
            <w:r>
              <w:rPr>
                <w:rFonts w:ascii="Arial" w:cs="Arial" w:eastAsia="Arial" w:hAnsi="Arial"/>
                <w:sz w:val="10"/>
                <w:szCs w:val="10"/>
                <w:color w:val="auto"/>
              </w:rPr>
              <w:t>Payment of preferred stock dividends</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(892)</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Repurchase of shares to satisfy employee tax withholding obligations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60" w:type="dxa"/>
            <w:vAlign w:val="bottom"/>
            <w:tcBorders>
              <w:left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Net cash provided by (used in) financing activities</w:t>
            </w:r>
          </w:p>
        </w:tc>
        <w:tc>
          <w:tcPr>
            <w:tcW w:w="2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23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(942)</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(2,397)</w:t>
            </w:r>
          </w:p>
        </w:tc>
        <w:tc>
          <w:tcPr>
            <w:tcW w:w="0" w:type="dxa"/>
            <w:vAlign w:val="bottom"/>
          </w:tcPr>
          <w:p>
            <w:pPr>
              <w:spacing w:after="0"/>
              <w:rPr>
                <w:sz w:val="1"/>
                <w:szCs w:val="1"/>
                <w:color w:val="auto"/>
              </w:rPr>
            </w:pPr>
          </w:p>
        </w:tc>
      </w:tr>
      <w:tr>
        <w:trPr>
          <w:trHeight w:val="133"/>
        </w:trPr>
        <w:tc>
          <w:tcPr>
            <w:tcW w:w="486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Effect of exchange rate changes on cash and cash equivalents</w:t>
            </w: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360" w:type="dxa"/>
            <w:vAlign w:val="bottom"/>
            <w:tcBorders>
              <w:left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Increase (decrease) in cash and cash equivalents</w:t>
            </w:r>
          </w:p>
        </w:tc>
        <w:tc>
          <w:tcPr>
            <w:tcW w:w="2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23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7,009</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15,861</w:t>
            </w:r>
          </w:p>
        </w:tc>
        <w:tc>
          <w:tcPr>
            <w:tcW w:w="0" w:type="dxa"/>
            <w:vAlign w:val="bottom"/>
          </w:tcPr>
          <w:p>
            <w:pPr>
              <w:spacing w:after="0"/>
              <w:rPr>
                <w:sz w:val="1"/>
                <w:szCs w:val="1"/>
                <w:color w:val="auto"/>
              </w:rPr>
            </w:pPr>
          </w:p>
        </w:tc>
      </w:tr>
      <w:tr>
        <w:trPr>
          <w:trHeight w:val="133"/>
        </w:trPr>
        <w:tc>
          <w:tcPr>
            <w:tcW w:w="486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Cash and cash equivalents at beginning of period</w:t>
            </w: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360" w:type="dxa"/>
            <w:vAlign w:val="bottom"/>
            <w:tcBorders>
              <w:left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90,809</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16,464</w:t>
            </w:r>
          </w:p>
        </w:tc>
        <w:tc>
          <w:tcPr>
            <w:tcW w:w="0" w:type="dxa"/>
            <w:vAlign w:val="bottom"/>
          </w:tcPr>
          <w:p>
            <w:pPr>
              <w:spacing w:after="0"/>
              <w:rPr>
                <w:sz w:val="1"/>
                <w:szCs w:val="1"/>
                <w:color w:val="auto"/>
              </w:rPr>
            </w:pPr>
          </w:p>
        </w:tc>
      </w:tr>
      <w:tr>
        <w:trPr>
          <w:trHeight w:val="127"/>
        </w:trPr>
        <w:tc>
          <w:tcPr>
            <w:tcW w:w="486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at end of period</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97,818</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32,325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86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b w:val="1"/>
                <w:bCs w:val="1"/>
                <w:color w:val="auto"/>
              </w:rPr>
              <w:t>Supplemental Disclosure of Cash Flow Information</w:t>
            </w:r>
          </w:p>
        </w:tc>
        <w:tc>
          <w:tcPr>
            <w:tcW w:w="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36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860" w:type="dxa"/>
            <w:vAlign w:val="bottom"/>
          </w:tcPr>
          <w:p>
            <w:pPr>
              <w:ind w:left="20"/>
              <w:spacing w:after="0"/>
              <w:rPr>
                <w:sz w:val="20"/>
                <w:szCs w:val="20"/>
                <w:color w:val="auto"/>
              </w:rPr>
            </w:pPr>
            <w:r>
              <w:rPr>
                <w:rFonts w:ascii="Arial" w:cs="Arial" w:eastAsia="Arial" w:hAnsi="Arial"/>
                <w:sz w:val="10"/>
                <w:szCs w:val="10"/>
                <w:i w:val="1"/>
                <w:iCs w:val="1"/>
                <w:color w:val="auto"/>
              </w:rPr>
              <w:t>Non-cash investing and financing activities:</w:t>
            </w: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Purchases of property, equipment and software included in accounts payable</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40" w:type="dxa"/>
            <w:vAlign w:val="bottom"/>
            <w:tcBorders>
              <w:left w:val="single" w:sz="8" w:color="CCEEFF"/>
            </w:tcBorders>
            <w:gridSpan w:val="2"/>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w:t>
            </w:r>
          </w:p>
        </w:tc>
        <w:tc>
          <w:tcPr>
            <w:tcW w:w="0" w:type="dxa"/>
            <w:vAlign w:val="bottom"/>
          </w:tcPr>
          <w:p>
            <w:pPr>
              <w:spacing w:after="0"/>
              <w:rPr>
                <w:sz w:val="1"/>
                <w:szCs w:val="1"/>
                <w:color w:val="auto"/>
              </w:rPr>
            </w:pPr>
          </w:p>
        </w:tc>
      </w:tr>
      <w:tr>
        <w:trPr>
          <w:trHeight w:val="401"/>
        </w:trPr>
        <w:tc>
          <w:tcPr>
            <w:tcW w:w="9080" w:type="dxa"/>
            <w:vAlign w:val="bottom"/>
            <w:gridSpan w:val="5"/>
          </w:tcPr>
          <w:p>
            <w:pPr>
              <w:jc w:val="center"/>
              <w:ind w:left="2150"/>
              <w:spacing w:after="0"/>
              <w:rPr>
                <w:sz w:val="20"/>
                <w:szCs w:val="20"/>
                <w:color w:val="auto"/>
              </w:rPr>
            </w:pPr>
            <w:r>
              <w:rPr>
                <w:rFonts w:ascii="Arial" w:cs="Arial" w:eastAsia="Arial" w:hAnsi="Arial"/>
                <w:sz w:val="13"/>
                <w:szCs w:val="13"/>
                <w:i w:val="1"/>
                <w:iCs w:val="1"/>
                <w:color w:val="auto"/>
                <w:w w:val="97"/>
              </w:rPr>
              <w:t>The accompanying Notes are an integral part of these Condensed Consolidated Financial Statements.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color w:val="auto"/>
              </w:rPr>
              <w:t>2024 Form 10-Q</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2360" w:type="dxa"/>
            <w:vAlign w:val="bottom"/>
            <w:tcBorders>
              <w:left w:val="single" w:sz="8" w:color="auto"/>
            </w:tcBorders>
          </w:tcPr>
          <w:p>
            <w:pPr>
              <w:jc w:val="right"/>
              <w:ind w:right="2168"/>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3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00497F"/>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497F"/>
        </w:rPr>
        <w:t>NOTES TO CONDENSED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0497F"/>
        </w:rPr>
        <w:t>(In thousands, except per share amounts, unaudited)</w:t>
      </w:r>
    </w:p>
    <w:p>
      <w:pPr>
        <w:spacing w:after="0" w:line="167" w:lineRule="exact"/>
        <w:rPr>
          <w:sz w:val="20"/>
          <w:szCs w:val="20"/>
          <w:color w:val="auto"/>
        </w:rPr>
      </w:pPr>
    </w:p>
    <w:p>
      <w:pPr>
        <w:ind w:right="6680" w:firstLine="5"/>
        <w:spacing w:after="0" w:line="536" w:lineRule="auto"/>
        <w:tabs>
          <w:tab w:leader="none" w:pos="142" w:val="left"/>
        </w:tabs>
        <w:numPr>
          <w:ilvl w:val="0"/>
          <w:numId w:val="7"/>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DESCRIPTION OF BUSINESS AND SIGNIFICANT ACCOUNTING POLICIES </w:t>
      </w:r>
      <w:r>
        <w:rPr>
          <w:rFonts w:ascii="Arial" w:cs="Arial" w:eastAsia="Arial" w:hAnsi="Arial"/>
          <w:sz w:val="13"/>
          <w:szCs w:val="13"/>
          <w:b w:val="1"/>
          <w:bCs w:val="1"/>
          <w:color w:val="000000"/>
        </w:rPr>
        <w:t>Description of Business</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65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across the nation that provide access to high quality health plans across all 50 states.</w:t>
      </w:r>
    </w:p>
    <w:p>
      <w:pPr>
        <w:spacing w:after="0" w:line="118"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primarily offer Medicare plans, including, but not limited to, Medicare Advantage, Medicare Supplement and prescription drug plans. Our proprietary technology platform leverages modern machine-learning algorithms, powered by over two decades of insurance purchasing behavior, to reimagine the process of matching a health plan to a consumer’s specific needs. Our unbiased, technology-driven marketplace coupled with highly skilled licensed agents has facilitated the enrollment of millions of consumers in Medicare plans since GoHealth’s inception. Health plan partners benefit from our platform by gaining access to the large and rapidly growing Medicare-eligible population. We believe health plan partners utilize our large-scale data, technology and efficient marketing processes to maximize scale and reduce their cost of submission, compared to health plan partner-employed agent workforces.</w:t>
      </w:r>
    </w:p>
    <w:p>
      <w:pPr>
        <w:spacing w:after="0" w:line="116"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We believe our streamlined, consumer-centric Encompass operating model drives both high quality enrollments and a strong consumer experience. Our consumer-centric approach positions us to be a trusted, high-quality enrollment partner for both consumers and health plan partners.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Significant Accounting Policies</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Condensed Consolidated Financial Statements and reports non-controlling interests for the economic interest in GHH, LLC held by the Continuing Equity Owners.</w:t>
      </w:r>
    </w:p>
    <w:p>
      <w:pPr>
        <w:spacing w:after="0" w:line="158"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The accompanying Condensed Consolidated Financial Statements have been prepared in accordance with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2023 Annual Report on Form 10-K, which was filed with the Securities and Exchange Commission on March 14, 2024.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“Consumer care and enrollment” on the Condensed Consolidated Statements of Operations, previously referred to as “customer care and enrollment” reflects a name change only and does not require any financial information to be reclassified from previous periods.</w:t>
      </w:r>
    </w:p>
    <w:p>
      <w:pPr>
        <w:spacing w:after="0" w:line="146"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There have been no material changes to the Company’s significant accounting policies from those disclosed in the notes to the Company’s audited Consolidated Financial Statements as of and for the year ended December 31, 2023, which were included in the Company’s 2023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2" w:name="page13"/>
    <w:bookmarkEnd w:id="12"/>
    <w:p>
      <w:pPr>
        <w:ind w:right="200"/>
        <w:spacing w:after="0" w:line="253"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26" w:lineRule="exact"/>
        <w:rPr>
          <w:sz w:val="20"/>
          <w:szCs w:val="20"/>
          <w:color w:val="auto"/>
        </w:rPr>
      </w:pPr>
    </w:p>
    <w:p>
      <w:pPr>
        <w:ind w:right="240"/>
        <w:spacing w:after="0" w:line="232" w:lineRule="auto"/>
        <w:rPr>
          <w:sz w:val="20"/>
          <w:szCs w:val="20"/>
          <w:color w:val="auto"/>
        </w:rPr>
      </w:pPr>
      <w:r>
        <w:rPr>
          <w:rFonts w:ascii="Arial" w:cs="Arial" w:eastAsia="Arial" w:hAnsi="Arial"/>
          <w:sz w:val="13"/>
          <w:szCs w:val="13"/>
          <w:color w:val="auto"/>
        </w:rPr>
        <w:t>The Medicare annual enrollment period (“AEP”) occurs from October 15</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to December 7</w:t>
      </w:r>
      <w:r>
        <w:rPr>
          <w:rFonts w:ascii="Arial" w:cs="Arial" w:eastAsia="Arial" w:hAnsi="Arial"/>
          <w:sz w:val="16"/>
          <w:szCs w:val="16"/>
          <w:color w:val="auto"/>
          <w:vertAlign w:val="superscript"/>
        </w:rPr>
        <w:t>th</w:t>
      </w:r>
      <w:r>
        <w:rPr>
          <w:rFonts w:ascii="Arial" w:cs="Arial" w:eastAsia="Arial" w:hAnsi="Arial"/>
          <w:sz w:val="13"/>
          <w:szCs w:val="13"/>
          <w:color w:val="auto"/>
        </w:rPr>
        <w:t>. As a result, and in general,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to March 31</w:t>
      </w:r>
      <w:r>
        <w:rPr>
          <w:rFonts w:ascii="Arial" w:cs="Arial" w:eastAsia="Arial" w:hAnsi="Arial"/>
          <w:sz w:val="16"/>
          <w:szCs w:val="16"/>
          <w:color w:val="auto"/>
          <w:vertAlign w:val="superscript"/>
        </w:rPr>
        <w:t>st</w:t>
      </w:r>
      <w:r>
        <w:rPr>
          <w:rFonts w:ascii="Arial" w:cs="Arial" w:eastAsia="Arial" w:hAnsi="Arial"/>
          <w:sz w:val="13"/>
          <w:szCs w:val="13"/>
          <w:color w:val="auto"/>
        </w:rPr>
        <w:t>, Medicare Submissions are typically second-highest in our first quarter. The second and third quarters are known as special election periods, during which Medicare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Information</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The Company has one operating and reportable segment.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9"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 xml:space="preserve">In November 2023, the Financial Accounting Standards Board (the “FASB”) issued ASU 2023-07, </w:t>
      </w:r>
      <w:r>
        <w:rPr>
          <w:rFonts w:ascii="Arial" w:cs="Arial" w:eastAsia="Arial" w:hAnsi="Arial"/>
          <w:sz w:val="13"/>
          <w:szCs w:val="13"/>
          <w:i w:val="1"/>
          <w:iCs w:val="1"/>
          <w:color w:val="auto"/>
        </w:rPr>
        <w:t>Segment Reporting (Topic 280): Improvements to Reportable Segment Disclosures</w:t>
      </w:r>
      <w:r>
        <w:rPr>
          <w:rFonts w:ascii="Arial" w:cs="Arial" w:eastAsia="Arial" w:hAnsi="Arial"/>
          <w:sz w:val="13"/>
          <w:szCs w:val="13"/>
          <w:color w:val="auto"/>
        </w:rPr>
        <w:t xml:space="preserve"> (“ASU 2023-07”), which aims to improve reportable segment disclosure requirements, primarily through enhanced disclosures about significant segment expenses. The amendments in ASU 2023-07 do not change how a public entity identifies its operating segments, aggregates those operating segments or applies the quantitative thresholds to determine its reportable segments. ASU 2023-07 is effective for fiscal years beginning after December 15, 2023, and for interim periods beginning after December 15, 2024, with early adoption permitted. The Company is currently assessing the impact on our related disclosures.</w:t>
      </w:r>
    </w:p>
    <w:p>
      <w:pPr>
        <w:spacing w:after="0" w:line="158" w:lineRule="exact"/>
        <w:rPr>
          <w:sz w:val="20"/>
          <w:szCs w:val="20"/>
          <w:color w:val="auto"/>
        </w:rPr>
      </w:pPr>
    </w:p>
    <w:p>
      <w:pPr>
        <w:ind w:right="200"/>
        <w:spacing w:after="0" w:line="252" w:lineRule="auto"/>
        <w:rPr>
          <w:sz w:val="20"/>
          <w:szCs w:val="20"/>
          <w:color w:val="auto"/>
        </w:rPr>
      </w:pPr>
      <w:r>
        <w:rPr>
          <w:rFonts w:ascii="Arial" w:cs="Arial" w:eastAsia="Arial" w:hAnsi="Arial"/>
          <w:sz w:val="13"/>
          <w:szCs w:val="13"/>
          <w:color w:val="auto"/>
        </w:rPr>
        <w:t xml:space="preserve">In December 2023, the FASB issued ASU 2023-09, </w:t>
      </w:r>
      <w:r>
        <w:rPr>
          <w:rFonts w:ascii="Arial" w:cs="Arial" w:eastAsia="Arial" w:hAnsi="Arial"/>
          <w:sz w:val="13"/>
          <w:szCs w:val="13"/>
          <w:i w:val="1"/>
          <w:iCs w:val="1"/>
          <w:color w:val="auto"/>
        </w:rPr>
        <w:t>Income Taxes (Topic 740): Improvements to Income Tax Disclosures</w:t>
      </w:r>
      <w:r>
        <w:rPr>
          <w:rFonts w:ascii="Arial" w:cs="Arial" w:eastAsia="Arial" w:hAnsi="Arial"/>
          <w:sz w:val="13"/>
          <w:szCs w:val="13"/>
          <w:color w:val="auto"/>
        </w:rPr>
        <w:t xml:space="preserve"> ("ASU 2023-09"). ASU 2023-09 enhanced annual disclosures regarding the income tax rate reconciliation and income taxes paid information. For public business entities, ASU 2023-09 is effective for annual periods beginning after December 15, 2024. The Company is currently assessing the impact on our related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2. FAIR VALUE MEASUREMENTS</w:t>
      </w:r>
    </w:p>
    <w:p>
      <w:pPr>
        <w:spacing w:after="0" w:line="190" w:lineRule="exact"/>
        <w:rPr>
          <w:sz w:val="20"/>
          <w:szCs w:val="20"/>
          <w:color w:val="auto"/>
        </w:rPr>
      </w:pPr>
    </w:p>
    <w:p>
      <w:pPr>
        <w:ind w:right="120"/>
        <w:spacing w:after="0" w:line="292" w:lineRule="auto"/>
        <w:rPr>
          <w:sz w:val="20"/>
          <w:szCs w:val="20"/>
          <w:color w:val="auto"/>
        </w:rPr>
      </w:pPr>
      <w:r>
        <w:rPr>
          <w:rFonts w:ascii="Arial" w:cs="Arial" w:eastAsia="Arial" w:hAnsi="Arial"/>
          <w:sz w:val="12"/>
          <w:szCs w:val="12"/>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p>
      <w:pPr>
        <w:sectPr>
          <w:pgSz w:w="11900" w:h="16838" w:orient="portrait"/>
          <w:cols w:equalWidth="0" w:num="1">
            <w:col w:w="11280"/>
          </w:cols>
          <w:pgMar w:left="300" w:top="1073" w:right="31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13741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13741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3 Inputs</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57334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line="11"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73341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Unobservable inputs for the asset or liability.</w:t>
      </w:r>
    </w:p>
    <w:p>
      <w:pPr>
        <w:spacing w:after="0" w:line="571" w:lineRule="exact"/>
        <w:rPr>
          <w:sz w:val="20"/>
          <w:szCs w:val="20"/>
          <w:color w:val="auto"/>
        </w:rPr>
      </w:pPr>
    </w:p>
    <w:p>
      <w:pPr>
        <w:sectPr>
          <w:pgSz w:w="11900" w:h="16838" w:orient="portrait"/>
          <w:cols w:equalWidth="0" w:num="2">
            <w:col w:w="1540" w:space="720"/>
            <w:col w:w="9020"/>
          </w:cols>
          <w:pgMar w:left="300" w:top="1073" w:right="319" w:bottom="1440" w:gutter="0" w:footer="0" w:header="0"/>
          <w:type w:val="continuous"/>
        </w:sectPr>
      </w:pPr>
    </w:p>
    <w:p>
      <w:pPr>
        <w:ind w:right="200"/>
        <w:spacing w:after="0" w:line="283" w:lineRule="auto"/>
        <w:rPr>
          <w:sz w:val="20"/>
          <w:szCs w:val="20"/>
          <w:color w:val="auto"/>
        </w:rPr>
      </w:pPr>
      <w:r>
        <w:rPr>
          <w:rFonts w:ascii="Arial" w:cs="Arial" w:eastAsia="Arial" w:hAnsi="Arial"/>
          <w:sz w:val="13"/>
          <w:szCs w:val="13"/>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13" w:name="page14"/>
    <w:bookmarkEnd w:id="13"/>
    <w:p>
      <w:pPr>
        <w:ind w:right="80"/>
        <w:spacing w:after="0" w:line="250"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operating lease impairment charges of $2.7 million during the second fiscal quarter of 2023. The Company recorded no operating lease impairment charges for the three months ended March 31, 2024 and 2023. The Company continues to evaluate its portfolio of properties, and thus it is possible that impairments could be identified in future periods, and such amounts could be material. The operating lease impairment charges reduce the carrying value of the associated right-of-use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48"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During the twelve months ended December 31, 2023, the Company recorded indefinite-lived trade names impairment charges of $10.0 million. The Company recorded no indefinite-lived trade names impairment charges for the three months ended March 31, 2024 and 2023. Determination of the fair value of the indefinite-lived trade names involves estimates and assumptions which are considered a level 3 input in the fair value hierarchy. For more information, refer to Note 3 “Intangible Assets, Net.”</w:t>
      </w:r>
    </w:p>
    <w:p>
      <w:pPr>
        <w:spacing w:after="0" w:line="149" w:lineRule="exact"/>
        <w:rPr>
          <w:sz w:val="20"/>
          <w:szCs w:val="20"/>
          <w:color w:val="auto"/>
        </w:rPr>
      </w:pPr>
    </w:p>
    <w:p>
      <w:pPr>
        <w:ind w:right="9500" w:firstLine="5"/>
        <w:spacing w:after="0" w:line="512" w:lineRule="auto"/>
        <w:tabs>
          <w:tab w:leader="none" w:pos="142" w:val="left"/>
        </w:tabs>
        <w:numPr>
          <w:ilvl w:val="0"/>
          <w:numId w:val="8"/>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INTANGIBLE ASSETS, NET </w:t>
      </w:r>
      <w:r>
        <w:rPr>
          <w:rFonts w:ascii="Arial" w:cs="Arial" w:eastAsia="Arial" w:hAnsi="Arial"/>
          <w:sz w:val="13"/>
          <w:szCs w:val="13"/>
          <w:b w:val="1"/>
          <w:bCs w:val="1"/>
          <w:color w:val="000000"/>
        </w:rPr>
        <w:t>Intangible Assets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Fourth Quarter 2023 Indefinite-Lived Intangible Asset Impairment Charges</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In connection with its annual indefinite-lived impairment test performed as of November 30, 2023, the Company determined that the fair value of its indefinite-lived trade names no longer exceeded their carrying value. As a result, during the twelve months ended December 31, 2023, the Company recorded indefinite-lived trade names impairment charges of $10.0 million to write down the carrying value of the indefinite-lived trade names to their fair value of $73.0 million. Determination of fair value involves utilizing the relief-from-royalty under the income approach which contains significant estimates and assumptions including, among others, revenue projections as well as selecting appropriate royalty and discount rates, which are considered level 3 inputs in the fair value hierarchy. The indefinite-lived trade names impairment charge was a result of an increase in the discount rate driven by changes in forecast assumptions from the prior year. While the Company believes the judgments and assumptions are reasonable, different assumptions could change the estimated fair value and, therefore, additional impairments could be required.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of intangible assets for the three months ended March 31, 2024 and 2023.</w:t>
      </w:r>
    </w:p>
    <w:p>
      <w:pPr>
        <w:spacing w:after="0" w:line="169"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The gross carrying amounts, accumulated amortization and net carrying amounts of the Company’s definite-lived amortizable intangible assets, as well as its indefinite-lived intangible trade names,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Mar. 31, 2024</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Gross Carrying Amount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Accumulated Amortization</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322,400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173,600</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105,560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126,440</w:t>
            </w: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427,960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300,040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73,000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373,040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Dec.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Gross Carrying Amount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Accumulated Amortization</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304,686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191,314</w:t>
            </w:r>
          </w:p>
        </w:tc>
        <w:tc>
          <w:tcPr>
            <w:tcW w:w="0" w:type="dxa"/>
            <w:vAlign w:val="bottom"/>
          </w:tcPr>
          <w:p>
            <w:pPr>
              <w:spacing w:after="0"/>
              <w:rPr>
                <w:sz w:val="1"/>
                <w:szCs w:val="1"/>
                <w:color w:val="auto"/>
              </w:rPr>
            </w:pP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99,760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132,240</w:t>
            </w:r>
          </w:p>
        </w:tc>
        <w:tc>
          <w:tcPr>
            <w:tcW w:w="0" w:type="dxa"/>
            <w:vAlign w:val="bottom"/>
          </w:tcPr>
          <w:p>
            <w:pPr>
              <w:spacing w:after="0"/>
              <w:rPr>
                <w:sz w:val="1"/>
                <w:szCs w:val="1"/>
                <w:color w:val="auto"/>
              </w:rPr>
            </w:pPr>
          </w:p>
        </w:tc>
      </w:tr>
      <w:tr>
        <w:trPr>
          <w:trHeight w:val="173"/>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404,446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323,554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Indefinite-lived trade names</w:t>
            </w: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73,000</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396,554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3"/>
                <w:szCs w:val="13"/>
                <w:color w:val="auto"/>
              </w:rPr>
              <w:t>As of March 31, 2024, expected amortization expense related to intangible assets for each of the five succeeding years is as follows:</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9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2024 Form 10-Q</w:t>
            </w:r>
          </w:p>
        </w:tc>
        <w:tc>
          <w:tcPr>
            <w:tcW w:w="15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360" w:type="dxa"/>
            <w:vAlign w:val="bottom"/>
          </w:tcPr>
          <w:p>
            <w:pPr>
              <w:jc w:val="right"/>
              <w:ind w:right="112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5"/>
        </w:trPr>
        <w:tc>
          <w:tcPr>
            <w:tcW w:w="6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3"/>
                <w:szCs w:val="13"/>
                <w:color w:val="auto"/>
              </w:rPr>
            </w:pP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Developed Technology</w:t>
            </w:r>
          </w:p>
        </w:tc>
        <w:tc>
          <w:tcPr>
            <w:tcW w:w="14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Arial" w:cs="Arial" w:eastAsia="Arial" w:hAnsi="Arial"/>
                <w:sz w:val="11"/>
                <w:szCs w:val="11"/>
                <w:b w:val="1"/>
                <w:bCs w:val="1"/>
                <w:color w:val="auto"/>
              </w:rPr>
              <w:t>Customer Relationships</w:t>
            </w:r>
          </w:p>
        </w:tc>
        <w:tc>
          <w:tcPr>
            <w:tcW w:w="380" w:type="dxa"/>
            <w:vAlign w:val="bottom"/>
          </w:tcPr>
          <w:p>
            <w:pPr>
              <w:spacing w:after="0"/>
              <w:rPr>
                <w:sz w:val="13"/>
                <w:szCs w:val="13"/>
                <w:color w:val="auto"/>
              </w:rPr>
            </w:pPr>
          </w:p>
        </w:tc>
        <w:tc>
          <w:tcPr>
            <w:tcW w:w="1260" w:type="dxa"/>
            <w:vAlign w:val="bottom"/>
          </w:tcPr>
          <w:p>
            <w:pPr>
              <w:jc w:val="right"/>
              <w:ind w:right="623"/>
              <w:spacing w:after="0"/>
              <w:rPr>
                <w:sz w:val="20"/>
                <w:szCs w:val="20"/>
                <w:color w:val="auto"/>
              </w:rPr>
            </w:pPr>
            <w:r>
              <w:rPr>
                <w:rFonts w:ascii="Arial" w:cs="Arial" w:eastAsia="Arial" w:hAnsi="Arial"/>
                <w:sz w:val="11"/>
                <w:szCs w:val="11"/>
                <w:b w:val="1"/>
                <w:bCs w:val="1"/>
                <w:color w:val="auto"/>
              </w:rPr>
              <w:t>Total</w:t>
            </w:r>
          </w:p>
        </w:tc>
      </w:tr>
      <w:tr>
        <w:trPr>
          <w:trHeight w:val="15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Remainder of 2024</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53,143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17,400</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70,543</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2025</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72,800</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2027</w:t>
            </w:r>
          </w:p>
        </w:tc>
        <w:tc>
          <w:tcPr>
            <w:tcW w:w="14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23,200</w:t>
            </w:r>
          </w:p>
        </w:tc>
      </w:tr>
      <w:tr>
        <w:trPr>
          <w:trHeight w:val="162"/>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1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23,200</w:t>
            </w:r>
          </w:p>
        </w:tc>
      </w:tr>
      <w:tr>
        <w:trPr>
          <w:trHeight w:val="156"/>
        </w:trPr>
        <w:tc>
          <w:tcPr>
            <w:tcW w:w="6180" w:type="dxa"/>
            <w:vAlign w:val="bottom"/>
          </w:tcPr>
          <w:p>
            <w:pPr>
              <w:ind w:left="20"/>
              <w:spacing w:after="0"/>
              <w:rPr>
                <w:sz w:val="20"/>
                <w:szCs w:val="20"/>
                <w:color w:val="auto"/>
              </w:rPr>
            </w:pPr>
            <w:r>
              <w:rPr>
                <w:rFonts w:ascii="Arial" w:cs="Arial" w:eastAsia="Arial" w:hAnsi="Arial"/>
                <w:sz w:val="11"/>
                <w:szCs w:val="11"/>
                <w:color w:val="auto"/>
              </w:rPr>
              <w:t>Thereafter</w:t>
            </w:r>
          </w:p>
        </w:tc>
        <w:tc>
          <w:tcPr>
            <w:tcW w:w="14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16,240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16,240</w:t>
            </w:r>
          </w:p>
        </w:tc>
      </w:tr>
      <w:tr>
        <w:trPr>
          <w:trHeight w:val="17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173,600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126,440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300,040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4.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Company’s long-term debt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 31, 2024</w:t>
            </w:r>
          </w:p>
        </w:tc>
        <w:tc>
          <w:tcPr>
            <w:tcW w:w="260" w:type="dxa"/>
            <w:vAlign w:val="bottom"/>
          </w:tcPr>
          <w:p>
            <w:pPr>
              <w:spacing w:after="0"/>
              <w:rPr>
                <w:sz w:val="13"/>
                <w:szCs w:val="13"/>
                <w:color w:val="auto"/>
              </w:rPr>
            </w:pPr>
          </w:p>
        </w:tc>
        <w:tc>
          <w:tcPr>
            <w:tcW w:w="1380" w:type="dxa"/>
            <w:vAlign w:val="bottom"/>
          </w:tcPr>
          <w:p>
            <w:pPr>
              <w:jc w:val="right"/>
              <w:ind w:right="403"/>
              <w:spacing w:after="0"/>
              <w:rPr>
                <w:sz w:val="20"/>
                <w:szCs w:val="20"/>
                <w:color w:val="auto"/>
              </w:rPr>
            </w:pPr>
            <w:r>
              <w:rPr>
                <w:rFonts w:ascii="Arial" w:cs="Arial" w:eastAsia="Arial" w:hAnsi="Arial"/>
                <w:sz w:val="11"/>
                <w:szCs w:val="11"/>
                <w:b w:val="1"/>
                <w:bCs w:val="1"/>
                <w:color w:val="auto"/>
              </w:rPr>
              <w:t>Dec. 31, 2023</w:t>
            </w:r>
          </w:p>
        </w:tc>
        <w:tc>
          <w:tcPr>
            <w:tcW w:w="0" w:type="dxa"/>
            <w:vAlign w:val="bottom"/>
          </w:tcPr>
          <w:p>
            <w:pPr>
              <w:spacing w:after="0"/>
              <w:rPr>
                <w:sz w:val="1"/>
                <w:szCs w:val="1"/>
                <w:color w:val="auto"/>
              </w:rPr>
            </w:pPr>
          </w:p>
        </w:tc>
      </w:tr>
      <w:tr>
        <w:trPr>
          <w:trHeight w:val="150"/>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Term Loan Facilities</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502,796</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502,796</w:t>
            </w:r>
          </w:p>
        </w:tc>
        <w:tc>
          <w:tcPr>
            <w:tcW w:w="0" w:type="dxa"/>
            <w:vAlign w:val="bottom"/>
          </w:tcPr>
          <w:p>
            <w:pPr>
              <w:spacing w:after="0"/>
              <w:rPr>
                <w:sz w:val="1"/>
                <w:szCs w:val="1"/>
                <w:color w:val="auto"/>
              </w:rPr>
            </w:pPr>
          </w:p>
        </w:tc>
      </w:tr>
      <w:tr>
        <w:trPr>
          <w:trHeight w:val="15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Unamortized debt discount and issuance costs</w:t>
            </w: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(17,472)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(5,091)</w:t>
            </w:r>
          </w:p>
        </w:tc>
        <w:tc>
          <w:tcPr>
            <w:tcW w:w="0" w:type="dxa"/>
            <w:vAlign w:val="bottom"/>
          </w:tcPr>
          <w:p>
            <w:pPr>
              <w:spacing w:after="0"/>
              <w:rPr>
                <w:sz w:val="1"/>
                <w:szCs w:val="1"/>
                <w:color w:val="auto"/>
              </w:rPr>
            </w:pPr>
          </w:p>
        </w:tc>
      </w:tr>
      <w:tr>
        <w:trPr>
          <w:trHeight w:val="17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485,324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497,705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Less: Current portion of long-term debt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880" w:type="dxa"/>
            <w:vAlign w:val="bottom"/>
            <w:tcBorders>
              <w:bottom w:val="single" w:sz="8" w:color="CCEEFF"/>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(75,000)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(75,000)</w:t>
            </w:r>
          </w:p>
        </w:tc>
        <w:tc>
          <w:tcPr>
            <w:tcW w:w="0" w:type="dxa"/>
            <w:vAlign w:val="bottom"/>
          </w:tcPr>
          <w:p>
            <w:pPr>
              <w:spacing w:after="0"/>
              <w:rPr>
                <w:sz w:val="1"/>
                <w:szCs w:val="1"/>
                <w:color w:val="auto"/>
              </w:rPr>
            </w:pPr>
          </w:p>
        </w:tc>
      </w:tr>
      <w:tr>
        <w:trPr>
          <w:trHeight w:val="17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long-term debt</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410,324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422,705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Maturities of long-term debt for each of the next five years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6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2024</w:t>
            </w:r>
          </w:p>
        </w:tc>
        <w:tc>
          <w:tcPr>
            <w:tcW w:w="620" w:type="dxa"/>
            <w:vAlign w:val="bottom"/>
            <w:shd w:val="clear" w:color="auto" w:fill="CCEEFF"/>
          </w:tcPr>
          <w:p>
            <w:pPr>
              <w:jc w:val="right"/>
              <w:ind w:right="48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w:t>
            </w: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2025</w:t>
            </w:r>
          </w:p>
        </w:tc>
        <w:tc>
          <w:tcPr>
            <w:tcW w:w="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427,796</w:t>
            </w: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2027</w:t>
            </w:r>
          </w:p>
        </w:tc>
        <w:tc>
          <w:tcPr>
            <w:tcW w:w="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502,796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 Loan Facilities</w:t>
      </w:r>
    </w:p>
    <w:p>
      <w:pPr>
        <w:spacing w:after="0" w:line="179" w:lineRule="exact"/>
        <w:rPr>
          <w:sz w:val="20"/>
          <w:szCs w:val="20"/>
          <w:color w:val="auto"/>
        </w:rPr>
      </w:pPr>
    </w:p>
    <w:p>
      <w:pPr>
        <w:ind w:right="380"/>
        <w:spacing w:after="0" w:line="281" w:lineRule="auto"/>
        <w:rPr>
          <w:sz w:val="20"/>
          <w:szCs w:val="20"/>
          <w:color w:val="auto"/>
        </w:rPr>
      </w:pPr>
      <w:r>
        <w:rPr>
          <w:rFonts w:ascii="Arial" w:cs="Arial" w:eastAsia="Arial" w:hAnsi="Arial"/>
          <w:sz w:val="12"/>
          <w:szCs w:val="12"/>
          <w:color w:val="auto"/>
        </w:rPr>
        <w:t>During 2019, Norvax (the “Borrower”) entered into a first lien credit agreement (as amended from time to time, the “Credit Agreement”) which provided for, among other items as further described below, (i) $117.0 million of incremental term loans (the “Incremental Term Loan Facility”), (ii) a new class of incremental term loans (the “2021 Incremental Term Loans”) in an aggregate principal amount equal to $310.0 million and (iii) a new class of incremental term loans (the “2021-2 Incremental Term Loans”) in an aggregate principal amount equal to $100.0 million. The Company collectively refers to the Initial Term Loan Facility, the Incremental Term Loan Facility, the 2021 Incremental Term Loans and the 2021-2 Incremental Term Loans as the “Term Loan Facilities.”</w:t>
      </w:r>
    </w:p>
    <w:p>
      <w:pPr>
        <w:spacing w:after="0" w:line="128"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The Term Loan Facilities all bear interest at either (i) ABR plus 6.5% per annum or (ii) SOFR plus 7.5% per annum. Per Amendment No. 11 to the Credit Agreement (“Amendment No. 11”), as further described below, after August 31, 2024 the Term Loan Facilities all bear interest at either ABR plus 7.0% or SOFR plus 8.0%.</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On March 12, 2024, the Borrower entered into Amendment No. 11. Prior to Amendment No. 11, the Revolving Credit Facilities (as defined below) were separated into two classes of revolving commitments consisting of Class A Revolving Commitments in the amount of $30.0 million (the “Class A Revolving Commitments”) and Class B Revolving Commitments in the amount of $170.0 million (the “Class B Revolving Commitments”), each maturing on September 13, 2024. In connection with Amendment No. 11, each existing lender under the Class A Revolving Commitments and the Class B Revolving Commitments received the option to extend the maturity of their respective commitments through June 30, 2025. Under the terms of Amendment No. 11, the lenders consenting to the extension formed a new tranche of Class A Revolving Commitments (the “New Class A Revolving Commitments”) and the non-consenting lenders remain part of the existing Class B Revolving Commitments (the “Remaining Class B Revolving Commitments”). Each consenting lender received a 50.0% commitment reduction, resulting in a total of $88.5 million available to the Borrower under the New Class A Revolving Commitments, with $23.0 million remaining available to the Borrower under the Remaining Class B Revolving Commitments. The New Class A Revolving Commitments mature on June 30, 2025 and bear interest at either ABR plus 5.5% per annum or SOFR plus 6.5% per annum. The Remaining Class B Revolving Commitments continue to mature on September 13, 2024 and bear interest at either ABR plus 3.0% per annum or SOFR plus 4.0% per annum. In addition, Amendment No. 11 amended the Credit Agreement to, among other things, (i) increase the interest rate applicable to the Term Loan Facilities after August 31, 2024 to either ABR plus 7.0% or SOFR plus 8.0%, (ii)</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3"/>
          <w:szCs w:val="13"/>
          <w:color w:val="auto"/>
        </w:rPr>
        <w:t>modify the financial covenant testing to be based on a Net Cash Leverage Ratio, as defined in Amendment No. 11, for reporting periods from December 31, 2023 and onwards, (iii) require the Borrower to repay $50.0 million and $25.0 million in borrowings under the Term Loan Facilities by April 12, 2024 and October 15, 2024, respectively together with applicable consent fees and (iv) modify the permitted usage of certain of the baskets available under the Credit Agreement. Finally, Amendment No. 11 provides that if the Borrower undertakes a securitization transaction prior to the maturity of the New Class A Revolving Commitments, the New Class A Revolving Commitments will further be reduced by 50.0%.</w:t>
      </w:r>
    </w:p>
    <w:p>
      <w:pPr>
        <w:spacing w:after="0" w:line="155" w:lineRule="exact"/>
        <w:rPr>
          <w:sz w:val="20"/>
          <w:szCs w:val="20"/>
          <w:color w:val="auto"/>
        </w:rPr>
      </w:pPr>
    </w:p>
    <w:p>
      <w:pPr>
        <w:jc w:val="both"/>
        <w:ind w:right="160"/>
        <w:spacing w:after="0" w:line="252" w:lineRule="auto"/>
        <w:rPr>
          <w:sz w:val="20"/>
          <w:szCs w:val="20"/>
          <w:color w:val="auto"/>
        </w:rPr>
      </w:pPr>
      <w:r>
        <w:rPr>
          <w:rFonts w:ascii="Arial" w:cs="Arial" w:eastAsia="Arial" w:hAnsi="Arial"/>
          <w:sz w:val="13"/>
          <w:szCs w:val="13"/>
          <w:color w:val="auto"/>
        </w:rPr>
        <w:t>As of both March 31, 2024 and December 31, 2023, the Borrower had a principal amount of $110.4 million, $296.3 million and $96.1 million outstanding under the Incremental Term Loan Facility, the 2021 Incremental Term Loans, and the 2021-2 Incremental Term Loans, respectively. The effective interest rate of the Term Loan Facilities was 12.9% at March 31, 2024 and 13.0% at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remaining unpaid balance on the Term Loan Facilities, together with all accrued and unpaid interest thereon, is due and payable on or prior to September 13, 2025.</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Revolving Credit Facilities</w:t>
      </w:r>
    </w:p>
    <w:p>
      <w:pPr>
        <w:spacing w:after="0" w:line="190" w:lineRule="exact"/>
        <w:rPr>
          <w:sz w:val="20"/>
          <w:szCs w:val="20"/>
          <w:color w:val="auto"/>
        </w:rPr>
      </w:pPr>
    </w:p>
    <w:p>
      <w:pPr>
        <w:ind w:right="260"/>
        <w:spacing w:after="0" w:line="241" w:lineRule="auto"/>
        <w:rPr>
          <w:sz w:val="20"/>
          <w:szCs w:val="20"/>
          <w:color w:val="auto"/>
        </w:rPr>
      </w:pPr>
      <w:r>
        <w:rPr>
          <w:rFonts w:ascii="Arial" w:cs="Arial" w:eastAsia="Arial" w:hAnsi="Arial"/>
          <w:sz w:val="12"/>
          <w:szCs w:val="12"/>
          <w:color w:val="auto"/>
        </w:rPr>
        <w:t>In addition, the Credit Agreement provides for senior secured revolving credit facilities (collectively, the “Revolving Credit Facilities”). As described above, prior to Amendment No. 11 the Revolving Credit Facilities were separated into two classes of revolving commitments consisting of Class A Revolving Commitments in the amount of $30.0 million and Class B Revolving Commitments in the</w:t>
      </w:r>
    </w:p>
    <w:p>
      <w:pPr>
        <w:ind w:right="60"/>
        <w:spacing w:after="0" w:line="239" w:lineRule="auto"/>
        <w:rPr>
          <w:sz w:val="20"/>
          <w:szCs w:val="20"/>
          <w:color w:val="auto"/>
        </w:rPr>
      </w:pPr>
      <w:r>
        <w:rPr>
          <w:rFonts w:ascii="Arial" w:cs="Arial" w:eastAsia="Arial" w:hAnsi="Arial"/>
          <w:sz w:val="12"/>
          <w:szCs w:val="12"/>
          <w:color w:val="auto"/>
        </w:rPr>
        <w:t>amount of $170.0 million, each maturing on September 13, 2024. Effective March 12, 2024, Amendment No. 11 changed the two classes of revolving commitments resulting in a total of $88.5 million remaining available to the Borrower under the New Class A Revolving Commitments, and $23.0 million remaining available to the Borrower under the Remaining Class B Revolving Commitments. The New Class A Revolving Commitments mature on June 30, 2025 and bear interest at either ABR plus 5.5% per annum or SOFR plus 6.5% per annum. The Remaining Class B Revolving Commitments</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3"/>
          <w:szCs w:val="13"/>
          <w:color w:val="auto"/>
        </w:rPr>
        <w:t>continue to mature on September 13, 2024 and bear interest at either ABR plus 3.0% per annum or SOFR plus 4.0% per annum. The Borrower is required to pay a commitment fee of 0.5% per annum under the Revolving Credit Facilities.</w:t>
      </w:r>
    </w:p>
    <w:p>
      <w:pPr>
        <w:spacing w:after="0" w:line="152"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Borrower had no amounts outstanding under the Revolving Credit Facilities as of both March 31, 2024 and December 31, 2023. The Revolving Credit Facilities have a remaining capacity of $111.5 million and $200.0 million in the aggregate as of March 31, 2024 and December 31, 2023,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Voluntary Prepayment</w:t>
      </w:r>
    </w:p>
    <w:p>
      <w:pPr>
        <w:spacing w:after="0" w:line="169" w:lineRule="exact"/>
        <w:rPr>
          <w:sz w:val="20"/>
          <w:szCs w:val="20"/>
          <w:color w:val="auto"/>
        </w:rPr>
      </w:pPr>
    </w:p>
    <w:p>
      <w:pPr>
        <w:ind w:right="560"/>
        <w:spacing w:after="0" w:line="283" w:lineRule="auto"/>
        <w:rPr>
          <w:sz w:val="20"/>
          <w:szCs w:val="20"/>
          <w:color w:val="auto"/>
        </w:rPr>
      </w:pPr>
      <w:r>
        <w:rPr>
          <w:rFonts w:ascii="Arial" w:cs="Arial" w:eastAsia="Arial" w:hAnsi="Arial"/>
          <w:sz w:val="13"/>
          <w:szCs w:val="13"/>
          <w:color w:val="auto"/>
        </w:rPr>
        <w:t>The Borrower may voluntarily prepay outstanding borrowings under the Term Loan Facilities at any time in whole or in part without premium or penalty; provided, that, with respect to voluntary prepayments of the Term Loan Facilities and in certain other circumstances, the Borrower may have to pay a prepayment premium.</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Mandatory Prepayments</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As described above, Amendment No. 11 requires the Borrower to repay $50.0 million and $25.0 million in borrowings under the Term Loan Facilities by April 12, 2024 and October 15, 2024, respectively. The Borrower is also required to pay consent fees on April 12, 2024 and August 30, 2024 in the amount of 2.0% and 1.0%, respectively, of the aggregate principal balance of Term Loan Facilities outstanding after any mandatory prepayments. Subject to these terms, the Borrower paid $50.0 million and $9.1 million on April 4, 2024 related to the Term Loan Facilities repayment and the required consent fees, respectively.</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The Credit Agreement requires the Borrower to repay amounts equal to 100.0%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twelve months after the receipt of such net proceeds, then no prepayment shall be required except to the extent such net proceeds have not been so invested (or committed to be invested) by the end of such 12-month period.</w:t>
      </w:r>
    </w:p>
    <w:p>
      <w:pPr>
        <w:spacing w:after="0" w:line="155"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Credit Agreement requires 100.0% of the net proceeds from the issuance or incurrence of certain indebtedness to be applied to prepay the term loans under the Term Loan Facilities, except to the extent the indebtedness constitutes refinancing indebtedness.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Guarantees and Security</w:t>
      </w:r>
    </w:p>
    <w:p>
      <w:pPr>
        <w:spacing w:after="0" w:line="169"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Covenants and Other Matters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6" w:name="page17"/>
    <w:bookmarkEnd w:id="16"/>
    <w:p>
      <w:pPr>
        <w:ind w:right="80"/>
        <w:spacing w:after="0" w:line="249" w:lineRule="auto"/>
        <w:rPr>
          <w:sz w:val="20"/>
          <w:szCs w:val="20"/>
          <w:color w:val="auto"/>
        </w:rPr>
      </w:pPr>
      <w:r>
        <w:rPr>
          <w:rFonts w:ascii="Arial" w:cs="Arial" w:eastAsia="Arial" w:hAnsi="Arial"/>
          <w:sz w:val="13"/>
          <w:szCs w:val="13"/>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Borrower and subsidiaries; change their fiscal year; and amend or modify governing documents. In addition, the Credit Agreement contains financial and non-financial covenants including a financial covenant based on a Total Net Cash Leverage Ratio, which is defined as the ratio of consolidated total net debt as of the last day of the testing period to consolidated Cash EBITDA for the period. The Total Net Cash Leverage Ratio must be below 4.50:1.00 for the period ending March 31, 2024 after which the Total Net Cash Leverage Ratio covenant will increase to 4.75:1.00 for the periods ending June 30, 2024 and September 30, 2024. For the period ending December 31, 2024 the Total Net Cash Leverage Ratio covenant will decrease to 3.50:1.00 before decreasing further to 2.75:1.00 on March 31, 2025 until the maturity of the Credit Agreement. The Borrower is in compliance with all covenants as of March 31, 2024.</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Borrower’s assets are restricted from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5. STOCKHOLDERS' EQUITY</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spacing w:after="0" w:line="140"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4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31"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spacing w:after="0" w:line="155" w:lineRule="exact"/>
        <w:rPr>
          <w:sz w:val="20"/>
          <w:szCs w:val="20"/>
          <w:color w:val="auto"/>
        </w:rPr>
      </w:pPr>
    </w:p>
    <w:p>
      <w:pPr>
        <w:ind w:right="380"/>
        <w:spacing w:after="0" w:line="252" w:lineRule="auto"/>
        <w:rPr>
          <w:sz w:val="20"/>
          <w:szCs w:val="20"/>
          <w:color w:val="auto"/>
        </w:rPr>
      </w:pPr>
      <w:r>
        <w:rPr>
          <w:rFonts w:ascii="Arial" w:cs="Arial" w:eastAsia="Arial" w:hAnsi="Arial"/>
          <w:sz w:val="13"/>
          <w:szCs w:val="13"/>
          <w:color w:val="auto"/>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three months ended March 31, 2024 and 2023 were 56.8% and 59.3%, respectively.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17" w:name="page18"/>
    <w:bookmarkEnd w:id="17"/>
    <w:p>
      <w:pPr>
        <w:ind w:right="20"/>
        <w:spacing w:after="0" w:line="253" w:lineRule="auto"/>
        <w:rPr>
          <w:sz w:val="20"/>
          <w:szCs w:val="20"/>
          <w:color w:val="auto"/>
        </w:rPr>
      </w:pPr>
      <w:r>
        <w:rPr>
          <w:rFonts w:ascii="Arial" w:cs="Arial" w:eastAsia="Arial" w:hAnsi="Arial"/>
          <w:sz w:val="13"/>
          <w:szCs w:val="13"/>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Redeemable Convertible Preferred Stock</w:t>
      </w:r>
    </w:p>
    <w:p>
      <w:pPr>
        <w:spacing w:after="0" w:line="169" w:lineRule="exact"/>
        <w:rPr>
          <w:sz w:val="20"/>
          <w:szCs w:val="20"/>
          <w:color w:val="auto"/>
        </w:rPr>
      </w:pPr>
    </w:p>
    <w:p>
      <w:pPr>
        <w:jc w:val="both"/>
        <w:ind w:right="140"/>
        <w:spacing w:after="0" w:line="261" w:lineRule="auto"/>
        <w:rPr>
          <w:sz w:val="20"/>
          <w:szCs w:val="20"/>
          <w:color w:val="auto"/>
        </w:rPr>
      </w:pPr>
      <w:r>
        <w:rPr>
          <w:rFonts w:ascii="Arial" w:cs="Arial" w:eastAsia="Arial" w:hAnsi="Arial"/>
          <w:sz w:val="13"/>
          <w:szCs w:val="13"/>
          <w:color w:val="auto"/>
        </w:rPr>
        <w:t>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w:t>
      </w:r>
    </w:p>
    <w:p>
      <w:pPr>
        <w:spacing w:after="0" w:line="138"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The Company is authorized to issue 20,000,000 shares of preferred stock with a par value of $0.0001 per share as of both March 31, 2024 and December 31, 2023,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w:t>
      </w:r>
    </w:p>
    <w:p>
      <w:pPr>
        <w:spacing w:after="0" w:line="138"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three months ended March 31, 2024, the Company accrued $0.9 million of dividends relating to the Series A redeemable convertible preferred stock that were not paid in cash. The accrued dividends are included in temporary equity on the Condensed Consolidated Balance Sheets. For the three months ended March 31, 2023, the Company paid in cash $0.9 million of dividends relating to the Series A redeemable convertible preferred stock.</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March 31, 2024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Nasdaq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spacing w:after="0" w:line="158"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15</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8" w:name="page19"/>
    <w:bookmarkEnd w:id="18"/>
    <w:p>
      <w:pPr>
        <w:ind w:right="100"/>
        <w:spacing w:after="0" w:line="261" w:lineRule="auto"/>
        <w:rPr>
          <w:sz w:val="20"/>
          <w:szCs w:val="20"/>
          <w:color w:val="auto"/>
        </w:rPr>
      </w:pPr>
      <w:r>
        <w:rPr>
          <w:rFonts w:ascii="Arial" w:cs="Arial" w:eastAsia="Arial" w:hAnsi="Arial"/>
          <w:sz w:val="13"/>
          <w:szCs w:val="13"/>
          <w:color w:val="auto"/>
        </w:rPr>
        <w:t>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spacing w:after="0" w:line="138"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Nasdaq Rules. The Series A-1 convertible preferred stock is not entitled to vote with the Class A common stock on matters submitted to a vote of the holders of the Class A common stock and will have no voting rights except as required by applicable law.</w:t>
      </w:r>
    </w:p>
    <w:p>
      <w:pPr>
        <w:spacing w:after="0" w:line="158"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148"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spacing w:after="0" w:line="136"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w:t>
      </w:r>
    </w:p>
    <w:p>
      <w:pPr>
        <w:spacing w:after="0" w:line="165" w:lineRule="exact"/>
        <w:rPr>
          <w:sz w:val="20"/>
          <w:szCs w:val="20"/>
          <w:color w:val="auto"/>
        </w:rPr>
      </w:pPr>
    </w:p>
    <w:p>
      <w:pPr>
        <w:jc w:val="both"/>
        <w:ind w:right="120"/>
        <w:spacing w:after="0" w:line="261" w:lineRule="auto"/>
        <w:rPr>
          <w:sz w:val="20"/>
          <w:szCs w:val="20"/>
          <w:color w:val="auto"/>
        </w:rPr>
      </w:pPr>
      <w:r>
        <w:rPr>
          <w:rFonts w:ascii="Arial" w:cs="Arial" w:eastAsia="Arial" w:hAnsi="Arial"/>
          <w:sz w:val="13"/>
          <w:szCs w:val="13"/>
          <w:color w:val="auto"/>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6. SHARE-BASED COMPENSATION PLANS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share-based compensation expense by operating function for the periods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4"/>
        </w:trPr>
        <w:tc>
          <w:tcPr>
            <w:tcW w:w="8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2023</w:t>
            </w:r>
          </w:p>
        </w:tc>
      </w:tr>
      <w:tr>
        <w:trPr>
          <w:trHeight w:val="150"/>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 and advertising</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r>
      <w:tr>
        <w:trPr>
          <w:trHeight w:val="156"/>
        </w:trPr>
        <w:tc>
          <w:tcPr>
            <w:tcW w:w="8700" w:type="dxa"/>
            <w:vAlign w:val="bottom"/>
          </w:tcPr>
          <w:p>
            <w:pPr>
              <w:ind w:left="20"/>
              <w:spacing w:after="0"/>
              <w:rPr>
                <w:sz w:val="20"/>
                <w:szCs w:val="20"/>
                <w:color w:val="auto"/>
              </w:rPr>
            </w:pPr>
            <w:r>
              <w:rPr>
                <w:rFonts w:ascii="Arial" w:cs="Arial" w:eastAsia="Arial" w:hAnsi="Arial"/>
                <w:sz w:val="11"/>
                <w:szCs w:val="11"/>
                <w:color w:val="auto"/>
              </w:rPr>
              <w:t>Consumer care and enrollment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604</w:t>
            </w:r>
          </w:p>
        </w:tc>
      </w:tr>
      <w:tr>
        <w:trPr>
          <w:trHeight w:val="162"/>
        </w:trPr>
        <w:tc>
          <w:tcPr>
            <w:tcW w:w="8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767</w:t>
            </w:r>
          </w:p>
        </w:tc>
      </w:tr>
      <w:tr>
        <w:trPr>
          <w:trHeight w:val="159"/>
        </w:trPr>
        <w:tc>
          <w:tcPr>
            <w:tcW w:w="87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4"/>
                <w:szCs w:val="14"/>
                <w:color w:val="auto"/>
                <w:vertAlign w:val="superscript"/>
              </w:rPr>
              <w:t>(1)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5,147</w:t>
            </w:r>
          </w:p>
        </w:tc>
      </w:tr>
      <w:tr>
        <w:trPr>
          <w:trHeight w:val="17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share-based compensation expense</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1,783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6,584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(1) For the three months ended March 31, 2024 and 2023, share-based compensation expense includes expense related to the stock appreciation rights (“SARs”), which are liability classified awards.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7. NET LOSS PER SHARE</w:t>
      </w:r>
    </w:p>
    <w:p>
      <w:pPr>
        <w:spacing w:after="0" w:line="169"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numerator and denominator used in the calculation of basic and diluted net loss per share of Class A common stock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r>
      <w:tr>
        <w:trPr>
          <w:trHeight w:val="139"/>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Numerator:</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8560" w:type="dxa"/>
            <w:vAlign w:val="bottom"/>
          </w:tcPr>
          <w:p>
            <w:pPr>
              <w:ind w:left="180"/>
              <w:spacing w:after="0"/>
              <w:rPr>
                <w:sz w:val="20"/>
                <w:szCs w:val="20"/>
                <w:color w:val="auto"/>
              </w:rPr>
            </w:pPr>
            <w:r>
              <w:rPr>
                <w:rFonts w:ascii="Arial" w:cs="Arial" w:eastAsia="Arial" w:hAnsi="Arial"/>
                <w:sz w:val="11"/>
                <w:szCs w:val="11"/>
                <w:color w:val="auto"/>
              </w:rPr>
              <w:t>Net loss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(21,346)</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(22,543)</w:t>
            </w:r>
          </w:p>
        </w:tc>
      </w:tr>
      <w:tr>
        <w:trPr>
          <w:trHeight w:val="162"/>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Net loss attributable to non-controlling interests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(12,130)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(13,364)</w:t>
            </w:r>
          </w:p>
        </w:tc>
      </w:tr>
      <w:tr>
        <w:trPr>
          <w:trHeight w:val="14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loss attributable to GoHealth, Inc.</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(9,216)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(9,179)</w:t>
            </w:r>
          </w:p>
        </w:tc>
      </w:tr>
      <w:tr>
        <w:trPr>
          <w:trHeight w:val="153"/>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Dividends accumulated on redeemable convertible preferred stock</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892</w:t>
            </w:r>
          </w:p>
        </w:tc>
      </w:tr>
      <w:tr>
        <w:trPr>
          <w:trHeight w:val="14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loss attributable to common stockholders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(10,108)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(10,071)</w:t>
            </w:r>
          </w:p>
        </w:tc>
      </w:tr>
      <w:tr>
        <w:trPr>
          <w:trHeight w:val="142"/>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Denominator:</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Weighted-average shares of Class A common stock outstanding—basic and diluted</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9,715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8,965</w:t>
            </w:r>
          </w:p>
        </w:tc>
      </w:tr>
      <w:tr>
        <w:trPr>
          <w:trHeight w:val="17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per share of Class A common stock—basic and diluted</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number of shares were excluded from the calculation of diluted loss per share because the effect of including such potentially dilutive shares would have been antidilutive: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40" w:type="dxa"/>
            <w:vAlign w:val="bottom"/>
          </w:tcPr>
          <w:p>
            <w:pPr>
              <w:spacing w:after="0"/>
              <w:rPr>
                <w:sz w:val="13"/>
                <w:szCs w:val="13"/>
                <w:color w:val="auto"/>
              </w:rPr>
            </w:pPr>
          </w:p>
        </w:tc>
        <w:tc>
          <w:tcPr>
            <w:tcW w:w="18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Mar. 31,</w:t>
            </w:r>
          </w:p>
        </w:tc>
        <w:tc>
          <w:tcPr>
            <w:tcW w:w="1020" w:type="dxa"/>
            <w:vAlign w:val="bottom"/>
            <w:tcBorders>
              <w:bottom w:val="single" w:sz="8" w:color="auto"/>
            </w:tcBorders>
          </w:tcPr>
          <w:p>
            <w:pPr>
              <w:spacing w:after="0"/>
              <w:rPr>
                <w:sz w:val="13"/>
                <w:szCs w:val="13"/>
                <w:color w:val="auto"/>
              </w:rPr>
            </w:pPr>
          </w:p>
        </w:tc>
      </w:tr>
      <w:tr>
        <w:trPr>
          <w:trHeight w:val="1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820" w:type="dxa"/>
            <w:vAlign w:val="bottom"/>
            <w:tcBorders>
              <w:bottom w:val="single" w:sz="8" w:color="auto"/>
            </w:tcBorders>
          </w:tcPr>
          <w:p>
            <w:pPr>
              <w:jc w:val="right"/>
              <w:ind w:right="943"/>
              <w:spacing w:after="0"/>
              <w:rPr>
                <w:sz w:val="20"/>
                <w:szCs w:val="20"/>
                <w:color w:val="auto"/>
              </w:rPr>
            </w:pPr>
            <w:r>
              <w:rPr>
                <w:rFonts w:ascii="Arial" w:cs="Arial" w:eastAsia="Arial" w:hAnsi="Arial"/>
                <w:sz w:val="11"/>
                <w:szCs w:val="11"/>
                <w:b w:val="1"/>
                <w:bCs w:val="1"/>
                <w:color w:val="auto"/>
              </w:rPr>
              <w:t>2024</w:t>
            </w: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2023</w:t>
            </w:r>
          </w:p>
        </w:tc>
      </w:tr>
      <w:tr>
        <w:trPr>
          <w:trHeight w:val="150"/>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A common stock issuable pursuant to equity awards</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1,671</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2,145</w:t>
            </w:r>
          </w:p>
        </w:tc>
      </w:tr>
      <w:tr>
        <w:trPr>
          <w:trHeight w:val="156"/>
        </w:trPr>
        <w:tc>
          <w:tcPr>
            <w:tcW w:w="8440" w:type="dxa"/>
            <w:vAlign w:val="bottom"/>
          </w:tcPr>
          <w:p>
            <w:pPr>
              <w:ind w:left="20"/>
              <w:spacing w:after="0"/>
              <w:rPr>
                <w:sz w:val="20"/>
                <w:szCs w:val="20"/>
                <w:color w:val="auto"/>
              </w:rPr>
            </w:pPr>
            <w:r>
              <w:rPr>
                <w:rFonts w:ascii="Arial" w:cs="Arial" w:eastAsia="Arial" w:hAnsi="Arial"/>
                <w:sz w:val="11"/>
                <w:szCs w:val="11"/>
                <w:color w:val="auto"/>
              </w:rPr>
              <w:t>Class A common stock issuable pursuant to conversion of redeemable convertible preferred stock</w:t>
            </w:r>
          </w:p>
        </w:tc>
        <w:tc>
          <w:tcPr>
            <w:tcW w:w="1820" w:type="dxa"/>
            <w:vAlign w:val="bottom"/>
          </w:tcPr>
          <w:p>
            <w:pPr>
              <w:jc w:val="right"/>
              <w:ind w:right="443"/>
              <w:spacing w:after="0"/>
              <w:rPr>
                <w:sz w:val="20"/>
                <w:szCs w:val="20"/>
                <w:color w:val="auto"/>
              </w:rPr>
            </w:pPr>
            <w:r>
              <w:rPr>
                <w:rFonts w:ascii="Arial" w:cs="Arial" w:eastAsia="Arial" w:hAnsi="Arial"/>
                <w:sz w:val="11"/>
                <w:szCs w:val="11"/>
                <w:color w:val="auto"/>
              </w:rPr>
              <w:t>3,989</w:t>
            </w:r>
          </w:p>
        </w:tc>
        <w:tc>
          <w:tcPr>
            <w:tcW w:w="1020" w:type="dxa"/>
            <w:vAlign w:val="bottom"/>
          </w:tcPr>
          <w:p>
            <w:pPr>
              <w:jc w:val="right"/>
              <w:spacing w:after="0"/>
              <w:rPr>
                <w:sz w:val="20"/>
                <w:szCs w:val="20"/>
                <w:color w:val="auto"/>
              </w:rPr>
            </w:pPr>
            <w:r>
              <w:rPr>
                <w:rFonts w:ascii="Arial" w:cs="Arial" w:eastAsia="Arial" w:hAnsi="Arial"/>
                <w:sz w:val="11"/>
                <w:szCs w:val="11"/>
                <w:color w:val="auto"/>
              </w:rPr>
              <w:t>3,873</w:t>
            </w:r>
          </w:p>
        </w:tc>
      </w:tr>
      <w:tr>
        <w:trPr>
          <w:trHeight w:val="162"/>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B common stock</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11"/>
                <w:szCs w:val="11"/>
                <w:color w:val="auto"/>
              </w:rPr>
              <w:t>12,783</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13,053</w:t>
            </w:r>
          </w:p>
        </w:tc>
      </w:tr>
    </w:tbl>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8. INCOME TAXES</w:t>
      </w:r>
    </w:p>
    <w:p>
      <w:pPr>
        <w:spacing w:after="0" w:line="169"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foreign subsidiary, which is treated as a foreign disregarded entity. As a partnership, GHH, LLC does not pay any federal income taxes, as income or loss is included in the tax returns of the individual members. Prior to April 1, 2023, certain of the Company’s wholly-owned entities were taxed as corporations and subject to federal and state income taxes in the jurisdictions in which they operated. Additionally, the Company’s foreign subsidiary is subject to foreign income taxes in the jurisdiction in which it operates. The accruals for such taxes are included in the Condensed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0" w:name="page21"/>
    <w:bookmarkEnd w:id="20"/>
    <w:p>
      <w:pPr>
        <w:ind w:right="240"/>
        <w:spacing w:after="0" w:line="266" w:lineRule="auto"/>
        <w:rPr>
          <w:sz w:val="20"/>
          <w:szCs w:val="20"/>
          <w:color w:val="auto"/>
        </w:rPr>
      </w:pPr>
      <w:r>
        <w:rPr>
          <w:rFonts w:ascii="Arial" w:cs="Arial" w:eastAsia="Arial" w:hAnsi="Arial"/>
          <w:sz w:val="13"/>
          <w:szCs w:val="13"/>
          <w:color w:val="auto"/>
        </w:rPr>
        <w:t>The Company’s effective tax rate for the three months ended March 31, 2024 and 2023 was 0.33% and 0.19%, respectively. The effective tax rate for each period is lower than the statutory tax rate primarily due to the effect of loss entities for which the Company excludes from its effective tax rate calculation and loss attributable to non-controlling interests.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Receivable Agreement</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both March 31, 2024 and December 31, 2023 the liability related to the Tax Receivable Agreement was $0.8 million. Should the Company determine that any additional Tax Receivable Agreement liability is considered probable at a future date based on new information, any changes will be recorded within earnings at that time.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9. REVENUE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 for Variable Consideration</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The Company’s variable consideration includes the expected amount of initial commissions received from the health plan partners and any renewal commissions to be paid on such placement as long as the policyholder remains with the same insurance product, also known as the total estimated LTV of the policy.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spacing w:after="0" w:line="158"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months ended March 31, 2024 and 2023, the Company recorded no revenue adjustments.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Disaggregation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depicts the disaggregation of revenue and is consistent with how the Company evaluates its financial performance: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2023</w:t>
            </w:r>
          </w:p>
        </w:tc>
      </w:tr>
      <w:tr>
        <w:trPr>
          <w:trHeight w:val="139"/>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Medicare Revenue</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8640" w:type="dxa"/>
            <w:vAlign w:val="bottom"/>
          </w:tcPr>
          <w:p>
            <w:pPr>
              <w:ind w:left="180"/>
              <w:spacing w:after="0"/>
              <w:rPr>
                <w:sz w:val="20"/>
                <w:szCs w:val="20"/>
                <w:color w:val="auto"/>
              </w:rPr>
            </w:pPr>
            <w:r>
              <w:rPr>
                <w:rFonts w:ascii="Arial" w:cs="Arial" w:eastAsia="Arial" w:hAnsi="Arial"/>
                <w:sz w:val="11"/>
                <w:szCs w:val="11"/>
                <w:color w:val="auto"/>
              </w:rPr>
              <w:t>Agency Revenue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86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Commission Revenue</w:t>
            </w:r>
            <w:r>
              <w:rPr>
                <w:rFonts w:ascii="Arial" w:cs="Arial" w:eastAsia="Arial" w:hAnsi="Arial"/>
                <w:sz w:val="14"/>
                <w:szCs w:val="14"/>
                <w:color w:val="auto"/>
                <w:vertAlign w:val="superscript"/>
              </w:rPr>
              <w:t>(1)</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97,531</w:t>
            </w:r>
          </w:p>
        </w:tc>
      </w:tr>
      <w:tr>
        <w:trPr>
          <w:trHeight w:val="156"/>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Partner Marketing and Other Revenue</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19,391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27,124</w:t>
            </w:r>
          </w:p>
        </w:tc>
      </w:tr>
      <w:tr>
        <w:trPr>
          <w:trHeight w:val="153"/>
        </w:trPr>
        <w:tc>
          <w:tcPr>
            <w:tcW w:w="86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Agency Revenue</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99,124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124,655</w:t>
            </w:r>
          </w:p>
        </w:tc>
      </w:tr>
      <w:tr>
        <w:trPr>
          <w:trHeight w:val="147"/>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Non-Agency Revenue</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85,902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44,972</w:t>
            </w:r>
          </w:p>
        </w:tc>
      </w:tr>
      <w:tr>
        <w:trPr>
          <w:trHeight w:val="153"/>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 Revenue</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185,026</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169,627</w:t>
            </w:r>
          </w:p>
        </w:tc>
      </w:tr>
      <w:tr>
        <w:trPr>
          <w:trHeight w:val="136"/>
        </w:trPr>
        <w:tc>
          <w:tcPr>
            <w:tcW w:w="864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2"/>
        </w:trPr>
        <w:tc>
          <w:tcPr>
            <w:tcW w:w="86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Non-Encompass BPO Services Revenue</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6,794</w:t>
            </w:r>
          </w:p>
        </w:tc>
      </w:tr>
      <w:tr>
        <w:trPr>
          <w:trHeight w:val="156"/>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Other Revenue</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6,737</w:t>
            </w:r>
          </w:p>
        </w:tc>
      </w:tr>
      <w:tr>
        <w:trPr>
          <w:trHeight w:val="150"/>
        </w:trPr>
        <w:tc>
          <w:tcPr>
            <w:tcW w:w="8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Revenue</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13,531</w:t>
            </w:r>
          </w:p>
        </w:tc>
      </w:tr>
      <w:tr>
        <w:trPr>
          <w:trHeight w:val="153"/>
        </w:trPr>
        <w:tc>
          <w:tcPr>
            <w:tcW w:w="8640" w:type="dxa"/>
            <w:vAlign w:val="bottom"/>
          </w:tcPr>
          <w:p>
            <w:pPr>
              <w:ind w:left="20"/>
              <w:spacing w:after="0"/>
              <w:rPr>
                <w:sz w:val="20"/>
                <w:szCs w:val="20"/>
                <w:color w:val="auto"/>
              </w:rPr>
            </w:pPr>
            <w:r>
              <w:rPr>
                <w:rFonts w:ascii="Arial" w:cs="Arial" w:eastAsia="Arial" w:hAnsi="Arial"/>
                <w:sz w:val="11"/>
                <w:szCs w:val="11"/>
                <w:b w:val="1"/>
                <w:bCs w:val="1"/>
                <w:color w:val="auto"/>
              </w:rPr>
              <w:t>Total Net Revenues</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185,600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183,158</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0"/>
          <w:szCs w:val="10"/>
          <w:i w:val="1"/>
          <w:iCs w:val="1"/>
          <w:color w:val="auto"/>
        </w:rPr>
      </w:pPr>
      <w:r>
        <w:rPr>
          <w:rFonts w:ascii="Arial" w:cs="Arial" w:eastAsia="Arial" w:hAnsi="Arial"/>
          <w:sz w:val="10"/>
          <w:szCs w:val="10"/>
          <w:i w:val="1"/>
          <w:iCs w:val="1"/>
          <w:color w:val="auto"/>
        </w:rPr>
        <w:t>Commission revenue excludes commissions generated through the Company’s Non-Encompass BPO Services as well as from the sale of individual and family plan insurance products.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3"/>
          <w:szCs w:val="13"/>
          <w:i w:val="1"/>
          <w:iCs w:val="1"/>
          <w:color w:val="auto"/>
        </w:rPr>
        <w:t xml:space="preserve">Medicare Revenue: </w:t>
      </w:r>
      <w:r>
        <w:rPr>
          <w:rFonts w:ascii="Arial" w:cs="Arial" w:eastAsia="Arial" w:hAnsi="Arial"/>
          <w:sz w:val="13"/>
          <w:szCs w:val="13"/>
          <w:color w:val="auto"/>
        </w:rPr>
        <w:t>The primary services provided by the Company relate to the sale and administration of Medicare insurance products through either the agency model or the non-agency model. The</w:t>
      </w:r>
      <w:r>
        <w:rPr>
          <w:rFonts w:ascii="Arial" w:cs="Arial" w:eastAsia="Arial" w:hAnsi="Arial"/>
          <w:sz w:val="13"/>
          <w:szCs w:val="13"/>
          <w:i w:val="1"/>
          <w:iCs w:val="1"/>
          <w:color w:val="auto"/>
        </w:rPr>
        <w:t xml:space="preserve"> </w:t>
      </w:r>
      <w:r>
        <w:rPr>
          <w:rFonts w:ascii="Arial" w:cs="Arial" w:eastAsia="Arial" w:hAnsi="Arial"/>
          <w:sz w:val="13"/>
          <w:szCs w:val="13"/>
          <w:color w:val="auto"/>
        </w:rPr>
        <w:t>agency model refers to the commission revenue and partner marketing revenue the Company receives when GoHealth agents or the Company’s independent network of outsourced agents enroll the consumer and submit the policy application to the health plan partner, becoming the agent of record. The Company recognizes commission revenue from the sale of insurance products at the point when health plan partners approve an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1" w:name="page22"/>
    <w:bookmarkEnd w:id="21"/>
    <w:p>
      <w:pPr>
        <w:ind w:right="120"/>
        <w:spacing w:after="0" w:line="281" w:lineRule="auto"/>
        <w:rPr>
          <w:sz w:val="20"/>
          <w:szCs w:val="20"/>
          <w:color w:val="auto"/>
        </w:rPr>
      </w:pPr>
      <w:r>
        <w:rPr>
          <w:rFonts w:ascii="Arial" w:cs="Arial" w:eastAsia="Arial" w:hAnsi="Arial"/>
          <w:sz w:val="12"/>
          <w:szCs w:val="12"/>
          <w:color w:val="auto"/>
        </w:rPr>
        <w:t>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which represents the LTV it expects to receive for selling the product after the health plan partner approves an application. As part of its estimation process, the Company constrains revenue such that the amount of revenue recognized is the amount the Company believes is probable will not result in a significant reversal in the future. The Company records partner marketing services over time based on delivering call volumes or providing marketing services.</w:t>
      </w:r>
    </w:p>
    <w:p>
      <w:pPr>
        <w:spacing w:after="0" w:line="139"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our participating partners.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w:t>
      </w:r>
    </w:p>
    <w:p>
      <w:pPr>
        <w:spacing w:after="0" w:line="149"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i w:val="1"/>
          <w:iCs w:val="1"/>
          <w:color w:val="auto"/>
        </w:rPr>
        <w:t xml:space="preserve">Other Revenue: </w:t>
      </w:r>
      <w:r>
        <w:rPr>
          <w:rFonts w:ascii="Arial" w:cs="Arial" w:eastAsia="Arial" w:hAnsi="Arial"/>
          <w:sz w:val="13"/>
          <w:szCs w:val="13"/>
          <w:color w:val="auto"/>
        </w:rPr>
        <w:t>Other revenue is comprised of Non-Encompass BPO Services, which refers to programs in which GoHealth-employed agents are dedicated to certain health plans and agencies we</w:t>
      </w:r>
      <w:r>
        <w:rPr>
          <w:rFonts w:ascii="Arial" w:cs="Arial" w:eastAsia="Arial" w:hAnsi="Arial"/>
          <w:sz w:val="13"/>
          <w:szCs w:val="13"/>
          <w:i w:val="1"/>
          <w:iCs w:val="1"/>
          <w:color w:val="auto"/>
        </w:rPr>
        <w:t xml:space="preserve"> </w:t>
      </w:r>
      <w:r>
        <w:rPr>
          <w:rFonts w:ascii="Arial" w:cs="Arial" w:eastAsia="Arial" w:hAnsi="Arial"/>
          <w:sz w:val="13"/>
          <w:szCs w:val="13"/>
          <w:color w:val="auto"/>
        </w:rPr>
        <w:t>partner with outside of the Encompass model. These services include commission revenue and partner marketing revenue that is directly attributable to Non-Encompass BPO Services. The remaining revenue relates primarily to revenue generated from the sale of individual and family plan insurance products and ancillary services.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Assets and Liabilities</w:t>
      </w:r>
    </w:p>
    <w:p>
      <w:pPr>
        <w:spacing w:after="0" w:line="17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agents and other partners.</w:t>
      </w:r>
    </w:p>
    <w:p>
      <w:pPr>
        <w:spacing w:after="0" w:line="138"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The Company had unbilled receivables for performance-based enrollment fees and non-agency revenue as of March 31, 2024 and December 31, 2023 of $8.8 million and $36.0 million, respectively, which are recorded in prepaid expenses and other current assets on the Condensed Consolidated Balance Sheets. In addition, the Company had accrued payments for revenue share as of March 31, 2024 and December 31, 2023 of $12.7 million and $14.8 million, respectively, which are recorded in accrued liabilities. There are no other contract assets or contract liabilities recorded by the Company.</w:t>
      </w:r>
    </w:p>
    <w:p>
      <w:pPr>
        <w:spacing w:after="0" w:line="155" w:lineRule="exact"/>
        <w:rPr>
          <w:sz w:val="20"/>
          <w:szCs w:val="20"/>
          <w:color w:val="auto"/>
        </w:rPr>
      </w:pPr>
    </w:p>
    <w:p>
      <w:pPr>
        <w:ind w:right="180"/>
        <w:spacing w:after="0" w:line="249" w:lineRule="auto"/>
        <w:rPr>
          <w:sz w:val="20"/>
          <w:szCs w:val="20"/>
          <w:color w:val="auto"/>
        </w:rPr>
      </w:pPr>
      <w:r>
        <w:rPr>
          <w:rFonts w:ascii="Arial" w:cs="Arial" w:eastAsia="Arial" w:hAnsi="Arial"/>
          <w:sz w:val="13"/>
          <w:szCs w:val="13"/>
          <w:color w:val="auto"/>
        </w:rPr>
        <w:t>Deferred revenue includes amounts collected for partner marketing services and non-agency revenue in advance of the Company satisfying its performance obligations for such customers. The decrease in deferred revenue during the three months ended March 31, 2024 compared to December 31, 2023 was primarily due to less cash received as of March 31, 2024 compared to December 31, 2023 for marketing, administrative and enrollment fees in advance of performing such services that the Company expects to satisfy within the next twelve months. During the three months ended March 31, 2024 and 2023, the Company recognized revenue that was recorded in deferred revenue on the Condensed Consolidated Balance Sheets at the beginning of the respective fiscal year of $34.9 million and $40.5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Commissions Receivable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Commissions receivable activity is summarized as follows:</w:t>
      </w:r>
    </w:p>
    <w:p>
      <w:pPr>
        <w:spacing w:after="0" w:line="201" w:lineRule="exact"/>
        <w:rPr>
          <w:sz w:val="20"/>
          <w:szCs w:val="20"/>
          <w:color w:val="auto"/>
        </w:rPr>
      </w:pPr>
    </w:p>
    <w:p>
      <w:pPr>
        <w:ind w:left="8720"/>
        <w:spacing w:after="0"/>
        <w:rPr>
          <w:sz w:val="20"/>
          <w:szCs w:val="20"/>
          <w:color w:val="auto"/>
        </w:rPr>
      </w:pPr>
      <w:r>
        <w:rPr>
          <w:rFonts w:ascii="Arial" w:cs="Arial" w:eastAsia="Arial" w:hAnsi="Arial"/>
          <w:sz w:val="13"/>
          <w:szCs w:val="13"/>
          <w:b w:val="1"/>
          <w:bCs w:val="1"/>
          <w:color w:val="auto"/>
        </w:rPr>
        <w:t>Three months ended Mar.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2023</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911,697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1,031,433</w:t>
            </w:r>
          </w:p>
        </w:tc>
      </w:tr>
      <w:tr>
        <w:trPr>
          <w:trHeight w:val="156"/>
        </w:trPr>
        <w:tc>
          <w:tcPr>
            <w:tcW w:w="7900" w:type="dxa"/>
            <w:vAlign w:val="bottom"/>
          </w:tcPr>
          <w:p>
            <w:pPr>
              <w:ind w:left="20"/>
              <w:spacing w:after="0"/>
              <w:rPr>
                <w:sz w:val="20"/>
                <w:szCs w:val="20"/>
                <w:color w:val="auto"/>
              </w:rPr>
            </w:pPr>
            <w:r>
              <w:rPr>
                <w:rFonts w:ascii="Arial" w:cs="Arial" w:eastAsia="Arial" w:hAnsi="Arial"/>
                <w:sz w:val="11"/>
                <w:szCs w:val="11"/>
                <w:color w:val="auto"/>
              </w:rPr>
              <w:t>Commission revenue</w:t>
            </w:r>
            <w:r>
              <w:rPr>
                <w:rFonts w:ascii="Arial" w:cs="Arial" w:eastAsia="Arial" w:hAnsi="Arial"/>
                <w:sz w:val="7"/>
                <w:szCs w:val="7"/>
                <w:color w:val="auto"/>
              </w:rPr>
              <w:t>(1)</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81,162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98,265</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receipts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(149,777)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(192,910)</w:t>
            </w:r>
          </w:p>
        </w:tc>
      </w:tr>
      <w:tr>
        <w:trPr>
          <w:trHeight w:val="15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Allowance for credit loss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r>
      <w:tr>
        <w:trPr>
          <w:trHeight w:val="153"/>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Ending balance</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843,127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936,804</w:t>
            </w:r>
          </w:p>
        </w:tc>
      </w:tr>
      <w:tr>
        <w:trPr>
          <w:trHeight w:val="14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Commissions receivable - current</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269,799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292,943</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Commissions receivable - non-current</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573,328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643,861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0"/>
          <w:szCs w:val="10"/>
          <w:i w:val="1"/>
          <w:iCs w:val="1"/>
          <w:color w:val="auto"/>
        </w:rPr>
      </w:pPr>
      <w:r>
        <w:rPr>
          <w:rFonts w:ascii="Arial" w:cs="Arial" w:eastAsia="Arial" w:hAnsi="Arial"/>
          <w:sz w:val="10"/>
          <w:szCs w:val="10"/>
          <w:i w:val="1"/>
          <w:iCs w:val="1"/>
          <w:color w:val="auto"/>
        </w:rPr>
        <w:t>Commission revenue excludes commissions generated through the Company’s Non-Encompass BPO Services as well as from the sale of individual and family plan insurance products.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19</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2" w:name="page23"/>
    <w:bookmarkEnd w:id="22"/>
    <w:p>
      <w:pPr>
        <w:ind w:right="140"/>
        <w:spacing w:after="0" w:line="280" w:lineRule="auto"/>
        <w:rPr>
          <w:sz w:val="20"/>
          <w:szCs w:val="20"/>
          <w:color w:val="auto"/>
        </w:rPr>
      </w:pPr>
      <w:r>
        <w:rPr>
          <w:rFonts w:ascii="Arial" w:cs="Arial" w:eastAsia="Arial" w:hAnsi="Arial"/>
          <w:sz w:val="12"/>
          <w:szCs w:val="12"/>
          <w:color w:val="auto"/>
        </w:rPr>
        <w:t>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Condensed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Customers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health plan partners representing 10% or more of the Company’s total revenue for the periods indicated:</w:t>
      </w:r>
    </w:p>
    <w:p>
      <w:pPr>
        <w:spacing w:after="0" w:line="215" w:lineRule="exact"/>
        <w:rPr>
          <w:sz w:val="20"/>
          <w:szCs w:val="20"/>
          <w:color w:val="auto"/>
        </w:rPr>
      </w:pPr>
    </w:p>
    <w:p>
      <w:pPr>
        <w:ind w:left="9120"/>
        <w:spacing w:after="0"/>
        <w:rPr>
          <w:sz w:val="20"/>
          <w:szCs w:val="20"/>
          <w:color w:val="auto"/>
        </w:rPr>
      </w:pPr>
      <w:r>
        <w:rPr>
          <w:rFonts w:ascii="Arial" w:cs="Arial" w:eastAsia="Arial" w:hAnsi="Arial"/>
          <w:sz w:val="11"/>
          <w:szCs w:val="11"/>
          <w:b w:val="1"/>
          <w:bCs w:val="1"/>
          <w:color w:val="auto"/>
        </w:rPr>
        <w:t>Three months ended Mar.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520" w:type="dxa"/>
            <w:vAlign w:val="bottom"/>
          </w:tcPr>
          <w:p>
            <w:pPr>
              <w:spacing w:after="0"/>
              <w:rPr>
                <w:sz w:val="13"/>
                <w:szCs w:val="13"/>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2024</w:t>
            </w:r>
          </w:p>
        </w:tc>
        <w:tc>
          <w:tcPr>
            <w:tcW w:w="7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2023</w:t>
            </w:r>
          </w:p>
        </w:tc>
      </w:tr>
      <w:tr>
        <w:trPr>
          <w:trHeight w:val="159"/>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Aetna</w:t>
            </w:r>
          </w:p>
        </w:tc>
        <w:tc>
          <w:tcPr>
            <w:tcW w:w="7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29.9 %</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6.1 %</w:t>
            </w:r>
          </w:p>
        </w:tc>
      </w:tr>
      <w:tr>
        <w:trPr>
          <w:trHeight w:val="156"/>
        </w:trPr>
        <w:tc>
          <w:tcPr>
            <w:tcW w:w="9400" w:type="dxa"/>
            <w:vAlign w:val="bottom"/>
            <w:gridSpan w:val="2"/>
          </w:tcPr>
          <w:p>
            <w:pPr>
              <w:ind w:left="20"/>
              <w:spacing w:after="0"/>
              <w:rPr>
                <w:sz w:val="20"/>
                <w:szCs w:val="20"/>
                <w:color w:val="auto"/>
              </w:rPr>
            </w:pPr>
            <w:r>
              <w:rPr>
                <w:rFonts w:ascii="Arial" w:cs="Arial" w:eastAsia="Arial" w:hAnsi="Arial"/>
                <w:sz w:val="11"/>
                <w:szCs w:val="11"/>
                <w:color w:val="auto"/>
              </w:rPr>
              <w:t>Elevance Health</w:t>
            </w:r>
          </w:p>
        </w:tc>
        <w:tc>
          <w:tcPr>
            <w:tcW w:w="760" w:type="dxa"/>
            <w:vAlign w:val="bottom"/>
          </w:tcPr>
          <w:p>
            <w:pPr>
              <w:jc w:val="right"/>
              <w:ind w:right="263"/>
              <w:spacing w:after="0"/>
              <w:rPr>
                <w:sz w:val="20"/>
                <w:szCs w:val="20"/>
                <w:color w:val="auto"/>
              </w:rPr>
            </w:pPr>
            <w:r>
              <w:rPr>
                <w:rFonts w:ascii="Arial" w:cs="Arial" w:eastAsia="Arial" w:hAnsi="Arial"/>
                <w:sz w:val="11"/>
                <w:szCs w:val="11"/>
                <w:color w:val="auto"/>
              </w:rPr>
              <w:t>22.7 %</w:t>
            </w:r>
          </w:p>
        </w:tc>
        <w:tc>
          <w:tcPr>
            <w:tcW w:w="1120" w:type="dxa"/>
            <w:vAlign w:val="bottom"/>
          </w:tcPr>
          <w:p>
            <w:pPr>
              <w:jc w:val="right"/>
              <w:spacing w:after="0"/>
              <w:rPr>
                <w:sz w:val="20"/>
                <w:szCs w:val="20"/>
                <w:color w:val="auto"/>
              </w:rPr>
            </w:pPr>
            <w:r>
              <w:rPr>
                <w:rFonts w:ascii="Arial" w:cs="Arial" w:eastAsia="Arial" w:hAnsi="Arial"/>
                <w:sz w:val="11"/>
                <w:szCs w:val="11"/>
                <w:color w:val="auto"/>
              </w:rPr>
              <w:t>17.9 %</w:t>
            </w:r>
          </w:p>
        </w:tc>
      </w:tr>
      <w:tr>
        <w:trPr>
          <w:trHeight w:val="162"/>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Humana</w:t>
            </w:r>
          </w:p>
        </w:tc>
        <w:tc>
          <w:tcPr>
            <w:tcW w:w="7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17.5 %</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37.8 %</w:t>
            </w:r>
          </w:p>
        </w:tc>
      </w:tr>
      <w:tr>
        <w:trPr>
          <w:trHeight w:val="153"/>
        </w:trPr>
        <w:tc>
          <w:tcPr>
            <w:tcW w:w="9400" w:type="dxa"/>
            <w:vAlign w:val="bottom"/>
            <w:gridSpan w:val="2"/>
          </w:tcPr>
          <w:p>
            <w:pPr>
              <w:ind w:left="20"/>
              <w:spacing w:after="0"/>
              <w:rPr>
                <w:sz w:val="20"/>
                <w:szCs w:val="20"/>
                <w:color w:val="auto"/>
              </w:rPr>
            </w:pPr>
            <w:r>
              <w:rPr>
                <w:rFonts w:ascii="Arial" w:cs="Arial" w:eastAsia="Arial" w:hAnsi="Arial"/>
                <w:sz w:val="11"/>
                <w:szCs w:val="11"/>
                <w:color w:val="auto"/>
              </w:rPr>
              <w:t>United</w:t>
            </w:r>
          </w:p>
        </w:tc>
        <w:tc>
          <w:tcPr>
            <w:tcW w:w="760" w:type="dxa"/>
            <w:vAlign w:val="bottom"/>
          </w:tcPr>
          <w:p>
            <w:pPr>
              <w:jc w:val="right"/>
              <w:ind w:right="263"/>
              <w:spacing w:after="0"/>
              <w:rPr>
                <w:sz w:val="20"/>
                <w:szCs w:val="20"/>
                <w:color w:val="auto"/>
              </w:rPr>
            </w:pPr>
            <w:r>
              <w:rPr>
                <w:rFonts w:ascii="Arial" w:cs="Arial" w:eastAsia="Arial" w:hAnsi="Arial"/>
                <w:sz w:val="11"/>
                <w:szCs w:val="11"/>
                <w:color w:val="auto"/>
              </w:rPr>
              <w:t>16.0 %</w:t>
            </w:r>
          </w:p>
        </w:tc>
        <w:tc>
          <w:tcPr>
            <w:tcW w:w="1120" w:type="dxa"/>
            <w:vAlign w:val="bottom"/>
          </w:tcPr>
          <w:p>
            <w:pPr>
              <w:jc w:val="right"/>
              <w:spacing w:after="0"/>
              <w:rPr>
                <w:sz w:val="20"/>
                <w:szCs w:val="20"/>
                <w:color w:val="auto"/>
              </w:rPr>
            </w:pPr>
            <w:r>
              <w:rPr>
                <w:rFonts w:ascii="Arial" w:cs="Arial" w:eastAsia="Arial" w:hAnsi="Arial"/>
                <w:sz w:val="11"/>
                <w:szCs w:val="11"/>
                <w:color w:val="auto"/>
              </w:rPr>
              <w:t>20.4 %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79" w:lineRule="exact"/>
        <w:rPr>
          <w:sz w:val="20"/>
          <w:szCs w:val="20"/>
          <w:color w:val="auto"/>
        </w:rPr>
      </w:pPr>
    </w:p>
    <w:p>
      <w:pPr>
        <w:ind w:right="200"/>
        <w:spacing w:after="0" w:line="253" w:lineRule="auto"/>
        <w:rPr>
          <w:sz w:val="20"/>
          <w:szCs w:val="20"/>
          <w:color w:val="auto"/>
        </w:rPr>
      </w:pPr>
      <w:r>
        <w:rPr>
          <w:rFonts w:ascii="Arial" w:cs="Arial" w:eastAsia="Arial" w:hAnsi="Arial"/>
          <w:sz w:val="13"/>
          <w:szCs w:val="13"/>
          <w:color w:val="auto"/>
        </w:rPr>
        <w:t>The Company does not require collateral or other security in granting credit. As of March 31, 2024, three customers each represented 10% or more of the Company’s total accounts receivable and unbilled receivables and, in aggregate, represented 93.3%, or $16.8 million, of the combined total. As of December 31, 2023, three customers each represented 10% or more of the Company’s total accounts receivable and unbilled receivables and, in aggregate, represented 88.3%, or $32.1 million, of the combined total. Unbilled receivables are included in prepaid expense and other current assets on the Condensed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10. LEASES</w:t>
      </w:r>
    </w:p>
    <w:p>
      <w:pPr>
        <w:spacing w:after="0" w:line="179"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The Company has entered into operating agreements with lease periods expiring between 2024 and 2032. Lease expense for operating lease payments is recognized on a straight-line basis over the lease term.</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Components of lease expense are as follows, all recorded within operating expenses in the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2023</w:t>
            </w: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cost</w:t>
            </w: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2,092</w:t>
            </w:r>
          </w:p>
        </w:tc>
      </w:tr>
      <w:tr>
        <w:trPr>
          <w:trHeight w:val="159"/>
        </w:trPr>
        <w:tc>
          <w:tcPr>
            <w:tcW w:w="7900" w:type="dxa"/>
            <w:vAlign w:val="bottom"/>
          </w:tcPr>
          <w:p>
            <w:pPr>
              <w:ind w:left="20"/>
              <w:spacing w:after="0" w:line="159" w:lineRule="exact"/>
              <w:rPr>
                <w:sz w:val="20"/>
                <w:szCs w:val="20"/>
                <w:color w:val="auto"/>
              </w:rPr>
            </w:pPr>
            <w:r>
              <w:rPr>
                <w:rFonts w:ascii="Arial" w:cs="Arial" w:eastAsia="Arial" w:hAnsi="Arial"/>
                <w:sz w:val="11"/>
                <w:szCs w:val="11"/>
                <w:color w:val="auto"/>
              </w:rPr>
              <w:t>Short-term lease cost</w:t>
            </w:r>
            <w:r>
              <w:rPr>
                <w:rFonts w:ascii="Arial" w:cs="Arial" w:eastAsia="Arial" w:hAnsi="Arial"/>
                <w:sz w:val="14"/>
                <w:szCs w:val="14"/>
                <w:color w:val="auto"/>
                <w:vertAlign w:val="superscript"/>
              </w:rPr>
              <w:t>(1)</w:t>
            </w:r>
          </w:p>
        </w:tc>
        <w:tc>
          <w:tcPr>
            <w:tcW w:w="4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9"/>
        </w:trPr>
        <w:tc>
          <w:tcPr>
            <w:tcW w:w="790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Variable lease cost</w:t>
            </w:r>
            <w:r>
              <w:rPr>
                <w:rFonts w:ascii="Arial" w:cs="Arial" w:eastAsia="Arial" w:hAnsi="Arial"/>
                <w:sz w:val="14"/>
                <w:szCs w:val="14"/>
                <w:color w:val="auto"/>
                <w:vertAlign w:val="superscript"/>
              </w:rPr>
              <w:t>(2)</w:t>
            </w: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r>
      <w:tr>
        <w:trPr>
          <w:trHeight w:val="15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Sublease income</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net lease expense</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1,622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Includes costs related to leases, which at the commencement date, have a lease term of 12 months or less.</w:t>
      </w:r>
    </w:p>
    <w:p>
      <w:pPr>
        <w:spacing w:after="0" w:line="9" w:lineRule="exact"/>
        <w:rPr>
          <w:rFonts w:ascii="Arial" w:cs="Arial" w:eastAsia="Arial" w:hAnsi="Arial"/>
          <w:sz w:val="10"/>
          <w:szCs w:val="10"/>
          <w:i w:val="1"/>
          <w:iCs w:val="1"/>
          <w:color w:val="auto"/>
        </w:rPr>
      </w:pPr>
    </w:p>
    <w:p>
      <w:pPr>
        <w:ind w:left="260" w:hanging="255"/>
        <w:spacing w:after="0"/>
        <w:tabs>
          <w:tab w:leader="none" w:pos="260" w:val="left"/>
        </w:tabs>
        <w:numPr>
          <w:ilvl w:val="0"/>
          <w:numId w:val="11"/>
        </w:numPr>
        <w:rPr>
          <w:rFonts w:ascii="Arial" w:cs="Arial" w:eastAsia="Arial" w:hAnsi="Arial"/>
          <w:sz w:val="10"/>
          <w:szCs w:val="10"/>
          <w:i w:val="1"/>
          <w:iCs w:val="1"/>
          <w:color w:val="auto"/>
        </w:rPr>
      </w:pPr>
      <w:r>
        <w:rPr>
          <w:rFonts w:ascii="Arial" w:cs="Arial" w:eastAsia="Arial" w:hAnsi="Arial"/>
          <w:sz w:val="10"/>
          <w:szCs w:val="10"/>
          <w:i w:val="1"/>
          <w:iCs w:val="1"/>
          <w:color w:val="auto"/>
        </w:rPr>
        <w:t>Includes costs incurred by the Company for the right to use an underlying asset that vary because of changes in facts or circumstances occurring after the commencement date, other than the passage of time.</w:t>
      </w:r>
    </w:p>
    <w:p>
      <w:pPr>
        <w:spacing w:after="0" w:line="187"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As part of the Company’s continued cost savings initiatives, the Company is actively looking to terminate or sublease certain office spaces and call centers. These actions resulted in no operating lease impairment charges for the three months ended March 31, 2024 and 2023. Refer to Note 2. “Fair Value Measurements” for further details.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2024, future minimum lease payments for operating leases consisted of the following:</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55"/>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50"/>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2024</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6,904</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2025</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8,846</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7,762</w:t>
            </w:r>
          </w:p>
        </w:tc>
        <w:tc>
          <w:tcPr>
            <w:tcW w:w="0" w:type="dxa"/>
            <w:vAlign w:val="bottom"/>
          </w:tcPr>
          <w:p>
            <w:pPr>
              <w:spacing w:after="0"/>
              <w:rPr>
                <w:sz w:val="1"/>
                <w:szCs w:val="1"/>
                <w:color w:val="auto"/>
              </w:rPr>
            </w:pPr>
          </w:p>
        </w:tc>
      </w:tr>
      <w:tr>
        <w:trPr>
          <w:trHeight w:val="156"/>
        </w:trPr>
        <w:tc>
          <w:tcPr>
            <w:tcW w:w="9640" w:type="dxa"/>
            <w:vAlign w:val="bottom"/>
          </w:tcPr>
          <w:p>
            <w:pPr>
              <w:ind w:left="20"/>
              <w:spacing w:after="0"/>
              <w:rPr>
                <w:sz w:val="20"/>
                <w:szCs w:val="20"/>
                <w:color w:val="auto"/>
              </w:rPr>
            </w:pPr>
            <w:r>
              <w:rPr>
                <w:rFonts w:ascii="Arial" w:cs="Arial" w:eastAsia="Arial" w:hAnsi="Arial"/>
                <w:sz w:val="11"/>
                <w:szCs w:val="11"/>
                <w:color w:val="auto"/>
              </w:rPr>
              <w:t>2027</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8,008</w:t>
            </w:r>
          </w:p>
        </w:tc>
        <w:tc>
          <w:tcPr>
            <w:tcW w:w="0" w:type="dxa"/>
            <w:vAlign w:val="bottom"/>
          </w:tcPr>
          <w:p>
            <w:pPr>
              <w:spacing w:after="0"/>
              <w:rPr>
                <w:sz w:val="1"/>
                <w:szCs w:val="1"/>
                <w:color w:val="auto"/>
              </w:rPr>
            </w:pPr>
          </w:p>
        </w:tc>
      </w:tr>
      <w:tr>
        <w:trPr>
          <w:trHeight w:val="162"/>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7,033</w:t>
            </w:r>
          </w:p>
        </w:tc>
        <w:tc>
          <w:tcPr>
            <w:tcW w:w="0" w:type="dxa"/>
            <w:vAlign w:val="bottom"/>
          </w:tcPr>
          <w:p>
            <w:pPr>
              <w:spacing w:after="0"/>
              <w:rPr>
                <w:sz w:val="1"/>
                <w:szCs w:val="1"/>
                <w:color w:val="auto"/>
              </w:rPr>
            </w:pPr>
          </w:p>
        </w:tc>
      </w:tr>
      <w:tr>
        <w:trPr>
          <w:trHeight w:val="156"/>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20,445</w:t>
            </w:r>
          </w:p>
        </w:tc>
        <w:tc>
          <w:tcPr>
            <w:tcW w:w="0" w:type="dxa"/>
            <w:vAlign w:val="bottom"/>
          </w:tcPr>
          <w:p>
            <w:pPr>
              <w:spacing w:after="0"/>
              <w:rPr>
                <w:sz w:val="1"/>
                <w:szCs w:val="1"/>
                <w:color w:val="auto"/>
              </w:rPr>
            </w:pPr>
          </w:p>
        </w:tc>
      </w:tr>
      <w:tr>
        <w:trPr>
          <w:trHeight w:val="17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lease payments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58,998</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Less: Imputed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4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(15,491)</w:t>
            </w:r>
          </w:p>
        </w:tc>
        <w:tc>
          <w:tcPr>
            <w:tcW w:w="0" w:type="dxa"/>
            <w:vAlign w:val="bottom"/>
          </w:tcPr>
          <w:p>
            <w:pPr>
              <w:spacing w:after="0"/>
              <w:rPr>
                <w:sz w:val="1"/>
                <w:szCs w:val="1"/>
                <w:color w:val="auto"/>
              </w:rPr>
            </w:pPr>
          </w:p>
        </w:tc>
      </w:tr>
      <w:tr>
        <w:trPr>
          <w:trHeight w:val="17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Present value of lease liabilities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43,507</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Supplemental cash flow information related to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1"/>
                <w:szCs w:val="11"/>
                <w:b w:val="1"/>
                <w:bCs w:val="1"/>
                <w:color w:val="auto"/>
              </w:rPr>
              <w:t>Three months ended Mar. 31,</w:t>
            </w:r>
          </w:p>
        </w:tc>
      </w:tr>
      <w:tr>
        <w:trPr>
          <w:trHeight w:val="1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r>
      <w:tr>
        <w:trPr>
          <w:trHeight w:val="139"/>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Cash paid for amounts included in the measurement of lease liabilities: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3"/>
        </w:trPr>
        <w:tc>
          <w:tcPr>
            <w:tcW w:w="8560" w:type="dxa"/>
            <w:vAlign w:val="bottom"/>
          </w:tcPr>
          <w:p>
            <w:pPr>
              <w:ind w:left="180"/>
              <w:spacing w:after="0"/>
              <w:rPr>
                <w:sz w:val="20"/>
                <w:szCs w:val="20"/>
                <w:color w:val="auto"/>
              </w:rPr>
            </w:pPr>
            <w:r>
              <w:rPr>
                <w:rFonts w:ascii="Arial" w:cs="Arial" w:eastAsia="Arial" w:hAnsi="Arial"/>
                <w:sz w:val="11"/>
                <w:szCs w:val="11"/>
                <w:color w:val="auto"/>
              </w:rPr>
              <w:t>Operating cash flows from operating leases</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2,763</w:t>
            </w:r>
          </w:p>
        </w:tc>
        <w:tc>
          <w:tcPr>
            <w:tcW w:w="3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3,343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operating lease term and discount rate are as follows:</w:t>
      </w:r>
    </w:p>
    <w:p>
      <w:pPr>
        <w:spacing w:after="0" w:line="205" w:lineRule="exact"/>
        <w:rPr>
          <w:sz w:val="20"/>
          <w:szCs w:val="20"/>
          <w:color w:val="auto"/>
        </w:rPr>
      </w:pPr>
    </w:p>
    <w:p>
      <w:pPr>
        <w:ind w:left="9320"/>
        <w:spacing w:after="0"/>
        <w:rPr>
          <w:sz w:val="20"/>
          <w:szCs w:val="20"/>
          <w:color w:val="auto"/>
        </w:rPr>
      </w:pPr>
      <w:r>
        <w:rPr>
          <w:rFonts w:ascii="Arial" w:cs="Arial" w:eastAsia="Arial" w:hAnsi="Arial"/>
          <w:sz w:val="11"/>
          <w:szCs w:val="11"/>
          <w:b w:val="1"/>
          <w:bCs w:val="1"/>
          <w:color w:val="auto"/>
        </w:rPr>
        <w:t>Mar.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76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2024</w:t>
            </w:r>
          </w:p>
        </w:tc>
        <w:tc>
          <w:tcPr>
            <w:tcW w:w="10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2023</w:t>
            </w:r>
          </w:p>
        </w:tc>
      </w:tr>
      <w:tr>
        <w:trPr>
          <w:trHeight w:val="150"/>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10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rPr>
              <w:t>7.0 years</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 years</w:t>
            </w:r>
          </w:p>
        </w:tc>
      </w:tr>
      <w:tr>
        <w:trPr>
          <w:trHeight w:val="153"/>
        </w:trPr>
        <w:tc>
          <w:tcPr>
            <w:tcW w:w="8880" w:type="dxa"/>
            <w:vAlign w:val="bottom"/>
            <w:gridSpan w:val="2"/>
          </w:tcPr>
          <w:p>
            <w:pPr>
              <w:ind w:left="20"/>
              <w:spacing w:after="0"/>
              <w:rPr>
                <w:sz w:val="20"/>
                <w:szCs w:val="20"/>
                <w:color w:val="auto"/>
              </w:rPr>
            </w:pPr>
            <w:r>
              <w:rPr>
                <w:rFonts w:ascii="Arial" w:cs="Arial" w:eastAsia="Arial" w:hAnsi="Arial"/>
                <w:sz w:val="11"/>
                <w:szCs w:val="11"/>
                <w:color w:val="auto"/>
              </w:rPr>
              <w:t>Weighted average discount rate</w:t>
            </w:r>
          </w:p>
        </w:tc>
        <w:tc>
          <w:tcPr>
            <w:tcW w:w="1000" w:type="dxa"/>
            <w:vAlign w:val="bottom"/>
          </w:tcPr>
          <w:p>
            <w:pPr>
              <w:jc w:val="right"/>
              <w:ind w:right="363"/>
              <w:spacing w:after="0"/>
              <w:rPr>
                <w:sz w:val="20"/>
                <w:szCs w:val="20"/>
                <w:color w:val="auto"/>
              </w:rPr>
            </w:pPr>
            <w:r>
              <w:rPr>
                <w:rFonts w:ascii="Arial" w:cs="Arial" w:eastAsia="Arial" w:hAnsi="Arial"/>
                <w:sz w:val="11"/>
                <w:szCs w:val="11"/>
                <w:color w:val="auto"/>
              </w:rPr>
              <w:t>9.0 %</w:t>
            </w:r>
          </w:p>
        </w:tc>
        <w:tc>
          <w:tcPr>
            <w:tcW w:w="1400" w:type="dxa"/>
            <w:vAlign w:val="bottom"/>
          </w:tcPr>
          <w:p>
            <w:pPr>
              <w:jc w:val="right"/>
              <w:spacing w:after="0"/>
              <w:rPr>
                <w:sz w:val="20"/>
                <w:szCs w:val="20"/>
                <w:color w:val="auto"/>
              </w:rPr>
            </w:pPr>
            <w:r>
              <w:rPr>
                <w:rFonts w:ascii="Arial" w:cs="Arial" w:eastAsia="Arial" w:hAnsi="Arial"/>
                <w:sz w:val="11"/>
                <w:szCs w:val="11"/>
                <w:color w:val="auto"/>
              </w:rPr>
              <w:t>8.1 %</w:t>
            </w:r>
          </w:p>
        </w:tc>
      </w:tr>
    </w:tbl>
    <w:p>
      <w:pPr>
        <w:spacing w:after="0" w:line="240" w:lineRule="exact"/>
        <w:rPr>
          <w:sz w:val="20"/>
          <w:szCs w:val="20"/>
          <w:color w:val="auto"/>
        </w:rPr>
      </w:pPr>
    </w:p>
    <w:p>
      <w:pPr>
        <w:ind w:right="8700" w:firstLine="5"/>
        <w:spacing w:after="0" w:line="536" w:lineRule="auto"/>
        <w:tabs>
          <w:tab w:leader="none" w:pos="205" w:val="left"/>
        </w:tabs>
        <w:numPr>
          <w:ilvl w:val="0"/>
          <w:numId w:val="12"/>
        </w:numPr>
        <w:rPr>
          <w:rFonts w:ascii="Arial" w:cs="Arial" w:eastAsia="Arial" w:hAnsi="Arial"/>
          <w:sz w:val="13"/>
          <w:szCs w:val="13"/>
          <w:b w:val="1"/>
          <w:bCs w:val="1"/>
          <w:color w:val="00497F"/>
        </w:rPr>
      </w:pPr>
      <w:r>
        <w:rPr>
          <w:rFonts w:ascii="Arial" w:cs="Arial" w:eastAsia="Arial" w:hAnsi="Arial"/>
          <w:sz w:val="13"/>
          <w:szCs w:val="13"/>
          <w:b w:val="1"/>
          <w:bCs w:val="1"/>
          <w:color w:val="00497F"/>
        </w:rPr>
        <w:t xml:space="preserve">COMMITMENTS AND CONTINGENCIES </w:t>
      </w:r>
      <w:r>
        <w:rPr>
          <w:rFonts w:ascii="Arial" w:cs="Arial" w:eastAsia="Arial" w:hAnsi="Arial"/>
          <w:sz w:val="13"/>
          <w:szCs w:val="13"/>
          <w:b w:val="1"/>
          <w:bCs w:val="1"/>
          <w:color w:val="000000"/>
        </w:rPr>
        <w:t>Legal Proceedings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 September 2020, three purported securities class action complaints were filed in the U.S.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On September 23, 2022, lead plaintiffs filed a motion for class certification, which has not been decided. In December 2023, the parties notified the court that they had reached an agreement in principle to settle the Securities Class Action. On February 7, 2024, the plaintiffs filed an application with the court seeking preliminary approval of the parties’ proposed settlement, which application was granted by the court on February 27, 2024. The terms of the parties’ proposed settlement agreement are contained in the settlement documents filed with the court on February 7, 2024. The settlement, if finally approved by the Court, will fully resolve the Securities Class Action. A hearing for final approval of the settlement is scheduled for May 22, 2024.</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On May 19, 2021, a derivative action (the “Derivative Action”) was filed in the U.S.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 The proposed settlement in the Securities Class Action will not resolve the Derivative Action. The Company is contesting the Derivative Action, but may pursue settlement negotiations, as it deems appropriate.</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Although outcomes of these cases are uncertain until final disposition, the Company establishes an accrual for such matters when a loss is deemed to be probable and reasonably estimable. The Company previously disclosed that it recorded a $12.0 million accrual for the Securities Class Action and the Derivative Action. On March 13, 2024, the Company paid $10.5 million toward the Securities Class Action settlement. This payment was the remaining amount of the retention amount for which the Company was responsible under its applicable directors and officers liability insurance policies. The Company does not expect to</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4" w:name="page25"/>
    <w:bookmarkEnd w:id="24"/>
    <w:p>
      <w:pPr>
        <w:ind w:right="140"/>
        <w:spacing w:after="0" w:line="261" w:lineRule="auto"/>
        <w:rPr>
          <w:sz w:val="20"/>
          <w:szCs w:val="20"/>
          <w:color w:val="auto"/>
        </w:rPr>
      </w:pPr>
      <w:r>
        <w:rPr>
          <w:rFonts w:ascii="Arial" w:cs="Arial" w:eastAsia="Arial" w:hAnsi="Arial"/>
          <w:sz w:val="13"/>
          <w:szCs w:val="13"/>
          <w:color w:val="auto"/>
        </w:rPr>
        <w:t>make any further contribution to the settlement amount in the Securities Class Action. The remaining settlement amount was paid by the Company’s insurance carriers under the applicable insurance policies and pursuant to the terms of the proposed settlement. It is possible that actual future losses related to the Securities Class Action, to the extent the Court does not approve the proposed settlement, or the Derivative Action, will exceed the current accrual level.</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12. RELATED PARTY TRANSACTIONS</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3"/>
          <w:szCs w:val="13"/>
          <w:color w:val="auto"/>
        </w:rPr>
        <w:t>The Company is party to various lease agreements with 214 W Huron LLC, 220 W Huron Street Holdings LLC, 215 W Superior LLC and Wilson Tech 5, LLC, each of which is controlled by significant shareholders of the Company, to lease its former corporate offices in Chicago, Illinois and offices in Lindon, Utah. The Company pays rent, operating expenses, maintenance and utilities under the terms of the leases. For both the three months ended March 31, 2024 and 2023 the Company made aggregate lease payments of $1.5 million.</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months ended March 31, 2024 and 2023 the Company recorded no expense under the lease. The lease will terminate in the second quarter of fiscal year 2024.</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13. RESTRUCTURING COSTS</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consumer care and enrollment group. The majority of the restructuring charges incurred relate to employee termination benefits and will be settled in cash through the second quarter of 2024. The restructuring activities related to this plan were materially complete as of December 31, 2022. The Company evaluates restructuring charges in accordance with ASC 420 </w:t>
      </w:r>
      <w:r>
        <w:rPr>
          <w:rFonts w:ascii="Arial" w:cs="Arial" w:eastAsia="Arial" w:hAnsi="Arial"/>
          <w:sz w:val="12"/>
          <w:szCs w:val="12"/>
          <w:i w:val="1"/>
          <w:iCs w:val="1"/>
          <w:color w:val="auto"/>
        </w:rPr>
        <w:t>Exit or Disposal Cost Obligations</w:t>
      </w:r>
      <w:r>
        <w:rPr>
          <w:rFonts w:ascii="Arial" w:cs="Arial" w:eastAsia="Arial" w:hAnsi="Arial"/>
          <w:sz w:val="12"/>
          <w:szCs w:val="12"/>
          <w:color w:val="auto"/>
        </w:rPr>
        <w:t xml:space="preserve"> and ASC 712 </w:t>
      </w:r>
      <w:r>
        <w:rPr>
          <w:rFonts w:ascii="Arial" w:cs="Arial" w:eastAsia="Arial" w:hAnsi="Arial"/>
          <w:sz w:val="12"/>
          <w:szCs w:val="12"/>
          <w:i w:val="1"/>
          <w:iCs w:val="1"/>
          <w:color w:val="auto"/>
        </w:rPr>
        <w:t>Compensation—Nonretirement Post-Employment Benefits.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Company incurred no restructuring and other related charges during the three months ended March 31, 2024 and 2023.</w:t>
      </w:r>
    </w:p>
    <w:p>
      <w:pPr>
        <w:spacing w:after="0" w:line="169"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The following table provides the changes in the Company’s restructuring and other related charges that will be settled in cash, included in accrued liabilities on the Condensed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1"/>
                <w:szCs w:val="11"/>
                <w:b w:val="1"/>
                <w:bCs w:val="1"/>
                <w:color w:val="auto"/>
              </w:rPr>
              <w:t>Mar. 31,</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8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2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0"/>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Beginning balance</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180" w:type="dxa"/>
            <w:vAlign w:val="bottom"/>
            <w:tcBorders>
              <w:lef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2,083</w:t>
            </w:r>
          </w:p>
        </w:tc>
        <w:tc>
          <w:tcPr>
            <w:tcW w:w="0" w:type="dxa"/>
            <w:vAlign w:val="bottom"/>
          </w:tcPr>
          <w:p>
            <w:pPr>
              <w:spacing w:after="0"/>
              <w:rPr>
                <w:sz w:val="1"/>
                <w:szCs w:val="1"/>
                <w:color w:val="auto"/>
              </w:rPr>
            </w:pPr>
          </w:p>
        </w:tc>
      </w:tr>
      <w:tr>
        <w:trPr>
          <w:trHeight w:val="156"/>
        </w:trPr>
        <w:tc>
          <w:tcPr>
            <w:tcW w:w="4860" w:type="dxa"/>
            <w:vAlign w:val="bottom"/>
          </w:tcPr>
          <w:p>
            <w:pPr>
              <w:ind w:left="100"/>
              <w:spacing w:after="0"/>
              <w:rPr>
                <w:sz w:val="20"/>
                <w:szCs w:val="20"/>
                <w:color w:val="auto"/>
              </w:rPr>
            </w:pPr>
            <w:r>
              <w:rPr>
                <w:rFonts w:ascii="Arial" w:cs="Arial" w:eastAsia="Arial" w:hAnsi="Arial"/>
                <w:sz w:val="11"/>
                <w:szCs w:val="11"/>
                <w:color w:val="auto"/>
              </w:rPr>
              <w:t>Charges incurred</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paid</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700" w:type="dxa"/>
            <w:vAlign w:val="bottom"/>
            <w:tcBorders>
              <w:left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0" w:type="dxa"/>
            <w:vAlign w:val="bottom"/>
          </w:tcPr>
          <w:p>
            <w:pPr>
              <w:spacing w:after="0"/>
              <w:rPr>
                <w:sz w:val="1"/>
                <w:szCs w:val="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Ending balance</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w:t>
            </w:r>
          </w:p>
        </w:tc>
        <w:tc>
          <w:tcPr>
            <w:tcW w:w="1560" w:type="dxa"/>
            <w:vAlign w:val="bottom"/>
          </w:tcPr>
          <w:p>
            <w:pPr>
              <w:jc w:val="right"/>
              <w:ind w:right="3"/>
              <w:spacing w:after="0"/>
              <w:rPr>
                <w:sz w:val="20"/>
                <w:szCs w:val="20"/>
                <w:color w:val="auto"/>
              </w:rPr>
            </w:pPr>
            <w:r>
              <w:rPr>
                <w:rFonts w:ascii="Arial" w:cs="Arial" w:eastAsia="Arial" w:hAnsi="Arial"/>
                <w:sz w:val="11"/>
                <w:szCs w:val="11"/>
                <w:b w:val="1"/>
                <w:bCs w:val="1"/>
                <w:color w:val="auto"/>
              </w:rPr>
              <w:t>364</w:t>
            </w:r>
          </w:p>
        </w:tc>
        <w:tc>
          <w:tcPr>
            <w:tcW w:w="8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1,704</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line="20" w:lineRule="exact"/>
              <w:rPr>
                <w:sz w:val="1"/>
                <w:szCs w:val="1"/>
                <w:color w:val="auto"/>
              </w:rPr>
            </w:pPr>
          </w:p>
        </w:tc>
        <w:tc>
          <w:tcPr>
            <w:tcW w:w="1560" w:type="dxa"/>
            <w:vAlign w:val="bottom"/>
            <w:vMerge w:val="restart"/>
          </w:tcPr>
          <w:p>
            <w:pPr>
              <w:ind w:left="340"/>
              <w:spacing w:after="0"/>
              <w:rPr>
                <w:sz w:val="20"/>
                <w:szCs w:val="20"/>
                <w:color w:val="auto"/>
              </w:rPr>
            </w:pPr>
            <w:r>
              <w:rPr>
                <w:rFonts w:ascii="Arial" w:cs="Arial" w:eastAsia="Arial" w:hAnsi="Arial"/>
                <w:sz w:val="11"/>
                <w:szCs w:val="11"/>
                <w:color w:val="auto"/>
              </w:rPr>
              <w:t>2024 Form 10-Q</w:t>
            </w: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60" w:type="dxa"/>
            <w:vAlign w:val="bottom"/>
            <w:vMerge w:val="continue"/>
          </w:tcPr>
          <w:p>
            <w:pPr>
              <w:spacing w:after="0"/>
              <w:rPr>
                <w:sz w:val="13"/>
                <w:szCs w:val="13"/>
                <w:color w:val="auto"/>
              </w:rPr>
            </w:pPr>
          </w:p>
        </w:tc>
        <w:tc>
          <w:tcPr>
            <w:tcW w:w="700" w:type="dxa"/>
            <w:vAlign w:val="bottom"/>
            <w:tcBorders>
              <w:left w:val="single" w:sz="8" w:color="auto"/>
            </w:tcBorders>
          </w:tcPr>
          <w:p>
            <w:pPr>
              <w:jc w:val="right"/>
              <w:ind w:right="443"/>
              <w:spacing w:after="0"/>
              <w:rPr>
                <w:sz w:val="20"/>
                <w:szCs w:val="20"/>
                <w:color w:val="auto"/>
              </w:rPr>
            </w:pPr>
            <w:r>
              <w:rPr>
                <w:rFonts w:ascii="Arial" w:cs="Arial" w:eastAsia="Arial" w:hAnsi="Arial"/>
                <w:sz w:val="11"/>
                <w:szCs w:val="11"/>
                <w:color w:val="auto"/>
              </w:rPr>
              <w:t>22</w:t>
            </w: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2. MANAGEMENT’S DISCUSSION AND ANALYSIS OF FINANCIAL CONDITIONS AND RESULTS OF OPERATIONS.</w:t>
      </w:r>
    </w:p>
    <w:p>
      <w:pPr>
        <w:spacing w:after="0" w:line="277"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 titled “Cautionary Note Regarding Forward-Looking Statements” in this Quarterly Report on Form 10-Q, and the sections titled “Cautionary Note Regarding Forward-Looking Statements,” “Summary Risk Factors” and “Risk Factors” in our 2023 Annual Report on Form 10-K. The risks and uncertainties described in our 2023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noted, all dollars are in thousands. In certain cases, numbers and percentages in the tables below may not foot due to rounding.</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201"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We are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65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across the nation that provide access to high quality health plans across all 50 states.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Update on Business Trends and Strategy</w:t>
      </w:r>
    </w:p>
    <w:p>
      <w:pPr>
        <w:spacing w:after="0" w:line="201"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GoHealth has evolved from a traditional Medicare enrollment company to a Medicare engagement company, focusing on forging high-quality relationships with our consumers. This shift emphasizes a more integrated and interactive approach to consumer care and reflects how our Encompass operating model, which is now operating at scale with all key health plan partners,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spacing w:after="0" w:line="179"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The Encompass operating model supports all Medicare services, including agency and non-agency revenue. Agency revenue refers to the commission revenue and partner marketing and other revenue we receive when GoHealth agents or our independent network of outsourced agents enroll the consumer and submit the policy application to the health plan partner, becoming the agent of record. Non-agency revenue refers to services we provide that support enrollment and engagement activities in which GoHealth is not the agent of record. During the second quarter of 2023 we began offering these enrollment and engagement services to our external partners, which we refer to as our vConnect program. The non-agency model moves away from the agency structure in that cash is collected in advance or in close proximity to the point in time revenue is recognized.</w:t>
      </w:r>
    </w:p>
    <w:p>
      <w:pPr>
        <w:spacing w:after="0" w:line="179" w:lineRule="exact"/>
        <w:rPr>
          <w:sz w:val="20"/>
          <w:szCs w:val="20"/>
          <w:color w:val="auto"/>
        </w:rPr>
      </w:pPr>
    </w:p>
    <w:p>
      <w:pPr>
        <w:ind w:right="300"/>
        <w:spacing w:after="0" w:line="253" w:lineRule="auto"/>
        <w:rPr>
          <w:sz w:val="20"/>
          <w:szCs w:val="20"/>
          <w:color w:val="auto"/>
        </w:rPr>
      </w:pPr>
      <w:r>
        <w:rPr>
          <w:rFonts w:ascii="Arial" w:cs="Arial" w:eastAsia="Arial" w:hAnsi="Arial"/>
          <w:sz w:val="13"/>
          <w:szCs w:val="13"/>
          <w:color w:val="auto"/>
        </w:rPr>
        <w:t>The enrollment and engagement services offered through our non-agency model are strategically designed to enhance the consumer experience, reflecting our focus on building trusted, long-term relationships with our consumers. The growth of non-agency revenue period over period is a reflection of our evolution from a traditional Medicare enrollment company to a Medicare engagement company. For the three months ended March 31, 2024, non-agency revenue increased by $40.9 million compared to the prior year period. Non-agency revenue grew from 27% of total Medicare revenue for the three months ended March 31, 2023 to 46% of total Medicare revenue for the three months ended March 31, 2024.</w:t>
      </w:r>
    </w:p>
    <w:p>
      <w:pPr>
        <w:spacing w:after="0" w:line="165"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We continue to refine our Encompass operating model through investments in technology. Last year, we introduced PlanFit CheckUp, utilizing analytics from nearly thirty million consumer touchpoints and machine learning to help our licensed agents accurately match consumers with the best Medicare plans for their needs. PlanFit CheckUp enables consumers to regularly assess the appropriateness of their current plan through a data-driven customized process, guided by the trusted expertise of a licensed GoHealth agent. In addition to further developing PlanFit Checkups, we are investing in technologies like Customer 360.</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Customer 360 provides a unified view of the consumer across every touchpoint to ensure high-quality, personalized service at every point of the consumer journey.</w:t>
      </w:r>
    </w:p>
    <w:p>
      <w:pPr>
        <w:spacing w:after="0" w:line="190"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In the 2023 AEP we observed a unique set of market dynamics where for the first time in recent years the health plans on average made very little change to benefits, with many reducing benefits for the average Medicare consumer. As a result we observed higher shopping but lower switching. In response to these observed market dynamics, we enhanced our targeted marketing efforts to identify consumers in need of new health plan options.</w:t>
      </w:r>
    </w:p>
    <w:p>
      <w:pPr>
        <w:spacing w:after="0" w:line="17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The introduction of the Centers for Medicare and Medicaid Services (“CMS”) Final 2025 Marketing Rule in April 2024 has implications for Medicare Advantage plans, potentially affecting benefit structures and necessitating more dynamic consumer shopping behaviors. As the landscape becomes more complex, we believe GoHealth’s role as a reliable guide becomes increasingly critical. We are analyzing the implications of the CMS Final Rule with our health plan partners and closely monitoring its effects on the Medicare landscape. Further discussion of how changes and developments in the laws and regulations governing the health insurance markets in the U.S. could materially affect our business, operating results, financial condition and qualified prospects is included under the heading “Item 1A. Risk Factors” in our 2023 Annual Report on Form 10-K.</w:t>
      </w:r>
    </w:p>
    <w:p>
      <w:pPr>
        <w:spacing w:after="0" w:line="179"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Additionally, the Company made the strategic decision to exit its Non-Encompass BPO Services, or services in which we dedicate certain agents to specific health plan partners and agencies outside of the Encompass model, to focus on our core business. The exit was completed during the second quarter of 2023. During the three months ended March 31, 2024 and 2023, Non-Encompass BPO Services contributed zero and $6.8 million of net revenue, respectively.</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months ended March 31, 2024 and 2023 was 56.8% and 59.3%,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percentage ownership of total shares of Class A and Class B common stock issued and outstanding as of March 31,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120650</wp:posOffset>
            </wp:positionV>
            <wp:extent cx="4042410" cy="1684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4241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Condensed Consolidated Financial Statements.</w:t>
      </w:r>
    </w:p>
    <w:p>
      <w:pPr>
        <w:spacing w:after="0" w:line="149" w:lineRule="exact"/>
        <w:rPr>
          <w:sz w:val="20"/>
          <w:szCs w:val="20"/>
          <w:color w:val="auto"/>
        </w:rPr>
      </w:pPr>
    </w:p>
    <w:p>
      <w:pPr>
        <w:ind w:right="320"/>
        <w:spacing w:after="0" w:line="252" w:lineRule="auto"/>
        <w:rPr>
          <w:sz w:val="20"/>
          <w:szCs w:val="20"/>
          <w:color w:val="auto"/>
        </w:rPr>
      </w:pPr>
      <w:r>
        <w:rPr>
          <w:rFonts w:ascii="Arial" w:cs="Arial" w:eastAsia="Arial" w:hAnsi="Arial"/>
          <w:sz w:val="13"/>
          <w:szCs w:val="13"/>
          <w:color w:val="auto"/>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13"/>
          <w:szCs w:val="13"/>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our consolidated results of operations for the three months ended March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10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3"/>
          </w:tcPr>
          <w:p>
            <w:pPr>
              <w:jc w:val="right"/>
              <w:ind w:right="743"/>
              <w:spacing w:after="0"/>
              <w:rPr>
                <w:sz w:val="20"/>
                <w:szCs w:val="20"/>
                <w:color w:val="auto"/>
              </w:rPr>
            </w:pPr>
            <w:r>
              <w:rPr>
                <w:rFonts w:ascii="Arial" w:cs="Arial" w:eastAsia="Arial" w:hAnsi="Arial"/>
                <w:sz w:val="11"/>
                <w:szCs w:val="11"/>
                <w:color w:val="auto"/>
              </w:rPr>
              <w:t>Three months ended Mar. 31,</w:t>
            </w:r>
          </w:p>
        </w:tc>
        <w:tc>
          <w:tcPr>
            <w:tcW w:w="0" w:type="dxa"/>
            <w:vAlign w:val="bottom"/>
          </w:tcPr>
          <w:p>
            <w:pPr>
              <w:spacing w:after="0"/>
              <w:rPr>
                <w:sz w:val="1"/>
                <w:szCs w:val="1"/>
                <w:color w:val="auto"/>
              </w:rPr>
            </w:pPr>
          </w:p>
        </w:tc>
      </w:tr>
      <w:tr>
        <w:trPr>
          <w:trHeight w:val="152"/>
        </w:trPr>
        <w:tc>
          <w:tcPr>
            <w:tcW w:w="810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623"/>
              <w:spacing w:after="0"/>
              <w:rPr>
                <w:sz w:val="20"/>
                <w:szCs w:val="20"/>
                <w:color w:val="auto"/>
              </w:rPr>
            </w:pPr>
            <w:r>
              <w:rPr>
                <w:rFonts w:ascii="Arial" w:cs="Arial" w:eastAsia="Arial" w:hAnsi="Arial"/>
                <w:sz w:val="11"/>
                <w:szCs w:val="11"/>
                <w:color w:val="auto"/>
              </w:rPr>
              <w:t>2024</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153"/>
        </w:trPr>
        <w:tc>
          <w:tcPr>
            <w:tcW w:w="8100" w:type="dxa"/>
            <w:vAlign w:val="bottom"/>
          </w:tcPr>
          <w:p>
            <w:pPr>
              <w:ind w:left="2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b w:val="1"/>
                <w:bCs w:val="1"/>
                <w:color w:val="auto"/>
              </w:rPr>
              <w:t>185,600</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183,158</w:t>
            </w:r>
          </w:p>
        </w:tc>
        <w:tc>
          <w:tcPr>
            <w:tcW w:w="0" w:type="dxa"/>
            <w:vAlign w:val="bottom"/>
          </w:tcPr>
          <w:p>
            <w:pPr>
              <w:spacing w:after="0"/>
              <w:rPr>
                <w:sz w:val="1"/>
                <w:szCs w:val="1"/>
                <w:color w:val="auto"/>
              </w:rPr>
            </w:pPr>
          </w:p>
        </w:tc>
      </w:tr>
      <w:tr>
        <w:trPr>
          <w:trHeight w:val="133"/>
        </w:trPr>
        <w:tc>
          <w:tcPr>
            <w:tcW w:w="8100" w:type="dxa"/>
            <w:vAlign w:val="bottom"/>
          </w:tcPr>
          <w:p>
            <w:pPr>
              <w:ind w:left="20"/>
              <w:spacing w:after="0"/>
              <w:rPr>
                <w:sz w:val="20"/>
                <w:szCs w:val="20"/>
                <w:color w:val="auto"/>
              </w:rPr>
            </w:pPr>
            <w:r>
              <w:rPr>
                <w:rFonts w:ascii="Arial" w:cs="Arial" w:eastAsia="Arial" w:hAnsi="Arial"/>
                <w:sz w:val="11"/>
                <w:szCs w:val="11"/>
                <w:i w:val="1"/>
                <w:iCs w:val="1"/>
                <w:color w:val="auto"/>
              </w:rPr>
              <w:t>Operating expenses:</w:t>
            </w:r>
          </w:p>
        </w:tc>
        <w:tc>
          <w:tcPr>
            <w:tcW w:w="80" w:type="dxa"/>
            <w:vAlign w:val="bottom"/>
            <w:shd w:val="clear" w:color="auto" w:fill="929292"/>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100" w:type="dxa"/>
            <w:vAlign w:val="bottom"/>
          </w:tcPr>
          <w:p>
            <w:pPr>
              <w:ind w:left="180"/>
              <w:spacing w:after="0"/>
              <w:rPr>
                <w:sz w:val="20"/>
                <w:szCs w:val="20"/>
                <w:color w:val="auto"/>
              </w:rPr>
            </w:pPr>
            <w:r>
              <w:rPr>
                <w:rFonts w:ascii="Arial" w:cs="Arial" w:eastAsia="Arial" w:hAnsi="Arial"/>
                <w:sz w:val="11"/>
                <w:szCs w:val="11"/>
                <w:color w:val="auto"/>
              </w:rPr>
              <w:t>Revenue share</w:t>
            </w:r>
          </w:p>
        </w:tc>
        <w:tc>
          <w:tcPr>
            <w:tcW w:w="80" w:type="dxa"/>
            <w:vAlign w:val="bottom"/>
            <w:shd w:val="clear" w:color="auto" w:fill="929292"/>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38,013</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45,462</w:t>
            </w:r>
          </w:p>
        </w:tc>
        <w:tc>
          <w:tcPr>
            <w:tcW w:w="0" w:type="dxa"/>
            <w:vAlign w:val="bottom"/>
          </w:tcPr>
          <w:p>
            <w:pPr>
              <w:spacing w:after="0"/>
              <w:rPr>
                <w:sz w:val="1"/>
                <w:szCs w:val="1"/>
                <w:color w:val="auto"/>
              </w:rPr>
            </w:pPr>
          </w:p>
        </w:tc>
      </w:tr>
      <w:tr>
        <w:trPr>
          <w:trHeight w:val="159"/>
        </w:trPr>
        <w:tc>
          <w:tcPr>
            <w:tcW w:w="8100" w:type="dxa"/>
            <w:vAlign w:val="bottom"/>
          </w:tcPr>
          <w:p>
            <w:pPr>
              <w:ind w:left="180"/>
              <w:spacing w:after="0"/>
              <w:rPr>
                <w:sz w:val="20"/>
                <w:szCs w:val="20"/>
                <w:color w:val="auto"/>
              </w:rPr>
            </w:pPr>
            <w:r>
              <w:rPr>
                <w:rFonts w:ascii="Arial" w:cs="Arial" w:eastAsia="Arial" w:hAnsi="Arial"/>
                <w:sz w:val="11"/>
                <w:szCs w:val="11"/>
                <w:color w:val="auto"/>
              </w:rPr>
              <w:t>Marketing and advertising</w:t>
            </w:r>
          </w:p>
        </w:tc>
        <w:tc>
          <w:tcPr>
            <w:tcW w:w="80" w:type="dxa"/>
            <w:vAlign w:val="bottom"/>
            <w:shd w:val="clear" w:color="auto" w:fill="929292"/>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52,775</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45,743</w:t>
            </w:r>
          </w:p>
        </w:tc>
        <w:tc>
          <w:tcPr>
            <w:tcW w:w="0" w:type="dxa"/>
            <w:vAlign w:val="bottom"/>
          </w:tcPr>
          <w:p>
            <w:pPr>
              <w:spacing w:after="0"/>
              <w:rPr>
                <w:sz w:val="1"/>
                <w:szCs w:val="1"/>
                <w:color w:val="auto"/>
              </w:rPr>
            </w:pPr>
          </w:p>
        </w:tc>
      </w:tr>
      <w:tr>
        <w:trPr>
          <w:trHeight w:val="159"/>
        </w:trPr>
        <w:tc>
          <w:tcPr>
            <w:tcW w:w="8100" w:type="dxa"/>
            <w:vAlign w:val="bottom"/>
          </w:tcPr>
          <w:p>
            <w:pPr>
              <w:ind w:left="180"/>
              <w:spacing w:after="0"/>
              <w:rPr>
                <w:sz w:val="20"/>
                <w:szCs w:val="20"/>
                <w:color w:val="auto"/>
              </w:rPr>
            </w:pPr>
            <w:r>
              <w:rPr>
                <w:rFonts w:ascii="Arial" w:cs="Arial" w:eastAsia="Arial" w:hAnsi="Arial"/>
                <w:sz w:val="11"/>
                <w:szCs w:val="11"/>
                <w:color w:val="auto"/>
              </w:rPr>
              <w:t>Consumer care and enrollment</w:t>
            </w:r>
          </w:p>
        </w:tc>
        <w:tc>
          <w:tcPr>
            <w:tcW w:w="80" w:type="dxa"/>
            <w:vAlign w:val="bottom"/>
            <w:shd w:val="clear" w:color="auto" w:fill="929292"/>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47,861</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42,027</w:t>
            </w:r>
          </w:p>
        </w:tc>
        <w:tc>
          <w:tcPr>
            <w:tcW w:w="0" w:type="dxa"/>
            <w:vAlign w:val="bottom"/>
          </w:tcPr>
          <w:p>
            <w:pPr>
              <w:spacing w:after="0"/>
              <w:rPr>
                <w:sz w:val="1"/>
                <w:szCs w:val="1"/>
                <w:color w:val="auto"/>
              </w:rPr>
            </w:pPr>
          </w:p>
        </w:tc>
      </w:tr>
      <w:tr>
        <w:trPr>
          <w:trHeight w:val="159"/>
        </w:trPr>
        <w:tc>
          <w:tcPr>
            <w:tcW w:w="8100" w:type="dxa"/>
            <w:vAlign w:val="bottom"/>
          </w:tcPr>
          <w:p>
            <w:pPr>
              <w:ind w:left="180"/>
              <w:spacing w:after="0"/>
              <w:rPr>
                <w:sz w:val="20"/>
                <w:szCs w:val="20"/>
                <w:color w:val="auto"/>
              </w:rPr>
            </w:pPr>
            <w:r>
              <w:rPr>
                <w:rFonts w:ascii="Arial" w:cs="Arial" w:eastAsia="Arial" w:hAnsi="Arial"/>
                <w:sz w:val="11"/>
                <w:szCs w:val="11"/>
                <w:color w:val="auto"/>
              </w:rPr>
              <w:t>Technology</w:t>
            </w:r>
          </w:p>
        </w:tc>
        <w:tc>
          <w:tcPr>
            <w:tcW w:w="80" w:type="dxa"/>
            <w:vAlign w:val="bottom"/>
            <w:shd w:val="clear" w:color="auto" w:fill="929292"/>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10,550</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9,543</w:t>
            </w:r>
          </w:p>
        </w:tc>
        <w:tc>
          <w:tcPr>
            <w:tcW w:w="0" w:type="dxa"/>
            <w:vAlign w:val="bottom"/>
          </w:tcPr>
          <w:p>
            <w:pPr>
              <w:spacing w:after="0"/>
              <w:rPr>
                <w:sz w:val="1"/>
                <w:szCs w:val="1"/>
                <w:color w:val="auto"/>
              </w:rPr>
            </w:pPr>
          </w:p>
        </w:tc>
      </w:tr>
      <w:tr>
        <w:trPr>
          <w:trHeight w:val="159"/>
        </w:trPr>
        <w:tc>
          <w:tcPr>
            <w:tcW w:w="8100" w:type="dxa"/>
            <w:vAlign w:val="bottom"/>
          </w:tcPr>
          <w:p>
            <w:pPr>
              <w:ind w:left="180"/>
              <w:spacing w:after="0"/>
              <w:rPr>
                <w:sz w:val="20"/>
                <w:szCs w:val="20"/>
                <w:color w:val="auto"/>
              </w:rPr>
            </w:pPr>
            <w:r>
              <w:rPr>
                <w:rFonts w:ascii="Arial" w:cs="Arial" w:eastAsia="Arial" w:hAnsi="Arial"/>
                <w:sz w:val="11"/>
                <w:szCs w:val="11"/>
                <w:color w:val="auto"/>
              </w:rPr>
              <w:t>General and administrative</w:t>
            </w:r>
          </w:p>
        </w:tc>
        <w:tc>
          <w:tcPr>
            <w:tcW w:w="80" w:type="dxa"/>
            <w:vAlign w:val="bottom"/>
            <w:shd w:val="clear" w:color="auto" w:fill="929292"/>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16,919</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22,618</w:t>
            </w:r>
          </w:p>
        </w:tc>
        <w:tc>
          <w:tcPr>
            <w:tcW w:w="0" w:type="dxa"/>
            <w:vAlign w:val="bottom"/>
          </w:tcPr>
          <w:p>
            <w:pPr>
              <w:spacing w:after="0"/>
              <w:rPr>
                <w:sz w:val="1"/>
                <w:szCs w:val="1"/>
                <w:color w:val="auto"/>
              </w:rPr>
            </w:pPr>
          </w:p>
        </w:tc>
      </w:tr>
      <w:tr>
        <w:trPr>
          <w:trHeight w:val="159"/>
        </w:trPr>
        <w:tc>
          <w:tcPr>
            <w:tcW w:w="810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color w:val="auto"/>
              </w:rPr>
              <w:t>23,514</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23,514</w:t>
            </w:r>
          </w:p>
        </w:tc>
        <w:tc>
          <w:tcPr>
            <w:tcW w:w="0" w:type="dxa"/>
            <w:vAlign w:val="bottom"/>
          </w:tcPr>
          <w:p>
            <w:pPr>
              <w:spacing w:after="0"/>
              <w:rPr>
                <w:sz w:val="1"/>
                <w:szCs w:val="1"/>
                <w:color w:val="auto"/>
              </w:rPr>
            </w:pPr>
          </w:p>
        </w:tc>
      </w:tr>
      <w:tr>
        <w:trPr>
          <w:trHeight w:val="156"/>
        </w:trPr>
        <w:tc>
          <w:tcPr>
            <w:tcW w:w="8100" w:type="dxa"/>
            <w:vAlign w:val="bottom"/>
          </w:tcPr>
          <w:p>
            <w:pPr>
              <w:ind w:left="20"/>
              <w:spacing w:after="0"/>
              <w:rPr>
                <w:sz w:val="20"/>
                <w:szCs w:val="20"/>
                <w:color w:val="auto"/>
              </w:rPr>
            </w:pPr>
            <w:r>
              <w:rPr>
                <w:rFonts w:ascii="Arial" w:cs="Arial" w:eastAsia="Arial" w:hAnsi="Arial"/>
                <w:sz w:val="11"/>
                <w:szCs w:val="11"/>
                <w:b w:val="1"/>
                <w:bCs w:val="1"/>
                <w:color w:val="auto"/>
              </w:rPr>
              <w:t>Total operating expenses</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b w:val="1"/>
                <w:bCs w:val="1"/>
                <w:color w:val="auto"/>
              </w:rPr>
              <w:t>189,632</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188,907</w:t>
            </w:r>
          </w:p>
        </w:tc>
        <w:tc>
          <w:tcPr>
            <w:tcW w:w="0" w:type="dxa"/>
            <w:vAlign w:val="bottom"/>
          </w:tcPr>
          <w:p>
            <w:pPr>
              <w:spacing w:after="0"/>
              <w:rPr>
                <w:sz w:val="1"/>
                <w:szCs w:val="1"/>
                <w:color w:val="auto"/>
              </w:rPr>
            </w:pPr>
          </w:p>
        </w:tc>
      </w:tr>
      <w:tr>
        <w:trPr>
          <w:trHeight w:val="144"/>
        </w:trPr>
        <w:tc>
          <w:tcPr>
            <w:tcW w:w="810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80" w:type="dxa"/>
            <w:vAlign w:val="bottom"/>
            <w:shd w:val="clear" w:color="auto" w:fill="929292"/>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103"/>
              <w:spacing w:after="0"/>
              <w:rPr>
                <w:sz w:val="20"/>
                <w:szCs w:val="20"/>
                <w:color w:val="auto"/>
              </w:rPr>
            </w:pPr>
            <w:r>
              <w:rPr>
                <w:rFonts w:ascii="Arial" w:cs="Arial" w:eastAsia="Arial" w:hAnsi="Arial"/>
                <w:sz w:val="11"/>
                <w:szCs w:val="11"/>
                <w:color w:val="auto"/>
              </w:rPr>
              <w:t>(4,032)</w:t>
            </w:r>
          </w:p>
        </w:tc>
        <w:tc>
          <w:tcPr>
            <w:tcW w:w="380" w:type="dxa"/>
            <w:vAlign w:val="bottom"/>
          </w:tcPr>
          <w:p>
            <w:pPr>
              <w:spacing w:after="0"/>
              <w:rPr>
                <w:sz w:val="12"/>
                <w:szCs w:val="12"/>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(5,749)</w:t>
            </w:r>
          </w:p>
        </w:tc>
        <w:tc>
          <w:tcPr>
            <w:tcW w:w="0" w:type="dxa"/>
            <w:vAlign w:val="bottom"/>
          </w:tcPr>
          <w:p>
            <w:pPr>
              <w:spacing w:after="0"/>
              <w:rPr>
                <w:sz w:val="1"/>
                <w:szCs w:val="1"/>
                <w:color w:val="auto"/>
              </w:rPr>
            </w:pPr>
          </w:p>
        </w:tc>
      </w:tr>
      <w:tr>
        <w:trPr>
          <w:trHeight w:val="159"/>
        </w:trPr>
        <w:tc>
          <w:tcPr>
            <w:tcW w:w="81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929292"/>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17,951</w:t>
            </w:r>
          </w:p>
        </w:tc>
        <w:tc>
          <w:tcPr>
            <w:tcW w:w="38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16,891</w:t>
            </w:r>
          </w:p>
        </w:tc>
        <w:tc>
          <w:tcPr>
            <w:tcW w:w="0" w:type="dxa"/>
            <w:vAlign w:val="bottom"/>
          </w:tcPr>
          <w:p>
            <w:pPr>
              <w:spacing w:after="0"/>
              <w:rPr>
                <w:sz w:val="1"/>
                <w:szCs w:val="1"/>
                <w:color w:val="auto"/>
              </w:rPr>
            </w:pPr>
          </w:p>
        </w:tc>
      </w:tr>
      <w:tr>
        <w:trPr>
          <w:trHeight w:val="159"/>
        </w:trPr>
        <w:tc>
          <w:tcPr>
            <w:tcW w:w="810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(566)</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56"/>
        </w:trPr>
        <w:tc>
          <w:tcPr>
            <w:tcW w:w="810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(21,417)</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(22,587)</w:t>
            </w:r>
          </w:p>
        </w:tc>
        <w:tc>
          <w:tcPr>
            <w:tcW w:w="0" w:type="dxa"/>
            <w:vAlign w:val="bottom"/>
          </w:tcPr>
          <w:p>
            <w:pPr>
              <w:spacing w:after="0"/>
              <w:rPr>
                <w:sz w:val="1"/>
                <w:szCs w:val="1"/>
                <w:color w:val="auto"/>
              </w:rPr>
            </w:pPr>
          </w:p>
        </w:tc>
      </w:tr>
      <w:tr>
        <w:trPr>
          <w:trHeight w:val="144"/>
        </w:trPr>
        <w:tc>
          <w:tcPr>
            <w:tcW w:w="8100" w:type="dxa"/>
            <w:vAlign w:val="bottom"/>
          </w:tcPr>
          <w:p>
            <w:pPr>
              <w:ind w:left="20"/>
              <w:spacing w:after="0"/>
              <w:rPr>
                <w:sz w:val="20"/>
                <w:szCs w:val="20"/>
                <w:color w:val="auto"/>
              </w:rPr>
            </w:pPr>
            <w:r>
              <w:rPr>
                <w:rFonts w:ascii="Arial" w:cs="Arial" w:eastAsia="Arial" w:hAnsi="Arial"/>
                <w:sz w:val="11"/>
                <w:szCs w:val="11"/>
                <w:color w:val="auto"/>
              </w:rPr>
              <w:t>Income tax (benefit) expense</w:t>
            </w:r>
          </w:p>
        </w:tc>
        <w:tc>
          <w:tcPr>
            <w:tcW w:w="80" w:type="dxa"/>
            <w:vAlign w:val="bottom"/>
            <w:tcBorders>
              <w:bottom w:val="single" w:sz="8" w:color="929292"/>
            </w:tcBorders>
            <w:shd w:val="clear" w:color="auto" w:fill="929292"/>
          </w:tcPr>
          <w:p>
            <w:pPr>
              <w:spacing w:after="0"/>
              <w:rPr>
                <w:sz w:val="12"/>
                <w:szCs w:val="12"/>
                <w:color w:val="auto"/>
              </w:rPr>
            </w:pPr>
          </w:p>
        </w:tc>
        <w:tc>
          <w:tcPr>
            <w:tcW w:w="360" w:type="dxa"/>
            <w:vAlign w:val="bottom"/>
            <w:tcBorders>
              <w:bottom w:val="single" w:sz="8" w:color="929292"/>
            </w:tcBorders>
          </w:tcPr>
          <w:p>
            <w:pPr>
              <w:spacing w:after="0"/>
              <w:rPr>
                <w:sz w:val="12"/>
                <w:szCs w:val="12"/>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(71)</w:t>
            </w:r>
          </w:p>
        </w:tc>
        <w:tc>
          <w:tcPr>
            <w:tcW w:w="380" w:type="dxa"/>
            <w:vAlign w:val="bottom"/>
            <w:tcBorders>
              <w:bottom w:val="single" w:sz="8" w:color="929292"/>
            </w:tcBorders>
          </w:tcPr>
          <w:p>
            <w:pPr>
              <w:spacing w:after="0"/>
              <w:rPr>
                <w:sz w:val="12"/>
                <w:szCs w:val="12"/>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6"/>
        </w:trPr>
        <w:tc>
          <w:tcPr>
            <w:tcW w:w="810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(21,346)</w:t>
            </w:r>
          </w:p>
        </w:tc>
        <w:tc>
          <w:tcPr>
            <w:tcW w:w="38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(22,543)</w:t>
            </w:r>
          </w:p>
        </w:tc>
        <w:tc>
          <w:tcPr>
            <w:tcW w:w="0" w:type="dxa"/>
            <w:vAlign w:val="bottom"/>
          </w:tcPr>
          <w:p>
            <w:pPr>
              <w:spacing w:after="0"/>
              <w:rPr>
                <w:sz w:val="1"/>
                <w:szCs w:val="1"/>
                <w:color w:val="auto"/>
              </w:rPr>
            </w:pPr>
          </w:p>
        </w:tc>
      </w:tr>
      <w:tr>
        <w:trPr>
          <w:trHeight w:val="147"/>
        </w:trPr>
        <w:tc>
          <w:tcPr>
            <w:tcW w:w="8100" w:type="dxa"/>
            <w:vAlign w:val="bottom"/>
          </w:tcPr>
          <w:p>
            <w:pPr>
              <w:ind w:left="20"/>
              <w:spacing w:after="0"/>
              <w:rPr>
                <w:sz w:val="20"/>
                <w:szCs w:val="20"/>
                <w:color w:val="auto"/>
              </w:rPr>
            </w:pPr>
            <w:r>
              <w:rPr>
                <w:rFonts w:ascii="Arial" w:cs="Arial" w:eastAsia="Arial" w:hAnsi="Arial"/>
                <w:sz w:val="11"/>
                <w:szCs w:val="11"/>
                <w:color w:val="auto"/>
              </w:rPr>
              <w:t>Net income (loss) attributable to non-controlling interests</w:t>
            </w:r>
          </w:p>
        </w:tc>
        <w:tc>
          <w:tcPr>
            <w:tcW w:w="80" w:type="dxa"/>
            <w:vAlign w:val="bottom"/>
            <w:tcBorders>
              <w:bottom w:val="single" w:sz="8" w:color="929292"/>
            </w:tcBorders>
            <w:shd w:val="clear" w:color="auto" w:fill="929292"/>
          </w:tcPr>
          <w:p>
            <w:pPr>
              <w:spacing w:after="0"/>
              <w:rPr>
                <w:sz w:val="12"/>
                <w:szCs w:val="12"/>
                <w:color w:val="auto"/>
              </w:rPr>
            </w:pPr>
          </w:p>
        </w:tc>
        <w:tc>
          <w:tcPr>
            <w:tcW w:w="360" w:type="dxa"/>
            <w:vAlign w:val="bottom"/>
            <w:tcBorders>
              <w:bottom w:val="single" w:sz="8" w:color="929292"/>
            </w:tcBorders>
          </w:tcPr>
          <w:p>
            <w:pPr>
              <w:spacing w:after="0"/>
              <w:rPr>
                <w:sz w:val="12"/>
                <w:szCs w:val="12"/>
                <w:color w:val="auto"/>
              </w:rPr>
            </w:pP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color w:val="auto"/>
              </w:rPr>
              <w:t>(12,130)</w:t>
            </w:r>
          </w:p>
        </w:tc>
        <w:tc>
          <w:tcPr>
            <w:tcW w:w="380" w:type="dxa"/>
            <w:vAlign w:val="bottom"/>
            <w:tcBorders>
              <w:bottom w:val="single" w:sz="8" w:color="929292"/>
            </w:tcBorders>
          </w:tcPr>
          <w:p>
            <w:pPr>
              <w:spacing w:after="0"/>
              <w:rPr>
                <w:sz w:val="12"/>
                <w:szCs w:val="12"/>
                <w:color w:val="auto"/>
              </w:rPr>
            </w:pP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color w:val="auto"/>
              </w:rPr>
              <w:t>(13,364)</w:t>
            </w:r>
          </w:p>
        </w:tc>
        <w:tc>
          <w:tcPr>
            <w:tcW w:w="0" w:type="dxa"/>
            <w:vAlign w:val="bottom"/>
          </w:tcPr>
          <w:p>
            <w:pPr>
              <w:spacing w:after="0"/>
              <w:rPr>
                <w:sz w:val="1"/>
                <w:szCs w:val="1"/>
                <w:color w:val="auto"/>
              </w:rPr>
            </w:pPr>
          </w:p>
        </w:tc>
      </w:tr>
      <w:tr>
        <w:trPr>
          <w:trHeight w:val="153"/>
        </w:trPr>
        <w:tc>
          <w:tcPr>
            <w:tcW w:w="810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80" w:type="dxa"/>
            <w:vAlign w:val="bottom"/>
            <w:tcBorders>
              <w:bottom w:val="single" w:sz="8" w:color="929292"/>
            </w:tcBorders>
            <w:shd w:val="clear" w:color="auto" w:fill="929292"/>
          </w:tcPr>
          <w:p>
            <w:pPr>
              <w:spacing w:after="0"/>
              <w:rPr>
                <w:sz w:val="13"/>
                <w:szCs w:val="13"/>
                <w:color w:val="auto"/>
              </w:rPr>
            </w:pPr>
          </w:p>
        </w:tc>
        <w:tc>
          <w:tcPr>
            <w:tcW w:w="36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929292"/>
            </w:tcBorders>
          </w:tcPr>
          <w:p>
            <w:pPr>
              <w:jc w:val="right"/>
              <w:ind w:right="103"/>
              <w:spacing w:after="0"/>
              <w:rPr>
                <w:sz w:val="20"/>
                <w:szCs w:val="20"/>
                <w:color w:val="auto"/>
              </w:rPr>
            </w:pPr>
            <w:r>
              <w:rPr>
                <w:rFonts w:ascii="Arial" w:cs="Arial" w:eastAsia="Arial" w:hAnsi="Arial"/>
                <w:sz w:val="11"/>
                <w:szCs w:val="11"/>
                <w:b w:val="1"/>
                <w:bCs w:val="1"/>
                <w:color w:val="auto"/>
              </w:rPr>
              <w:t>(9,216)</w:t>
            </w:r>
          </w:p>
        </w:tc>
        <w:tc>
          <w:tcPr>
            <w:tcW w:w="38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929292"/>
            </w:tcBorders>
          </w:tcPr>
          <w:p>
            <w:pPr>
              <w:jc w:val="right"/>
              <w:ind w:right="63"/>
              <w:spacing w:after="0"/>
              <w:rPr>
                <w:sz w:val="20"/>
                <w:szCs w:val="20"/>
                <w:color w:val="auto"/>
              </w:rPr>
            </w:pPr>
            <w:r>
              <w:rPr>
                <w:rFonts w:ascii="Arial" w:cs="Arial" w:eastAsia="Arial" w:hAnsi="Arial"/>
                <w:sz w:val="11"/>
                <w:szCs w:val="11"/>
                <w:b w:val="1"/>
                <w:bCs w:val="1"/>
                <w:color w:val="auto"/>
              </w:rPr>
              <w:t>(9,179)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Non-GAAP financial measures:</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38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100" w:type="dxa"/>
            <w:vAlign w:val="bottom"/>
            <w:vMerge w:val="continue"/>
          </w:tcPr>
          <w:p>
            <w:pPr>
              <w:spacing w:after="0"/>
              <w:rPr>
                <w:sz w:val="9"/>
                <w:szCs w:val="9"/>
                <w:color w:val="auto"/>
              </w:rPr>
            </w:pPr>
          </w:p>
        </w:tc>
        <w:tc>
          <w:tcPr>
            <w:tcW w:w="80" w:type="dxa"/>
            <w:vAlign w:val="bottom"/>
            <w:shd w:val="clear" w:color="auto" w:fill="929292"/>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100" w:type="dxa"/>
            <w:vAlign w:val="bottom"/>
          </w:tcPr>
          <w:p>
            <w:pPr>
              <w:ind w:left="20"/>
              <w:spacing w:after="0"/>
              <w:rPr>
                <w:sz w:val="20"/>
                <w:szCs w:val="20"/>
                <w:color w:val="auto"/>
              </w:rPr>
            </w:pPr>
            <w:r>
              <w:rPr>
                <w:rFonts w:ascii="Arial" w:cs="Arial" w:eastAsia="Arial" w:hAnsi="Arial"/>
                <w:sz w:val="11"/>
                <w:szCs w:val="11"/>
                <w:color w:val="auto"/>
              </w:rPr>
              <w:t>EBITDA</w:t>
            </w:r>
          </w:p>
        </w:tc>
        <w:tc>
          <w:tcPr>
            <w:tcW w:w="80" w:type="dxa"/>
            <w:vAlign w:val="bottom"/>
            <w:shd w:val="clear" w:color="auto" w:fill="929292"/>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22,780</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20,571</w:t>
            </w:r>
          </w:p>
        </w:tc>
        <w:tc>
          <w:tcPr>
            <w:tcW w:w="0" w:type="dxa"/>
            <w:vAlign w:val="bottom"/>
          </w:tcPr>
          <w:p>
            <w:pPr>
              <w:spacing w:after="0"/>
              <w:rPr>
                <w:sz w:val="1"/>
                <w:szCs w:val="1"/>
                <w:color w:val="auto"/>
              </w:rPr>
            </w:pPr>
          </w:p>
        </w:tc>
      </w:tr>
      <w:tr>
        <w:trPr>
          <w:trHeight w:val="159"/>
        </w:trPr>
        <w:tc>
          <w:tcPr>
            <w:tcW w:w="8100" w:type="dxa"/>
            <w:vAlign w:val="bottom"/>
          </w:tcPr>
          <w:p>
            <w:pPr>
              <w:ind w:left="20"/>
              <w:spacing w:after="0"/>
              <w:rPr>
                <w:sz w:val="20"/>
                <w:szCs w:val="20"/>
                <w:color w:val="auto"/>
              </w:rPr>
            </w:pPr>
            <w:r>
              <w:rPr>
                <w:rFonts w:ascii="Arial" w:cs="Arial" w:eastAsia="Arial" w:hAnsi="Arial"/>
                <w:sz w:val="11"/>
                <w:szCs w:val="11"/>
                <w:color w:val="auto"/>
              </w:rPr>
              <w:t>Adjusted EBITDA</w:t>
            </w:r>
          </w:p>
        </w:tc>
        <w:tc>
          <w:tcPr>
            <w:tcW w:w="80" w:type="dxa"/>
            <w:vAlign w:val="bottom"/>
            <w:shd w:val="clear" w:color="auto" w:fill="929292"/>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143"/>
              <w:spacing w:after="0"/>
              <w:rPr>
                <w:sz w:val="20"/>
                <w:szCs w:val="20"/>
                <w:color w:val="auto"/>
              </w:rPr>
            </w:pPr>
            <w:r>
              <w:rPr>
                <w:rFonts w:ascii="Arial" w:cs="Arial" w:eastAsia="Arial" w:hAnsi="Arial"/>
                <w:sz w:val="11"/>
                <w:szCs w:val="11"/>
                <w:color w:val="auto"/>
              </w:rPr>
              <w:t>26,894</w:t>
            </w:r>
          </w:p>
        </w:tc>
        <w:tc>
          <w:tcPr>
            <w:tcW w:w="3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28,778</w:t>
            </w:r>
          </w:p>
        </w:tc>
        <w:tc>
          <w:tcPr>
            <w:tcW w:w="0" w:type="dxa"/>
            <w:vAlign w:val="bottom"/>
          </w:tcPr>
          <w:p>
            <w:pPr>
              <w:spacing w:after="0"/>
              <w:rPr>
                <w:sz w:val="1"/>
                <w:szCs w:val="1"/>
                <w:color w:val="auto"/>
              </w:rPr>
            </w:pPr>
          </w:p>
        </w:tc>
      </w:tr>
      <w:tr>
        <w:trPr>
          <w:trHeight w:val="166"/>
        </w:trPr>
        <w:tc>
          <w:tcPr>
            <w:tcW w:w="8100" w:type="dxa"/>
            <w:vAlign w:val="bottom"/>
          </w:tcPr>
          <w:p>
            <w:pPr>
              <w:ind w:left="20"/>
              <w:spacing w:after="0"/>
              <w:rPr>
                <w:sz w:val="20"/>
                <w:szCs w:val="20"/>
                <w:color w:val="auto"/>
              </w:rPr>
            </w:pPr>
            <w:r>
              <w:rPr>
                <w:rFonts w:ascii="Arial" w:cs="Arial" w:eastAsia="Arial" w:hAnsi="Arial"/>
                <w:sz w:val="11"/>
                <w:szCs w:val="11"/>
                <w:color w:val="auto"/>
              </w:rPr>
              <w:t>Adjusted EBITDA margin</w:t>
            </w:r>
          </w:p>
        </w:tc>
        <w:tc>
          <w:tcPr>
            <w:tcW w:w="80" w:type="dxa"/>
            <w:vAlign w:val="bottom"/>
            <w:shd w:val="clear" w:color="auto" w:fill="929292"/>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14.5 %</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15.7 %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our net revenues for the three months ended March 31, 2024 and 2023:</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16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380"/>
              <w:spacing w:after="0"/>
              <w:rPr>
                <w:sz w:val="20"/>
                <w:szCs w:val="20"/>
                <w:color w:val="auto"/>
              </w:rPr>
            </w:pPr>
            <w:r>
              <w:rPr>
                <w:rFonts w:ascii="Arial" w:cs="Arial" w:eastAsia="Arial" w:hAnsi="Arial"/>
                <w:sz w:val="11"/>
                <w:szCs w:val="11"/>
                <w:color w:val="auto"/>
              </w:rPr>
              <w:t>Three months ended Mar. 31,</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5160" w:type="dxa"/>
            <w:vAlign w:val="bottom"/>
            <w:tcBorders>
              <w:left w:val="single" w:sz="8" w:color="929292"/>
            </w:tcBorders>
          </w:tcPr>
          <w:p>
            <w:pPr>
              <w:ind w:left="2220"/>
              <w:spacing w:after="0"/>
              <w:rPr>
                <w:sz w:val="20"/>
                <w:szCs w:val="20"/>
                <w:color w:val="auto"/>
              </w:rPr>
            </w:pPr>
            <w:r>
              <w:rPr>
                <w:rFonts w:ascii="Arial" w:cs="Arial" w:eastAsia="Arial" w:hAnsi="Arial"/>
                <w:sz w:val="11"/>
                <w:szCs w:val="11"/>
                <w:b w:val="1"/>
                <w:bCs w:val="1"/>
                <w:color w:val="0A2299"/>
              </w:rPr>
              <w:t>Net Revenues</w:t>
            </w: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43"/>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1"/>
                <w:szCs w:val="11"/>
                <w:color w:val="auto"/>
              </w:rPr>
              <w:t>$ Change</w:t>
            </w:r>
          </w:p>
        </w:tc>
        <w:tc>
          <w:tcPr>
            <w:tcW w:w="1520" w:type="dxa"/>
            <w:vAlign w:val="bottom"/>
          </w:tcPr>
          <w:p>
            <w:pPr>
              <w:jc w:val="right"/>
              <w:ind w:right="443"/>
              <w:spacing w:after="0"/>
              <w:rPr>
                <w:sz w:val="20"/>
                <w:szCs w:val="20"/>
                <w:color w:val="auto"/>
              </w:rPr>
            </w:pPr>
            <w:r>
              <w:rPr>
                <w:rFonts w:ascii="Arial" w:cs="Arial" w:eastAsia="Arial" w:hAnsi="Arial"/>
                <w:sz w:val="11"/>
                <w:szCs w:val="11"/>
                <w:color w:val="auto"/>
              </w:rPr>
              <w:t>% Change</w:t>
            </w:r>
          </w:p>
        </w:tc>
      </w:tr>
      <w:tr>
        <w:trPr>
          <w:trHeight w:val="147"/>
        </w:trPr>
        <w:tc>
          <w:tcPr>
            <w:tcW w:w="5160" w:type="dxa"/>
            <w:vAlign w:val="bottom"/>
            <w:tcBorders>
              <w:left w:val="single" w:sz="8" w:color="929292"/>
              <w:bottom w:val="single" w:sz="8" w:color="929292"/>
            </w:tcBorders>
          </w:tcPr>
          <w:p>
            <w:pPr>
              <w:spacing w:after="0"/>
              <w:rPr>
                <w:sz w:val="12"/>
                <w:szCs w:val="12"/>
                <w:color w:val="auto"/>
              </w:rPr>
            </w:pPr>
          </w:p>
        </w:tc>
        <w:tc>
          <w:tcPr>
            <w:tcW w:w="80" w:type="dxa"/>
            <w:vAlign w:val="bottom"/>
            <w:tcBorders>
              <w:top w:val="single" w:sz="8" w:color="929292"/>
              <w:bottom w:val="single" w:sz="8" w:color="929292"/>
            </w:tcBorders>
            <w:shd w:val="clear" w:color="auto" w:fill="929292"/>
          </w:tcPr>
          <w:p>
            <w:pPr>
              <w:spacing w:after="0"/>
              <w:rPr>
                <w:sz w:val="12"/>
                <w:szCs w:val="12"/>
                <w:color w:val="auto"/>
              </w:rPr>
            </w:pPr>
          </w:p>
        </w:tc>
        <w:tc>
          <w:tcPr>
            <w:tcW w:w="340" w:type="dxa"/>
            <w:vAlign w:val="bottom"/>
            <w:tcBorders>
              <w:top w:val="single" w:sz="8" w:color="929292"/>
            </w:tcBorders>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185,600</w:t>
            </w:r>
          </w:p>
        </w:tc>
        <w:tc>
          <w:tcPr>
            <w:tcW w:w="100" w:type="dxa"/>
            <w:vAlign w:val="bottom"/>
          </w:tcPr>
          <w:p>
            <w:pPr>
              <w:spacing w:after="0"/>
              <w:rPr>
                <w:sz w:val="12"/>
                <w:szCs w:val="12"/>
                <w:color w:val="auto"/>
              </w:rPr>
            </w:pPr>
          </w:p>
        </w:tc>
        <w:tc>
          <w:tcPr>
            <w:tcW w:w="320" w:type="dxa"/>
            <w:vAlign w:val="bottom"/>
            <w:tcBorders>
              <w:top w:val="single" w:sz="8" w:color="929292"/>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183,158</w:t>
            </w:r>
          </w:p>
        </w:tc>
        <w:tc>
          <w:tcPr>
            <w:tcW w:w="80" w:type="dxa"/>
            <w:vAlign w:val="bottom"/>
          </w:tcPr>
          <w:p>
            <w:pPr>
              <w:spacing w:after="0"/>
              <w:rPr>
                <w:sz w:val="12"/>
                <w:szCs w:val="12"/>
                <w:color w:val="auto"/>
              </w:rPr>
            </w:pPr>
          </w:p>
        </w:tc>
        <w:tc>
          <w:tcPr>
            <w:tcW w:w="280" w:type="dxa"/>
            <w:vAlign w:val="bottom"/>
            <w:tcBorders>
              <w:top w:val="single" w:sz="8" w:color="929292"/>
            </w:tcBorders>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2,442</w:t>
            </w:r>
          </w:p>
        </w:tc>
        <w:tc>
          <w:tcPr>
            <w:tcW w:w="80" w:type="dxa"/>
            <w:vAlign w:val="bottom"/>
          </w:tcPr>
          <w:p>
            <w:pPr>
              <w:spacing w:after="0"/>
              <w:rPr>
                <w:sz w:val="12"/>
                <w:szCs w:val="12"/>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1.3 %</w:t>
            </w:r>
          </w:p>
        </w:tc>
      </w:tr>
    </w:tbl>
    <w:p>
      <w:pPr>
        <w:spacing w:after="0" w:line="223" w:lineRule="exact"/>
        <w:rPr>
          <w:sz w:val="20"/>
          <w:szCs w:val="20"/>
          <w:color w:val="auto"/>
        </w:rPr>
      </w:pPr>
    </w:p>
    <w:p>
      <w:pPr>
        <w:ind w:right="340"/>
        <w:spacing w:after="0" w:line="253" w:lineRule="auto"/>
        <w:rPr>
          <w:sz w:val="20"/>
          <w:szCs w:val="20"/>
          <w:color w:val="auto"/>
        </w:rPr>
      </w:pPr>
      <w:r>
        <w:rPr>
          <w:rFonts w:ascii="Arial" w:cs="Arial" w:eastAsia="Arial" w:hAnsi="Arial"/>
          <w:sz w:val="13"/>
          <w:szCs w:val="13"/>
          <w:color w:val="auto"/>
        </w:rPr>
        <w:t>The increase for the three months ended March 31, 2024 compared to the prior year period was primarily attributable to an increase in non-agency revenue, which includes the enrollment and engagement services offered through the Encompass Connect and Encompass Engage programs, partially offset by a decrease in agency revenue driven by a decline in Submissions for which GoHealth is the agent of record. The increase was further offset by a decrease in revenues associated with the strategic decision to exit our Non-Encompass BPO Services, which was completed during the second quarter of 2023.</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our key components of operating expenses and results thereof for the three months ended March 31, 2024 and 2023:</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380"/>
              <w:spacing w:after="0"/>
              <w:rPr>
                <w:sz w:val="20"/>
                <w:szCs w:val="20"/>
                <w:color w:val="auto"/>
              </w:rPr>
            </w:pPr>
            <w:r>
              <w:rPr>
                <w:rFonts w:ascii="Arial" w:cs="Arial" w:eastAsia="Arial" w:hAnsi="Arial"/>
                <w:sz w:val="11"/>
                <w:szCs w:val="11"/>
                <w:color w:val="auto"/>
              </w:rPr>
              <w:t>Three months ended Mar. 31,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6"/>
        </w:trPr>
        <w:tc>
          <w:tcPr>
            <w:tcW w:w="2580" w:type="dxa"/>
            <w:vAlign w:val="bottom"/>
            <w:tcBorders>
              <w:left w:val="single" w:sz="8" w:color="929292"/>
            </w:tcBorders>
          </w:tcPr>
          <w:p>
            <w:pPr>
              <w:ind w:left="900"/>
              <w:spacing w:after="0"/>
              <w:rPr>
                <w:sz w:val="20"/>
                <w:szCs w:val="20"/>
                <w:color w:val="auto"/>
              </w:rPr>
            </w:pPr>
            <w:r>
              <w:rPr>
                <w:rFonts w:ascii="Arial" w:cs="Arial" w:eastAsia="Arial" w:hAnsi="Arial"/>
                <w:sz w:val="11"/>
                <w:szCs w:val="11"/>
                <w:b w:val="1"/>
                <w:bCs w:val="1"/>
                <w:color w:val="0A2299"/>
              </w:rPr>
              <w:t>Revenue share</w:t>
            </w:r>
          </w:p>
        </w:tc>
        <w:tc>
          <w:tcPr>
            <w:tcW w:w="80" w:type="dxa"/>
            <w:vAlign w:val="bottom"/>
            <w:tcBorders>
              <w:bottom w:val="single" w:sz="8" w:color="929292"/>
            </w:tcBorders>
            <w:shd w:val="clear" w:color="auto" w:fill="929292"/>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5"/>
                <w:szCs w:val="15"/>
                <w:color w:val="auto"/>
              </w:rPr>
            </w:pPr>
          </w:p>
        </w:tc>
        <w:tc>
          <w:tcPr>
            <w:tcW w:w="340" w:type="dxa"/>
            <w:vAlign w:val="bottom"/>
            <w:tcBorders>
              <w:bottom w:val="single" w:sz="8" w:color="929292"/>
            </w:tcBorders>
          </w:tcPr>
          <w:p>
            <w:pPr>
              <w:spacing w:after="0"/>
              <w:rPr>
                <w:sz w:val="15"/>
                <w:szCs w:val="15"/>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5"/>
                <w:szCs w:val="15"/>
                <w:color w:val="auto"/>
              </w:rPr>
            </w:pPr>
          </w:p>
        </w:tc>
        <w:tc>
          <w:tcPr>
            <w:tcW w:w="260" w:type="dxa"/>
            <w:vAlign w:val="bottom"/>
            <w:tcBorders>
              <w:bottom w:val="single" w:sz="8" w:color="929292"/>
            </w:tcBorders>
          </w:tcPr>
          <w:p>
            <w:pPr>
              <w:spacing w:after="0"/>
              <w:rPr>
                <w:sz w:val="15"/>
                <w:szCs w:val="15"/>
                <w:color w:val="auto"/>
              </w:rPr>
            </w:pP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420" w:type="dxa"/>
            <w:vAlign w:val="bottom"/>
            <w:tcBorders>
              <w:bottom w:val="single" w:sz="8" w:color="929292"/>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929292"/>
            </w:tcBorders>
          </w:tcPr>
          <w:p>
            <w:pPr>
              <w:ind w:left="480"/>
              <w:spacing w:after="0"/>
              <w:rPr>
                <w:sz w:val="20"/>
                <w:szCs w:val="20"/>
                <w:color w:val="auto"/>
              </w:rPr>
            </w:pPr>
            <w:r>
              <w:rPr>
                <w:rFonts w:ascii="Arial" w:cs="Arial" w:eastAsia="Arial" w:hAnsi="Arial"/>
                <w:sz w:val="11"/>
                <w:szCs w:val="11"/>
                <w:color w:val="auto"/>
              </w:rPr>
              <w:t>% Change</w:t>
            </w:r>
          </w:p>
        </w:tc>
        <w:tc>
          <w:tcPr>
            <w:tcW w:w="440" w:type="dxa"/>
            <w:vAlign w:val="bottom"/>
            <w:tcBorders>
              <w:bottom w:val="single" w:sz="8" w:color="929292"/>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2024</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38,013</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45,462</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(7,449)</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2"/>
                <w:szCs w:val="12"/>
                <w:color w:val="auto"/>
              </w:rPr>
            </w:pP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20.5%</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92"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decrease for the three months ended March 31, 2024 compared to the prior year period was primarily driven by a decrease in Submissions generated by our independent network of outsourced agents, which decreased the amount of expense we recognized pursuant to our revenue-sharing agreements with our external partners. The decrease was partially offset by the launch of the vConnect program during the second quarter of 2023, which includes revenue-sharing components.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4"/>
          </w:tcPr>
          <w:p>
            <w:pPr>
              <w:jc w:val="center"/>
              <w:ind w:left="103"/>
              <w:spacing w:after="0"/>
              <w:rPr>
                <w:sz w:val="20"/>
                <w:szCs w:val="20"/>
                <w:color w:val="auto"/>
              </w:rPr>
            </w:pPr>
            <w:r>
              <w:rPr>
                <w:rFonts w:ascii="Arial" w:cs="Arial" w:eastAsia="Arial" w:hAnsi="Arial"/>
                <w:sz w:val="11"/>
                <w:szCs w:val="11"/>
                <w:color w:val="auto"/>
              </w:rPr>
              <w:t>Three months ended Mar. 31,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Borders>
              <w:left w:val="single" w:sz="8" w:color="929292"/>
            </w:tcBorders>
          </w:tcPr>
          <w:p>
            <w:pPr>
              <w:ind w:left="360"/>
              <w:spacing w:after="0"/>
              <w:rPr>
                <w:sz w:val="20"/>
                <w:szCs w:val="20"/>
                <w:color w:val="auto"/>
              </w:rPr>
            </w:pPr>
            <w:r>
              <w:rPr>
                <w:rFonts w:ascii="Arial" w:cs="Arial" w:eastAsia="Arial" w:hAnsi="Arial"/>
                <w:sz w:val="11"/>
                <w:szCs w:val="11"/>
                <w:b w:val="1"/>
                <w:bCs w:val="1"/>
                <w:color w:val="0A2299"/>
              </w:rPr>
              <w:t>Marketing and advertising expense</w:t>
            </w: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2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2023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color w:val="auto"/>
              </w:rPr>
              <w:t>$ Change</w:t>
            </w:r>
          </w:p>
        </w:tc>
        <w:tc>
          <w:tcPr>
            <w:tcW w:w="1580" w:type="dxa"/>
            <w:vAlign w:val="bottom"/>
            <w:gridSpan w:val="2"/>
          </w:tcPr>
          <w:p>
            <w:pPr>
              <w:ind w:left="480"/>
              <w:spacing w:after="0"/>
              <w:rPr>
                <w:sz w:val="20"/>
                <w:szCs w:val="20"/>
                <w:color w:val="auto"/>
              </w:rPr>
            </w:pPr>
            <w:r>
              <w:rPr>
                <w:rFonts w:ascii="Arial" w:cs="Arial" w:eastAsia="Arial" w:hAnsi="Arial"/>
                <w:sz w:val="11"/>
                <w:szCs w:val="11"/>
                <w:color w:val="auto"/>
              </w:rPr>
              <w:t>% Change</w:t>
            </w: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2024</w:t>
            </w: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top w:val="single" w:sz="8" w:color="929292"/>
              <w:bottom w:val="single" w:sz="8" w:color="929292"/>
            </w:tcBorders>
            <w:shd w:val="clear" w:color="auto" w:fill="929292"/>
          </w:tcPr>
          <w:p>
            <w:pPr>
              <w:spacing w:after="0"/>
              <w:rPr>
                <w:sz w:val="12"/>
                <w:szCs w:val="12"/>
                <w:color w:val="auto"/>
              </w:rPr>
            </w:pPr>
          </w:p>
        </w:tc>
        <w:tc>
          <w:tcPr>
            <w:tcW w:w="340" w:type="dxa"/>
            <w:vAlign w:val="bottom"/>
            <w:tcBorders>
              <w:top w:val="single" w:sz="8" w:color="929292"/>
            </w:tcBorders>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52,775</w:t>
            </w:r>
          </w:p>
        </w:tc>
        <w:tc>
          <w:tcPr>
            <w:tcW w:w="80" w:type="dxa"/>
            <w:vAlign w:val="bottom"/>
          </w:tcPr>
          <w:p>
            <w:pPr>
              <w:spacing w:after="0"/>
              <w:rPr>
                <w:sz w:val="12"/>
                <w:szCs w:val="12"/>
                <w:color w:val="auto"/>
              </w:rPr>
            </w:pPr>
          </w:p>
        </w:tc>
        <w:tc>
          <w:tcPr>
            <w:tcW w:w="700" w:type="dxa"/>
            <w:vAlign w:val="bottom"/>
            <w:tcBorders>
              <w:top w:val="single" w:sz="8" w:color="929292"/>
            </w:tcBorders>
          </w:tcPr>
          <w:p>
            <w:pPr>
              <w:jc w:val="right"/>
              <w:ind w:right="563"/>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929292"/>
            </w:tcBorders>
          </w:tcPr>
          <w:p>
            <w:pPr>
              <w:spacing w:after="0"/>
              <w:rPr>
                <w:sz w:val="12"/>
                <w:szCs w:val="12"/>
                <w:color w:val="auto"/>
              </w:rPr>
            </w:pPr>
          </w:p>
        </w:tc>
        <w:tc>
          <w:tcPr>
            <w:tcW w:w="5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45,743</w:t>
            </w:r>
          </w:p>
        </w:tc>
        <w:tc>
          <w:tcPr>
            <w:tcW w:w="80" w:type="dxa"/>
            <w:vAlign w:val="bottom"/>
          </w:tcPr>
          <w:p>
            <w:pPr>
              <w:spacing w:after="0"/>
              <w:rPr>
                <w:sz w:val="12"/>
                <w:szCs w:val="12"/>
                <w:color w:val="auto"/>
              </w:rPr>
            </w:pPr>
          </w:p>
        </w:tc>
        <w:tc>
          <w:tcPr>
            <w:tcW w:w="420" w:type="dxa"/>
            <w:vAlign w:val="bottom"/>
            <w:tcBorders>
              <w:top w:val="single" w:sz="8" w:color="929292"/>
            </w:tcBorders>
          </w:tcPr>
          <w:p>
            <w:pPr>
              <w:jc w:val="right"/>
              <w:ind w:right="28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929292"/>
            </w:tcBorders>
            <w:gridSpan w:val="2"/>
          </w:tcPr>
          <w:p>
            <w:pPr>
              <w:jc w:val="right"/>
              <w:ind w:right="3"/>
              <w:spacing w:after="0"/>
              <w:rPr>
                <w:sz w:val="20"/>
                <w:szCs w:val="20"/>
                <w:color w:val="auto"/>
              </w:rPr>
            </w:pPr>
            <w:r>
              <w:rPr>
                <w:rFonts w:ascii="Arial" w:cs="Arial" w:eastAsia="Arial" w:hAnsi="Arial"/>
                <w:sz w:val="11"/>
                <w:szCs w:val="11"/>
                <w:color w:val="auto"/>
              </w:rPr>
              <w:t>7,032</w:t>
            </w:r>
          </w:p>
        </w:tc>
        <w:tc>
          <w:tcPr>
            <w:tcW w:w="80" w:type="dxa"/>
            <w:vAlign w:val="bottom"/>
          </w:tcPr>
          <w:p>
            <w:pPr>
              <w:spacing w:after="0"/>
              <w:rPr>
                <w:sz w:val="12"/>
                <w:szCs w:val="12"/>
                <w:color w:val="auto"/>
              </w:rPr>
            </w:pPr>
          </w:p>
        </w:tc>
        <w:tc>
          <w:tcPr>
            <w:tcW w:w="15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15.4 %</w:t>
            </w:r>
          </w:p>
        </w:tc>
        <w:tc>
          <w:tcPr>
            <w:tcW w:w="80" w:type="dxa"/>
            <w:vAlign w:val="bottom"/>
          </w:tcPr>
          <w:p>
            <w:pPr>
              <w:spacing w:after="0"/>
              <w:rPr>
                <w:sz w:val="12"/>
                <w:szCs w:val="12"/>
                <w:color w:val="auto"/>
              </w:rPr>
            </w:pPr>
          </w:p>
        </w:tc>
        <w:tc>
          <w:tcPr>
            <w:tcW w:w="1260" w:type="dxa"/>
            <w:vAlign w:val="bottom"/>
            <w:tcBorders>
              <w:top w:val="single" w:sz="8" w:color="929292"/>
              <w:bottom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28.4%</w:t>
            </w:r>
          </w:p>
        </w:tc>
        <w:tc>
          <w:tcPr>
            <w:tcW w:w="1260" w:type="dxa"/>
            <w:vAlign w:val="bottom"/>
            <w:tcBorders>
              <w:top w:val="single" w:sz="8" w:color="929292"/>
              <w:bottom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3"/>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vMerge w:val="restart"/>
          </w:tcPr>
          <w:p>
            <w:pPr>
              <w:jc w:val="center"/>
              <w:ind w:left="323"/>
              <w:spacing w:after="0"/>
              <w:rPr>
                <w:sz w:val="20"/>
                <w:szCs w:val="20"/>
                <w:color w:val="auto"/>
              </w:rPr>
            </w:pPr>
            <w:r>
              <w:rPr>
                <w:rFonts w:ascii="Arial" w:cs="Arial" w:eastAsia="Arial" w:hAnsi="Arial"/>
                <w:sz w:val="11"/>
                <w:szCs w:val="11"/>
                <w:color w:val="auto"/>
              </w:rPr>
              <w:t>GoHealth, Inc.</w:t>
            </w:r>
          </w:p>
        </w:tc>
        <w:tc>
          <w:tcPr>
            <w:tcW w:w="220" w:type="dxa"/>
            <w:vAlign w:val="bottom"/>
          </w:tcPr>
          <w:p>
            <w:pPr>
              <w:spacing w:after="0"/>
              <w:rPr>
                <w:sz w:val="24"/>
                <w:szCs w:val="2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1"/>
                <w:szCs w:val="11"/>
                <w:color w:val="auto"/>
              </w:rPr>
              <w:t>2024 Form 10-Q</w:t>
            </w:r>
          </w:p>
        </w:tc>
        <w:tc>
          <w:tcPr>
            <w:tcW w:w="10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vMerge w:val="continue"/>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20" w:type="dxa"/>
            <w:vAlign w:val="bottom"/>
          </w:tcPr>
          <w:p>
            <w:pPr>
              <w:jc w:val="right"/>
              <w:ind w:right="38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-720090</wp:posOffset>
            </wp:positionV>
            <wp:extent cx="15970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28" w:name="page29"/>
    <w:bookmarkEnd w:id="28"/>
    <w:p>
      <w:pPr>
        <w:ind w:right="20"/>
        <w:spacing w:after="0" w:line="309" w:lineRule="auto"/>
        <w:rPr>
          <w:sz w:val="20"/>
          <w:szCs w:val="20"/>
          <w:color w:val="auto"/>
        </w:rPr>
      </w:pPr>
      <w:r>
        <w:rPr>
          <w:rFonts w:ascii="Arial" w:cs="Arial" w:eastAsia="Arial" w:hAnsi="Arial"/>
          <w:sz w:val="12"/>
          <w:szCs w:val="12"/>
          <w:color w:val="auto"/>
        </w:rPr>
        <w:t>The increase for the three months ended March 31, 2024 compared to the prior year period was primarily attributable to enhancements in our targeted marketing efforts to identify consumers in need of new health plan options as well as an intentional pullback on marketing and advertising spend during the prior year period, partially offset by a decline in payments to our external marketing partners.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380"/>
              <w:spacing w:after="0"/>
              <w:rPr>
                <w:sz w:val="20"/>
                <w:szCs w:val="20"/>
                <w:color w:val="auto"/>
              </w:rPr>
            </w:pPr>
            <w:r>
              <w:rPr>
                <w:rFonts w:ascii="Arial" w:cs="Arial" w:eastAsia="Arial" w:hAnsi="Arial"/>
                <w:sz w:val="11"/>
                <w:szCs w:val="11"/>
                <w:color w:val="auto"/>
              </w:rPr>
              <w:t>Three months ended Mar. 31,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1"/>
        </w:trPr>
        <w:tc>
          <w:tcPr>
            <w:tcW w:w="2580" w:type="dxa"/>
            <w:vAlign w:val="bottom"/>
            <w:tcBorders>
              <w:left w:val="single" w:sz="8" w:color="929292"/>
            </w:tcBorders>
          </w:tcPr>
          <w:p>
            <w:pPr>
              <w:ind w:left="460"/>
              <w:spacing w:after="0"/>
              <w:rPr>
                <w:sz w:val="20"/>
                <w:szCs w:val="20"/>
                <w:color w:val="auto"/>
              </w:rPr>
            </w:pPr>
            <w:r>
              <w:rPr>
                <w:rFonts w:ascii="Arial" w:cs="Arial" w:eastAsia="Arial" w:hAnsi="Arial"/>
                <w:sz w:val="11"/>
                <w:szCs w:val="11"/>
                <w:b w:val="1"/>
                <w:bCs w:val="1"/>
                <w:color w:val="0A2299"/>
              </w:rPr>
              <w:t>Consumer care and enrollment</w:t>
            </w:r>
          </w:p>
        </w:tc>
        <w:tc>
          <w:tcPr>
            <w:tcW w:w="8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4"/>
                <w:szCs w:val="14"/>
                <w:color w:val="auto"/>
              </w:rPr>
            </w:pPr>
          </w:p>
        </w:tc>
        <w:tc>
          <w:tcPr>
            <w:tcW w:w="260" w:type="dxa"/>
            <w:vAlign w:val="bottom"/>
            <w:tcBorders>
              <w:bottom w:val="single" w:sz="8" w:color="929292"/>
            </w:tcBorders>
          </w:tcPr>
          <w:p>
            <w:pPr>
              <w:spacing w:after="0"/>
              <w:rPr>
                <w:sz w:val="14"/>
                <w:szCs w:val="14"/>
                <w:color w:val="auto"/>
              </w:rPr>
            </w:pPr>
          </w:p>
        </w:tc>
        <w:tc>
          <w:tcPr>
            <w:tcW w:w="76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40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929292"/>
            </w:tcBorders>
          </w:tcPr>
          <w:p>
            <w:pPr>
              <w:ind w:left="480"/>
              <w:spacing w:after="0"/>
              <w:rPr>
                <w:sz w:val="20"/>
                <w:szCs w:val="20"/>
                <w:color w:val="auto"/>
              </w:rPr>
            </w:pPr>
            <w:r>
              <w:rPr>
                <w:rFonts w:ascii="Arial" w:cs="Arial" w:eastAsia="Arial" w:hAnsi="Arial"/>
                <w:sz w:val="11"/>
                <w:szCs w:val="11"/>
                <w:color w:val="auto"/>
              </w:rPr>
              <w:t>% Change</w:t>
            </w:r>
          </w:p>
        </w:tc>
        <w:tc>
          <w:tcPr>
            <w:tcW w:w="42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2024</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47,861</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42,027</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76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5,834</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13.9 %</w:t>
            </w:r>
          </w:p>
        </w:tc>
        <w:tc>
          <w:tcPr>
            <w:tcW w:w="80" w:type="dxa"/>
            <w:vAlign w:val="bottom"/>
          </w:tcPr>
          <w:p>
            <w:pPr>
              <w:spacing w:after="0"/>
              <w:rPr>
                <w:sz w:val="12"/>
                <w:szCs w:val="12"/>
                <w:color w:val="auto"/>
              </w:rPr>
            </w:pP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25.8%</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The increase for the three months ended March 31, 2024 was primarily attributable to an increased agent headcount compared to the prior year period.</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6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00"/>
              <w:spacing w:after="0"/>
              <w:rPr>
                <w:sz w:val="20"/>
                <w:szCs w:val="20"/>
                <w:color w:val="auto"/>
              </w:rPr>
            </w:pPr>
            <w:r>
              <w:rPr>
                <w:rFonts w:ascii="Arial" w:cs="Arial" w:eastAsia="Arial" w:hAnsi="Arial"/>
                <w:sz w:val="11"/>
                <w:szCs w:val="11"/>
                <w:color w:val="auto"/>
              </w:rPr>
              <w:t>Three months ended Mar. 31,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71"/>
        </w:trPr>
        <w:tc>
          <w:tcPr>
            <w:tcW w:w="2600" w:type="dxa"/>
            <w:vAlign w:val="bottom"/>
            <w:tcBorders>
              <w:left w:val="single" w:sz="8" w:color="929292"/>
            </w:tcBorders>
          </w:tcPr>
          <w:p>
            <w:pPr>
              <w:ind w:left="740"/>
              <w:spacing w:after="0"/>
              <w:rPr>
                <w:sz w:val="20"/>
                <w:szCs w:val="20"/>
                <w:color w:val="auto"/>
              </w:rPr>
            </w:pPr>
            <w:r>
              <w:rPr>
                <w:rFonts w:ascii="Arial" w:cs="Arial" w:eastAsia="Arial" w:hAnsi="Arial"/>
                <w:sz w:val="11"/>
                <w:szCs w:val="11"/>
                <w:b w:val="1"/>
                <w:bCs w:val="1"/>
                <w:color w:val="0A2299"/>
              </w:rPr>
              <w:t>Technology expense</w:t>
            </w:r>
          </w:p>
        </w:tc>
        <w:tc>
          <w:tcPr>
            <w:tcW w:w="80" w:type="dxa"/>
            <w:vAlign w:val="bottom"/>
            <w:tcBorders>
              <w:bottom w:val="single" w:sz="8" w:color="929292"/>
            </w:tcBorders>
            <w:shd w:val="clear" w:color="auto" w:fill="929292"/>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108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4"/>
                <w:szCs w:val="14"/>
                <w:color w:val="auto"/>
              </w:rPr>
            </w:pPr>
          </w:p>
        </w:tc>
        <w:tc>
          <w:tcPr>
            <w:tcW w:w="260" w:type="dxa"/>
            <w:vAlign w:val="bottom"/>
            <w:tcBorders>
              <w:bottom w:val="single" w:sz="8" w:color="929292"/>
            </w:tcBorders>
          </w:tcPr>
          <w:p>
            <w:pPr>
              <w:spacing w:after="0"/>
              <w:rPr>
                <w:sz w:val="14"/>
                <w:szCs w:val="14"/>
                <w:color w:val="auto"/>
              </w:rPr>
            </w:pP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40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929292"/>
            </w:tcBorders>
          </w:tcPr>
          <w:p>
            <w:pPr>
              <w:ind w:left="500"/>
              <w:spacing w:after="0"/>
              <w:rPr>
                <w:sz w:val="20"/>
                <w:szCs w:val="20"/>
                <w:color w:val="auto"/>
              </w:rPr>
            </w:pPr>
            <w:r>
              <w:rPr>
                <w:rFonts w:ascii="Arial" w:cs="Arial" w:eastAsia="Arial" w:hAnsi="Arial"/>
                <w:sz w:val="11"/>
                <w:szCs w:val="11"/>
                <w:color w:val="auto"/>
              </w:rPr>
              <w:t>% Change</w:t>
            </w:r>
          </w:p>
        </w:tc>
        <w:tc>
          <w:tcPr>
            <w:tcW w:w="44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2024</w:t>
            </w:r>
          </w:p>
        </w:tc>
        <w:tc>
          <w:tcPr>
            <w:tcW w:w="480" w:type="dxa"/>
            <w:vAlign w:val="bottom"/>
            <w:tcBorders>
              <w:bottom w:val="single" w:sz="8" w:color="929292"/>
            </w:tcBorders>
            <w:shd w:val="clear" w:color="auto" w:fill="929292"/>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r>
      <w:tr>
        <w:trPr>
          <w:trHeight w:val="147"/>
        </w:trPr>
        <w:tc>
          <w:tcPr>
            <w:tcW w:w="260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10,550</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9,543</w:t>
            </w:r>
          </w:p>
        </w:tc>
        <w:tc>
          <w:tcPr>
            <w:tcW w:w="10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1,007</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10.6 %</w:t>
            </w:r>
          </w:p>
        </w:tc>
        <w:tc>
          <w:tcPr>
            <w:tcW w:w="80" w:type="dxa"/>
            <w:vAlign w:val="bottom"/>
          </w:tcPr>
          <w:p>
            <w:pPr>
              <w:spacing w:after="0"/>
              <w:rPr>
                <w:sz w:val="12"/>
                <w:szCs w:val="12"/>
                <w:color w:val="auto"/>
              </w:rPr>
            </w:pP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5.7%</w:t>
            </w:r>
          </w:p>
        </w:tc>
        <w:tc>
          <w:tcPr>
            <w:tcW w:w="480" w:type="dxa"/>
            <w:vAlign w:val="bottom"/>
            <w:shd w:val="clear" w:color="auto" w:fill="929292"/>
          </w:tcPr>
          <w:p>
            <w:pPr>
              <w:spacing w:after="0"/>
              <w:rPr>
                <w:sz w:val="12"/>
                <w:szCs w:val="12"/>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-113665</wp:posOffset>
            </wp:positionV>
            <wp:extent cx="159004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90040" cy="6985"/>
                    </a:xfrm>
                    <a:prstGeom prst="rect">
                      <a:avLst/>
                    </a:prstGeom>
                    <a:noFill/>
                  </pic:spPr>
                </pic:pic>
              </a:graphicData>
            </a:graphic>
          </wp:anchor>
        </w:drawing>
      </w:r>
    </w:p>
    <w:p>
      <w:pPr>
        <w:spacing w:after="0" w:line="192"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The increase for the three months ended March 31, 2024 was primarily attributable to an increased headcount in our technology support functions compared to the prior year period as we continue to invest in and enhance our technology to drive overall efficiency in our Encompass workflow and improve the consumer experience.</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6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420" w:type="dxa"/>
            <w:vAlign w:val="bottom"/>
            <w:gridSpan w:val="4"/>
          </w:tcPr>
          <w:p>
            <w:pPr>
              <w:jc w:val="right"/>
              <w:ind w:right="220"/>
              <w:spacing w:after="0"/>
              <w:rPr>
                <w:sz w:val="20"/>
                <w:szCs w:val="20"/>
                <w:color w:val="auto"/>
              </w:rPr>
            </w:pPr>
            <w:r>
              <w:rPr>
                <w:rFonts w:ascii="Arial" w:cs="Arial" w:eastAsia="Arial" w:hAnsi="Arial"/>
                <w:sz w:val="11"/>
                <w:szCs w:val="11"/>
                <w:color w:val="auto"/>
              </w:rPr>
              <w:t>Three months ended Mar. 31,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40" w:type="dxa"/>
            <w:vAlign w:val="bottom"/>
            <w:tcBorders>
              <w:top w:val="single" w:sz="8" w:color="929292"/>
            </w:tcBorders>
            <w:gridSpan w:val="2"/>
            <w:shd w:val="clear" w:color="auto" w:fill="929292"/>
          </w:tcPr>
          <w:p>
            <w:pPr>
              <w:spacing w:after="0"/>
              <w:rPr>
                <w:sz w:val="20"/>
                <w:szCs w:val="20"/>
                <w:color w:val="auto"/>
              </w:rPr>
            </w:pPr>
            <w:r>
              <w:rPr>
                <w:rFonts w:ascii="Arial" w:cs="Arial" w:eastAsia="Arial" w:hAnsi="Arial"/>
                <w:sz w:val="11"/>
                <w:szCs w:val="11"/>
                <w:color w:val="FFFFFF"/>
              </w:rPr>
              <w:t>% of Net Revenues</w:t>
            </w:r>
          </w:p>
        </w:tc>
      </w:tr>
      <w:tr>
        <w:trPr>
          <w:trHeight w:val="176"/>
        </w:trPr>
        <w:tc>
          <w:tcPr>
            <w:tcW w:w="2600" w:type="dxa"/>
            <w:vAlign w:val="bottom"/>
            <w:tcBorders>
              <w:left w:val="single" w:sz="8" w:color="929292"/>
            </w:tcBorders>
          </w:tcPr>
          <w:p>
            <w:pPr>
              <w:ind w:left="340"/>
              <w:spacing w:after="0"/>
              <w:rPr>
                <w:sz w:val="20"/>
                <w:szCs w:val="20"/>
                <w:color w:val="auto"/>
              </w:rPr>
            </w:pPr>
            <w:r>
              <w:rPr>
                <w:rFonts w:ascii="Arial" w:cs="Arial" w:eastAsia="Arial" w:hAnsi="Arial"/>
                <w:sz w:val="11"/>
                <w:szCs w:val="11"/>
                <w:b w:val="1"/>
                <w:bCs w:val="1"/>
                <w:color w:val="0A2299"/>
              </w:rPr>
              <w:t>General and administrative expense</w:t>
            </w:r>
          </w:p>
        </w:tc>
        <w:tc>
          <w:tcPr>
            <w:tcW w:w="80" w:type="dxa"/>
            <w:vAlign w:val="bottom"/>
            <w:shd w:val="clear" w:color="auto" w:fill="929292"/>
          </w:tcPr>
          <w:p>
            <w:pPr>
              <w:spacing w:after="0"/>
              <w:rPr>
                <w:sz w:val="15"/>
                <w:szCs w:val="15"/>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2024</w:t>
            </w:r>
          </w:p>
        </w:tc>
        <w:tc>
          <w:tcPr>
            <w:tcW w:w="1500" w:type="dxa"/>
            <w:vAlign w:val="bottom"/>
            <w:gridSpan w:val="3"/>
          </w:tcPr>
          <w:p>
            <w:pPr>
              <w:jc w:val="right"/>
              <w:ind w:right="100"/>
              <w:spacing w:after="0"/>
              <w:rPr>
                <w:sz w:val="20"/>
                <w:szCs w:val="20"/>
                <w:color w:val="auto"/>
              </w:rPr>
            </w:pPr>
            <w:r>
              <w:rPr>
                <w:rFonts w:ascii="Arial" w:cs="Arial" w:eastAsia="Arial" w:hAnsi="Arial"/>
                <w:sz w:val="11"/>
                <w:szCs w:val="1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color w:val="auto"/>
              </w:rPr>
              <w:t>$ Change</w:t>
            </w:r>
          </w:p>
        </w:tc>
        <w:tc>
          <w:tcPr>
            <w:tcW w:w="1600" w:type="dxa"/>
            <w:vAlign w:val="bottom"/>
            <w:gridSpan w:val="2"/>
          </w:tcPr>
          <w:p>
            <w:pPr>
              <w:ind w:left="500"/>
              <w:spacing w:after="0"/>
              <w:rPr>
                <w:sz w:val="20"/>
                <w:szCs w:val="20"/>
                <w:color w:val="auto"/>
              </w:rPr>
            </w:pPr>
            <w:r>
              <w:rPr>
                <w:rFonts w:ascii="Arial" w:cs="Arial" w:eastAsia="Arial" w:hAnsi="Arial"/>
                <w:sz w:val="11"/>
                <w:szCs w:val="11"/>
                <w:color w:val="auto"/>
              </w:rPr>
              <w:t>% Change</w:t>
            </w: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2024</w:t>
            </w:r>
          </w:p>
        </w:tc>
        <w:tc>
          <w:tcPr>
            <w:tcW w:w="480" w:type="dxa"/>
            <w:vAlign w:val="bottom"/>
            <w:shd w:val="clear" w:color="auto" w:fill="929292"/>
          </w:tcPr>
          <w:p>
            <w:pPr>
              <w:spacing w:after="0"/>
              <w:rPr>
                <w:sz w:val="15"/>
                <w:szCs w:val="15"/>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r>
      <w:tr>
        <w:trPr>
          <w:trHeight w:val="147"/>
        </w:trPr>
        <w:tc>
          <w:tcPr>
            <w:tcW w:w="2600" w:type="dxa"/>
            <w:vAlign w:val="bottom"/>
            <w:tcBorders>
              <w:left w:val="single" w:sz="8" w:color="929292"/>
              <w:bottom w:val="single" w:sz="8" w:color="929292"/>
            </w:tcBorders>
          </w:tcPr>
          <w:p>
            <w:pPr>
              <w:spacing w:after="0"/>
              <w:rPr>
                <w:sz w:val="12"/>
                <w:szCs w:val="12"/>
                <w:color w:val="auto"/>
              </w:rPr>
            </w:pPr>
          </w:p>
        </w:tc>
        <w:tc>
          <w:tcPr>
            <w:tcW w:w="80" w:type="dxa"/>
            <w:vAlign w:val="bottom"/>
            <w:tcBorders>
              <w:top w:val="single" w:sz="8" w:color="929292"/>
              <w:bottom w:val="single" w:sz="8" w:color="929292"/>
            </w:tcBorders>
            <w:shd w:val="clear" w:color="auto" w:fill="929292"/>
          </w:tcPr>
          <w:p>
            <w:pPr>
              <w:spacing w:after="0"/>
              <w:rPr>
                <w:sz w:val="12"/>
                <w:szCs w:val="12"/>
                <w:color w:val="auto"/>
              </w:rPr>
            </w:pPr>
          </w:p>
        </w:tc>
        <w:tc>
          <w:tcPr>
            <w:tcW w:w="920" w:type="dxa"/>
            <w:vAlign w:val="bottom"/>
            <w:tcBorders>
              <w:top w:val="single" w:sz="8" w:color="929292"/>
            </w:tcBorders>
          </w:tcPr>
          <w:p>
            <w:pPr>
              <w:spacing w:after="0"/>
              <w:rPr>
                <w:sz w:val="12"/>
                <w:szCs w:val="12"/>
                <w:color w:val="auto"/>
              </w:rPr>
            </w:pPr>
          </w:p>
        </w:tc>
        <w:tc>
          <w:tcPr>
            <w:tcW w:w="48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16,919</w:t>
            </w:r>
          </w:p>
        </w:tc>
        <w:tc>
          <w:tcPr>
            <w:tcW w:w="100" w:type="dxa"/>
            <w:vAlign w:val="bottom"/>
          </w:tcPr>
          <w:p>
            <w:pPr>
              <w:spacing w:after="0"/>
              <w:rPr>
                <w:sz w:val="12"/>
                <w:szCs w:val="12"/>
                <w:color w:val="auto"/>
              </w:rPr>
            </w:pPr>
          </w:p>
        </w:tc>
        <w:tc>
          <w:tcPr>
            <w:tcW w:w="920" w:type="dxa"/>
            <w:vAlign w:val="bottom"/>
            <w:tcBorders>
              <w:top w:val="single" w:sz="8" w:color="929292"/>
            </w:tcBorders>
          </w:tcPr>
          <w:p>
            <w:pPr>
              <w:spacing w:after="0"/>
              <w:rPr>
                <w:sz w:val="12"/>
                <w:szCs w:val="12"/>
                <w:color w:val="auto"/>
              </w:rPr>
            </w:pPr>
          </w:p>
        </w:tc>
        <w:tc>
          <w:tcPr>
            <w:tcW w:w="48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22,618</w:t>
            </w:r>
          </w:p>
        </w:tc>
        <w:tc>
          <w:tcPr>
            <w:tcW w:w="100" w:type="dxa"/>
            <w:vAlign w:val="bottom"/>
          </w:tcPr>
          <w:p>
            <w:pPr>
              <w:spacing w:after="0"/>
              <w:rPr>
                <w:sz w:val="12"/>
                <w:szCs w:val="12"/>
                <w:color w:val="auto"/>
              </w:rPr>
            </w:pPr>
          </w:p>
        </w:tc>
        <w:tc>
          <w:tcPr>
            <w:tcW w:w="260" w:type="dxa"/>
            <w:vAlign w:val="bottom"/>
            <w:tcBorders>
              <w:top w:val="single" w:sz="8" w:color="929292"/>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(5,699)</w:t>
            </w:r>
          </w:p>
        </w:tc>
        <w:tc>
          <w:tcPr>
            <w:tcW w:w="80" w:type="dxa"/>
            <w:vAlign w:val="bottom"/>
          </w:tcPr>
          <w:p>
            <w:pPr>
              <w:spacing w:after="0"/>
              <w:rPr>
                <w:sz w:val="12"/>
                <w:szCs w:val="12"/>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(25.2)%</w:t>
            </w:r>
          </w:p>
        </w:tc>
        <w:tc>
          <w:tcPr>
            <w:tcW w:w="80" w:type="dxa"/>
            <w:vAlign w:val="bottom"/>
          </w:tcPr>
          <w:p>
            <w:pPr>
              <w:spacing w:after="0"/>
              <w:rPr>
                <w:sz w:val="12"/>
                <w:szCs w:val="12"/>
                <w:color w:val="auto"/>
              </w:rPr>
            </w:pPr>
          </w:p>
        </w:tc>
        <w:tc>
          <w:tcPr>
            <w:tcW w:w="76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9.1%</w:t>
            </w:r>
          </w:p>
        </w:tc>
        <w:tc>
          <w:tcPr>
            <w:tcW w:w="480" w:type="dxa"/>
            <w:vAlign w:val="bottom"/>
            <w:tcBorders>
              <w:top w:val="single" w:sz="8" w:color="929292"/>
            </w:tcBorders>
            <w:shd w:val="clear" w:color="auto" w:fill="929292"/>
          </w:tcPr>
          <w:p>
            <w:pPr>
              <w:spacing w:after="0"/>
              <w:rPr>
                <w:sz w:val="12"/>
                <w:szCs w:val="12"/>
                <w:color w:val="auto"/>
              </w:rPr>
            </w:pPr>
          </w:p>
        </w:tc>
        <w:tc>
          <w:tcPr>
            <w:tcW w:w="1260" w:type="dxa"/>
            <w:vAlign w:val="bottom"/>
            <w:tcBorders>
              <w:top w:val="single" w:sz="8" w:color="929292"/>
            </w:tcBorders>
            <w:shd w:val="clear" w:color="auto" w:fill="929292"/>
          </w:tcPr>
          <w:p>
            <w:pPr>
              <w:jc w:val="right"/>
              <w:ind w:right="403"/>
              <w:spacing w:after="0"/>
              <w:rPr>
                <w:sz w:val="20"/>
                <w:szCs w:val="20"/>
                <w:color w:val="auto"/>
              </w:rPr>
            </w:pPr>
            <w:r>
              <w:rPr>
                <w:rFonts w:ascii="Arial" w:cs="Arial" w:eastAsia="Arial" w:hAnsi="Arial"/>
                <w:sz w:val="11"/>
                <w:szCs w:val="11"/>
                <w:color w:val="FFFFFF"/>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-113665</wp:posOffset>
            </wp:positionV>
            <wp:extent cx="159004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90040" cy="6985"/>
                    </a:xfrm>
                    <a:prstGeom prst="rect">
                      <a:avLst/>
                    </a:prstGeom>
                    <a:noFill/>
                  </pic:spPr>
                </pic:pic>
              </a:graphicData>
            </a:graphic>
          </wp:anchor>
        </w:drawing>
      </w:r>
    </w:p>
    <w:p>
      <w:pPr>
        <w:spacing w:after="0" w:line="203"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color w:val="auto"/>
        </w:rPr>
        <w:t>The decrease for the three months ended March 31, 2024 compared to the prior year period was primarily attributable to a decrease in share-based compensation expense and a reduction of expenses related to legal fees.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3000" w:type="dxa"/>
            <w:vAlign w:val="bottom"/>
            <w:gridSpan w:val="4"/>
          </w:tcPr>
          <w:p>
            <w:pPr>
              <w:ind w:left="720"/>
              <w:spacing w:after="0"/>
              <w:rPr>
                <w:sz w:val="20"/>
                <w:szCs w:val="20"/>
                <w:color w:val="auto"/>
              </w:rPr>
            </w:pPr>
            <w:r>
              <w:rPr>
                <w:rFonts w:ascii="Arial" w:cs="Arial" w:eastAsia="Arial" w:hAnsi="Arial"/>
                <w:sz w:val="11"/>
                <w:szCs w:val="11"/>
                <w:color w:val="auto"/>
              </w:rPr>
              <w:t>Three months ended Mar. 31,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Borders>
              <w:top w:val="single" w:sz="8" w:color="929292"/>
            </w:tcBorders>
            <w:gridSpan w:val="2"/>
            <w:shd w:val="clear" w:color="auto" w:fill="929292"/>
          </w:tcPr>
          <w:p>
            <w:pPr>
              <w:ind w:left="780"/>
              <w:spacing w:after="0"/>
              <w:rPr>
                <w:sz w:val="20"/>
                <w:szCs w:val="20"/>
                <w:color w:val="auto"/>
              </w:rPr>
            </w:pPr>
            <w:r>
              <w:rPr>
                <w:rFonts w:ascii="Arial" w:cs="Arial" w:eastAsia="Arial" w:hAnsi="Arial"/>
                <w:sz w:val="11"/>
                <w:szCs w:val="11"/>
                <w:color w:val="FFFFFF"/>
              </w:rPr>
              <w:t>% of Net Revenues</w:t>
            </w:r>
          </w:p>
        </w:tc>
      </w:tr>
      <w:tr>
        <w:trPr>
          <w:trHeight w:val="171"/>
        </w:trPr>
        <w:tc>
          <w:tcPr>
            <w:tcW w:w="2580" w:type="dxa"/>
            <w:vAlign w:val="bottom"/>
            <w:tcBorders>
              <w:left w:val="single" w:sz="8" w:color="929292"/>
            </w:tcBorders>
          </w:tcPr>
          <w:p>
            <w:pPr>
              <w:ind w:left="420"/>
              <w:spacing w:after="0"/>
              <w:rPr>
                <w:sz w:val="20"/>
                <w:szCs w:val="20"/>
                <w:color w:val="auto"/>
              </w:rPr>
            </w:pPr>
            <w:r>
              <w:rPr>
                <w:rFonts w:ascii="Arial" w:cs="Arial" w:eastAsia="Arial" w:hAnsi="Arial"/>
                <w:sz w:val="11"/>
                <w:szCs w:val="11"/>
                <w:b w:val="1"/>
                <w:bCs w:val="1"/>
                <w:color w:val="0A2299"/>
              </w:rPr>
              <w:t>Amortization of intangible assets</w:t>
            </w:r>
          </w:p>
        </w:tc>
        <w:tc>
          <w:tcPr>
            <w:tcW w:w="80" w:type="dxa"/>
            <w:vAlign w:val="bottom"/>
            <w:tcBorders>
              <w:bottom w:val="single" w:sz="8" w:color="929292"/>
            </w:tcBorders>
            <w:shd w:val="clear" w:color="auto" w:fill="929292"/>
          </w:tcPr>
          <w:p>
            <w:pPr>
              <w:spacing w:after="0"/>
              <w:rPr>
                <w:sz w:val="14"/>
                <w:szCs w:val="14"/>
                <w:color w:val="auto"/>
              </w:rPr>
            </w:pPr>
          </w:p>
        </w:tc>
        <w:tc>
          <w:tcPr>
            <w:tcW w:w="142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4"/>
                <w:szCs w:val="14"/>
                <w:color w:val="auto"/>
              </w:rPr>
            </w:pPr>
          </w:p>
        </w:tc>
        <w:tc>
          <w:tcPr>
            <w:tcW w:w="1420" w:type="dxa"/>
            <w:vAlign w:val="bottom"/>
            <w:tcBorders>
              <w:bottom w:val="single" w:sz="8" w:color="929292"/>
            </w:tcBorders>
          </w:tcPr>
          <w:p>
            <w:pPr>
              <w:jc w:val="right"/>
              <w:ind w:right="523"/>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4"/>
                <w:szCs w:val="14"/>
                <w:color w:val="auto"/>
              </w:rPr>
            </w:pPr>
          </w:p>
        </w:tc>
        <w:tc>
          <w:tcPr>
            <w:tcW w:w="260" w:type="dxa"/>
            <w:vAlign w:val="bottom"/>
            <w:tcBorders>
              <w:bottom w:val="single" w:sz="8" w:color="929292"/>
            </w:tcBorders>
          </w:tcPr>
          <w:p>
            <w:pPr>
              <w:spacing w:after="0"/>
              <w:rPr>
                <w:sz w:val="14"/>
                <w:szCs w:val="14"/>
                <w:color w:val="auto"/>
              </w:rPr>
            </w:pPr>
          </w:p>
        </w:tc>
        <w:tc>
          <w:tcPr>
            <w:tcW w:w="8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32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929292"/>
            </w:tcBorders>
          </w:tcPr>
          <w:p>
            <w:pPr>
              <w:ind w:left="480"/>
              <w:spacing w:after="0"/>
              <w:rPr>
                <w:sz w:val="20"/>
                <w:szCs w:val="20"/>
                <w:color w:val="auto"/>
              </w:rPr>
            </w:pPr>
            <w:r>
              <w:rPr>
                <w:rFonts w:ascii="Arial" w:cs="Arial" w:eastAsia="Arial" w:hAnsi="Arial"/>
                <w:sz w:val="11"/>
                <w:szCs w:val="11"/>
                <w:color w:val="auto"/>
              </w:rPr>
              <w:t>% Change</w:t>
            </w:r>
          </w:p>
        </w:tc>
        <w:tc>
          <w:tcPr>
            <w:tcW w:w="38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2024</w:t>
            </w:r>
          </w:p>
        </w:tc>
        <w:tc>
          <w:tcPr>
            <w:tcW w:w="1260" w:type="dxa"/>
            <w:vAlign w:val="bottom"/>
            <w:tcBorders>
              <w:bottom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142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2"/>
                <w:szCs w:val="12"/>
                <w:color w:val="auto"/>
              </w:rPr>
            </w:pPr>
          </w:p>
        </w:tc>
        <w:tc>
          <w:tcPr>
            <w:tcW w:w="1420" w:type="dxa"/>
            <w:vAlign w:val="bottom"/>
          </w:tcPr>
          <w:p>
            <w:pPr>
              <w:jc w:val="right"/>
              <w:ind w:right="3"/>
              <w:spacing w:after="0"/>
              <w:rPr>
                <w:sz w:val="20"/>
                <w:szCs w:val="20"/>
                <w:color w:val="auto"/>
              </w:rPr>
            </w:pPr>
            <w:r>
              <w:rPr>
                <w:rFonts w:ascii="Arial" w:cs="Arial" w:eastAsia="Arial" w:hAnsi="Arial"/>
                <w:sz w:val="11"/>
                <w:szCs w:val="11"/>
                <w:color w:val="auto"/>
              </w:rPr>
              <w:t>23,514</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spacing w:after="0"/>
              <w:rPr>
                <w:sz w:val="12"/>
                <w:szCs w:val="12"/>
                <w:color w:val="auto"/>
              </w:rPr>
            </w:pPr>
          </w:p>
        </w:tc>
        <w:tc>
          <w:tcPr>
            <w:tcW w:w="1520" w:type="dxa"/>
            <w:vAlign w:val="bottom"/>
            <w:gridSpan w:val="3"/>
          </w:tcPr>
          <w:p>
            <w:pPr>
              <w:ind w:lef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ind w:left="120"/>
              <w:spacing w:after="0"/>
              <w:rPr>
                <w:sz w:val="20"/>
                <w:szCs w:val="20"/>
                <w:color w:val="auto"/>
              </w:rPr>
            </w:pPr>
            <w:r>
              <w:rPr>
                <w:rFonts w:ascii="Arial" w:cs="Arial" w:eastAsia="Arial" w:hAnsi="Arial"/>
                <w:sz w:val="11"/>
                <w:szCs w:val="11"/>
                <w:color w:val="auto"/>
              </w:rPr>
              <w:t>— %</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12.7%</w:t>
            </w:r>
          </w:p>
        </w:tc>
        <w:tc>
          <w:tcPr>
            <w:tcW w:w="1260" w:type="dxa"/>
            <w:vAlign w:val="bottom"/>
            <w:shd w:val="clear" w:color="auto" w:fill="929292"/>
          </w:tcPr>
          <w:p>
            <w:pPr>
              <w:jc w:val="right"/>
              <w:ind w:right="403"/>
              <w:spacing w:after="0"/>
              <w:rPr>
                <w:sz w:val="20"/>
                <w:szCs w:val="20"/>
                <w:color w:val="auto"/>
              </w:rPr>
            </w:pPr>
            <w:r>
              <w:rPr>
                <w:rFonts w:ascii="Arial" w:cs="Arial" w:eastAsia="Arial" w:hAnsi="Arial"/>
                <w:sz w:val="11"/>
                <w:szCs w:val="11"/>
                <w:color w:val="FFFFFF"/>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92"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Amortization of intangible assets expense was $23.5 million for the three months ended March 31, 2024 and 2023. Amortization of intangible assets expense relates to the amortization of developed technology and customer relationships.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258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420" w:type="dxa"/>
            <w:vAlign w:val="bottom"/>
            <w:gridSpan w:val="4"/>
          </w:tcPr>
          <w:p>
            <w:pPr>
              <w:jc w:val="right"/>
              <w:ind w:right="220"/>
              <w:spacing w:after="0"/>
              <w:rPr>
                <w:sz w:val="20"/>
                <w:szCs w:val="20"/>
                <w:color w:val="auto"/>
              </w:rPr>
            </w:pPr>
            <w:r>
              <w:rPr>
                <w:rFonts w:ascii="Arial" w:cs="Arial" w:eastAsia="Arial" w:hAnsi="Arial"/>
                <w:sz w:val="11"/>
                <w:szCs w:val="11"/>
                <w:color w:val="auto"/>
              </w:rPr>
              <w:t>Three months ended Mar. 31,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929292"/>
            </w:tcBorders>
            <w:shd w:val="clear" w:color="auto" w:fill="929292"/>
          </w:tcPr>
          <w:p>
            <w:pPr>
              <w:spacing w:after="0"/>
              <w:rPr>
                <w:sz w:val="14"/>
                <w:szCs w:val="14"/>
                <w:color w:val="auto"/>
              </w:rPr>
            </w:pPr>
          </w:p>
        </w:tc>
        <w:tc>
          <w:tcPr>
            <w:tcW w:w="1760" w:type="dxa"/>
            <w:vAlign w:val="bottom"/>
            <w:tcBorders>
              <w:top w:val="single" w:sz="8" w:color="929292"/>
            </w:tcBorders>
            <w:gridSpan w:val="2"/>
            <w:shd w:val="clear" w:color="auto" w:fill="929292"/>
          </w:tcPr>
          <w:p>
            <w:pPr>
              <w:jc w:val="right"/>
              <w:ind w:right="703"/>
              <w:spacing w:after="0"/>
              <w:rPr>
                <w:sz w:val="20"/>
                <w:szCs w:val="20"/>
                <w:color w:val="auto"/>
              </w:rPr>
            </w:pPr>
            <w:r>
              <w:rPr>
                <w:rFonts w:ascii="Arial" w:cs="Arial" w:eastAsia="Arial" w:hAnsi="Arial"/>
                <w:sz w:val="11"/>
                <w:szCs w:val="11"/>
                <w:color w:val="FFFFFF"/>
              </w:rPr>
              <w:t>% of Net Revenues</w:t>
            </w:r>
          </w:p>
        </w:tc>
      </w:tr>
      <w:tr>
        <w:trPr>
          <w:trHeight w:val="176"/>
        </w:trPr>
        <w:tc>
          <w:tcPr>
            <w:tcW w:w="2580" w:type="dxa"/>
            <w:vAlign w:val="bottom"/>
            <w:tcBorders>
              <w:left w:val="single" w:sz="8" w:color="929292"/>
            </w:tcBorders>
          </w:tcPr>
          <w:p>
            <w:pPr>
              <w:ind w:left="860"/>
              <w:spacing w:after="0"/>
              <w:rPr>
                <w:sz w:val="20"/>
                <w:szCs w:val="20"/>
                <w:color w:val="auto"/>
              </w:rPr>
            </w:pPr>
            <w:r>
              <w:rPr>
                <w:rFonts w:ascii="Arial" w:cs="Arial" w:eastAsia="Arial" w:hAnsi="Arial"/>
                <w:sz w:val="11"/>
                <w:szCs w:val="11"/>
                <w:b w:val="1"/>
                <w:bCs w:val="1"/>
                <w:color w:val="0A2299"/>
              </w:rPr>
              <w:t>Interest expense</w:t>
            </w:r>
          </w:p>
        </w:tc>
        <w:tc>
          <w:tcPr>
            <w:tcW w:w="80" w:type="dxa"/>
            <w:vAlign w:val="bottom"/>
            <w:shd w:val="clear" w:color="auto" w:fill="929292"/>
          </w:tcPr>
          <w:p>
            <w:pPr>
              <w:spacing w:after="0"/>
              <w:rPr>
                <w:sz w:val="15"/>
                <w:szCs w:val="15"/>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2024</w:t>
            </w:r>
          </w:p>
        </w:tc>
        <w:tc>
          <w:tcPr>
            <w:tcW w:w="1500" w:type="dxa"/>
            <w:vAlign w:val="bottom"/>
            <w:gridSpan w:val="3"/>
          </w:tcPr>
          <w:p>
            <w:pPr>
              <w:jc w:val="right"/>
              <w:ind w:right="80"/>
              <w:spacing w:after="0"/>
              <w:rPr>
                <w:sz w:val="20"/>
                <w:szCs w:val="20"/>
                <w:color w:val="auto"/>
              </w:rPr>
            </w:pPr>
            <w:r>
              <w:rPr>
                <w:rFonts w:ascii="Arial" w:cs="Arial" w:eastAsia="Arial" w:hAnsi="Arial"/>
                <w:sz w:val="11"/>
                <w:szCs w:val="1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 Change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ind w:left="480"/>
              <w:spacing w:after="0"/>
              <w:rPr>
                <w:sz w:val="20"/>
                <w:szCs w:val="20"/>
                <w:color w:val="auto"/>
              </w:rPr>
            </w:pPr>
            <w:r>
              <w:rPr>
                <w:rFonts w:ascii="Arial" w:cs="Arial" w:eastAsia="Arial" w:hAnsi="Arial"/>
                <w:sz w:val="11"/>
                <w:szCs w:val="11"/>
                <w:color w:val="auto"/>
              </w:rPr>
              <w:t>% Change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2024</w:t>
            </w:r>
          </w:p>
        </w:tc>
        <w:tc>
          <w:tcPr>
            <w:tcW w:w="500" w:type="dxa"/>
            <w:vAlign w:val="bottom"/>
            <w:shd w:val="clear" w:color="auto" w:fill="929292"/>
          </w:tcPr>
          <w:p>
            <w:pPr>
              <w:spacing w:after="0"/>
              <w:rPr>
                <w:sz w:val="15"/>
                <w:szCs w:val="15"/>
                <w:color w:val="auto"/>
              </w:rPr>
            </w:pPr>
          </w:p>
        </w:tc>
        <w:tc>
          <w:tcPr>
            <w:tcW w:w="1260" w:type="dxa"/>
            <w:vAlign w:val="bottom"/>
            <w:shd w:val="clear" w:color="auto" w:fill="929292"/>
          </w:tcPr>
          <w:p>
            <w:pPr>
              <w:jc w:val="right"/>
              <w:ind w:right="443"/>
              <w:spacing w:after="0"/>
              <w:rPr>
                <w:sz w:val="20"/>
                <w:szCs w:val="20"/>
                <w:color w:val="auto"/>
              </w:rPr>
            </w:pPr>
            <w:r>
              <w:rPr>
                <w:rFonts w:ascii="Arial" w:cs="Arial" w:eastAsia="Arial" w:hAnsi="Arial"/>
                <w:sz w:val="11"/>
                <w:szCs w:val="11"/>
                <w:color w:val="FFFFFF"/>
              </w:rPr>
              <w:t>2023</w:t>
            </w:r>
          </w:p>
        </w:tc>
      </w:tr>
      <w:tr>
        <w:trPr>
          <w:trHeight w:val="147"/>
        </w:trPr>
        <w:tc>
          <w:tcPr>
            <w:tcW w:w="2580" w:type="dxa"/>
            <w:vAlign w:val="bottom"/>
            <w:tcBorders>
              <w:left w:val="single" w:sz="8" w:color="929292"/>
              <w:bottom w:val="single" w:sz="8" w:color="929292"/>
            </w:tcBorders>
          </w:tcPr>
          <w:p>
            <w:pPr>
              <w:spacing w:after="0"/>
              <w:rPr>
                <w:sz w:val="12"/>
                <w:szCs w:val="12"/>
                <w:color w:val="auto"/>
              </w:rPr>
            </w:pPr>
          </w:p>
        </w:tc>
        <w:tc>
          <w:tcPr>
            <w:tcW w:w="80" w:type="dxa"/>
            <w:vAlign w:val="bottom"/>
            <w:tcBorders>
              <w:top w:val="single" w:sz="8" w:color="929292"/>
              <w:bottom w:val="single" w:sz="8" w:color="929292"/>
            </w:tcBorders>
            <w:shd w:val="clear" w:color="auto" w:fill="929292"/>
          </w:tcPr>
          <w:p>
            <w:pPr>
              <w:spacing w:after="0"/>
              <w:rPr>
                <w:sz w:val="12"/>
                <w:szCs w:val="12"/>
                <w:color w:val="auto"/>
              </w:rPr>
            </w:pPr>
          </w:p>
        </w:tc>
        <w:tc>
          <w:tcPr>
            <w:tcW w:w="920" w:type="dxa"/>
            <w:vAlign w:val="bottom"/>
            <w:tcBorders>
              <w:top w:val="single" w:sz="8" w:color="929292"/>
            </w:tcBorders>
          </w:tcPr>
          <w:p>
            <w:pPr>
              <w:spacing w:after="0"/>
              <w:rPr>
                <w:sz w:val="12"/>
                <w:szCs w:val="12"/>
                <w:color w:val="auto"/>
              </w:rPr>
            </w:pPr>
          </w:p>
        </w:tc>
        <w:tc>
          <w:tcPr>
            <w:tcW w:w="5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17,951</w:t>
            </w:r>
          </w:p>
        </w:tc>
        <w:tc>
          <w:tcPr>
            <w:tcW w:w="80" w:type="dxa"/>
            <w:vAlign w:val="bottom"/>
          </w:tcPr>
          <w:p>
            <w:pPr>
              <w:spacing w:after="0"/>
              <w:rPr>
                <w:sz w:val="12"/>
                <w:szCs w:val="12"/>
                <w:color w:val="auto"/>
              </w:rPr>
            </w:pPr>
          </w:p>
        </w:tc>
        <w:tc>
          <w:tcPr>
            <w:tcW w:w="920" w:type="dxa"/>
            <w:vAlign w:val="bottom"/>
            <w:tcBorders>
              <w:top w:val="single" w:sz="8" w:color="929292"/>
            </w:tcBorders>
          </w:tcPr>
          <w:p>
            <w:pPr>
              <w:spacing w:after="0"/>
              <w:rPr>
                <w:sz w:val="12"/>
                <w:szCs w:val="12"/>
                <w:color w:val="auto"/>
              </w:rPr>
            </w:pPr>
          </w:p>
        </w:tc>
        <w:tc>
          <w:tcPr>
            <w:tcW w:w="5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16,891</w:t>
            </w:r>
          </w:p>
        </w:tc>
        <w:tc>
          <w:tcPr>
            <w:tcW w:w="80" w:type="dxa"/>
            <w:vAlign w:val="bottom"/>
          </w:tcPr>
          <w:p>
            <w:pPr>
              <w:spacing w:after="0"/>
              <w:rPr>
                <w:sz w:val="12"/>
                <w:szCs w:val="12"/>
                <w:color w:val="auto"/>
              </w:rPr>
            </w:pPr>
          </w:p>
        </w:tc>
        <w:tc>
          <w:tcPr>
            <w:tcW w:w="1020" w:type="dxa"/>
            <w:vAlign w:val="bottom"/>
            <w:tcBorders>
              <w:top w:val="single" w:sz="8" w:color="929292"/>
            </w:tcBorders>
          </w:tcPr>
          <w:p>
            <w:pPr>
              <w:jc w:val="right"/>
              <w:ind w:right="883"/>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929292"/>
            </w:tcBorders>
          </w:tcPr>
          <w:p>
            <w:pPr>
              <w:jc w:val="right"/>
              <w:ind w:right="3"/>
              <w:spacing w:after="0"/>
              <w:rPr>
                <w:sz w:val="20"/>
                <w:szCs w:val="20"/>
                <w:color w:val="auto"/>
              </w:rPr>
            </w:pPr>
            <w:r>
              <w:rPr>
                <w:rFonts w:ascii="Arial" w:cs="Arial" w:eastAsia="Arial" w:hAnsi="Arial"/>
                <w:sz w:val="11"/>
                <w:szCs w:val="11"/>
                <w:color w:val="auto"/>
              </w:rPr>
              <w:t>1,060</w:t>
            </w:r>
          </w:p>
        </w:tc>
        <w:tc>
          <w:tcPr>
            <w:tcW w:w="80" w:type="dxa"/>
            <w:vAlign w:val="bottom"/>
          </w:tcPr>
          <w:p>
            <w:pPr>
              <w:spacing w:after="0"/>
              <w:rPr>
                <w:sz w:val="12"/>
                <w:szCs w:val="12"/>
                <w:color w:val="auto"/>
              </w:rPr>
            </w:pPr>
          </w:p>
        </w:tc>
        <w:tc>
          <w:tcPr>
            <w:tcW w:w="1100" w:type="dxa"/>
            <w:vAlign w:val="bottom"/>
            <w:tcBorders>
              <w:top w:val="single" w:sz="8" w:color="929292"/>
            </w:tcBorders>
          </w:tcPr>
          <w:p>
            <w:pPr>
              <w:spacing w:after="0"/>
              <w:rPr>
                <w:sz w:val="12"/>
                <w:szCs w:val="12"/>
                <w:color w:val="auto"/>
              </w:rPr>
            </w:pPr>
          </w:p>
        </w:tc>
        <w:tc>
          <w:tcPr>
            <w:tcW w:w="400" w:type="dxa"/>
            <w:vAlign w:val="bottom"/>
            <w:tcBorders>
              <w:top w:val="single" w:sz="8" w:color="929292"/>
            </w:tcBorders>
          </w:tcPr>
          <w:p>
            <w:pPr>
              <w:jc w:val="right"/>
              <w:spacing w:after="0"/>
              <w:rPr>
                <w:sz w:val="20"/>
                <w:szCs w:val="20"/>
                <w:color w:val="auto"/>
              </w:rPr>
            </w:pPr>
            <w:r>
              <w:rPr>
                <w:rFonts w:ascii="Arial" w:cs="Arial" w:eastAsia="Arial" w:hAnsi="Arial"/>
                <w:sz w:val="11"/>
                <w:szCs w:val="11"/>
                <w:color w:val="auto"/>
              </w:rPr>
              <w:t>6.3 %</w:t>
            </w:r>
          </w:p>
        </w:tc>
        <w:tc>
          <w:tcPr>
            <w:tcW w:w="80" w:type="dxa"/>
            <w:vAlign w:val="bottom"/>
          </w:tcPr>
          <w:p>
            <w:pPr>
              <w:spacing w:after="0"/>
              <w:rPr>
                <w:sz w:val="12"/>
                <w:szCs w:val="12"/>
                <w:color w:val="auto"/>
              </w:rPr>
            </w:pPr>
          </w:p>
        </w:tc>
        <w:tc>
          <w:tcPr>
            <w:tcW w:w="76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9.7%</w:t>
            </w:r>
          </w:p>
        </w:tc>
        <w:tc>
          <w:tcPr>
            <w:tcW w:w="500" w:type="dxa"/>
            <w:vAlign w:val="bottom"/>
            <w:tcBorders>
              <w:top w:val="single" w:sz="8" w:color="929292"/>
            </w:tcBorders>
            <w:shd w:val="clear" w:color="auto" w:fill="929292"/>
          </w:tcPr>
          <w:p>
            <w:pPr>
              <w:spacing w:after="0"/>
              <w:rPr>
                <w:sz w:val="12"/>
                <w:szCs w:val="12"/>
                <w:color w:val="auto"/>
              </w:rPr>
            </w:pPr>
          </w:p>
        </w:tc>
        <w:tc>
          <w:tcPr>
            <w:tcW w:w="1260" w:type="dxa"/>
            <w:vAlign w:val="bottom"/>
            <w:tcBorders>
              <w:top w:val="single" w:sz="8" w:color="929292"/>
            </w:tcBorders>
            <w:shd w:val="clear" w:color="auto" w:fill="929292"/>
          </w:tcPr>
          <w:p>
            <w:pPr>
              <w:jc w:val="right"/>
              <w:ind w:right="443"/>
              <w:spacing w:after="0"/>
              <w:rPr>
                <w:sz w:val="20"/>
                <w:szCs w:val="20"/>
                <w:color w:val="auto"/>
              </w:rPr>
            </w:pPr>
            <w:r>
              <w:rPr>
                <w:rFonts w:ascii="Arial" w:cs="Arial" w:eastAsia="Arial" w:hAnsi="Arial"/>
                <w:sz w:val="11"/>
                <w:szCs w:val="11"/>
                <w:color w:val="FFFFFF"/>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-113665</wp:posOffset>
            </wp:positionV>
            <wp:extent cx="15970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increase for the three months ended March 31, 2024 compared to the prior year period was primarily attributable to an increase in interest rates on our Term Loan Facilities.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Adjusted EBITDA margin; Cash Adjusted EBITDA; Sales per Submission; Cost per Submission and Adjusted Gross Margin per Submission. Adjusted EBITDA is the primary financial performance measure used by management to evaluate the business and to monitor its results of operations. Cash Adjusted EBITDA is used by management to assess Adjusted EBITDA excluding the effect of LTV estimates period over period. Sales per Submission, Cost per Submission and Adjusted Gross Margin per Submission are key operating metrics used by management to understand the Company’s underlying financial performance and trends.</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Adjusted EBITDA represents, as applicable for the period, EBITDA as further adjusted for certain items summarized in the table furnished below. Adjusted EBITDA margin represents Adjusted EBITDA divided by net revenues. Cash Adjusted EBITDA represents Adjusted EBITDA plus a decrease or less an increase in the period over period change in our net contract assets. Sales per Submission represents Medicare Revenue per Submission as further adjusted for certain items summarized in the table furnished below within the Key Business Performance and Operating Metrics section. Cost per Submission represents Operating Expense per Submission as further adjusted for certain items summarized in the table furnished below within the Key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Business Performance and Operating Metrics section. Adjusted Gross Margin per Submission represents Sales per Submission less Cost per Submission.</w:t>
      </w:r>
    </w:p>
    <w:p>
      <w:pPr>
        <w:spacing w:after="0" w:line="169"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7"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Cash Adjusted EBITDA, Sales per Submission, Cost per Submission and Adjusted Gross Margin per Submission to its most directly comparable GAAP financial measure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reconciliations of GAAP net income (loss) to EBITDA and Adjusted EBITDA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8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right"/>
              <w:ind w:right="743"/>
              <w:spacing w:after="0"/>
              <w:rPr>
                <w:sz w:val="20"/>
                <w:szCs w:val="20"/>
                <w:color w:val="auto"/>
              </w:rPr>
            </w:pPr>
            <w:r>
              <w:rPr>
                <w:rFonts w:ascii="Arial" w:cs="Arial" w:eastAsia="Arial" w:hAnsi="Arial"/>
                <w:sz w:val="11"/>
                <w:szCs w:val="11"/>
                <w:color w:val="auto"/>
              </w:rPr>
              <w:t>Three months ended Mar. 31,</w:t>
            </w:r>
          </w:p>
        </w:tc>
        <w:tc>
          <w:tcPr>
            <w:tcW w:w="0" w:type="dxa"/>
            <w:vAlign w:val="bottom"/>
          </w:tcPr>
          <w:p>
            <w:pPr>
              <w:spacing w:after="0"/>
              <w:rPr>
                <w:sz w:val="1"/>
                <w:szCs w:val="1"/>
                <w:color w:val="auto"/>
              </w:rPr>
            </w:pPr>
          </w:p>
        </w:tc>
      </w:tr>
      <w:tr>
        <w:trPr>
          <w:trHeight w:val="152"/>
        </w:trPr>
        <w:tc>
          <w:tcPr>
            <w:tcW w:w="808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Non-GAAP Financial Measures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153"/>
        </w:trPr>
        <w:tc>
          <w:tcPr>
            <w:tcW w:w="808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185,600</w:t>
            </w:r>
          </w:p>
        </w:tc>
        <w:tc>
          <w:tcPr>
            <w:tcW w:w="80" w:type="dxa"/>
            <w:vAlign w:val="bottom"/>
          </w:tcPr>
          <w:p>
            <w:pPr>
              <w:spacing w:after="0"/>
              <w:rPr>
                <w:sz w:val="13"/>
                <w:szCs w:val="13"/>
                <w:color w:val="auto"/>
              </w:rPr>
            </w:pPr>
          </w:p>
        </w:tc>
        <w:tc>
          <w:tcPr>
            <w:tcW w:w="36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b w:val="1"/>
                <w:bCs w:val="1"/>
                <w:color w:val="auto"/>
              </w:rPr>
              <w:t>183,158</w:t>
            </w:r>
          </w:p>
        </w:tc>
        <w:tc>
          <w:tcPr>
            <w:tcW w:w="0" w:type="dxa"/>
            <w:vAlign w:val="bottom"/>
          </w:tcPr>
          <w:p>
            <w:pPr>
              <w:spacing w:after="0"/>
              <w:rPr>
                <w:sz w:val="1"/>
                <w:szCs w:val="1"/>
                <w:color w:val="auto"/>
              </w:rPr>
            </w:pPr>
          </w:p>
        </w:tc>
      </w:tr>
      <w:tr>
        <w:trPr>
          <w:trHeight w:val="144"/>
        </w:trPr>
        <w:tc>
          <w:tcPr>
            <w:tcW w:w="8080" w:type="dxa"/>
            <w:vAlign w:val="bottom"/>
          </w:tcPr>
          <w:p>
            <w:pPr>
              <w:ind w:left="100"/>
              <w:spacing w:after="0"/>
              <w:rPr>
                <w:sz w:val="20"/>
                <w:szCs w:val="20"/>
                <w:color w:val="auto"/>
              </w:rPr>
            </w:pPr>
            <w:r>
              <w:rPr>
                <w:rFonts w:ascii="Arial" w:cs="Arial" w:eastAsia="Arial" w:hAnsi="Arial"/>
                <w:sz w:val="11"/>
                <w:szCs w:val="11"/>
                <w:color w:val="auto"/>
              </w:rPr>
              <w:t>Net income (loss)</w:t>
            </w: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(21,346)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(22,543)</w:t>
            </w:r>
          </w:p>
        </w:tc>
        <w:tc>
          <w:tcPr>
            <w:tcW w:w="0" w:type="dxa"/>
            <w:vAlign w:val="bottom"/>
          </w:tcPr>
          <w:p>
            <w:pPr>
              <w:spacing w:after="0"/>
              <w:rPr>
                <w:sz w:val="1"/>
                <w:szCs w:val="1"/>
                <w:color w:val="auto"/>
              </w:rPr>
            </w:pPr>
          </w:p>
        </w:tc>
      </w:tr>
      <w:tr>
        <w:trPr>
          <w:trHeight w:val="159"/>
        </w:trPr>
        <w:tc>
          <w:tcPr>
            <w:tcW w:w="8080" w:type="dxa"/>
            <w:vAlign w:val="bottom"/>
          </w:tcPr>
          <w:p>
            <w:pPr>
              <w:ind w:left="10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17,951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16,891</w:t>
            </w:r>
          </w:p>
        </w:tc>
        <w:tc>
          <w:tcPr>
            <w:tcW w:w="0" w:type="dxa"/>
            <w:vAlign w:val="bottom"/>
          </w:tcPr>
          <w:p>
            <w:pPr>
              <w:spacing w:after="0"/>
              <w:rPr>
                <w:sz w:val="1"/>
                <w:szCs w:val="1"/>
                <w:color w:val="auto"/>
              </w:rPr>
            </w:pPr>
          </w:p>
        </w:tc>
      </w:tr>
      <w:tr>
        <w:trPr>
          <w:trHeight w:val="159"/>
        </w:trPr>
        <w:tc>
          <w:tcPr>
            <w:tcW w:w="8080" w:type="dxa"/>
            <w:vAlign w:val="bottom"/>
          </w:tcPr>
          <w:p>
            <w:pPr>
              <w:ind w:left="100"/>
              <w:spacing w:after="0"/>
              <w:rPr>
                <w:sz w:val="20"/>
                <w:szCs w:val="20"/>
                <w:color w:val="auto"/>
              </w:rPr>
            </w:pPr>
            <w:r>
              <w:rPr>
                <w:rFonts w:ascii="Arial" w:cs="Arial" w:eastAsia="Arial" w:hAnsi="Arial"/>
                <w:sz w:val="11"/>
                <w:szCs w:val="11"/>
                <w:color w:val="auto"/>
              </w:rPr>
              <w:t>Income tax expense (benefit)</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9"/>
        </w:trPr>
        <w:tc>
          <w:tcPr>
            <w:tcW w:w="8080" w:type="dxa"/>
            <w:vAlign w:val="bottom"/>
          </w:tcPr>
          <w:p>
            <w:pPr>
              <w:ind w:left="100"/>
              <w:spacing w:after="0"/>
              <w:rPr>
                <w:sz w:val="20"/>
                <w:szCs w:val="20"/>
                <w:color w:val="auto"/>
              </w:rPr>
            </w:pPr>
            <w:r>
              <w:rPr>
                <w:rFonts w:ascii="Arial" w:cs="Arial" w:eastAsia="Arial" w:hAnsi="Arial"/>
                <w:sz w:val="11"/>
                <w:szCs w:val="11"/>
                <w:color w:val="auto"/>
              </w:rPr>
              <w:t>Depreciation and amortization expense</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26,246</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26,267</w:t>
            </w:r>
          </w:p>
        </w:tc>
        <w:tc>
          <w:tcPr>
            <w:tcW w:w="0" w:type="dxa"/>
            <w:vAlign w:val="bottom"/>
          </w:tcPr>
          <w:p>
            <w:pPr>
              <w:spacing w:after="0"/>
              <w:rPr>
                <w:sz w:val="1"/>
                <w:szCs w:val="1"/>
                <w:color w:val="auto"/>
              </w:rPr>
            </w:pPr>
          </w:p>
        </w:tc>
      </w:tr>
      <w:tr>
        <w:trPr>
          <w:trHeight w:val="150"/>
        </w:trPr>
        <w:tc>
          <w:tcPr>
            <w:tcW w:w="8080" w:type="dxa"/>
            <w:vAlign w:val="bottom"/>
          </w:tcPr>
          <w:p>
            <w:pPr>
              <w:ind w:left="20"/>
              <w:spacing w:after="0"/>
              <w:rPr>
                <w:sz w:val="20"/>
                <w:szCs w:val="20"/>
                <w:color w:val="auto"/>
              </w:rPr>
            </w:pPr>
            <w:r>
              <w:rPr>
                <w:rFonts w:ascii="Arial" w:cs="Arial" w:eastAsia="Arial" w:hAnsi="Arial"/>
                <w:sz w:val="11"/>
                <w:szCs w:val="11"/>
                <w:color w:val="auto"/>
              </w:rPr>
              <w:t>EBITDA</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22,780</w:t>
            </w:r>
          </w:p>
        </w:tc>
        <w:tc>
          <w:tcPr>
            <w:tcW w:w="80" w:type="dxa"/>
            <w:vAlign w:val="bottom"/>
          </w:tcPr>
          <w:p>
            <w:pPr>
              <w:spacing w:after="0"/>
              <w:rPr>
                <w:sz w:val="13"/>
                <w:szCs w:val="13"/>
                <w:color w:val="auto"/>
              </w:rPr>
            </w:pPr>
          </w:p>
        </w:tc>
        <w:tc>
          <w:tcPr>
            <w:tcW w:w="360" w:type="dxa"/>
            <w:vAlign w:val="bottom"/>
            <w:tcBorders>
              <w:bottom w:val="single" w:sz="8" w:color="929292"/>
            </w:tcBorders>
          </w:tcPr>
          <w:p>
            <w:pPr>
              <w:spacing w:after="0"/>
              <w:rPr>
                <w:sz w:val="13"/>
                <w:szCs w:val="13"/>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20,571</w:t>
            </w:r>
          </w:p>
        </w:tc>
        <w:tc>
          <w:tcPr>
            <w:tcW w:w="0" w:type="dxa"/>
            <w:vAlign w:val="bottom"/>
          </w:tcPr>
          <w:p>
            <w:pPr>
              <w:spacing w:after="0"/>
              <w:rPr>
                <w:sz w:val="1"/>
                <w:szCs w:val="1"/>
                <w:color w:val="auto"/>
              </w:rPr>
            </w:pPr>
          </w:p>
        </w:tc>
      </w:tr>
      <w:tr>
        <w:trPr>
          <w:trHeight w:val="150"/>
        </w:trPr>
        <w:tc>
          <w:tcPr>
            <w:tcW w:w="8080" w:type="dxa"/>
            <w:vAlign w:val="bottom"/>
          </w:tcPr>
          <w:p>
            <w:pPr>
              <w:ind w:left="100"/>
              <w:spacing w:after="0"/>
              <w:rPr>
                <w:sz w:val="20"/>
                <w:szCs w:val="20"/>
                <w:color w:val="auto"/>
              </w:rPr>
            </w:pPr>
            <w:r>
              <w:rPr>
                <w:rFonts w:ascii="Arial" w:cs="Arial" w:eastAsia="Arial" w:hAnsi="Arial"/>
                <w:sz w:val="11"/>
                <w:szCs w:val="11"/>
                <w:color w:val="auto"/>
              </w:rPr>
              <w:t>Share-based compensation expense (benefit)</w:t>
            </w:r>
            <w:r>
              <w:rPr>
                <w:rFonts w:ascii="Arial" w:cs="Arial" w:eastAsia="Arial" w:hAnsi="Arial"/>
                <w:sz w:val="7"/>
                <w:szCs w:val="7"/>
                <w:color w:val="auto"/>
              </w:rPr>
              <w:t>(1)</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1,783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6,584</w:t>
            </w:r>
          </w:p>
        </w:tc>
        <w:tc>
          <w:tcPr>
            <w:tcW w:w="0" w:type="dxa"/>
            <w:vAlign w:val="bottom"/>
          </w:tcPr>
          <w:p>
            <w:pPr>
              <w:spacing w:after="0"/>
              <w:rPr>
                <w:sz w:val="1"/>
                <w:szCs w:val="1"/>
                <w:color w:val="auto"/>
              </w:rPr>
            </w:pPr>
          </w:p>
        </w:tc>
      </w:tr>
      <w:tr>
        <w:trPr>
          <w:trHeight w:val="159"/>
        </w:trPr>
        <w:tc>
          <w:tcPr>
            <w:tcW w:w="8080" w:type="dxa"/>
            <w:vAlign w:val="bottom"/>
          </w:tcPr>
          <w:p>
            <w:pPr>
              <w:ind w:left="100"/>
              <w:spacing w:after="0"/>
              <w:rPr>
                <w:sz w:val="20"/>
                <w:szCs w:val="20"/>
                <w:color w:val="auto"/>
              </w:rPr>
            </w:pPr>
            <w:r>
              <w:rPr>
                <w:rFonts w:ascii="Arial" w:cs="Arial" w:eastAsia="Arial" w:hAnsi="Arial"/>
                <w:sz w:val="11"/>
                <w:szCs w:val="11"/>
                <w:color w:val="auto"/>
              </w:rPr>
              <w:t>Legal fees</w:t>
            </w:r>
            <w:r>
              <w:rPr>
                <w:rFonts w:ascii="Arial" w:cs="Arial" w:eastAsia="Arial" w:hAnsi="Arial"/>
                <w:sz w:val="7"/>
                <w:szCs w:val="7"/>
                <w:color w:val="auto"/>
              </w:rPr>
              <w:t>(2)</w:t>
            </w:r>
          </w:p>
        </w:tc>
        <w:tc>
          <w:tcPr>
            <w:tcW w:w="100" w:type="dxa"/>
            <w:vAlign w:val="bottom"/>
            <w:shd w:val="clear" w:color="auto" w:fill="929292"/>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503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1,623</w:t>
            </w:r>
          </w:p>
        </w:tc>
        <w:tc>
          <w:tcPr>
            <w:tcW w:w="0" w:type="dxa"/>
            <w:vAlign w:val="bottom"/>
          </w:tcPr>
          <w:p>
            <w:pPr>
              <w:spacing w:after="0"/>
              <w:rPr>
                <w:sz w:val="1"/>
                <w:szCs w:val="1"/>
                <w:color w:val="auto"/>
              </w:rPr>
            </w:pPr>
          </w:p>
        </w:tc>
      </w:tr>
      <w:tr>
        <w:trPr>
          <w:trHeight w:val="162"/>
        </w:trPr>
        <w:tc>
          <w:tcPr>
            <w:tcW w:w="8080" w:type="dxa"/>
            <w:vAlign w:val="bottom"/>
          </w:tcPr>
          <w:p>
            <w:pPr>
              <w:ind w:left="100"/>
              <w:spacing w:after="0"/>
              <w:rPr>
                <w:sz w:val="20"/>
                <w:szCs w:val="20"/>
                <w:color w:val="auto"/>
              </w:rPr>
            </w:pPr>
            <w:r>
              <w:rPr>
                <w:rFonts w:ascii="Arial" w:cs="Arial" w:eastAsia="Arial" w:hAnsi="Arial"/>
                <w:sz w:val="11"/>
                <w:szCs w:val="11"/>
                <w:color w:val="auto"/>
              </w:rPr>
              <w:t>Severance costs</w:t>
            </w:r>
            <w:r>
              <w:rPr>
                <w:rFonts w:ascii="Arial" w:cs="Arial" w:eastAsia="Arial" w:hAnsi="Arial"/>
                <w:sz w:val="7"/>
                <w:szCs w:val="7"/>
                <w:color w:val="auto"/>
              </w:rPr>
              <w:t>(3)</w:t>
            </w:r>
          </w:p>
        </w:tc>
        <w:tc>
          <w:tcPr>
            <w:tcW w:w="100" w:type="dxa"/>
            <w:vAlign w:val="bottom"/>
            <w:tcBorders>
              <w:bottom w:val="single" w:sz="8" w:color="929292"/>
            </w:tcBorders>
            <w:shd w:val="clear" w:color="auto" w:fill="929292"/>
          </w:tcPr>
          <w:p>
            <w:pPr>
              <w:spacing w:after="0"/>
              <w:rPr>
                <w:sz w:val="14"/>
                <w:szCs w:val="14"/>
                <w:color w:val="auto"/>
              </w:rPr>
            </w:pPr>
          </w:p>
        </w:tc>
        <w:tc>
          <w:tcPr>
            <w:tcW w:w="340" w:type="dxa"/>
            <w:vAlign w:val="bottom"/>
            <w:tcBorders>
              <w:bottom w:val="single" w:sz="8" w:color="929292"/>
            </w:tcBorders>
          </w:tcPr>
          <w:p>
            <w:pPr>
              <w:spacing w:after="0"/>
              <w:rPr>
                <w:sz w:val="14"/>
                <w:szCs w:val="14"/>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1,828</w:t>
            </w:r>
          </w:p>
        </w:tc>
        <w:tc>
          <w:tcPr>
            <w:tcW w:w="80" w:type="dxa"/>
            <w:vAlign w:val="bottom"/>
          </w:tcPr>
          <w:p>
            <w:pPr>
              <w:spacing w:after="0"/>
              <w:rPr>
                <w:sz w:val="14"/>
                <w:szCs w:val="14"/>
                <w:color w:val="auto"/>
              </w:rPr>
            </w:pPr>
          </w:p>
        </w:tc>
        <w:tc>
          <w:tcPr>
            <w:tcW w:w="360" w:type="dxa"/>
            <w:vAlign w:val="bottom"/>
            <w:tcBorders>
              <w:bottom w:val="single" w:sz="8" w:color="929292"/>
            </w:tcBorders>
          </w:tcPr>
          <w:p>
            <w:pPr>
              <w:spacing w:after="0"/>
              <w:rPr>
                <w:sz w:val="14"/>
                <w:szCs w:val="14"/>
                <w:color w:val="auto"/>
              </w:rPr>
            </w:pP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080" w:type="dxa"/>
            <w:vAlign w:val="bottom"/>
          </w:tcPr>
          <w:p>
            <w:pPr>
              <w:ind w:left="20"/>
              <w:spacing w:after="0"/>
              <w:rPr>
                <w:sz w:val="20"/>
                <w:szCs w:val="20"/>
                <w:color w:val="auto"/>
              </w:rPr>
            </w:pPr>
            <w:r>
              <w:rPr>
                <w:rFonts w:ascii="Arial" w:cs="Arial" w:eastAsia="Arial" w:hAnsi="Arial"/>
                <w:sz w:val="11"/>
                <w:szCs w:val="11"/>
                <w:color w:val="auto"/>
              </w:rPr>
              <w:t>Adjusted EBITDA</w:t>
            </w:r>
          </w:p>
        </w:tc>
        <w:tc>
          <w:tcPr>
            <w:tcW w:w="100" w:type="dxa"/>
            <w:vAlign w:val="bottom"/>
            <w:tcBorders>
              <w:bottom w:val="single" w:sz="8" w:color="929292"/>
            </w:tcBorders>
            <w:shd w:val="clear" w:color="auto" w:fill="929292"/>
          </w:tcPr>
          <w:p>
            <w:pPr>
              <w:spacing w:after="0"/>
              <w:rPr>
                <w:sz w:val="13"/>
                <w:szCs w:val="13"/>
                <w:color w:val="auto"/>
              </w:rPr>
            </w:pPr>
          </w:p>
        </w:tc>
        <w:tc>
          <w:tcPr>
            <w:tcW w:w="340" w:type="dxa"/>
            <w:vAlign w:val="bottom"/>
            <w:tcBorders>
              <w:bottom w:val="single" w:sz="8" w:color="929292"/>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26,894</w:t>
            </w:r>
          </w:p>
        </w:tc>
        <w:tc>
          <w:tcPr>
            <w:tcW w:w="80" w:type="dxa"/>
            <w:vAlign w:val="bottom"/>
          </w:tcPr>
          <w:p>
            <w:pPr>
              <w:spacing w:after="0"/>
              <w:rPr>
                <w:sz w:val="13"/>
                <w:szCs w:val="13"/>
                <w:color w:val="auto"/>
              </w:rPr>
            </w:pPr>
          </w:p>
        </w:tc>
        <w:tc>
          <w:tcPr>
            <w:tcW w:w="36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929292"/>
            </w:tcBorders>
          </w:tcPr>
          <w:p>
            <w:pPr>
              <w:jc w:val="right"/>
              <w:ind w:right="83"/>
              <w:spacing w:after="0"/>
              <w:rPr>
                <w:sz w:val="20"/>
                <w:szCs w:val="20"/>
                <w:color w:val="auto"/>
              </w:rPr>
            </w:pPr>
            <w:r>
              <w:rPr>
                <w:rFonts w:ascii="Arial" w:cs="Arial" w:eastAsia="Arial" w:hAnsi="Arial"/>
                <w:sz w:val="11"/>
                <w:szCs w:val="11"/>
                <w:color w:val="auto"/>
              </w:rPr>
              <w:t>28,778</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1"/>
                <w:szCs w:val="11"/>
                <w:color w:val="auto"/>
              </w:rPr>
              <w:t>Adjusted EBITDA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vMerge w:val="continue"/>
          </w:tcPr>
          <w:p>
            <w:pPr>
              <w:spacing w:after="0"/>
              <w:rPr>
                <w:sz w:val="12"/>
                <w:szCs w:val="12"/>
                <w:color w:val="auto"/>
              </w:rPr>
            </w:pPr>
          </w:p>
        </w:tc>
        <w:tc>
          <w:tcPr>
            <w:tcW w:w="100" w:type="dxa"/>
            <w:vAlign w:val="bottom"/>
            <w:shd w:val="clear" w:color="auto" w:fill="929292"/>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14.5 %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15.7 %</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9" w:lineRule="exact"/>
        <w:rPr>
          <w:rFonts w:ascii="Arial" w:cs="Arial" w:eastAsia="Arial" w:hAnsi="Arial"/>
          <w:sz w:val="10"/>
          <w:szCs w:val="10"/>
          <w:i w:val="1"/>
          <w:iCs w:val="1"/>
          <w:color w:val="auto"/>
        </w:rPr>
      </w:pPr>
    </w:p>
    <w:p>
      <w:pPr>
        <w:ind w:left="260" w:right="220" w:hanging="255"/>
        <w:spacing w:after="0" w:line="254" w:lineRule="auto"/>
        <w:tabs>
          <w:tab w:leader="none" w:pos="253"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legal fees, settlement accruals and other expenses related to certain litigation, Credit Agreement amendments and other non-routine legal or regulatory matters as described in Note 4. “Long-Term Debt” and Note 11. “Commitments And Contingencies” of the Notes to Condensed Consolidated Financial Statements.</w:t>
      </w:r>
    </w:p>
    <w:p>
      <w:pPr>
        <w:ind w:left="260" w:hanging="255"/>
        <w:spacing w:after="0"/>
        <w:tabs>
          <w:tab w:leader="none" w:pos="260" w:val="left"/>
        </w:tabs>
        <w:numPr>
          <w:ilvl w:val="0"/>
          <w:numId w:val="13"/>
        </w:numPr>
        <w:rPr>
          <w:rFonts w:ascii="Arial" w:cs="Arial" w:eastAsia="Arial" w:hAnsi="Arial"/>
          <w:sz w:val="10"/>
          <w:szCs w:val="10"/>
          <w:i w:val="1"/>
          <w:iCs w:val="1"/>
          <w:color w:val="auto"/>
        </w:rPr>
      </w:pPr>
      <w:r>
        <w:rPr>
          <w:rFonts w:ascii="Arial" w:cs="Arial" w:eastAsia="Arial" w:hAnsi="Arial"/>
          <w:sz w:val="10"/>
          <w:szCs w:val="10"/>
          <w:i w:val="1"/>
          <w:iCs w:val="1"/>
          <w:color w:val="auto"/>
        </w:rPr>
        <w:t>Represents severance costs and associated fees associated with a reduction in workforce.</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4000" w:type="dxa"/>
            <w:vAlign w:val="bottom"/>
            <w:tcBorders>
              <w:top w:val="single" w:sz="8" w:color="929292"/>
              <w:left w:val="single" w:sz="8" w:color="929292"/>
            </w:tcBorders>
          </w:tcPr>
          <w:p>
            <w:pPr>
              <w:spacing w:after="0"/>
              <w:rPr>
                <w:sz w:val="14"/>
                <w:szCs w:val="14"/>
                <w:color w:val="auto"/>
              </w:rPr>
            </w:pPr>
          </w:p>
        </w:tc>
        <w:tc>
          <w:tcPr>
            <w:tcW w:w="80" w:type="dxa"/>
            <w:vAlign w:val="bottom"/>
            <w:tcBorders>
              <w:top w:val="single" w:sz="8" w:color="929292"/>
            </w:tcBorders>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right"/>
              <w:ind w:right="423"/>
              <w:spacing w:after="0"/>
              <w:rPr>
                <w:sz w:val="20"/>
                <w:szCs w:val="20"/>
                <w:color w:val="auto"/>
              </w:rPr>
            </w:pPr>
            <w:r>
              <w:rPr>
                <w:rFonts w:ascii="Arial" w:cs="Arial" w:eastAsia="Arial" w:hAnsi="Arial"/>
                <w:sz w:val="11"/>
                <w:szCs w:val="11"/>
                <w:color w:val="auto"/>
              </w:rPr>
              <w:t>Three months ended Mar. 31,</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Borders>
              <w:top w:val="single" w:sz="8" w:color="929292"/>
            </w:tcBorders>
            <w:gridSpan w:val="2"/>
            <w:shd w:val="clear" w:color="auto" w:fill="929292"/>
          </w:tcPr>
          <w:p>
            <w:pPr>
              <w:jc w:val="right"/>
              <w:ind w:right="223"/>
              <w:spacing w:after="0"/>
              <w:rPr>
                <w:sz w:val="20"/>
                <w:szCs w:val="20"/>
                <w:color w:val="auto"/>
              </w:rPr>
            </w:pPr>
            <w:r>
              <w:rPr>
                <w:rFonts w:ascii="Arial" w:cs="Arial" w:eastAsia="Arial" w:hAnsi="Arial"/>
                <w:sz w:val="11"/>
                <w:szCs w:val="11"/>
                <w:color w:val="FFFFFF"/>
              </w:rPr>
              <w:t>% of Net Revenues</w:t>
            </w:r>
          </w:p>
        </w:tc>
        <w:tc>
          <w:tcPr>
            <w:tcW w:w="400" w:type="dxa"/>
            <w:vAlign w:val="bottom"/>
            <w:tcBorders>
              <w:top w:val="single" w:sz="8" w:color="929292"/>
            </w:tcBorders>
            <w:shd w:val="clear" w:color="auto" w:fill="929292"/>
          </w:tcPr>
          <w:p>
            <w:pPr>
              <w:spacing w:after="0"/>
              <w:rPr>
                <w:sz w:val="14"/>
                <w:szCs w:val="14"/>
                <w:color w:val="auto"/>
              </w:rPr>
            </w:pPr>
          </w:p>
        </w:tc>
      </w:tr>
      <w:tr>
        <w:trPr>
          <w:trHeight w:val="171"/>
        </w:trPr>
        <w:tc>
          <w:tcPr>
            <w:tcW w:w="4000" w:type="dxa"/>
            <w:vAlign w:val="bottom"/>
            <w:tcBorders>
              <w:left w:val="single" w:sz="8" w:color="929292"/>
            </w:tcBorders>
          </w:tcPr>
          <w:p>
            <w:pPr>
              <w:ind w:left="1540"/>
              <w:spacing w:after="0"/>
              <w:rPr>
                <w:sz w:val="20"/>
                <w:szCs w:val="20"/>
                <w:color w:val="auto"/>
              </w:rPr>
            </w:pPr>
            <w:r>
              <w:rPr>
                <w:rFonts w:ascii="Arial" w:cs="Arial" w:eastAsia="Arial" w:hAnsi="Arial"/>
                <w:sz w:val="11"/>
                <w:szCs w:val="11"/>
                <w:b w:val="1"/>
                <w:bCs w:val="1"/>
                <w:color w:val="00497F"/>
              </w:rPr>
              <w:t>Adjusted EBITDA</w:t>
            </w:r>
          </w:p>
        </w:tc>
        <w:tc>
          <w:tcPr>
            <w:tcW w:w="80" w:type="dxa"/>
            <w:vAlign w:val="bottom"/>
            <w:tcBorders>
              <w:bottom w:val="single" w:sz="8" w:color="929292"/>
            </w:tcBorders>
            <w:shd w:val="clear" w:color="auto" w:fill="929292"/>
          </w:tcPr>
          <w:p>
            <w:pPr>
              <w:spacing w:after="0"/>
              <w:rPr>
                <w:sz w:val="14"/>
                <w:szCs w:val="14"/>
                <w:color w:val="auto"/>
              </w:rPr>
            </w:pPr>
          </w:p>
        </w:tc>
        <w:tc>
          <w:tcPr>
            <w:tcW w:w="280" w:type="dxa"/>
            <w:vAlign w:val="bottom"/>
            <w:tcBorders>
              <w:bottom w:val="single" w:sz="8" w:color="929292"/>
            </w:tcBorders>
          </w:tcPr>
          <w:p>
            <w:pPr>
              <w:spacing w:after="0"/>
              <w:rPr>
                <w:sz w:val="14"/>
                <w:szCs w:val="14"/>
                <w:color w:val="auto"/>
              </w:rPr>
            </w:pPr>
          </w:p>
        </w:tc>
        <w:tc>
          <w:tcPr>
            <w:tcW w:w="1020" w:type="dxa"/>
            <w:vAlign w:val="bottom"/>
            <w:tcBorders>
              <w:bottom w:val="single" w:sz="8" w:color="929292"/>
            </w:tcBorders>
          </w:tcPr>
          <w:p>
            <w:pPr>
              <w:jc w:val="right"/>
              <w:ind w:right="483"/>
              <w:spacing w:after="0"/>
              <w:rPr>
                <w:sz w:val="20"/>
                <w:szCs w:val="20"/>
                <w:color w:val="auto"/>
              </w:rPr>
            </w:pPr>
            <w:r>
              <w:rPr>
                <w:rFonts w:ascii="Arial" w:cs="Arial" w:eastAsia="Arial" w:hAnsi="Arial"/>
                <w:sz w:val="11"/>
                <w:szCs w:val="11"/>
                <w:color w:val="auto"/>
              </w:rPr>
              <w:t>2024</w:t>
            </w:r>
          </w:p>
        </w:tc>
        <w:tc>
          <w:tcPr>
            <w:tcW w:w="300" w:type="dxa"/>
            <w:vAlign w:val="bottom"/>
            <w:tcBorders>
              <w:bottom w:val="single" w:sz="8" w:color="929292"/>
            </w:tcBorders>
          </w:tcPr>
          <w:p>
            <w:pPr>
              <w:spacing w:after="0"/>
              <w:rPr>
                <w:sz w:val="14"/>
                <w:szCs w:val="14"/>
                <w:color w:val="auto"/>
              </w:rPr>
            </w:pPr>
          </w:p>
        </w:tc>
        <w:tc>
          <w:tcPr>
            <w:tcW w:w="840" w:type="dxa"/>
            <w:vAlign w:val="bottom"/>
            <w:tcBorders>
              <w:bottom w:val="single" w:sz="8" w:color="929292"/>
            </w:tcBorders>
          </w:tcPr>
          <w:p>
            <w:pPr>
              <w:jc w:val="right"/>
              <w:ind w:right="383"/>
              <w:spacing w:after="0"/>
              <w:rPr>
                <w:sz w:val="20"/>
                <w:szCs w:val="20"/>
                <w:color w:val="auto"/>
              </w:rPr>
            </w:pPr>
            <w:r>
              <w:rPr>
                <w:rFonts w:ascii="Arial" w:cs="Arial" w:eastAsia="Arial" w:hAnsi="Arial"/>
                <w:sz w:val="11"/>
                <w:szCs w:val="11"/>
                <w:color w:val="auto"/>
              </w:rPr>
              <w:t>2023</w:t>
            </w:r>
          </w:p>
        </w:tc>
        <w:tc>
          <w:tcPr>
            <w:tcW w:w="220" w:type="dxa"/>
            <w:vAlign w:val="bottom"/>
            <w:tcBorders>
              <w:bottom w:val="single" w:sz="8" w:color="929292"/>
            </w:tcBorders>
          </w:tcPr>
          <w:p>
            <w:pPr>
              <w:spacing w:after="0"/>
              <w:rPr>
                <w:sz w:val="14"/>
                <w:szCs w:val="14"/>
                <w:color w:val="auto"/>
              </w:rPr>
            </w:pPr>
          </w:p>
        </w:tc>
        <w:tc>
          <w:tcPr>
            <w:tcW w:w="1060" w:type="dxa"/>
            <w:vAlign w:val="bottom"/>
            <w:tcBorders>
              <w:bottom w:val="single" w:sz="8" w:color="929292"/>
            </w:tcBorders>
          </w:tcPr>
          <w:p>
            <w:pPr>
              <w:jc w:val="right"/>
              <w:ind w:right="403"/>
              <w:spacing w:after="0"/>
              <w:rPr>
                <w:sz w:val="20"/>
                <w:szCs w:val="20"/>
                <w:color w:val="auto"/>
              </w:rPr>
            </w:pPr>
            <w:r>
              <w:rPr>
                <w:rFonts w:ascii="Arial" w:cs="Arial" w:eastAsia="Arial" w:hAnsi="Arial"/>
                <w:sz w:val="11"/>
                <w:szCs w:val="11"/>
                <w:color w:val="auto"/>
              </w:rPr>
              <w:t>$ Change</w:t>
            </w:r>
          </w:p>
        </w:tc>
        <w:tc>
          <w:tcPr>
            <w:tcW w:w="740" w:type="dxa"/>
            <w:vAlign w:val="bottom"/>
            <w:tcBorders>
              <w:bottom w:val="single" w:sz="8" w:color="929292"/>
            </w:tcBorders>
          </w:tcPr>
          <w:p>
            <w:pPr>
              <w:ind w:left="200"/>
              <w:spacing w:after="0"/>
              <w:rPr>
                <w:sz w:val="20"/>
                <w:szCs w:val="20"/>
                <w:color w:val="auto"/>
              </w:rPr>
            </w:pPr>
            <w:r>
              <w:rPr>
                <w:rFonts w:ascii="Arial" w:cs="Arial" w:eastAsia="Arial" w:hAnsi="Arial"/>
                <w:sz w:val="11"/>
                <w:szCs w:val="11"/>
                <w:color w:val="auto"/>
              </w:rPr>
              <w:t>% Change</w:t>
            </w:r>
          </w:p>
        </w:tc>
        <w:tc>
          <w:tcPr>
            <w:tcW w:w="300" w:type="dxa"/>
            <w:vAlign w:val="bottom"/>
            <w:tcBorders>
              <w:bottom w:val="single" w:sz="8" w:color="929292"/>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2024</w:t>
            </w:r>
          </w:p>
        </w:tc>
        <w:tc>
          <w:tcPr>
            <w:tcW w:w="1220" w:type="dxa"/>
            <w:vAlign w:val="bottom"/>
            <w:tcBorders>
              <w:bottom w:val="single" w:sz="8" w:color="929292"/>
            </w:tcBorders>
            <w:shd w:val="clear" w:color="auto" w:fill="929292"/>
          </w:tcPr>
          <w:p>
            <w:pPr>
              <w:jc w:val="right"/>
              <w:spacing w:after="0"/>
              <w:rPr>
                <w:sz w:val="20"/>
                <w:szCs w:val="20"/>
                <w:color w:val="auto"/>
              </w:rPr>
            </w:pPr>
            <w:r>
              <w:rPr>
                <w:rFonts w:ascii="Arial" w:cs="Arial" w:eastAsia="Arial" w:hAnsi="Arial"/>
                <w:sz w:val="11"/>
                <w:szCs w:val="11"/>
                <w:color w:val="FFFFFF"/>
              </w:rPr>
              <w:t>2023</w:t>
            </w:r>
          </w:p>
        </w:tc>
        <w:tc>
          <w:tcPr>
            <w:tcW w:w="400" w:type="dxa"/>
            <w:vAlign w:val="bottom"/>
            <w:tcBorders>
              <w:bottom w:val="single" w:sz="8" w:color="929292"/>
            </w:tcBorders>
            <w:shd w:val="clear" w:color="auto" w:fill="929292"/>
          </w:tcPr>
          <w:p>
            <w:pPr>
              <w:spacing w:after="0"/>
              <w:rPr>
                <w:sz w:val="14"/>
                <w:szCs w:val="14"/>
                <w:color w:val="auto"/>
              </w:rPr>
            </w:pPr>
          </w:p>
        </w:tc>
      </w:tr>
      <w:tr>
        <w:trPr>
          <w:trHeight w:val="147"/>
        </w:trPr>
        <w:tc>
          <w:tcPr>
            <w:tcW w:w="4000" w:type="dxa"/>
            <w:vAlign w:val="bottom"/>
            <w:tcBorders>
              <w:left w:val="single" w:sz="8" w:color="929292"/>
              <w:bottom w:val="single" w:sz="8" w:color="929292"/>
            </w:tcBorders>
          </w:tcPr>
          <w:p>
            <w:pPr>
              <w:spacing w:after="0"/>
              <w:rPr>
                <w:sz w:val="12"/>
                <w:szCs w:val="12"/>
                <w:color w:val="auto"/>
              </w:rPr>
            </w:pPr>
          </w:p>
        </w:tc>
        <w:tc>
          <w:tcPr>
            <w:tcW w:w="80" w:type="dxa"/>
            <w:vAlign w:val="bottom"/>
            <w:tcBorders>
              <w:bottom w:val="single" w:sz="8" w:color="929292"/>
            </w:tcBorders>
            <w:shd w:val="clear" w:color="auto" w:fill="929292"/>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26,894</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28,778</w:t>
            </w:r>
          </w:p>
        </w:tc>
        <w:tc>
          <w:tcPr>
            <w:tcW w:w="2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143"/>
              <w:spacing w:after="0"/>
              <w:rPr>
                <w:sz w:val="20"/>
                <w:szCs w:val="20"/>
                <w:color w:val="auto"/>
              </w:rPr>
            </w:pPr>
            <w:r>
              <w:rPr>
                <w:rFonts w:ascii="Arial" w:cs="Arial" w:eastAsia="Arial" w:hAnsi="Arial"/>
                <w:sz w:val="11"/>
                <w:szCs w:val="11"/>
                <w:color w:val="auto"/>
              </w:rPr>
              <w:t>(1,884)</w:t>
            </w:r>
          </w:p>
        </w:tc>
        <w:tc>
          <w:tcPr>
            <w:tcW w:w="7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2"/>
              </w:rPr>
              <w:t>6.5 %</w:t>
            </w:r>
          </w:p>
        </w:tc>
        <w:tc>
          <w:tcPr>
            <w:tcW w:w="80" w:type="dxa"/>
            <w:vAlign w:val="bottom"/>
          </w:tcPr>
          <w:p>
            <w:pPr>
              <w:spacing w:after="0"/>
              <w:rPr>
                <w:sz w:val="12"/>
                <w:szCs w:val="12"/>
                <w:color w:val="auto"/>
              </w:rPr>
            </w:pPr>
          </w:p>
        </w:tc>
        <w:tc>
          <w:tcPr>
            <w:tcW w:w="740" w:type="dxa"/>
            <w:vAlign w:val="bottom"/>
            <w:shd w:val="clear" w:color="auto" w:fill="929292"/>
          </w:tcPr>
          <w:p>
            <w:pPr>
              <w:spacing w:after="0"/>
              <w:rPr>
                <w:sz w:val="12"/>
                <w:szCs w:val="12"/>
                <w:color w:val="auto"/>
              </w:rPr>
            </w:pPr>
          </w:p>
        </w:tc>
        <w:tc>
          <w:tcPr>
            <w:tcW w:w="1220" w:type="dxa"/>
            <w:vAlign w:val="bottom"/>
            <w:shd w:val="clear" w:color="auto" w:fill="929292"/>
          </w:tcPr>
          <w:p>
            <w:pPr>
              <w:jc w:val="right"/>
              <w:ind w:right="783"/>
              <w:spacing w:after="0"/>
              <w:rPr>
                <w:sz w:val="20"/>
                <w:szCs w:val="20"/>
                <w:color w:val="auto"/>
              </w:rPr>
            </w:pPr>
            <w:r>
              <w:rPr>
                <w:rFonts w:ascii="Arial" w:cs="Arial" w:eastAsia="Arial" w:hAnsi="Arial"/>
                <w:sz w:val="11"/>
                <w:szCs w:val="11"/>
                <w:color w:val="FFFFFF"/>
              </w:rPr>
              <w:t>14.5 %</w:t>
            </w:r>
          </w:p>
        </w:tc>
        <w:tc>
          <w:tcPr>
            <w:tcW w:w="40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15.7 %</w:t>
            </w:r>
          </w:p>
        </w:tc>
      </w:tr>
    </w:tbl>
    <w:p>
      <w:pPr>
        <w:spacing w:after="0" w:line="244"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The decrease for the three months ended March 31, 2024 compared to the prior year period was primarily due to investments in targeted marketing and other operating expenses, partially offset by a decrease in revenue share and an increase in net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The following table sets forth the reconciliations of Adjusted EBITDA to Cash Adjusted EBITDA for the periods presented:</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right w:val="single" w:sz="8" w:color="929292"/>
            </w:tcBorders>
          </w:tcPr>
          <w:p>
            <w:pPr>
              <w:spacing w:after="0"/>
              <w:rPr>
                <w:sz w:val="14"/>
                <w:szCs w:val="14"/>
                <w:color w:val="auto"/>
              </w:rPr>
            </w:pPr>
          </w:p>
        </w:tc>
        <w:tc>
          <w:tcPr>
            <w:tcW w:w="900" w:type="dxa"/>
            <w:vAlign w:val="bottom"/>
          </w:tcPr>
          <w:p>
            <w:pPr>
              <w:spacing w:after="0"/>
              <w:rPr>
                <w:sz w:val="14"/>
                <w:szCs w:val="14"/>
                <w:color w:val="auto"/>
              </w:rPr>
            </w:pPr>
          </w:p>
        </w:tc>
        <w:tc>
          <w:tcPr>
            <w:tcW w:w="2360" w:type="dxa"/>
            <w:vAlign w:val="bottom"/>
            <w:gridSpan w:val="5"/>
          </w:tcPr>
          <w:p>
            <w:pPr>
              <w:jc w:val="right"/>
              <w:ind w:right="823"/>
              <w:spacing w:after="0"/>
              <w:rPr>
                <w:sz w:val="20"/>
                <w:szCs w:val="20"/>
                <w:color w:val="auto"/>
              </w:rPr>
            </w:pPr>
            <w:r>
              <w:rPr>
                <w:rFonts w:ascii="Arial" w:cs="Arial" w:eastAsia="Arial" w:hAnsi="Arial"/>
                <w:sz w:val="11"/>
                <w:szCs w:val="11"/>
                <w:color w:val="auto"/>
              </w:rPr>
              <w:t>Three months ended Mar. 31,</w:t>
            </w:r>
          </w:p>
        </w:tc>
      </w:tr>
      <w:tr>
        <w:trPr>
          <w:trHeight w:val="152"/>
        </w:trPr>
        <w:tc>
          <w:tcPr>
            <w:tcW w:w="4600" w:type="dxa"/>
            <w:vAlign w:val="bottom"/>
            <w:tcBorders>
              <w:bottom w:val="single" w:sz="8" w:color="929292"/>
            </w:tcBorders>
            <w:gridSpan w:val="2"/>
          </w:tcPr>
          <w:p>
            <w:pPr>
              <w:ind w:left="20"/>
              <w:spacing w:after="0"/>
              <w:rPr>
                <w:sz w:val="20"/>
                <w:szCs w:val="20"/>
                <w:color w:val="auto"/>
              </w:rPr>
            </w:pPr>
            <w:r>
              <w:rPr>
                <w:rFonts w:ascii="Arial" w:cs="Arial" w:eastAsia="Arial" w:hAnsi="Arial"/>
                <w:sz w:val="11"/>
                <w:szCs w:val="11"/>
                <w:color w:val="auto"/>
              </w:rPr>
              <w:t>(in thousands)</w:t>
            </w:r>
          </w:p>
        </w:tc>
        <w:tc>
          <w:tcPr>
            <w:tcW w:w="1000" w:type="dxa"/>
            <w:vAlign w:val="bottom"/>
            <w:tcBorders>
              <w:bottom w:val="single" w:sz="8" w:color="929292"/>
            </w:tcBorders>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800" w:type="dxa"/>
            <w:vAlign w:val="bottom"/>
            <w:tcBorders>
              <w:bottom w:val="single" w:sz="8" w:color="929292"/>
            </w:tcBorders>
          </w:tcPr>
          <w:p>
            <w:pPr>
              <w:spacing w:after="0"/>
              <w:rPr>
                <w:sz w:val="13"/>
                <w:szCs w:val="13"/>
                <w:color w:val="auto"/>
              </w:rPr>
            </w:pPr>
          </w:p>
        </w:tc>
        <w:tc>
          <w:tcPr>
            <w:tcW w:w="220" w:type="dxa"/>
            <w:vAlign w:val="bottom"/>
            <w:tcBorders>
              <w:bottom w:val="single" w:sz="8" w:color="929292"/>
            </w:tcBorders>
          </w:tcPr>
          <w:p>
            <w:pPr>
              <w:spacing w:after="0"/>
              <w:rPr>
                <w:sz w:val="13"/>
                <w:szCs w:val="13"/>
                <w:color w:val="auto"/>
              </w:rPr>
            </w:pPr>
          </w:p>
        </w:tc>
        <w:tc>
          <w:tcPr>
            <w:tcW w:w="1120" w:type="dxa"/>
            <w:vAlign w:val="bottom"/>
            <w:tcBorders>
              <w:bottom w:val="single" w:sz="8" w:color="929292"/>
              <w:right w:val="single" w:sz="8" w:color="929292"/>
            </w:tcBorders>
          </w:tcPr>
          <w:p>
            <w:pPr>
              <w:spacing w:after="0"/>
              <w:rPr>
                <w:sz w:val="13"/>
                <w:szCs w:val="13"/>
                <w:color w:val="auto"/>
              </w:rPr>
            </w:pPr>
          </w:p>
        </w:tc>
        <w:tc>
          <w:tcPr>
            <w:tcW w:w="980" w:type="dxa"/>
            <w:vAlign w:val="bottom"/>
            <w:tcBorders>
              <w:bottom w:val="single" w:sz="8" w:color="B6B6B6"/>
            </w:tcBorders>
            <w:gridSpan w:val="2"/>
          </w:tcPr>
          <w:p>
            <w:pPr>
              <w:jc w:val="right"/>
              <w:ind w:right="3"/>
              <w:spacing w:after="0"/>
              <w:rPr>
                <w:sz w:val="20"/>
                <w:szCs w:val="20"/>
                <w:color w:val="auto"/>
              </w:rPr>
            </w:pPr>
            <w:r>
              <w:rPr>
                <w:rFonts w:ascii="Arial" w:cs="Arial" w:eastAsia="Arial" w:hAnsi="Arial"/>
                <w:sz w:val="11"/>
                <w:szCs w:val="11"/>
                <w:color w:val="auto"/>
              </w:rPr>
              <w:t>2024</w:t>
            </w:r>
          </w:p>
        </w:tc>
        <w:tc>
          <w:tcPr>
            <w:tcW w:w="620" w:type="dxa"/>
            <w:vAlign w:val="bottom"/>
            <w:tcBorders>
              <w:bottom w:val="single" w:sz="8" w:color="B6B6B6"/>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603"/>
              <w:spacing w:after="0"/>
              <w:rPr>
                <w:sz w:val="20"/>
                <w:szCs w:val="20"/>
                <w:color w:val="auto"/>
              </w:rPr>
            </w:pPr>
            <w:r>
              <w:rPr>
                <w:rFonts w:ascii="Arial" w:cs="Arial" w:eastAsia="Arial" w:hAnsi="Arial"/>
                <w:sz w:val="11"/>
                <w:szCs w:val="11"/>
                <w:color w:val="auto"/>
              </w:rPr>
              <w:t>2023</w:t>
            </w:r>
          </w:p>
        </w:tc>
      </w:tr>
      <w:tr>
        <w:trPr>
          <w:trHeight w:val="147"/>
        </w:trPr>
        <w:tc>
          <w:tcPr>
            <w:tcW w:w="4600" w:type="dxa"/>
            <w:vAlign w:val="bottom"/>
            <w:gridSpan w:val="2"/>
          </w:tcPr>
          <w:p>
            <w:pPr>
              <w:ind w:left="20"/>
              <w:spacing w:after="0"/>
              <w:rPr>
                <w:sz w:val="20"/>
                <w:szCs w:val="20"/>
                <w:color w:val="auto"/>
              </w:rPr>
            </w:pPr>
            <w:r>
              <w:rPr>
                <w:rFonts w:ascii="Arial" w:cs="Arial" w:eastAsia="Arial" w:hAnsi="Arial"/>
                <w:sz w:val="11"/>
                <w:szCs w:val="11"/>
                <w:color w:val="auto"/>
              </w:rPr>
              <w:t>Adjusted EBITDA</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right w:val="single" w:sz="8" w:color="929292"/>
            </w:tcBorders>
          </w:tcPr>
          <w:p>
            <w:pPr>
              <w:spacing w:after="0"/>
              <w:rPr>
                <w:sz w:val="12"/>
                <w:szCs w:val="12"/>
                <w:color w:val="auto"/>
              </w:rPr>
            </w:pP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23"/>
              <w:spacing w:after="0"/>
              <w:rPr>
                <w:sz w:val="20"/>
                <w:szCs w:val="20"/>
                <w:color w:val="auto"/>
              </w:rPr>
            </w:pPr>
            <w:r>
              <w:rPr>
                <w:rFonts w:ascii="Arial" w:cs="Arial" w:eastAsia="Arial" w:hAnsi="Arial"/>
                <w:sz w:val="11"/>
                <w:szCs w:val="11"/>
                <w:color w:val="auto"/>
              </w:rPr>
              <w:t>26,894</w:t>
            </w:r>
          </w:p>
        </w:tc>
        <w:tc>
          <w:tcPr>
            <w:tcW w:w="600" w:type="dxa"/>
            <w:vAlign w:val="bottom"/>
            <w:gridSpan w:val="2"/>
          </w:tcPr>
          <w:p>
            <w:pPr>
              <w:jc w:val="right"/>
              <w:ind w:right="409"/>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123"/>
              <w:spacing w:after="0"/>
              <w:rPr>
                <w:sz w:val="20"/>
                <w:szCs w:val="20"/>
                <w:color w:val="auto"/>
              </w:rPr>
            </w:pPr>
            <w:r>
              <w:rPr>
                <w:rFonts w:ascii="Arial" w:cs="Arial" w:eastAsia="Arial" w:hAnsi="Arial"/>
                <w:sz w:val="11"/>
                <w:szCs w:val="11"/>
                <w:color w:val="auto"/>
              </w:rPr>
              <w:t>28,778</w:t>
            </w:r>
          </w:p>
        </w:tc>
      </w:tr>
      <w:tr>
        <w:trPr>
          <w:trHeight w:val="159"/>
        </w:trPr>
        <w:tc>
          <w:tcPr>
            <w:tcW w:w="4600" w:type="dxa"/>
            <w:vAlign w:val="bottom"/>
            <w:gridSpan w:val="2"/>
          </w:tcPr>
          <w:p>
            <w:pPr>
              <w:ind w:left="280"/>
              <w:spacing w:after="0"/>
              <w:rPr>
                <w:sz w:val="20"/>
                <w:szCs w:val="20"/>
                <w:color w:val="auto"/>
              </w:rPr>
            </w:pPr>
            <w:r>
              <w:rPr>
                <w:rFonts w:ascii="Arial" w:cs="Arial" w:eastAsia="Arial" w:hAnsi="Arial"/>
                <w:sz w:val="11"/>
                <w:szCs w:val="11"/>
                <w:color w:val="auto"/>
              </w:rPr>
              <w:t>Beginning commissions receivable</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gridSpan w:val="2"/>
          </w:tcPr>
          <w:p>
            <w:pPr>
              <w:jc w:val="right"/>
              <w:ind w:right="123"/>
              <w:spacing w:after="0"/>
              <w:rPr>
                <w:sz w:val="20"/>
                <w:szCs w:val="20"/>
                <w:color w:val="auto"/>
              </w:rPr>
            </w:pPr>
            <w:r>
              <w:rPr>
                <w:rFonts w:ascii="Arial" w:cs="Arial" w:eastAsia="Arial" w:hAnsi="Arial"/>
                <w:sz w:val="11"/>
                <w:szCs w:val="11"/>
                <w:color w:val="auto"/>
              </w:rPr>
              <w:t>911,697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123"/>
              <w:spacing w:after="0"/>
              <w:rPr>
                <w:sz w:val="20"/>
                <w:szCs w:val="20"/>
                <w:color w:val="auto"/>
              </w:rPr>
            </w:pPr>
            <w:r>
              <w:rPr>
                <w:rFonts w:ascii="Arial" w:cs="Arial" w:eastAsia="Arial" w:hAnsi="Arial"/>
                <w:sz w:val="11"/>
                <w:szCs w:val="11"/>
                <w:color w:val="auto"/>
              </w:rPr>
              <w:t>1,031,433</w:t>
            </w:r>
          </w:p>
        </w:tc>
      </w:tr>
      <w:tr>
        <w:trPr>
          <w:trHeight w:val="159"/>
        </w:trPr>
        <w:tc>
          <w:tcPr>
            <w:tcW w:w="4600" w:type="dxa"/>
            <w:vAlign w:val="bottom"/>
            <w:gridSpan w:val="2"/>
          </w:tcPr>
          <w:p>
            <w:pPr>
              <w:ind w:left="280"/>
              <w:spacing w:after="0"/>
              <w:rPr>
                <w:sz w:val="20"/>
                <w:szCs w:val="20"/>
                <w:color w:val="auto"/>
              </w:rPr>
            </w:pPr>
            <w:r>
              <w:rPr>
                <w:rFonts w:ascii="Arial" w:cs="Arial" w:eastAsia="Arial" w:hAnsi="Arial"/>
                <w:sz w:val="11"/>
                <w:szCs w:val="11"/>
                <w:color w:val="auto"/>
              </w:rPr>
              <w:t>Beginning commissions payable</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Borders>
              <w:bottom w:val="single" w:sz="8" w:color="B6B6B6"/>
            </w:tcBorders>
          </w:tcPr>
          <w:p>
            <w:pPr>
              <w:spacing w:after="0"/>
              <w:rPr>
                <w:sz w:val="13"/>
                <w:szCs w:val="13"/>
                <w:color w:val="auto"/>
              </w:rPr>
            </w:pPr>
          </w:p>
        </w:tc>
        <w:tc>
          <w:tcPr>
            <w:tcW w:w="700" w:type="dxa"/>
            <w:vAlign w:val="bottom"/>
            <w:tcBorders>
              <w:bottom w:val="single" w:sz="8" w:color="B6B6B6"/>
            </w:tcBorders>
            <w:gridSpan w:val="2"/>
          </w:tcPr>
          <w:p>
            <w:pPr>
              <w:jc w:val="right"/>
              <w:ind w:right="123"/>
              <w:spacing w:after="0"/>
              <w:rPr>
                <w:sz w:val="20"/>
                <w:szCs w:val="20"/>
                <w:color w:val="auto"/>
              </w:rPr>
            </w:pPr>
            <w:r>
              <w:rPr>
                <w:rFonts w:ascii="Arial" w:cs="Arial" w:eastAsia="Arial" w:hAnsi="Arial"/>
                <w:sz w:val="11"/>
                <w:szCs w:val="11"/>
                <w:color w:val="auto"/>
              </w:rPr>
              <w:t>(321,987)</w:t>
            </w:r>
          </w:p>
        </w:tc>
        <w:tc>
          <w:tcPr>
            <w:tcW w:w="80" w:type="dxa"/>
            <w:vAlign w:val="bottom"/>
          </w:tcPr>
          <w:p>
            <w:pPr>
              <w:spacing w:after="0"/>
              <w:rPr>
                <w:sz w:val="13"/>
                <w:szCs w:val="13"/>
                <w:color w:val="auto"/>
              </w:rPr>
            </w:pPr>
          </w:p>
        </w:tc>
        <w:tc>
          <w:tcPr>
            <w:tcW w:w="5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(375,141)</w:t>
            </w:r>
          </w:p>
        </w:tc>
      </w:tr>
      <w:tr>
        <w:trPr>
          <w:trHeight w:val="150"/>
        </w:trPr>
        <w:tc>
          <w:tcPr>
            <w:tcW w:w="4600" w:type="dxa"/>
            <w:vAlign w:val="bottom"/>
            <w:gridSpan w:val="2"/>
          </w:tcPr>
          <w:p>
            <w:pPr>
              <w:ind w:left="20"/>
              <w:spacing w:after="0"/>
              <w:rPr>
                <w:sz w:val="20"/>
                <w:szCs w:val="20"/>
                <w:color w:val="auto"/>
              </w:rPr>
            </w:pPr>
            <w:r>
              <w:rPr>
                <w:rFonts w:ascii="Arial" w:cs="Arial" w:eastAsia="Arial" w:hAnsi="Arial"/>
                <w:sz w:val="11"/>
                <w:szCs w:val="11"/>
                <w:color w:val="auto"/>
              </w:rPr>
              <w:t>Beginning net contract assets</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Borders>
              <w:bottom w:val="single" w:sz="8" w:color="B6B6B6"/>
            </w:tcBorders>
          </w:tcPr>
          <w:p>
            <w:pPr>
              <w:spacing w:after="0"/>
              <w:rPr>
                <w:sz w:val="13"/>
                <w:szCs w:val="13"/>
                <w:color w:val="auto"/>
              </w:rPr>
            </w:pPr>
          </w:p>
        </w:tc>
        <w:tc>
          <w:tcPr>
            <w:tcW w:w="700" w:type="dxa"/>
            <w:vAlign w:val="bottom"/>
            <w:tcBorders>
              <w:bottom w:val="single" w:sz="8" w:color="B6B6B6"/>
            </w:tcBorders>
            <w:gridSpan w:val="2"/>
          </w:tcPr>
          <w:p>
            <w:pPr>
              <w:jc w:val="right"/>
              <w:ind w:right="123"/>
              <w:spacing w:after="0"/>
              <w:rPr>
                <w:sz w:val="20"/>
                <w:szCs w:val="20"/>
                <w:color w:val="auto"/>
              </w:rPr>
            </w:pPr>
            <w:r>
              <w:rPr>
                <w:rFonts w:ascii="Arial" w:cs="Arial" w:eastAsia="Arial" w:hAnsi="Arial"/>
                <w:sz w:val="11"/>
                <w:szCs w:val="11"/>
                <w:color w:val="auto"/>
              </w:rPr>
              <w:t>589,710</w:t>
            </w:r>
          </w:p>
        </w:tc>
        <w:tc>
          <w:tcPr>
            <w:tcW w:w="80" w:type="dxa"/>
            <w:vAlign w:val="bottom"/>
          </w:tcPr>
          <w:p>
            <w:pPr>
              <w:spacing w:after="0"/>
              <w:rPr>
                <w:sz w:val="13"/>
                <w:szCs w:val="13"/>
                <w:color w:val="auto"/>
              </w:rPr>
            </w:pPr>
          </w:p>
        </w:tc>
        <w:tc>
          <w:tcPr>
            <w:tcW w:w="5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656,292</w:t>
            </w:r>
          </w:p>
        </w:tc>
      </w:tr>
      <w:tr>
        <w:trPr>
          <w:trHeight w:val="150"/>
        </w:trPr>
        <w:tc>
          <w:tcPr>
            <w:tcW w:w="4600" w:type="dxa"/>
            <w:vAlign w:val="bottom"/>
            <w:gridSpan w:val="2"/>
          </w:tcPr>
          <w:p>
            <w:pPr>
              <w:ind w:left="280"/>
              <w:spacing w:after="0"/>
              <w:rPr>
                <w:sz w:val="20"/>
                <w:szCs w:val="20"/>
                <w:color w:val="auto"/>
              </w:rPr>
            </w:pPr>
            <w:r>
              <w:rPr>
                <w:rFonts w:ascii="Arial" w:cs="Arial" w:eastAsia="Arial" w:hAnsi="Arial"/>
                <w:sz w:val="11"/>
                <w:szCs w:val="11"/>
                <w:color w:val="auto"/>
              </w:rPr>
              <w:t>Ending commissions receivable</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gridSpan w:val="2"/>
          </w:tcPr>
          <w:p>
            <w:pPr>
              <w:jc w:val="right"/>
              <w:ind w:right="123"/>
              <w:spacing w:after="0"/>
              <w:rPr>
                <w:sz w:val="20"/>
                <w:szCs w:val="20"/>
                <w:color w:val="auto"/>
              </w:rPr>
            </w:pPr>
            <w:r>
              <w:rPr>
                <w:rFonts w:ascii="Arial" w:cs="Arial" w:eastAsia="Arial" w:hAnsi="Arial"/>
                <w:sz w:val="11"/>
                <w:szCs w:val="11"/>
                <w:color w:val="auto"/>
              </w:rPr>
              <w:t>843,127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123"/>
              <w:spacing w:after="0"/>
              <w:rPr>
                <w:sz w:val="20"/>
                <w:szCs w:val="20"/>
                <w:color w:val="auto"/>
              </w:rPr>
            </w:pPr>
            <w:r>
              <w:rPr>
                <w:rFonts w:ascii="Arial" w:cs="Arial" w:eastAsia="Arial" w:hAnsi="Arial"/>
                <w:sz w:val="11"/>
                <w:szCs w:val="11"/>
                <w:color w:val="auto"/>
              </w:rPr>
              <w:t>936,804</w:t>
            </w:r>
          </w:p>
        </w:tc>
      </w:tr>
      <w:tr>
        <w:trPr>
          <w:trHeight w:val="159"/>
        </w:trPr>
        <w:tc>
          <w:tcPr>
            <w:tcW w:w="4600" w:type="dxa"/>
            <w:vAlign w:val="bottom"/>
            <w:gridSpan w:val="2"/>
          </w:tcPr>
          <w:p>
            <w:pPr>
              <w:ind w:left="280"/>
              <w:spacing w:after="0"/>
              <w:rPr>
                <w:sz w:val="20"/>
                <w:szCs w:val="20"/>
                <w:color w:val="auto"/>
              </w:rPr>
            </w:pPr>
            <w:r>
              <w:rPr>
                <w:rFonts w:ascii="Arial" w:cs="Arial" w:eastAsia="Arial" w:hAnsi="Arial"/>
                <w:sz w:val="11"/>
                <w:szCs w:val="11"/>
                <w:color w:val="auto"/>
              </w:rPr>
              <w:t>Ending commissions payable</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Borders>
              <w:bottom w:val="single" w:sz="8" w:color="B6B6B6"/>
            </w:tcBorders>
          </w:tcPr>
          <w:p>
            <w:pPr>
              <w:spacing w:after="0"/>
              <w:rPr>
                <w:sz w:val="13"/>
                <w:szCs w:val="13"/>
                <w:color w:val="auto"/>
              </w:rPr>
            </w:pPr>
          </w:p>
        </w:tc>
        <w:tc>
          <w:tcPr>
            <w:tcW w:w="700" w:type="dxa"/>
            <w:vAlign w:val="bottom"/>
            <w:tcBorders>
              <w:bottom w:val="single" w:sz="8" w:color="B6B6B6"/>
            </w:tcBorders>
            <w:gridSpan w:val="2"/>
          </w:tcPr>
          <w:p>
            <w:pPr>
              <w:jc w:val="right"/>
              <w:ind w:right="123"/>
              <w:spacing w:after="0"/>
              <w:rPr>
                <w:sz w:val="20"/>
                <w:szCs w:val="20"/>
                <w:color w:val="auto"/>
              </w:rPr>
            </w:pPr>
            <w:r>
              <w:rPr>
                <w:rFonts w:ascii="Arial" w:cs="Arial" w:eastAsia="Arial" w:hAnsi="Arial"/>
                <w:sz w:val="11"/>
                <w:szCs w:val="11"/>
                <w:color w:val="auto"/>
              </w:rPr>
              <w:t>(296,549)</w:t>
            </w:r>
          </w:p>
        </w:tc>
        <w:tc>
          <w:tcPr>
            <w:tcW w:w="80" w:type="dxa"/>
            <w:vAlign w:val="bottom"/>
          </w:tcPr>
          <w:p>
            <w:pPr>
              <w:spacing w:after="0"/>
              <w:rPr>
                <w:sz w:val="13"/>
                <w:szCs w:val="13"/>
                <w:color w:val="auto"/>
              </w:rPr>
            </w:pPr>
          </w:p>
        </w:tc>
        <w:tc>
          <w:tcPr>
            <w:tcW w:w="5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(329,435)</w:t>
            </w:r>
          </w:p>
        </w:tc>
      </w:tr>
      <w:tr>
        <w:trPr>
          <w:trHeight w:val="150"/>
        </w:trPr>
        <w:tc>
          <w:tcPr>
            <w:tcW w:w="4600" w:type="dxa"/>
            <w:vAlign w:val="bottom"/>
            <w:gridSpan w:val="2"/>
          </w:tcPr>
          <w:p>
            <w:pPr>
              <w:ind w:left="20"/>
              <w:spacing w:after="0"/>
              <w:rPr>
                <w:sz w:val="20"/>
                <w:szCs w:val="20"/>
                <w:color w:val="auto"/>
              </w:rPr>
            </w:pPr>
            <w:r>
              <w:rPr>
                <w:rFonts w:ascii="Arial" w:cs="Arial" w:eastAsia="Arial" w:hAnsi="Arial"/>
                <w:sz w:val="11"/>
                <w:szCs w:val="11"/>
                <w:color w:val="auto"/>
              </w:rPr>
              <w:t>Ending net contract assets</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Borders>
              <w:bottom w:val="single" w:sz="8" w:color="B6B6B6"/>
            </w:tcBorders>
          </w:tcPr>
          <w:p>
            <w:pPr>
              <w:spacing w:after="0"/>
              <w:rPr>
                <w:sz w:val="13"/>
                <w:szCs w:val="13"/>
                <w:color w:val="auto"/>
              </w:rPr>
            </w:pPr>
          </w:p>
        </w:tc>
        <w:tc>
          <w:tcPr>
            <w:tcW w:w="700" w:type="dxa"/>
            <w:vAlign w:val="bottom"/>
            <w:tcBorders>
              <w:bottom w:val="single" w:sz="8" w:color="B6B6B6"/>
            </w:tcBorders>
            <w:gridSpan w:val="2"/>
          </w:tcPr>
          <w:p>
            <w:pPr>
              <w:jc w:val="right"/>
              <w:ind w:right="123"/>
              <w:spacing w:after="0"/>
              <w:rPr>
                <w:sz w:val="20"/>
                <w:szCs w:val="20"/>
                <w:color w:val="auto"/>
              </w:rPr>
            </w:pPr>
            <w:r>
              <w:rPr>
                <w:rFonts w:ascii="Arial" w:cs="Arial" w:eastAsia="Arial" w:hAnsi="Arial"/>
                <w:sz w:val="11"/>
                <w:szCs w:val="11"/>
                <w:color w:val="auto"/>
              </w:rPr>
              <w:t>546,578</w:t>
            </w:r>
          </w:p>
        </w:tc>
        <w:tc>
          <w:tcPr>
            <w:tcW w:w="80" w:type="dxa"/>
            <w:vAlign w:val="bottom"/>
          </w:tcPr>
          <w:p>
            <w:pPr>
              <w:spacing w:after="0"/>
              <w:rPr>
                <w:sz w:val="13"/>
                <w:szCs w:val="13"/>
                <w:color w:val="auto"/>
              </w:rPr>
            </w:pPr>
          </w:p>
        </w:tc>
        <w:tc>
          <w:tcPr>
            <w:tcW w:w="5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607,369</w:t>
            </w:r>
          </w:p>
        </w:tc>
      </w:tr>
      <w:tr>
        <w:trPr>
          <w:trHeight w:val="150"/>
        </w:trPr>
        <w:tc>
          <w:tcPr>
            <w:tcW w:w="4600" w:type="dxa"/>
            <w:vAlign w:val="bottom"/>
            <w:gridSpan w:val="2"/>
          </w:tcPr>
          <w:p>
            <w:pPr>
              <w:ind w:left="20"/>
              <w:spacing w:after="0"/>
              <w:rPr>
                <w:sz w:val="20"/>
                <w:szCs w:val="20"/>
                <w:color w:val="auto"/>
              </w:rPr>
            </w:pPr>
            <w:r>
              <w:rPr>
                <w:rFonts w:ascii="Arial" w:cs="Arial" w:eastAsia="Arial" w:hAnsi="Arial"/>
                <w:sz w:val="11"/>
                <w:szCs w:val="11"/>
                <w:color w:val="auto"/>
              </w:rPr>
              <w:t>(Increase)/decrease in contract assets</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right w:val="single" w:sz="8" w:color="929292"/>
            </w:tcBorders>
          </w:tcPr>
          <w:p>
            <w:pPr>
              <w:spacing w:after="0"/>
              <w:rPr>
                <w:sz w:val="13"/>
                <w:szCs w:val="13"/>
                <w:color w:val="auto"/>
              </w:rPr>
            </w:pPr>
          </w:p>
        </w:tc>
        <w:tc>
          <w:tcPr>
            <w:tcW w:w="900" w:type="dxa"/>
            <w:vAlign w:val="bottom"/>
            <w:tcBorders>
              <w:bottom w:val="single" w:sz="8" w:color="B6B6B6"/>
            </w:tcBorders>
          </w:tcPr>
          <w:p>
            <w:pPr>
              <w:spacing w:after="0"/>
              <w:rPr>
                <w:sz w:val="13"/>
                <w:szCs w:val="13"/>
                <w:color w:val="auto"/>
              </w:rPr>
            </w:pPr>
          </w:p>
        </w:tc>
        <w:tc>
          <w:tcPr>
            <w:tcW w:w="700" w:type="dxa"/>
            <w:vAlign w:val="bottom"/>
            <w:tcBorders>
              <w:bottom w:val="single" w:sz="8" w:color="B6B6B6"/>
            </w:tcBorders>
            <w:gridSpan w:val="2"/>
          </w:tcPr>
          <w:p>
            <w:pPr>
              <w:jc w:val="right"/>
              <w:ind w:right="123"/>
              <w:spacing w:after="0"/>
              <w:rPr>
                <w:sz w:val="20"/>
                <w:szCs w:val="20"/>
                <w:color w:val="auto"/>
              </w:rPr>
            </w:pPr>
            <w:r>
              <w:rPr>
                <w:rFonts w:ascii="Arial" w:cs="Arial" w:eastAsia="Arial" w:hAnsi="Arial"/>
                <w:sz w:val="11"/>
                <w:szCs w:val="11"/>
                <w:color w:val="auto"/>
              </w:rPr>
              <w:t>43,132</w:t>
            </w:r>
          </w:p>
        </w:tc>
        <w:tc>
          <w:tcPr>
            <w:tcW w:w="80" w:type="dxa"/>
            <w:vAlign w:val="bottom"/>
          </w:tcPr>
          <w:p>
            <w:pPr>
              <w:spacing w:after="0"/>
              <w:rPr>
                <w:sz w:val="13"/>
                <w:szCs w:val="13"/>
                <w:color w:val="auto"/>
              </w:rPr>
            </w:pPr>
          </w:p>
        </w:tc>
        <w:tc>
          <w:tcPr>
            <w:tcW w:w="520" w:type="dxa"/>
            <w:vAlign w:val="bottom"/>
            <w:tcBorders>
              <w:bottom w:val="single" w:sz="8" w:color="B6B6B6"/>
            </w:tcBorders>
          </w:tcPr>
          <w:p>
            <w:pPr>
              <w:spacing w:after="0"/>
              <w:rPr>
                <w:sz w:val="13"/>
                <w:szCs w:val="13"/>
                <w:color w:val="auto"/>
              </w:rPr>
            </w:pPr>
          </w:p>
        </w:tc>
        <w:tc>
          <w:tcPr>
            <w:tcW w:w="106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48,923</w:t>
            </w:r>
          </w:p>
        </w:tc>
      </w:tr>
      <w:tr>
        <w:trPr>
          <w:trHeight w:val="193"/>
        </w:trPr>
        <w:tc>
          <w:tcPr>
            <w:tcW w:w="4600" w:type="dxa"/>
            <w:vAlign w:val="bottom"/>
            <w:gridSpan w:val="2"/>
          </w:tcPr>
          <w:p>
            <w:pPr>
              <w:ind w:left="20"/>
              <w:spacing w:after="0"/>
              <w:rPr>
                <w:sz w:val="20"/>
                <w:szCs w:val="20"/>
                <w:color w:val="auto"/>
              </w:rPr>
            </w:pPr>
            <w:r>
              <w:rPr>
                <w:rFonts w:ascii="Arial" w:cs="Arial" w:eastAsia="Arial" w:hAnsi="Arial"/>
                <w:sz w:val="11"/>
                <w:szCs w:val="11"/>
                <w:color w:val="auto"/>
              </w:rPr>
              <w:t>Cash Adjusted EBITDA</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929292"/>
            </w:tcBorders>
          </w:tcPr>
          <w:p>
            <w:pPr>
              <w:spacing w:after="0"/>
              <w:rPr>
                <w:sz w:val="16"/>
                <w:szCs w:val="16"/>
                <w:color w:val="auto"/>
              </w:rPr>
            </w:pPr>
          </w:p>
        </w:tc>
        <w:tc>
          <w:tcPr>
            <w:tcW w:w="900" w:type="dxa"/>
            <w:vAlign w:val="bottom"/>
            <w:tcBorders>
              <w:bottom w:val="single" w:sz="8" w:color="B6B6B6"/>
            </w:tcBorders>
          </w:tcPr>
          <w:p>
            <w:pPr>
              <w:jc w:val="right"/>
              <w:ind w:right="76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B6B6B6"/>
            </w:tcBorders>
            <w:gridSpan w:val="2"/>
          </w:tcPr>
          <w:p>
            <w:pPr>
              <w:jc w:val="right"/>
              <w:ind w:right="123"/>
              <w:spacing w:after="0"/>
              <w:rPr>
                <w:sz w:val="20"/>
                <w:szCs w:val="20"/>
                <w:color w:val="auto"/>
              </w:rPr>
            </w:pPr>
            <w:r>
              <w:rPr>
                <w:rFonts w:ascii="Arial" w:cs="Arial" w:eastAsia="Arial" w:hAnsi="Arial"/>
                <w:sz w:val="11"/>
                <w:szCs w:val="11"/>
                <w:color w:val="auto"/>
              </w:rPr>
              <w:t>70,026</w:t>
            </w:r>
          </w:p>
        </w:tc>
        <w:tc>
          <w:tcPr>
            <w:tcW w:w="80" w:type="dxa"/>
            <w:vAlign w:val="bottom"/>
          </w:tcPr>
          <w:p>
            <w:pPr>
              <w:spacing w:after="0"/>
              <w:rPr>
                <w:sz w:val="16"/>
                <w:szCs w:val="16"/>
                <w:color w:val="auto"/>
              </w:rPr>
            </w:pPr>
          </w:p>
        </w:tc>
        <w:tc>
          <w:tcPr>
            <w:tcW w:w="520" w:type="dxa"/>
            <w:vAlign w:val="bottom"/>
            <w:tcBorders>
              <w:bottom w:val="single" w:sz="8" w:color="B6B6B6"/>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77,701</w:t>
            </w:r>
          </w:p>
        </w:tc>
      </w:tr>
      <w:tr>
        <w:trPr>
          <w:trHeight w:val="251"/>
        </w:trPr>
        <w:tc>
          <w:tcPr>
            <w:tcW w:w="4360" w:type="dxa"/>
            <w:vAlign w:val="bottom"/>
            <w:tcBorders>
              <w:bottom w:val="single" w:sz="8" w:color="929292"/>
            </w:tcBorders>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929292"/>
            </w:tcBorders>
          </w:tcPr>
          <w:p>
            <w:pPr>
              <w:spacing w:after="0"/>
              <w:rPr>
                <w:sz w:val="21"/>
                <w:szCs w:val="21"/>
                <w:color w:val="auto"/>
              </w:rPr>
            </w:pPr>
          </w:p>
        </w:tc>
        <w:tc>
          <w:tcPr>
            <w:tcW w:w="1660" w:type="dxa"/>
            <w:vAlign w:val="bottom"/>
            <w:tcBorders>
              <w:bottom w:val="single" w:sz="8" w:color="929292"/>
            </w:tcBorders>
            <w:gridSpan w:val="3"/>
          </w:tcPr>
          <w:p>
            <w:pPr>
              <w:spacing w:after="0"/>
              <w:rPr>
                <w:sz w:val="21"/>
                <w:szCs w:val="21"/>
                <w:color w:val="auto"/>
              </w:rPr>
            </w:pPr>
          </w:p>
        </w:tc>
      </w:tr>
      <w:tr>
        <w:trPr>
          <w:trHeight w:val="143"/>
        </w:trPr>
        <w:tc>
          <w:tcPr>
            <w:tcW w:w="4360" w:type="dxa"/>
            <w:vAlign w:val="bottom"/>
            <w:tcBorders>
              <w:left w:val="single" w:sz="8" w:color="929292"/>
              <w:right w:val="single" w:sz="8" w:color="929292"/>
            </w:tcBorders>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3"/>
          </w:tcPr>
          <w:p>
            <w:pPr>
              <w:jc w:val="right"/>
              <w:ind w:right="363"/>
              <w:spacing w:after="0"/>
              <w:rPr>
                <w:sz w:val="20"/>
                <w:szCs w:val="20"/>
                <w:color w:val="auto"/>
              </w:rPr>
            </w:pPr>
            <w:r>
              <w:rPr>
                <w:rFonts w:ascii="Arial" w:cs="Arial" w:eastAsia="Arial" w:hAnsi="Arial"/>
                <w:sz w:val="11"/>
                <w:szCs w:val="11"/>
                <w:color w:val="auto"/>
              </w:rPr>
              <w:t>Three months ended Mar. 31,</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shd w:val="clear" w:color="auto" w:fill="929292"/>
          </w:tcPr>
          <w:p>
            <w:pPr>
              <w:spacing w:after="0"/>
              <w:rPr>
                <w:sz w:val="12"/>
                <w:szCs w:val="12"/>
                <w:color w:val="auto"/>
              </w:rPr>
            </w:pPr>
          </w:p>
        </w:tc>
        <w:tc>
          <w:tcPr>
            <w:tcW w:w="1660" w:type="dxa"/>
            <w:vAlign w:val="bottom"/>
            <w:gridSpan w:val="3"/>
            <w:shd w:val="clear" w:color="auto" w:fill="929292"/>
          </w:tcPr>
          <w:p>
            <w:pPr>
              <w:jc w:val="right"/>
              <w:ind w:right="603"/>
              <w:spacing w:after="0"/>
              <w:rPr>
                <w:sz w:val="20"/>
                <w:szCs w:val="20"/>
                <w:color w:val="auto"/>
              </w:rPr>
            </w:pPr>
            <w:r>
              <w:rPr>
                <w:rFonts w:ascii="Arial" w:cs="Arial" w:eastAsia="Arial" w:hAnsi="Arial"/>
                <w:sz w:val="11"/>
                <w:szCs w:val="11"/>
                <w:color w:val="FFFFFF"/>
              </w:rPr>
              <w:t>% of Net Revenues</w:t>
            </w:r>
          </w:p>
        </w:tc>
      </w:tr>
      <w:tr>
        <w:trPr>
          <w:trHeight w:val="176"/>
        </w:trPr>
        <w:tc>
          <w:tcPr>
            <w:tcW w:w="4360" w:type="dxa"/>
            <w:vAlign w:val="bottom"/>
            <w:tcBorders>
              <w:left w:val="single" w:sz="8" w:color="929292"/>
              <w:right w:val="single" w:sz="8" w:color="929292"/>
            </w:tcBorders>
          </w:tcPr>
          <w:p>
            <w:pPr>
              <w:ind w:left="1540"/>
              <w:spacing w:after="0"/>
              <w:rPr>
                <w:sz w:val="20"/>
                <w:szCs w:val="20"/>
                <w:color w:val="auto"/>
              </w:rPr>
            </w:pPr>
            <w:r>
              <w:rPr>
                <w:rFonts w:ascii="Arial" w:cs="Arial" w:eastAsia="Arial" w:hAnsi="Arial"/>
                <w:sz w:val="11"/>
                <w:szCs w:val="11"/>
                <w:b w:val="1"/>
                <w:bCs w:val="1"/>
                <w:color w:val="00497F"/>
              </w:rPr>
              <w:t>Cash Adjusted EBITDA</w:t>
            </w:r>
          </w:p>
        </w:tc>
        <w:tc>
          <w:tcPr>
            <w:tcW w:w="240" w:type="dxa"/>
            <w:vAlign w:val="bottom"/>
            <w:tcBorders>
              <w:bottom w:val="single" w:sz="8" w:color="929292"/>
            </w:tcBorders>
          </w:tcPr>
          <w:p>
            <w:pPr>
              <w:spacing w:after="0"/>
              <w:rPr>
                <w:sz w:val="15"/>
                <w:szCs w:val="15"/>
                <w:color w:val="auto"/>
              </w:rPr>
            </w:pPr>
          </w:p>
        </w:tc>
        <w:tc>
          <w:tcPr>
            <w:tcW w:w="1000" w:type="dxa"/>
            <w:vAlign w:val="bottom"/>
            <w:tcBorders>
              <w:bottom w:val="single" w:sz="8" w:color="929292"/>
            </w:tcBorders>
          </w:tcPr>
          <w:p>
            <w:pPr>
              <w:jc w:val="right"/>
              <w:ind w:right="443"/>
              <w:spacing w:after="0"/>
              <w:rPr>
                <w:sz w:val="20"/>
                <w:szCs w:val="20"/>
                <w:color w:val="auto"/>
              </w:rPr>
            </w:pPr>
            <w:r>
              <w:rPr>
                <w:rFonts w:ascii="Arial" w:cs="Arial" w:eastAsia="Arial" w:hAnsi="Arial"/>
                <w:sz w:val="11"/>
                <w:szCs w:val="11"/>
                <w:color w:val="auto"/>
              </w:rPr>
              <w:t>2024</w:t>
            </w:r>
          </w:p>
        </w:tc>
        <w:tc>
          <w:tcPr>
            <w:tcW w:w="280" w:type="dxa"/>
            <w:vAlign w:val="bottom"/>
            <w:tcBorders>
              <w:bottom w:val="single" w:sz="8" w:color="929292"/>
            </w:tcBorders>
          </w:tcPr>
          <w:p>
            <w:pPr>
              <w:spacing w:after="0"/>
              <w:rPr>
                <w:sz w:val="15"/>
                <w:szCs w:val="15"/>
                <w:color w:val="auto"/>
              </w:rPr>
            </w:pPr>
          </w:p>
        </w:tc>
        <w:tc>
          <w:tcPr>
            <w:tcW w:w="800" w:type="dxa"/>
            <w:vAlign w:val="bottom"/>
            <w:tcBorders>
              <w:bottom w:val="single" w:sz="8" w:color="929292"/>
            </w:tcBorders>
          </w:tcPr>
          <w:p>
            <w:pPr>
              <w:jc w:val="right"/>
              <w:ind w:right="343"/>
              <w:spacing w:after="0"/>
              <w:rPr>
                <w:sz w:val="20"/>
                <w:szCs w:val="20"/>
                <w:color w:val="auto"/>
              </w:rPr>
            </w:pPr>
            <w:r>
              <w:rPr>
                <w:rFonts w:ascii="Arial" w:cs="Arial" w:eastAsia="Arial" w:hAnsi="Arial"/>
                <w:sz w:val="11"/>
                <w:szCs w:val="11"/>
                <w:color w:val="auto"/>
              </w:rPr>
              <w:t>2023</w:t>
            </w:r>
          </w:p>
        </w:tc>
        <w:tc>
          <w:tcPr>
            <w:tcW w:w="22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tcPr>
          <w:p>
            <w:pPr>
              <w:jc w:val="right"/>
              <w:ind w:right="463"/>
              <w:spacing w:after="0"/>
              <w:rPr>
                <w:sz w:val="20"/>
                <w:szCs w:val="20"/>
                <w:color w:val="auto"/>
              </w:rPr>
            </w:pPr>
            <w:r>
              <w:rPr>
                <w:rFonts w:ascii="Arial" w:cs="Arial" w:eastAsia="Arial" w:hAnsi="Arial"/>
                <w:sz w:val="11"/>
                <w:szCs w:val="11"/>
                <w:color w:val="auto"/>
              </w:rPr>
              <w:t>$ Change</w:t>
            </w:r>
          </w:p>
        </w:tc>
        <w:tc>
          <w:tcPr>
            <w:tcW w:w="900" w:type="dxa"/>
            <w:vAlign w:val="bottom"/>
            <w:tcBorders>
              <w:bottom w:val="single" w:sz="8" w:color="929292"/>
            </w:tcBorders>
          </w:tcPr>
          <w:p>
            <w:pPr>
              <w:jc w:val="right"/>
              <w:ind w:right="223"/>
              <w:spacing w:after="0"/>
              <w:rPr>
                <w:sz w:val="20"/>
                <w:szCs w:val="20"/>
                <w:color w:val="auto"/>
              </w:rPr>
            </w:pPr>
            <w:r>
              <w:rPr>
                <w:rFonts w:ascii="Arial" w:cs="Arial" w:eastAsia="Arial" w:hAnsi="Arial"/>
                <w:sz w:val="11"/>
                <w:szCs w:val="11"/>
                <w:color w:val="auto"/>
              </w:rPr>
              <w:t>% Change</w:t>
            </w:r>
          </w:p>
        </w:tc>
        <w:tc>
          <w:tcPr>
            <w:tcW w:w="80" w:type="dxa"/>
            <w:vAlign w:val="bottom"/>
          </w:tcPr>
          <w:p>
            <w:pPr>
              <w:spacing w:after="0"/>
              <w:rPr>
                <w:sz w:val="15"/>
                <w:szCs w:val="15"/>
                <w:color w:val="auto"/>
              </w:rPr>
            </w:pPr>
          </w:p>
        </w:tc>
        <w:tc>
          <w:tcPr>
            <w:tcW w:w="700" w:type="dxa"/>
            <w:vAlign w:val="bottom"/>
            <w:tcBorders>
              <w:bottom w:val="single" w:sz="8" w:color="929292"/>
            </w:tcBorders>
            <w:gridSpan w:val="2"/>
            <w:shd w:val="clear" w:color="auto" w:fill="929292"/>
          </w:tcPr>
          <w:p>
            <w:pPr>
              <w:jc w:val="right"/>
              <w:spacing w:after="0"/>
              <w:rPr>
                <w:sz w:val="20"/>
                <w:szCs w:val="20"/>
                <w:color w:val="auto"/>
              </w:rPr>
            </w:pPr>
            <w:r>
              <w:rPr>
                <w:rFonts w:ascii="Arial" w:cs="Arial" w:eastAsia="Arial" w:hAnsi="Arial"/>
                <w:sz w:val="11"/>
                <w:szCs w:val="11"/>
                <w:color w:val="FFFFFF"/>
              </w:rPr>
              <w:t>2024</w:t>
            </w:r>
          </w:p>
        </w:tc>
        <w:tc>
          <w:tcPr>
            <w:tcW w:w="520" w:type="dxa"/>
            <w:vAlign w:val="bottom"/>
            <w:tcBorders>
              <w:bottom w:val="single" w:sz="8" w:color="929292"/>
            </w:tcBorders>
            <w:shd w:val="clear" w:color="auto" w:fill="929292"/>
          </w:tcPr>
          <w:p>
            <w:pPr>
              <w:spacing w:after="0"/>
              <w:rPr>
                <w:sz w:val="15"/>
                <w:szCs w:val="15"/>
                <w:color w:val="auto"/>
              </w:rPr>
            </w:pPr>
          </w:p>
        </w:tc>
        <w:tc>
          <w:tcPr>
            <w:tcW w:w="1060" w:type="dxa"/>
            <w:vAlign w:val="bottom"/>
            <w:tcBorders>
              <w:bottom w:val="single" w:sz="8" w:color="929292"/>
            </w:tcBorders>
            <w:shd w:val="clear" w:color="auto" w:fill="929292"/>
          </w:tcPr>
          <w:p>
            <w:pPr>
              <w:jc w:val="right"/>
              <w:ind w:right="363"/>
              <w:spacing w:after="0"/>
              <w:rPr>
                <w:sz w:val="20"/>
                <w:szCs w:val="20"/>
                <w:color w:val="auto"/>
              </w:rPr>
            </w:pPr>
            <w:r>
              <w:rPr>
                <w:rFonts w:ascii="Arial" w:cs="Arial" w:eastAsia="Arial" w:hAnsi="Arial"/>
                <w:sz w:val="11"/>
                <w:szCs w:val="11"/>
                <w:color w:val="FFFFFF"/>
              </w:rPr>
              <w:t>2023</w:t>
            </w:r>
          </w:p>
        </w:tc>
      </w:tr>
      <w:tr>
        <w:trPr>
          <w:trHeight w:val="147"/>
        </w:trPr>
        <w:tc>
          <w:tcPr>
            <w:tcW w:w="4360" w:type="dxa"/>
            <w:vAlign w:val="bottom"/>
            <w:tcBorders>
              <w:left w:val="single" w:sz="8" w:color="929292"/>
              <w:bottom w:val="single" w:sz="8" w:color="929292"/>
              <w:right w:val="single" w:sz="8" w:color="929292"/>
            </w:tcBorders>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70,026</w:t>
            </w:r>
          </w:p>
        </w:tc>
        <w:tc>
          <w:tcPr>
            <w:tcW w:w="2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77,701</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43"/>
              <w:spacing w:after="0"/>
              <w:rPr>
                <w:sz w:val="20"/>
                <w:szCs w:val="20"/>
                <w:color w:val="auto"/>
              </w:rPr>
            </w:pPr>
            <w:r>
              <w:rPr>
                <w:rFonts w:ascii="Arial" w:cs="Arial" w:eastAsia="Arial" w:hAnsi="Arial"/>
                <w:sz w:val="11"/>
                <w:szCs w:val="11"/>
                <w:color w:val="auto"/>
              </w:rPr>
              <w:t>(7,675)</w:t>
            </w:r>
          </w:p>
        </w:tc>
        <w:tc>
          <w:tcPr>
            <w:tcW w:w="900" w:type="dxa"/>
            <w:vAlign w:val="bottom"/>
          </w:tcPr>
          <w:p>
            <w:pPr>
              <w:jc w:val="right"/>
              <w:spacing w:after="0"/>
              <w:rPr>
                <w:sz w:val="20"/>
                <w:szCs w:val="20"/>
                <w:color w:val="auto"/>
              </w:rPr>
            </w:pPr>
            <w:r>
              <w:rPr>
                <w:rFonts w:ascii="Arial" w:cs="Arial" w:eastAsia="Arial" w:hAnsi="Arial"/>
                <w:sz w:val="11"/>
                <w:szCs w:val="11"/>
                <w:color w:val="auto"/>
              </w:rPr>
              <w:t>9.9 %</w:t>
            </w:r>
          </w:p>
        </w:tc>
        <w:tc>
          <w:tcPr>
            <w:tcW w:w="80" w:type="dxa"/>
            <w:vAlign w:val="bottom"/>
          </w:tcPr>
          <w:p>
            <w:pPr>
              <w:spacing w:after="0"/>
              <w:rPr>
                <w:sz w:val="12"/>
                <w:szCs w:val="12"/>
                <w:color w:val="auto"/>
              </w:rPr>
            </w:pPr>
          </w:p>
        </w:tc>
        <w:tc>
          <w:tcPr>
            <w:tcW w:w="620" w:type="dxa"/>
            <w:vAlign w:val="bottom"/>
            <w:shd w:val="clear" w:color="auto" w:fill="929292"/>
          </w:tcPr>
          <w:p>
            <w:pPr>
              <w:spacing w:after="0"/>
              <w:rPr>
                <w:sz w:val="12"/>
                <w:szCs w:val="12"/>
                <w:color w:val="auto"/>
              </w:rPr>
            </w:pPr>
          </w:p>
        </w:tc>
        <w:tc>
          <w:tcPr>
            <w:tcW w:w="600" w:type="dxa"/>
            <w:vAlign w:val="bottom"/>
            <w:gridSpan w:val="2"/>
            <w:shd w:val="clear" w:color="auto" w:fill="929292"/>
          </w:tcPr>
          <w:p>
            <w:pPr>
              <w:jc w:val="right"/>
              <w:ind w:right="69"/>
              <w:spacing w:after="0"/>
              <w:rPr>
                <w:sz w:val="20"/>
                <w:szCs w:val="20"/>
                <w:color w:val="auto"/>
              </w:rPr>
            </w:pPr>
            <w:r>
              <w:rPr>
                <w:rFonts w:ascii="Arial" w:cs="Arial" w:eastAsia="Arial" w:hAnsi="Arial"/>
                <w:sz w:val="11"/>
                <w:szCs w:val="11"/>
                <w:color w:val="FFFFFF"/>
              </w:rPr>
              <w:t>37.7 %</w:t>
            </w:r>
          </w:p>
        </w:tc>
        <w:tc>
          <w:tcPr>
            <w:tcW w:w="1060" w:type="dxa"/>
            <w:vAlign w:val="bottom"/>
            <w:shd w:val="clear" w:color="auto" w:fill="929292"/>
          </w:tcPr>
          <w:p>
            <w:pPr>
              <w:jc w:val="right"/>
              <w:spacing w:after="0"/>
              <w:rPr>
                <w:sz w:val="20"/>
                <w:szCs w:val="20"/>
                <w:color w:val="auto"/>
              </w:rPr>
            </w:pPr>
            <w:r>
              <w:rPr>
                <w:rFonts w:ascii="Arial" w:cs="Arial" w:eastAsia="Arial" w:hAnsi="Arial"/>
                <w:sz w:val="11"/>
                <w:szCs w:val="11"/>
                <w:color w:val="FFFFFF"/>
              </w:rPr>
              <w:t>42.4 %</w:t>
            </w:r>
          </w:p>
        </w:tc>
      </w:tr>
    </w:tbl>
    <w:p>
      <w:pPr>
        <w:spacing w:after="0" w:line="223"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Cash Adjusted EBITDA decreased compared to the prior year period because of a decrease in Adjusted EBITDA, as described above, and a decrease in cash collected from our net contract assets as we continue to earn more non-agency revenue relative to agency revenue.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4"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 except for EBITDA, Adjusted EBITDA and Cash Adjusted EBITDA which are discussed above.</w:t>
      </w:r>
    </w:p>
    <w:p>
      <w:pPr>
        <w:spacing w:after="0" w:line="40" w:lineRule="exact"/>
        <w:rPr>
          <w:sz w:val="20"/>
          <w:szCs w:val="20"/>
          <w:color w:val="auto"/>
        </w:rPr>
      </w:pPr>
    </w:p>
    <w:p>
      <w:pPr>
        <w:ind w:right="400"/>
        <w:spacing w:after="0" w:line="266" w:lineRule="auto"/>
        <w:rPr>
          <w:sz w:val="20"/>
          <w:szCs w:val="20"/>
          <w:color w:val="auto"/>
        </w:rPr>
      </w:pPr>
      <w:r>
        <w:rPr>
          <w:rFonts w:ascii="Arial" w:cs="Arial" w:eastAsia="Arial" w:hAnsi="Arial"/>
          <w:sz w:val="13"/>
          <w:szCs w:val="13"/>
          <w:color w:val="auto"/>
        </w:rPr>
        <w:t>The following tables set forth the reconciliations of Medicare Revenue per Submission, Operating Expense per Submission, and Gross Margin per Submission to Sales per Submission, Cost Per Submission, and Adjusted Gross Margin per Submission for the periods indicated (unaudited):</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822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420" w:type="dxa"/>
            <w:vAlign w:val="bottom"/>
            <w:gridSpan w:val="4"/>
          </w:tcPr>
          <w:p>
            <w:pPr>
              <w:jc w:val="right"/>
              <w:ind w:right="128"/>
              <w:spacing w:after="0"/>
              <w:rPr>
                <w:sz w:val="20"/>
                <w:szCs w:val="20"/>
                <w:color w:val="auto"/>
              </w:rPr>
            </w:pPr>
            <w:r>
              <w:rPr>
                <w:rFonts w:ascii="Arial" w:cs="Arial" w:eastAsia="Arial" w:hAnsi="Arial"/>
                <w:sz w:val="11"/>
                <w:szCs w:val="11"/>
                <w:b w:val="1"/>
                <w:bCs w:val="1"/>
                <w:color w:val="auto"/>
              </w:rPr>
              <w:t>Three months ended Mar. 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220" w:type="dxa"/>
            <w:vAlign w:val="bottom"/>
          </w:tcPr>
          <w:p>
            <w:pPr>
              <w:spacing w:after="0"/>
              <w:rPr>
                <w:sz w:val="13"/>
                <w:szCs w:val="13"/>
                <w:color w:val="auto"/>
              </w:rPr>
            </w:pPr>
          </w:p>
        </w:tc>
        <w:tc>
          <w:tcPr>
            <w:tcW w:w="100" w:type="dxa"/>
            <w:vAlign w:val="bottom"/>
            <w:tcBorders>
              <w:bottom w:val="single" w:sz="8" w:color="929292"/>
            </w:tcBorders>
            <w:shd w:val="clear" w:color="auto" w:fill="929292"/>
          </w:tcPr>
          <w:p>
            <w:pPr>
              <w:spacing w:after="0"/>
              <w:rPr>
                <w:sz w:val="13"/>
                <w:szCs w:val="13"/>
                <w:color w:val="auto"/>
              </w:rPr>
            </w:pPr>
          </w:p>
        </w:tc>
        <w:tc>
          <w:tcPr>
            <w:tcW w:w="9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B6B6B6"/>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220" w:type="dxa"/>
            <w:vAlign w:val="bottom"/>
          </w:tcPr>
          <w:p>
            <w:pPr>
              <w:spacing w:after="0"/>
              <w:rPr>
                <w:sz w:val="20"/>
                <w:szCs w:val="20"/>
                <w:color w:val="auto"/>
              </w:rPr>
            </w:pPr>
            <w:r>
              <w:rPr>
                <w:rFonts w:ascii="Arial" w:cs="Arial" w:eastAsia="Arial" w:hAnsi="Arial"/>
                <w:sz w:val="11"/>
                <w:szCs w:val="11"/>
                <w:b w:val="1"/>
                <w:bCs w:val="1"/>
                <w:color w:val="auto"/>
              </w:rPr>
              <w:t>Sales per Submission</w:t>
            </w:r>
          </w:p>
        </w:tc>
        <w:tc>
          <w:tcPr>
            <w:tcW w:w="100" w:type="dxa"/>
            <w:vAlign w:val="bottom"/>
            <w:shd w:val="clear" w:color="auto" w:fill="929292"/>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20" w:type="dxa"/>
            <w:vAlign w:val="bottom"/>
          </w:tcPr>
          <w:p>
            <w:pPr>
              <w:ind w:left="80"/>
              <w:spacing w:after="0"/>
              <w:rPr>
                <w:sz w:val="20"/>
                <w:szCs w:val="20"/>
                <w:color w:val="auto"/>
              </w:rPr>
            </w:pPr>
            <w:r>
              <w:rPr>
                <w:rFonts w:ascii="Arial" w:cs="Arial" w:eastAsia="Arial" w:hAnsi="Arial"/>
                <w:sz w:val="11"/>
                <w:szCs w:val="11"/>
                <w:color w:val="auto"/>
              </w:rPr>
              <w:t>Medicare Revenue per Submission</w:t>
            </w:r>
          </w:p>
        </w:tc>
        <w:tc>
          <w:tcPr>
            <w:tcW w:w="100" w:type="dxa"/>
            <w:vAlign w:val="bottom"/>
            <w:tcBorders>
              <w:bottom w:val="single" w:sz="8" w:color="929292"/>
            </w:tcBorders>
            <w:shd w:val="clear" w:color="auto" w:fill="929292"/>
          </w:tcPr>
          <w:p>
            <w:pPr>
              <w:spacing w:after="0"/>
              <w:rPr>
                <w:sz w:val="13"/>
                <w:szCs w:val="13"/>
                <w:color w:val="auto"/>
              </w:rPr>
            </w:pPr>
          </w:p>
        </w:tc>
        <w:tc>
          <w:tcPr>
            <w:tcW w:w="900" w:type="dxa"/>
            <w:vAlign w:val="bottom"/>
            <w:tcBorders>
              <w:bottom w:val="single" w:sz="8" w:color="B6B6B6"/>
            </w:tcBorders>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856</w:t>
            </w:r>
          </w:p>
        </w:tc>
        <w:tc>
          <w:tcPr>
            <w:tcW w:w="100" w:type="dxa"/>
            <w:vAlign w:val="bottom"/>
          </w:tcPr>
          <w:p>
            <w:pPr>
              <w:spacing w:after="0"/>
              <w:rPr>
                <w:sz w:val="13"/>
                <w:szCs w:val="13"/>
                <w:color w:val="auto"/>
              </w:rPr>
            </w:pPr>
          </w:p>
        </w:tc>
        <w:tc>
          <w:tcPr>
            <w:tcW w:w="900" w:type="dxa"/>
            <w:vAlign w:val="bottom"/>
            <w:tcBorders>
              <w:bottom w:val="single" w:sz="8" w:color="B6B6B6"/>
            </w:tcBorders>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794</w:t>
            </w:r>
          </w:p>
        </w:tc>
        <w:tc>
          <w:tcPr>
            <w:tcW w:w="0" w:type="dxa"/>
            <w:vAlign w:val="bottom"/>
          </w:tcPr>
          <w:p>
            <w:pPr>
              <w:spacing w:after="0"/>
              <w:rPr>
                <w:sz w:val="1"/>
                <w:szCs w:val="1"/>
                <w:color w:val="auto"/>
              </w:rPr>
            </w:pPr>
          </w:p>
        </w:tc>
      </w:tr>
      <w:tr>
        <w:trPr>
          <w:trHeight w:val="153"/>
        </w:trPr>
        <w:tc>
          <w:tcPr>
            <w:tcW w:w="8220" w:type="dxa"/>
            <w:vAlign w:val="bottom"/>
          </w:tcPr>
          <w:p>
            <w:pPr>
              <w:spacing w:after="0"/>
              <w:rPr>
                <w:sz w:val="20"/>
                <w:szCs w:val="20"/>
                <w:color w:val="auto"/>
              </w:rPr>
            </w:pPr>
            <w:r>
              <w:rPr>
                <w:rFonts w:ascii="Arial" w:cs="Arial" w:eastAsia="Arial" w:hAnsi="Arial"/>
                <w:sz w:val="11"/>
                <w:szCs w:val="11"/>
                <w:color w:val="auto"/>
              </w:rPr>
              <w:t>Sales per Submission</w:t>
            </w:r>
          </w:p>
        </w:tc>
        <w:tc>
          <w:tcPr>
            <w:tcW w:w="100" w:type="dxa"/>
            <w:vAlign w:val="bottom"/>
            <w:tcBorders>
              <w:bottom w:val="single" w:sz="8" w:color="929292"/>
            </w:tcBorders>
            <w:shd w:val="clear" w:color="auto" w:fill="929292"/>
          </w:tcPr>
          <w:p>
            <w:pPr>
              <w:spacing w:after="0"/>
              <w:rPr>
                <w:sz w:val="13"/>
                <w:szCs w:val="13"/>
                <w:color w:val="auto"/>
              </w:rPr>
            </w:pPr>
          </w:p>
        </w:tc>
        <w:tc>
          <w:tcPr>
            <w:tcW w:w="900" w:type="dxa"/>
            <w:vAlign w:val="bottom"/>
            <w:tcBorders>
              <w:bottom w:val="single" w:sz="8" w:color="B6B6B6"/>
            </w:tcBorders>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856</w:t>
            </w:r>
          </w:p>
        </w:tc>
        <w:tc>
          <w:tcPr>
            <w:tcW w:w="100" w:type="dxa"/>
            <w:vAlign w:val="bottom"/>
          </w:tcPr>
          <w:p>
            <w:pPr>
              <w:spacing w:after="0"/>
              <w:rPr>
                <w:sz w:val="13"/>
                <w:szCs w:val="13"/>
                <w:color w:val="auto"/>
              </w:rPr>
            </w:pPr>
          </w:p>
        </w:tc>
        <w:tc>
          <w:tcPr>
            <w:tcW w:w="900" w:type="dxa"/>
            <w:vAlign w:val="bottom"/>
            <w:tcBorders>
              <w:bottom w:val="single" w:sz="8" w:color="B6B6B6"/>
            </w:tcBorders>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794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1"/>
                <w:szCs w:val="11"/>
                <w:b w:val="1"/>
                <w:bCs w:val="1"/>
                <w:color w:val="auto"/>
              </w:rPr>
              <w:t>Cost per Submission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220" w:type="dxa"/>
            <w:vAlign w:val="bottom"/>
            <w:vMerge w:val="continue"/>
          </w:tcPr>
          <w:p>
            <w:pPr>
              <w:spacing w:after="0"/>
              <w:rPr>
                <w:sz w:val="21"/>
                <w:szCs w:val="21"/>
                <w:color w:val="auto"/>
              </w:rPr>
            </w:pPr>
          </w:p>
        </w:tc>
        <w:tc>
          <w:tcPr>
            <w:tcW w:w="100" w:type="dxa"/>
            <w:vAlign w:val="bottom"/>
            <w:shd w:val="clear" w:color="auto" w:fill="929292"/>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8220" w:type="dxa"/>
            <w:vAlign w:val="bottom"/>
          </w:tcPr>
          <w:p>
            <w:pPr>
              <w:ind w:left="80"/>
              <w:spacing w:after="0"/>
              <w:rPr>
                <w:sz w:val="20"/>
                <w:szCs w:val="20"/>
                <w:color w:val="auto"/>
              </w:rPr>
            </w:pPr>
            <w:r>
              <w:rPr>
                <w:rFonts w:ascii="Arial" w:cs="Arial" w:eastAsia="Arial" w:hAnsi="Arial"/>
                <w:sz w:val="11"/>
                <w:szCs w:val="11"/>
                <w:color w:val="auto"/>
              </w:rPr>
              <w:t>Operating Expense per Submission</w:t>
            </w:r>
          </w:p>
        </w:tc>
        <w:tc>
          <w:tcPr>
            <w:tcW w:w="100" w:type="dxa"/>
            <w:vAlign w:val="bottom"/>
            <w:shd w:val="clear" w:color="auto" w:fill="929292"/>
          </w:tcPr>
          <w:p>
            <w:pPr>
              <w:spacing w:after="0"/>
              <w:rPr>
                <w:sz w:val="13"/>
                <w:szCs w:val="13"/>
                <w:color w:val="auto"/>
              </w:rPr>
            </w:pP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877</w:t>
            </w:r>
          </w:p>
        </w:tc>
        <w:tc>
          <w:tcPr>
            <w:tcW w:w="100" w:type="dxa"/>
            <w:vAlign w:val="bottom"/>
          </w:tcPr>
          <w:p>
            <w:pPr>
              <w:spacing w:after="0"/>
              <w:rPr>
                <w:sz w:val="13"/>
                <w:szCs w:val="13"/>
                <w:color w:val="auto"/>
              </w:rPr>
            </w:pP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884</w:t>
            </w:r>
          </w:p>
        </w:tc>
        <w:tc>
          <w:tcPr>
            <w:tcW w:w="0" w:type="dxa"/>
            <w:vAlign w:val="bottom"/>
          </w:tcPr>
          <w:p>
            <w:pPr>
              <w:spacing w:after="0"/>
              <w:rPr>
                <w:sz w:val="1"/>
                <w:szCs w:val="1"/>
                <w:color w:val="auto"/>
              </w:rPr>
            </w:pPr>
          </w:p>
        </w:tc>
      </w:tr>
      <w:tr>
        <w:trPr>
          <w:trHeight w:val="170"/>
        </w:trPr>
        <w:tc>
          <w:tcPr>
            <w:tcW w:w="8220" w:type="dxa"/>
            <w:vAlign w:val="bottom"/>
          </w:tcPr>
          <w:p>
            <w:pPr>
              <w:ind w:left="80"/>
              <w:spacing w:after="0"/>
              <w:rPr>
                <w:sz w:val="20"/>
                <w:szCs w:val="20"/>
                <w:color w:val="auto"/>
              </w:rPr>
            </w:pPr>
            <w:r>
              <w:rPr>
                <w:rFonts w:ascii="Arial" w:cs="Arial" w:eastAsia="Arial" w:hAnsi="Arial"/>
                <w:sz w:val="11"/>
                <w:szCs w:val="11"/>
                <w:color w:val="auto"/>
              </w:rPr>
              <w:t>Indirect operating expenses</w:t>
            </w:r>
            <w:r>
              <w:rPr>
                <w:rFonts w:ascii="Arial" w:cs="Arial" w:eastAsia="Arial" w:hAnsi="Arial"/>
                <w:sz w:val="14"/>
                <w:szCs w:val="14"/>
                <w:color w:val="auto"/>
                <w:vertAlign w:val="superscript"/>
              </w:rPr>
              <w:t>(1)</w:t>
            </w:r>
          </w:p>
        </w:tc>
        <w:tc>
          <w:tcPr>
            <w:tcW w:w="100" w:type="dxa"/>
            <w:vAlign w:val="bottom"/>
            <w:shd w:val="clear" w:color="auto" w:fill="929292"/>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(261)</w:t>
            </w:r>
          </w:p>
        </w:tc>
        <w:tc>
          <w:tcPr>
            <w:tcW w:w="0" w:type="dxa"/>
            <w:vAlign w:val="bottom"/>
          </w:tcPr>
          <w:p>
            <w:pPr>
              <w:spacing w:after="0"/>
              <w:rPr>
                <w:sz w:val="1"/>
                <w:szCs w:val="1"/>
                <w:color w:val="auto"/>
              </w:rPr>
            </w:pPr>
          </w:p>
        </w:tc>
      </w:tr>
      <w:tr>
        <w:trPr>
          <w:trHeight w:val="148"/>
        </w:trPr>
        <w:tc>
          <w:tcPr>
            <w:tcW w:w="8220" w:type="dxa"/>
            <w:vAlign w:val="bottom"/>
          </w:tcPr>
          <w:p>
            <w:pPr>
              <w:ind w:left="80"/>
              <w:spacing w:after="0"/>
              <w:rPr>
                <w:sz w:val="20"/>
                <w:szCs w:val="20"/>
                <w:color w:val="auto"/>
              </w:rPr>
            </w:pPr>
            <w:r>
              <w:rPr>
                <w:rFonts w:ascii="Arial" w:cs="Arial" w:eastAsia="Arial" w:hAnsi="Arial"/>
                <w:sz w:val="11"/>
                <w:szCs w:val="11"/>
                <w:color w:val="auto"/>
              </w:rPr>
              <w:t>Exit of Non-Encompass BPO Services</w:t>
            </w:r>
          </w:p>
        </w:tc>
        <w:tc>
          <w:tcPr>
            <w:tcW w:w="100" w:type="dxa"/>
            <w:vAlign w:val="bottom"/>
            <w:shd w:val="clear" w:color="auto" w:fill="929292"/>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6"/>
        </w:trPr>
        <w:tc>
          <w:tcPr>
            <w:tcW w:w="8220" w:type="dxa"/>
            <w:vAlign w:val="bottom"/>
          </w:tcPr>
          <w:p>
            <w:pPr>
              <w:ind w:left="80"/>
              <w:spacing w:after="0"/>
              <w:rPr>
                <w:sz w:val="20"/>
                <w:szCs w:val="20"/>
                <w:color w:val="auto"/>
              </w:rPr>
            </w:pPr>
            <w:r>
              <w:rPr>
                <w:rFonts w:ascii="Arial" w:cs="Arial" w:eastAsia="Arial" w:hAnsi="Arial"/>
                <w:sz w:val="11"/>
                <w:szCs w:val="11"/>
                <w:color w:val="auto"/>
              </w:rPr>
              <w:t>Share-based compensation expense</w:t>
            </w:r>
            <w:r>
              <w:rPr>
                <w:rFonts w:ascii="Arial" w:cs="Arial" w:eastAsia="Arial" w:hAnsi="Arial"/>
                <w:sz w:val="14"/>
                <w:szCs w:val="14"/>
                <w:color w:val="auto"/>
                <w:vertAlign w:val="superscript"/>
              </w:rPr>
              <w:t>(2)</w:t>
            </w:r>
          </w:p>
        </w:tc>
        <w:tc>
          <w:tcPr>
            <w:tcW w:w="100" w:type="dxa"/>
            <w:vAlign w:val="bottom"/>
            <w:tcBorders>
              <w:bottom w:val="single" w:sz="8" w:color="929292"/>
            </w:tcBorders>
            <w:shd w:val="clear" w:color="auto" w:fill="929292"/>
          </w:tcPr>
          <w:p>
            <w:pPr>
              <w:spacing w:after="0"/>
              <w:rPr>
                <w:sz w:val="14"/>
                <w:szCs w:val="14"/>
                <w:color w:val="auto"/>
              </w:rPr>
            </w:pPr>
          </w:p>
        </w:tc>
        <w:tc>
          <w:tcPr>
            <w:tcW w:w="900" w:type="dxa"/>
            <w:vAlign w:val="bottom"/>
            <w:tcBorders>
              <w:bottom w:val="single" w:sz="8" w:color="B6B6B6"/>
            </w:tcBorders>
          </w:tcPr>
          <w:p>
            <w:pPr>
              <w:spacing w:after="0"/>
              <w:rPr>
                <w:sz w:val="14"/>
                <w:szCs w:val="14"/>
                <w:color w:val="auto"/>
              </w:rPr>
            </w:pP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900" w:type="dxa"/>
            <w:vAlign w:val="bottom"/>
            <w:tcBorders>
              <w:bottom w:val="single" w:sz="8" w:color="B6B6B6"/>
            </w:tcBorders>
          </w:tcPr>
          <w:p>
            <w:pPr>
              <w:spacing w:after="0"/>
              <w:rPr>
                <w:sz w:val="14"/>
                <w:szCs w:val="14"/>
                <w:color w:val="auto"/>
              </w:rPr>
            </w:pP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0"/>
        </w:trPr>
        <w:tc>
          <w:tcPr>
            <w:tcW w:w="8220" w:type="dxa"/>
            <w:vAlign w:val="bottom"/>
          </w:tcPr>
          <w:p>
            <w:pPr>
              <w:spacing w:after="0"/>
              <w:rPr>
                <w:sz w:val="20"/>
                <w:szCs w:val="20"/>
                <w:color w:val="auto"/>
              </w:rPr>
            </w:pPr>
            <w:r>
              <w:rPr>
                <w:rFonts w:ascii="Arial" w:cs="Arial" w:eastAsia="Arial" w:hAnsi="Arial"/>
                <w:sz w:val="11"/>
                <w:szCs w:val="11"/>
                <w:color w:val="auto"/>
              </w:rPr>
              <w:t>Cost per Submission</w:t>
            </w:r>
          </w:p>
        </w:tc>
        <w:tc>
          <w:tcPr>
            <w:tcW w:w="100" w:type="dxa"/>
            <w:vAlign w:val="bottom"/>
            <w:tcBorders>
              <w:bottom w:val="single" w:sz="8" w:color="929292"/>
            </w:tcBorders>
            <w:shd w:val="clear" w:color="auto" w:fill="929292"/>
          </w:tcPr>
          <w:p>
            <w:pPr>
              <w:spacing w:after="0"/>
              <w:rPr>
                <w:sz w:val="13"/>
                <w:szCs w:val="13"/>
                <w:color w:val="auto"/>
              </w:rPr>
            </w:pPr>
          </w:p>
        </w:tc>
        <w:tc>
          <w:tcPr>
            <w:tcW w:w="900" w:type="dxa"/>
            <w:vAlign w:val="bottom"/>
            <w:tcBorders>
              <w:bottom w:val="single" w:sz="8" w:color="B6B6B6"/>
            </w:tcBorders>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640</w:t>
            </w:r>
          </w:p>
        </w:tc>
        <w:tc>
          <w:tcPr>
            <w:tcW w:w="100" w:type="dxa"/>
            <w:vAlign w:val="bottom"/>
          </w:tcPr>
          <w:p>
            <w:pPr>
              <w:spacing w:after="0"/>
              <w:rPr>
                <w:sz w:val="13"/>
                <w:szCs w:val="13"/>
                <w:color w:val="auto"/>
              </w:rPr>
            </w:pPr>
          </w:p>
        </w:tc>
        <w:tc>
          <w:tcPr>
            <w:tcW w:w="900" w:type="dxa"/>
            <w:vAlign w:val="bottom"/>
            <w:tcBorders>
              <w:bottom w:val="single" w:sz="8" w:color="B6B6B6"/>
            </w:tcBorders>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B6B6B6"/>
            </w:tcBorders>
          </w:tcPr>
          <w:p>
            <w:pPr>
              <w:jc w:val="right"/>
              <w:ind w:right="123"/>
              <w:spacing w:after="0"/>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1"/>
                <w:szCs w:val="11"/>
                <w:color w:val="auto"/>
              </w:rPr>
              <w:t>Gross Margin per Submission</w:t>
            </w:r>
            <w:r>
              <w:rPr>
                <w:rFonts w:ascii="Arial" w:cs="Arial" w:eastAsia="Arial" w:hAnsi="Arial"/>
                <w:sz w:val="14"/>
                <w:szCs w:val="14"/>
                <w:color w:val="auto"/>
                <w:vertAlign w:val="superscript"/>
              </w:rPr>
              <w:t>(3)</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100" w:type="dxa"/>
            <w:vAlign w:val="bottom"/>
            <w:shd w:val="clear" w:color="auto" w:fill="929292"/>
          </w:tcPr>
          <w:p>
            <w:pPr>
              <w:spacing w:after="0"/>
              <w:rPr>
                <w:sz w:val="12"/>
                <w:szCs w:val="12"/>
                <w:color w:val="auto"/>
              </w:rPr>
            </w:pP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57"/>
        </w:trPr>
        <w:tc>
          <w:tcPr>
            <w:tcW w:w="8220" w:type="dxa"/>
            <w:vAlign w:val="bottom"/>
          </w:tcPr>
          <w:p>
            <w:pPr>
              <w:spacing w:after="0" w:line="157" w:lineRule="exact"/>
              <w:rPr>
                <w:sz w:val="20"/>
                <w:szCs w:val="20"/>
                <w:color w:val="auto"/>
              </w:rPr>
            </w:pPr>
            <w:r>
              <w:rPr>
                <w:rFonts w:ascii="Arial" w:cs="Arial" w:eastAsia="Arial" w:hAnsi="Arial"/>
                <w:sz w:val="11"/>
                <w:szCs w:val="11"/>
                <w:color w:val="auto"/>
              </w:rPr>
              <w:t>Adjusted Gross Margin per Submission</w:t>
            </w:r>
            <w:r>
              <w:rPr>
                <w:rFonts w:ascii="Arial" w:cs="Arial" w:eastAsia="Arial" w:hAnsi="Arial"/>
                <w:sz w:val="14"/>
                <w:szCs w:val="14"/>
                <w:color w:val="auto"/>
                <w:vertAlign w:val="superscript"/>
              </w:rPr>
              <w:t>(4)</w:t>
            </w:r>
          </w:p>
        </w:tc>
        <w:tc>
          <w:tcPr>
            <w:tcW w:w="100" w:type="dxa"/>
            <w:vAlign w:val="bottom"/>
            <w:shd w:val="clear" w:color="auto" w:fill="929292"/>
          </w:tcPr>
          <w:p>
            <w:pPr>
              <w:spacing w:after="0"/>
              <w:rPr>
                <w:sz w:val="13"/>
                <w:szCs w:val="13"/>
                <w:color w:val="auto"/>
              </w:rPr>
            </w:pP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216</w:t>
            </w:r>
          </w:p>
        </w:tc>
        <w:tc>
          <w:tcPr>
            <w:tcW w:w="100" w:type="dxa"/>
            <w:vAlign w:val="bottom"/>
          </w:tcPr>
          <w:p>
            <w:pPr>
              <w:spacing w:after="0"/>
              <w:rPr>
                <w:sz w:val="13"/>
                <w:szCs w:val="13"/>
                <w:color w:val="auto"/>
              </w:rPr>
            </w:pP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3"/>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0"/>
          <w:szCs w:val="10"/>
          <w:i w:val="1"/>
          <w:iCs w:val="1"/>
          <w:color w:val="auto"/>
        </w:rPr>
      </w:pPr>
      <w:r>
        <w:rPr>
          <w:rFonts w:ascii="Arial" w:cs="Arial" w:eastAsia="Arial" w:hAnsi="Arial"/>
          <w:sz w:val="10"/>
          <w:szCs w:val="10"/>
          <w:i w:val="1"/>
          <w:iCs w:val="1"/>
          <w:color w:val="auto"/>
        </w:rPr>
        <w:t>Indirect operating expenses include technology, general and administrative, amortization of intangible assets, operating lease impairment charges and restructuring and other related charges.</w:t>
      </w:r>
    </w:p>
    <w:p>
      <w:pPr>
        <w:spacing w:after="0" w:line="14" w:lineRule="exact"/>
        <w:rPr>
          <w:rFonts w:ascii="Arial" w:cs="Arial" w:eastAsia="Arial" w:hAnsi="Arial"/>
          <w:sz w:val="10"/>
          <w:szCs w:val="10"/>
          <w:i w:val="1"/>
          <w:iCs w:val="1"/>
          <w:color w:val="auto"/>
        </w:rPr>
      </w:pPr>
    </w:p>
    <w:p>
      <w:pPr>
        <w:ind w:left="260" w:hanging="255"/>
        <w:spacing w:after="0"/>
        <w:tabs>
          <w:tab w:leader="none" w:pos="260" w:val="left"/>
        </w:tabs>
        <w:numPr>
          <w:ilvl w:val="0"/>
          <w:numId w:val="14"/>
        </w:numPr>
        <w:rPr>
          <w:rFonts w:ascii="Arial" w:cs="Arial" w:eastAsia="Arial" w:hAnsi="Arial"/>
          <w:sz w:val="10"/>
          <w:szCs w:val="10"/>
          <w:i w:val="1"/>
          <w:iCs w:val="1"/>
          <w:color w:val="auto"/>
        </w:rPr>
      </w:pPr>
      <w:r>
        <w:rPr>
          <w:rFonts w:ascii="Arial" w:cs="Arial" w:eastAsia="Arial" w:hAnsi="Arial"/>
          <w:sz w:val="10"/>
          <w:szCs w:val="10"/>
          <w:i w:val="1"/>
          <w:iCs w:val="1"/>
          <w:color w:val="auto"/>
        </w:rPr>
        <w:t>Share-based compensation expense included within marketing and advertising expenses and consumer care and enrollment expenses.</w:t>
      </w:r>
    </w:p>
    <w:p>
      <w:pPr>
        <w:spacing w:after="0" w:line="7" w:lineRule="exact"/>
        <w:rPr>
          <w:rFonts w:ascii="Arial" w:cs="Arial" w:eastAsia="Arial" w:hAnsi="Arial"/>
          <w:sz w:val="10"/>
          <w:szCs w:val="10"/>
          <w:i w:val="1"/>
          <w:iCs w:val="1"/>
          <w:color w:val="auto"/>
        </w:rPr>
      </w:pPr>
    </w:p>
    <w:p>
      <w:pPr>
        <w:ind w:left="260" w:hanging="255"/>
        <w:spacing w:after="0"/>
        <w:tabs>
          <w:tab w:leader="none" w:pos="260" w:val="left"/>
        </w:tabs>
        <w:numPr>
          <w:ilvl w:val="0"/>
          <w:numId w:val="14"/>
        </w:numPr>
        <w:rPr>
          <w:rFonts w:ascii="Arial" w:cs="Arial" w:eastAsia="Arial" w:hAnsi="Arial"/>
          <w:sz w:val="10"/>
          <w:szCs w:val="10"/>
          <w:i w:val="1"/>
          <w:iCs w:val="1"/>
          <w:color w:val="auto"/>
        </w:rPr>
      </w:pPr>
      <w:r>
        <w:rPr>
          <w:rFonts w:ascii="Arial" w:cs="Arial" w:eastAsia="Arial" w:hAnsi="Arial"/>
          <w:sz w:val="10"/>
          <w:szCs w:val="10"/>
          <w:i w:val="1"/>
          <w:iCs w:val="1"/>
          <w:color w:val="auto"/>
        </w:rPr>
        <w:t>Medicare Revenue per Submission less Operating Expense per Submission.</w:t>
      </w:r>
    </w:p>
    <w:p>
      <w:pPr>
        <w:spacing w:after="0" w:line="1" w:lineRule="exact"/>
        <w:rPr>
          <w:rFonts w:ascii="Arial" w:cs="Arial" w:eastAsia="Arial" w:hAnsi="Arial"/>
          <w:sz w:val="10"/>
          <w:szCs w:val="10"/>
          <w:i w:val="1"/>
          <w:iCs w:val="1"/>
          <w:color w:val="auto"/>
        </w:rPr>
      </w:pPr>
    </w:p>
    <w:p>
      <w:pPr>
        <w:ind w:left="260" w:hanging="255"/>
        <w:spacing w:after="0"/>
        <w:tabs>
          <w:tab w:leader="none" w:pos="260" w:val="left"/>
        </w:tabs>
        <w:numPr>
          <w:ilvl w:val="0"/>
          <w:numId w:val="14"/>
        </w:numPr>
        <w:rPr>
          <w:rFonts w:ascii="Arial" w:cs="Arial" w:eastAsia="Arial" w:hAnsi="Arial"/>
          <w:sz w:val="10"/>
          <w:szCs w:val="10"/>
          <w:i w:val="1"/>
          <w:iCs w:val="1"/>
          <w:color w:val="auto"/>
        </w:rPr>
      </w:pPr>
      <w:r>
        <w:rPr>
          <w:rFonts w:ascii="Arial" w:cs="Arial" w:eastAsia="Arial" w:hAnsi="Arial"/>
          <w:sz w:val="10"/>
          <w:szCs w:val="10"/>
          <w:i w:val="1"/>
          <w:iCs w:val="1"/>
          <w:color w:val="auto"/>
        </w:rPr>
        <w:t>Sales per Submission less Cost per Submission.</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Submissions</w:t>
      </w:r>
    </w:p>
    <w:p>
      <w:pPr>
        <w:spacing w:after="0" w:line="254"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28</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color w:val="auto"/>
        </w:rPr>
        <w:t>The following table presents the number of Submissions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3624580" cy="316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24580" cy="316865"/>
                    </a:xfrm>
                    <a:prstGeom prst="rect">
                      <a:avLst/>
                    </a:prstGeom>
                    <a:noFill/>
                  </pic:spPr>
                </pic:pic>
              </a:graphicData>
            </a:graphic>
          </wp:anchor>
        </w:drawing>
      </w:r>
    </w:p>
    <w:p>
      <w:pPr>
        <w:spacing w:after="0" w:line="366" w:lineRule="exact"/>
        <w:rPr>
          <w:sz w:val="20"/>
          <w:szCs w:val="20"/>
          <w:color w:val="auto"/>
        </w:rPr>
      </w:pPr>
    </w:p>
    <w:p>
      <w:pPr>
        <w:jc w:val="center"/>
        <w:ind w:left="740"/>
        <w:spacing w:after="0"/>
        <w:rPr>
          <w:sz w:val="20"/>
          <w:szCs w:val="20"/>
          <w:color w:val="auto"/>
        </w:rPr>
      </w:pPr>
      <w:r>
        <w:rPr>
          <w:rFonts w:ascii="Arial" w:cs="Arial" w:eastAsia="Arial" w:hAnsi="Arial"/>
          <w:sz w:val="11"/>
          <w:szCs w:val="11"/>
          <w:b w:val="1"/>
          <w:bCs w:val="1"/>
          <w:color w:val="00497F"/>
        </w:rPr>
        <w:t>Submissions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00" w:type="dxa"/>
            <w:vAlign w:val="bottom"/>
            <w:shd w:val="clear" w:color="auto" w:fill="929292"/>
          </w:tcPr>
          <w:p>
            <w:pPr>
              <w:spacing w:after="0"/>
              <w:rPr>
                <w:sz w:val="14"/>
                <w:szCs w:val="14"/>
                <w:color w:val="auto"/>
              </w:rPr>
            </w:pPr>
          </w:p>
        </w:tc>
        <w:tc>
          <w:tcPr>
            <w:tcW w:w="2940" w:type="dxa"/>
            <w:vAlign w:val="bottom"/>
            <w:gridSpan w:val="2"/>
          </w:tcPr>
          <w:p>
            <w:pPr>
              <w:jc w:val="right"/>
              <w:ind w:right="803"/>
              <w:spacing w:after="0"/>
              <w:rPr>
                <w:sz w:val="20"/>
                <w:szCs w:val="20"/>
                <w:color w:val="auto"/>
              </w:rPr>
            </w:pPr>
            <w:r>
              <w:rPr>
                <w:rFonts w:ascii="Arial" w:cs="Arial" w:eastAsia="Arial" w:hAnsi="Arial"/>
                <w:sz w:val="11"/>
                <w:szCs w:val="11"/>
                <w:color w:val="auto"/>
              </w:rPr>
              <w:t>Three months ended Mar. 31,</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2"/>
        </w:trPr>
        <w:tc>
          <w:tcPr>
            <w:tcW w:w="100" w:type="dxa"/>
            <w:vAlign w:val="bottom"/>
            <w:tcBorders>
              <w:bottom w:val="single" w:sz="8" w:color="929292"/>
            </w:tcBorders>
            <w:shd w:val="clear" w:color="auto" w:fill="929292"/>
          </w:tcPr>
          <w:p>
            <w:pPr>
              <w:spacing w:after="0"/>
              <w:rPr>
                <w:sz w:val="13"/>
                <w:szCs w:val="13"/>
                <w:color w:val="auto"/>
              </w:rPr>
            </w:pPr>
          </w:p>
        </w:tc>
        <w:tc>
          <w:tcPr>
            <w:tcW w:w="1580" w:type="dxa"/>
            <w:vAlign w:val="bottom"/>
            <w:tcBorders>
              <w:bottom w:val="single" w:sz="8" w:color="929292"/>
            </w:tcBorders>
          </w:tcPr>
          <w:p>
            <w:pPr>
              <w:jc w:val="right"/>
              <w:ind w:right="743"/>
              <w:spacing w:after="0"/>
              <w:rPr>
                <w:sz w:val="20"/>
                <w:szCs w:val="20"/>
                <w:color w:val="auto"/>
              </w:rPr>
            </w:pPr>
            <w:r>
              <w:rPr>
                <w:rFonts w:ascii="Arial" w:cs="Arial" w:eastAsia="Arial" w:hAnsi="Arial"/>
                <w:sz w:val="11"/>
                <w:szCs w:val="11"/>
                <w:color w:val="auto"/>
              </w:rPr>
              <w:t>2024</w:t>
            </w:r>
          </w:p>
        </w:tc>
        <w:tc>
          <w:tcPr>
            <w:tcW w:w="1360" w:type="dxa"/>
            <w:vAlign w:val="bottom"/>
            <w:tcBorders>
              <w:bottom w:val="single" w:sz="8" w:color="929292"/>
            </w:tcBorders>
          </w:tcPr>
          <w:p>
            <w:pPr>
              <w:jc w:val="right"/>
              <w:ind w:right="723"/>
              <w:spacing w:after="0"/>
              <w:rPr>
                <w:sz w:val="20"/>
                <w:szCs w:val="20"/>
                <w:color w:val="auto"/>
              </w:rPr>
            </w:pPr>
            <w:r>
              <w:rPr>
                <w:rFonts w:ascii="Arial" w:cs="Arial" w:eastAsia="Arial" w:hAnsi="Arial"/>
                <w:sz w:val="11"/>
                <w:szCs w:val="11"/>
                <w:color w:val="auto"/>
              </w:rPr>
              <w:t>2023</w:t>
            </w:r>
          </w:p>
        </w:tc>
        <w:tc>
          <w:tcPr>
            <w:tcW w:w="1380" w:type="dxa"/>
            <w:vAlign w:val="bottom"/>
            <w:tcBorders>
              <w:bottom w:val="single" w:sz="8" w:color="929292"/>
            </w:tcBorders>
          </w:tcPr>
          <w:p>
            <w:pPr>
              <w:jc w:val="right"/>
              <w:ind w:right="643"/>
              <w:spacing w:after="0"/>
              <w:rPr>
                <w:sz w:val="20"/>
                <w:szCs w:val="20"/>
                <w:color w:val="auto"/>
              </w:rPr>
            </w:pPr>
            <w:r>
              <w:rPr>
                <w:rFonts w:ascii="Arial" w:cs="Arial" w:eastAsia="Arial" w:hAnsi="Arial"/>
                <w:sz w:val="11"/>
                <w:szCs w:val="11"/>
                <w:color w:val="auto"/>
              </w:rPr>
              <w:t>Change</w:t>
            </w:r>
          </w:p>
        </w:tc>
        <w:tc>
          <w:tcPr>
            <w:tcW w:w="1240" w:type="dxa"/>
            <w:vAlign w:val="bottom"/>
            <w:tcBorders>
              <w:bottom w:val="single" w:sz="8" w:color="929292"/>
            </w:tcBorders>
          </w:tcPr>
          <w:p>
            <w:pPr>
              <w:jc w:val="right"/>
              <w:ind w:right="383"/>
              <w:spacing w:after="0"/>
              <w:rPr>
                <w:sz w:val="20"/>
                <w:szCs w:val="20"/>
                <w:color w:val="auto"/>
              </w:rPr>
            </w:pPr>
            <w:r>
              <w:rPr>
                <w:rFonts w:ascii="Arial" w:cs="Arial" w:eastAsia="Arial" w:hAnsi="Arial"/>
                <w:sz w:val="11"/>
                <w:szCs w:val="11"/>
                <w:color w:val="auto"/>
              </w:rPr>
              <w:t>% Change</w:t>
            </w:r>
          </w:p>
        </w:tc>
      </w:tr>
      <w:tr>
        <w:trPr>
          <w:trHeight w:val="164"/>
        </w:trPr>
        <w:tc>
          <w:tcPr>
            <w:tcW w:w="100" w:type="dxa"/>
            <w:vAlign w:val="bottom"/>
            <w:shd w:val="clear" w:color="auto" w:fill="929292"/>
          </w:tcPr>
          <w:p>
            <w:pPr>
              <w:spacing w:after="0"/>
              <w:rPr>
                <w:sz w:val="14"/>
                <w:szCs w:val="14"/>
                <w:color w:val="auto"/>
              </w:rPr>
            </w:pPr>
          </w:p>
        </w:tc>
        <w:tc>
          <w:tcPr>
            <w:tcW w:w="1580" w:type="dxa"/>
            <w:vAlign w:val="bottom"/>
          </w:tcPr>
          <w:p>
            <w:pPr>
              <w:jc w:val="right"/>
              <w:ind w:right="283"/>
              <w:spacing w:after="0"/>
              <w:rPr>
                <w:sz w:val="20"/>
                <w:szCs w:val="20"/>
                <w:color w:val="auto"/>
              </w:rPr>
            </w:pPr>
            <w:r>
              <w:rPr>
                <w:rFonts w:ascii="Arial" w:cs="Arial" w:eastAsia="Arial" w:hAnsi="Arial"/>
                <w:sz w:val="11"/>
                <w:szCs w:val="11"/>
                <w:color w:val="auto"/>
              </w:rPr>
              <w:t>216,148</w:t>
            </w:r>
          </w:p>
        </w:tc>
        <w:tc>
          <w:tcPr>
            <w:tcW w:w="1360" w:type="dxa"/>
            <w:vAlign w:val="bottom"/>
          </w:tcPr>
          <w:p>
            <w:pPr>
              <w:jc w:val="right"/>
              <w:ind w:right="243"/>
              <w:spacing w:after="0"/>
              <w:rPr>
                <w:sz w:val="20"/>
                <w:szCs w:val="20"/>
                <w:color w:val="auto"/>
              </w:rPr>
            </w:pPr>
            <w:r>
              <w:rPr>
                <w:rFonts w:ascii="Arial" w:cs="Arial" w:eastAsia="Arial" w:hAnsi="Arial"/>
                <w:sz w:val="11"/>
                <w:szCs w:val="11"/>
                <w:color w:val="auto"/>
              </w:rPr>
              <w:t>213,645</w:t>
            </w:r>
          </w:p>
        </w:tc>
        <w:tc>
          <w:tcPr>
            <w:tcW w:w="1380" w:type="dxa"/>
            <w:vAlign w:val="bottom"/>
          </w:tcPr>
          <w:p>
            <w:pPr>
              <w:jc w:val="right"/>
              <w:ind w:right="243"/>
              <w:spacing w:after="0"/>
              <w:rPr>
                <w:sz w:val="20"/>
                <w:szCs w:val="20"/>
                <w:color w:val="auto"/>
              </w:rPr>
            </w:pPr>
            <w:r>
              <w:rPr>
                <w:rFonts w:ascii="Arial" w:cs="Arial" w:eastAsia="Arial" w:hAnsi="Arial"/>
                <w:sz w:val="11"/>
                <w:szCs w:val="11"/>
                <w:color w:val="auto"/>
              </w:rPr>
              <w:t>2,503</w:t>
            </w:r>
          </w:p>
        </w:tc>
        <w:tc>
          <w:tcPr>
            <w:tcW w:w="1240" w:type="dxa"/>
            <w:vAlign w:val="bottom"/>
          </w:tcPr>
          <w:p>
            <w:pPr>
              <w:jc w:val="right"/>
              <w:spacing w:after="0"/>
              <w:rPr>
                <w:sz w:val="20"/>
                <w:szCs w:val="20"/>
                <w:color w:val="auto"/>
              </w:rPr>
            </w:pPr>
            <w:r>
              <w:rPr>
                <w:rFonts w:ascii="Arial" w:cs="Arial" w:eastAsia="Arial" w:hAnsi="Arial"/>
                <w:sz w:val="11"/>
                <w:szCs w:val="11"/>
                <w:color w:val="auto"/>
              </w:rPr>
              <w:t>1.2 %</w:t>
            </w:r>
          </w:p>
        </w:tc>
      </w:tr>
    </w:tbl>
    <w:p>
      <w:pPr>
        <w:spacing w:after="0" w:line="200" w:lineRule="exact"/>
        <w:rPr>
          <w:sz w:val="20"/>
          <w:szCs w:val="20"/>
          <w:color w:val="auto"/>
        </w:rPr>
      </w:pPr>
    </w:p>
    <w:p>
      <w:pPr>
        <w:sectPr>
          <w:pgSz w:w="11900" w:h="16838" w:orient="portrait"/>
          <w:cols w:equalWidth="0" w:num="2">
            <w:col w:w="4900" w:space="720"/>
            <w:col w:w="5660"/>
          </w:cols>
          <w:pgMar w:left="300" w:top="1073" w:right="319" w:bottom="1440" w:gutter="0" w:footer="0" w:header="0"/>
        </w:sectPr>
      </w:pPr>
    </w:p>
    <w:p>
      <w:pPr>
        <w:spacing w:after="0" w:line="23"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color w:val="auto"/>
        </w:rPr>
        <w:t>The increase for the three months ended March 31, 2024 compared to the prior year period was attributable to an increase in opportunities resulting from our focus on higher quality Submissions through targeted marketing efforts, as well as enhancements in training, technology and consumer retention strategies.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Sales Per Submission</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Sales per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are equal to the sum of the commission revenue due upon the initial sale of a policy, and when applicable, an estimate of future renewal commissions per commissionable Submissions, and this figure excludes commissions through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Sales per Submission represents revenues only from policies sold during the period, but excludes policies originally submitted in prior periods.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Sales per Submission for the periods presented:</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5620" w:type="dxa"/>
            <w:vAlign w:val="bottom"/>
            <w:tcBorders>
              <w:top w:val="single" w:sz="8" w:color="929292"/>
              <w:left w:val="single" w:sz="8" w:color="929292"/>
            </w:tcBorders>
          </w:tcPr>
          <w:p>
            <w:pPr>
              <w:spacing w:after="0"/>
              <w:rPr>
                <w:sz w:val="14"/>
                <w:szCs w:val="14"/>
                <w:color w:val="auto"/>
              </w:rPr>
            </w:pPr>
          </w:p>
        </w:tc>
        <w:tc>
          <w:tcPr>
            <w:tcW w:w="100" w:type="dxa"/>
            <w:vAlign w:val="bottom"/>
            <w:tcBorders>
              <w:top w:val="single" w:sz="8" w:color="929292"/>
            </w:tcBorders>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right"/>
              <w:ind w:right="583"/>
              <w:spacing w:after="0"/>
              <w:rPr>
                <w:sz w:val="20"/>
                <w:szCs w:val="20"/>
                <w:color w:val="auto"/>
              </w:rPr>
            </w:pPr>
            <w:r>
              <w:rPr>
                <w:rFonts w:ascii="Arial" w:cs="Arial" w:eastAsia="Arial" w:hAnsi="Arial"/>
                <w:sz w:val="11"/>
                <w:szCs w:val="11"/>
                <w:color w:val="auto"/>
              </w:rPr>
              <w:t>Three months ended Mar. 31,</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5"/>
        </w:trPr>
        <w:tc>
          <w:tcPr>
            <w:tcW w:w="5620" w:type="dxa"/>
            <w:vAlign w:val="bottom"/>
            <w:tcBorders>
              <w:left w:val="single" w:sz="8" w:color="929292"/>
            </w:tcBorders>
          </w:tcPr>
          <w:p>
            <w:pPr>
              <w:ind w:left="2240"/>
              <w:spacing w:after="0"/>
              <w:rPr>
                <w:sz w:val="20"/>
                <w:szCs w:val="20"/>
                <w:color w:val="auto"/>
              </w:rPr>
            </w:pPr>
            <w:r>
              <w:rPr>
                <w:rFonts w:ascii="Arial" w:cs="Arial" w:eastAsia="Arial" w:hAnsi="Arial"/>
                <w:sz w:val="11"/>
                <w:szCs w:val="11"/>
                <w:b w:val="1"/>
                <w:bCs w:val="1"/>
                <w:color w:val="00497F"/>
              </w:rPr>
              <w:t>Sales Per Submission</w:t>
            </w:r>
          </w:p>
        </w:tc>
        <w:tc>
          <w:tcPr>
            <w:tcW w:w="100" w:type="dxa"/>
            <w:vAlign w:val="bottom"/>
            <w:tcBorders>
              <w:bottom w:val="single" w:sz="8" w:color="929292"/>
            </w:tcBorders>
            <w:shd w:val="clear" w:color="auto" w:fill="929292"/>
          </w:tcPr>
          <w:p>
            <w:pPr>
              <w:spacing w:after="0"/>
              <w:rPr>
                <w:sz w:val="13"/>
                <w:szCs w:val="13"/>
                <w:color w:val="auto"/>
              </w:rPr>
            </w:pPr>
          </w:p>
        </w:tc>
        <w:tc>
          <w:tcPr>
            <w:tcW w:w="300" w:type="dxa"/>
            <w:vAlign w:val="bottom"/>
            <w:tcBorders>
              <w:bottom w:val="single" w:sz="8" w:color="929292"/>
            </w:tcBorders>
          </w:tcPr>
          <w:p>
            <w:pPr>
              <w:spacing w:after="0"/>
              <w:rPr>
                <w:sz w:val="13"/>
                <w:szCs w:val="13"/>
                <w:color w:val="auto"/>
              </w:rPr>
            </w:pPr>
          </w:p>
        </w:tc>
        <w:tc>
          <w:tcPr>
            <w:tcW w:w="1020" w:type="dxa"/>
            <w:vAlign w:val="bottom"/>
            <w:tcBorders>
              <w:bottom w:val="single" w:sz="8" w:color="929292"/>
            </w:tcBorders>
          </w:tcPr>
          <w:p>
            <w:pPr>
              <w:jc w:val="right"/>
              <w:ind w:right="483"/>
              <w:spacing w:after="0"/>
              <w:rPr>
                <w:sz w:val="20"/>
                <w:szCs w:val="20"/>
                <w:color w:val="auto"/>
              </w:rPr>
            </w:pPr>
            <w:r>
              <w:rPr>
                <w:rFonts w:ascii="Arial" w:cs="Arial" w:eastAsia="Arial" w:hAnsi="Arial"/>
                <w:sz w:val="11"/>
                <w:szCs w:val="11"/>
                <w:color w:val="auto"/>
              </w:rPr>
              <w:t>2024</w:t>
            </w:r>
          </w:p>
        </w:tc>
        <w:tc>
          <w:tcPr>
            <w:tcW w:w="360" w:type="dxa"/>
            <w:vAlign w:val="bottom"/>
            <w:tcBorders>
              <w:bottom w:val="single" w:sz="8" w:color="929292"/>
            </w:tcBorders>
          </w:tcPr>
          <w:p>
            <w:pPr>
              <w:spacing w:after="0"/>
              <w:rPr>
                <w:sz w:val="13"/>
                <w:szCs w:val="13"/>
                <w:color w:val="auto"/>
              </w:rPr>
            </w:pPr>
          </w:p>
        </w:tc>
        <w:tc>
          <w:tcPr>
            <w:tcW w:w="1040" w:type="dxa"/>
            <w:vAlign w:val="bottom"/>
            <w:tcBorders>
              <w:bottom w:val="single" w:sz="8" w:color="929292"/>
            </w:tcBorders>
          </w:tcPr>
          <w:p>
            <w:pPr>
              <w:jc w:val="right"/>
              <w:ind w:right="503"/>
              <w:spacing w:after="0"/>
              <w:rPr>
                <w:sz w:val="20"/>
                <w:szCs w:val="20"/>
                <w:color w:val="auto"/>
              </w:rPr>
            </w:pPr>
            <w:r>
              <w:rPr>
                <w:rFonts w:ascii="Arial" w:cs="Arial" w:eastAsia="Arial" w:hAnsi="Arial"/>
                <w:sz w:val="11"/>
                <w:szCs w:val="11"/>
                <w:color w:val="auto"/>
              </w:rPr>
              <w:t>2023</w:t>
            </w:r>
          </w:p>
        </w:tc>
        <w:tc>
          <w:tcPr>
            <w:tcW w:w="300" w:type="dxa"/>
            <w:vAlign w:val="bottom"/>
            <w:tcBorders>
              <w:bottom w:val="single" w:sz="8" w:color="929292"/>
            </w:tcBorders>
          </w:tcPr>
          <w:p>
            <w:pPr>
              <w:spacing w:after="0"/>
              <w:rPr>
                <w:sz w:val="13"/>
                <w:szCs w:val="13"/>
                <w:color w:val="auto"/>
              </w:rPr>
            </w:pPr>
          </w:p>
        </w:tc>
        <w:tc>
          <w:tcPr>
            <w:tcW w:w="1300" w:type="dxa"/>
            <w:vAlign w:val="bottom"/>
            <w:tcBorders>
              <w:bottom w:val="single" w:sz="8" w:color="929292"/>
            </w:tcBorders>
          </w:tcPr>
          <w:p>
            <w:pPr>
              <w:jc w:val="right"/>
              <w:ind w:right="583"/>
              <w:spacing w:after="0"/>
              <w:rPr>
                <w:sz w:val="20"/>
                <w:szCs w:val="20"/>
                <w:color w:val="auto"/>
              </w:rPr>
            </w:pPr>
            <w:r>
              <w:rPr>
                <w:rFonts w:ascii="Arial" w:cs="Arial" w:eastAsia="Arial" w:hAnsi="Arial"/>
                <w:sz w:val="11"/>
                <w:szCs w:val="11"/>
                <w:color w:val="auto"/>
              </w:rPr>
              <w:t>$ Change</w:t>
            </w:r>
          </w:p>
        </w:tc>
        <w:tc>
          <w:tcPr>
            <w:tcW w:w="1240" w:type="dxa"/>
            <w:vAlign w:val="bottom"/>
            <w:tcBorders>
              <w:bottom w:val="single" w:sz="8" w:color="929292"/>
            </w:tcBorders>
          </w:tcPr>
          <w:p>
            <w:pPr>
              <w:jc w:val="right"/>
              <w:ind w:right="383"/>
              <w:spacing w:after="0"/>
              <w:rPr>
                <w:sz w:val="20"/>
                <w:szCs w:val="20"/>
                <w:color w:val="auto"/>
              </w:rPr>
            </w:pPr>
            <w:r>
              <w:rPr>
                <w:rFonts w:ascii="Arial" w:cs="Arial" w:eastAsia="Arial" w:hAnsi="Arial"/>
                <w:sz w:val="11"/>
                <w:szCs w:val="11"/>
                <w:color w:val="auto"/>
              </w:rPr>
              <w:t>% Change</w:t>
            </w:r>
          </w:p>
        </w:tc>
      </w:tr>
      <w:tr>
        <w:trPr>
          <w:trHeight w:val="147"/>
        </w:trPr>
        <w:tc>
          <w:tcPr>
            <w:tcW w:w="5620" w:type="dxa"/>
            <w:vAlign w:val="bottom"/>
            <w:tcBorders>
              <w:left w:val="single" w:sz="8" w:color="929292"/>
              <w:bottom w:val="single" w:sz="8" w:color="929292"/>
            </w:tcBorders>
          </w:tcPr>
          <w:p>
            <w:pPr>
              <w:spacing w:after="0"/>
              <w:rPr>
                <w:sz w:val="12"/>
                <w:szCs w:val="12"/>
                <w:color w:val="auto"/>
              </w:rPr>
            </w:pPr>
          </w:p>
        </w:tc>
        <w:tc>
          <w:tcPr>
            <w:tcW w:w="100" w:type="dxa"/>
            <w:vAlign w:val="bottom"/>
            <w:tcBorders>
              <w:bottom w:val="single" w:sz="8" w:color="929292"/>
            </w:tcBorders>
            <w:shd w:val="clear" w:color="auto" w:fill="929292"/>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856</w:t>
            </w:r>
          </w:p>
        </w:tc>
        <w:tc>
          <w:tcPr>
            <w:tcW w:w="3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794</w:t>
            </w:r>
          </w:p>
        </w:tc>
        <w:tc>
          <w:tcPr>
            <w:tcW w:w="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243"/>
              <w:spacing w:after="0"/>
              <w:rPr>
                <w:sz w:val="20"/>
                <w:szCs w:val="20"/>
                <w:color w:val="auto"/>
              </w:rPr>
            </w:pPr>
            <w:r>
              <w:rPr>
                <w:rFonts w:ascii="Arial" w:cs="Arial" w:eastAsia="Arial" w:hAnsi="Arial"/>
                <w:sz w:val="11"/>
                <w:szCs w:val="11"/>
                <w:color w:val="auto"/>
              </w:rPr>
              <w:t>62</w:t>
            </w:r>
          </w:p>
        </w:tc>
        <w:tc>
          <w:tcPr>
            <w:tcW w:w="1240" w:type="dxa"/>
            <w:vAlign w:val="bottom"/>
          </w:tcPr>
          <w:p>
            <w:pPr>
              <w:jc w:val="right"/>
              <w:spacing w:after="0"/>
              <w:rPr>
                <w:sz w:val="20"/>
                <w:szCs w:val="20"/>
                <w:color w:val="auto"/>
              </w:rPr>
            </w:pPr>
            <w:r>
              <w:rPr>
                <w:rFonts w:ascii="Arial" w:cs="Arial" w:eastAsia="Arial" w:hAnsi="Arial"/>
                <w:sz w:val="11"/>
                <w:szCs w:val="11"/>
                <w:color w:val="auto"/>
              </w:rPr>
              <w:t>7.8 %</w:t>
            </w:r>
          </w:p>
        </w:tc>
      </w:tr>
    </w:tbl>
    <w:p>
      <w:pPr>
        <w:spacing w:after="0" w:line="223"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The increase for the three months ended March 31, 2024 compared to the prior year period was driven by an increase in non-agency revenue, which includes the enrollment and engagement services offered through the Encompass Connect and Encompass Engage programs.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97F"/>
        </w:rPr>
        <w:t>Sales/Cost of Submission and Cost Per Submission</w:t>
      </w:r>
    </w:p>
    <w:p>
      <w:pPr>
        <w:spacing w:after="0" w:line="243"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Sales/Cost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and such expenses related to our Non-Encompass BPO Services, (ii) Encompass revenue, and (iii) partner marketing and enrollment services, divided by (y) the aggregate cost to convert prospects into Submissions (comprised of revenue share, marketing and advertising expenses and consumer care and enrollment expenses, excluding associated share-based compensation expense, the impact of revenue adjustments recorded in the period, but relating to performance obligations satisfied in prior periods, and such expenses related to our Non-Encompass BPO Services) for such period.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our 2023 Annual Report on Form 10-K.</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Cost per Submission refers to (x) the aggregate cost to convert prospects into Submissions during a particular period (comprised of revenue share, marketing and advertising expenses, and consumer care and enrollment expenses, excluding associated share-based compensation expense, the impact of revenue adjustments recorded in the period, but relating to performance obligations satisfied in prior periods, and such expenses related to our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29</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3"/>
          <w:szCs w:val="13"/>
          <w:color w:val="auto"/>
        </w:rPr>
        <w:t>The following are our Sales/Cost of Submission, Cost of Submission (in thousands) and Cost Per Submission for the three months ended March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480" w:type="dxa"/>
            <w:vAlign w:val="bottom"/>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2220" w:type="dxa"/>
            <w:vAlign w:val="bottom"/>
            <w:gridSpan w:val="4"/>
          </w:tcPr>
          <w:p>
            <w:pPr>
              <w:jc w:val="right"/>
              <w:ind w:right="63"/>
              <w:spacing w:after="0"/>
              <w:rPr>
                <w:sz w:val="20"/>
                <w:szCs w:val="20"/>
                <w:color w:val="auto"/>
              </w:rPr>
            </w:pPr>
            <w:r>
              <w:rPr>
                <w:rFonts w:ascii="Arial" w:cs="Arial" w:eastAsia="Arial" w:hAnsi="Arial"/>
                <w:sz w:val="11"/>
                <w:szCs w:val="11"/>
                <w:color w:val="auto"/>
              </w:rPr>
              <w:t>Three months ended Mar. 31,</w:t>
            </w:r>
          </w:p>
        </w:tc>
        <w:tc>
          <w:tcPr>
            <w:tcW w:w="500" w:type="dxa"/>
            <w:vAlign w:val="bottom"/>
          </w:tcPr>
          <w:p>
            <w:pPr>
              <w:spacing w:after="0"/>
              <w:rPr>
                <w:sz w:val="14"/>
                <w:szCs w:val="14"/>
                <w:color w:val="auto"/>
              </w:rPr>
            </w:pPr>
          </w:p>
        </w:tc>
      </w:tr>
      <w:tr>
        <w:trPr>
          <w:trHeight w:val="152"/>
        </w:trPr>
        <w:tc>
          <w:tcPr>
            <w:tcW w:w="8480" w:type="dxa"/>
            <w:vAlign w:val="bottom"/>
            <w:tcBorders>
              <w:bottom w:val="single" w:sz="8" w:color="929292"/>
            </w:tcBorders>
          </w:tcPr>
          <w:p>
            <w:pPr>
              <w:spacing w:after="0"/>
              <w:rPr>
                <w:sz w:val="13"/>
                <w:szCs w:val="13"/>
                <w:color w:val="auto"/>
              </w:rPr>
            </w:pPr>
          </w:p>
        </w:tc>
        <w:tc>
          <w:tcPr>
            <w:tcW w:w="80" w:type="dxa"/>
            <w:vAlign w:val="bottom"/>
            <w:tcBorders>
              <w:bottom w:val="single" w:sz="8" w:color="929292"/>
            </w:tcBorders>
            <w:shd w:val="clear" w:color="auto" w:fill="929292"/>
          </w:tcPr>
          <w:p>
            <w:pPr>
              <w:spacing w:after="0"/>
              <w:rPr>
                <w:sz w:val="13"/>
                <w:szCs w:val="13"/>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2024</w:t>
            </w:r>
          </w:p>
        </w:tc>
        <w:tc>
          <w:tcPr>
            <w:tcW w:w="500" w:type="dxa"/>
            <w:vAlign w:val="bottom"/>
            <w:tcBorders>
              <w:bottom w:val="single" w:sz="8" w:color="929292"/>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929292"/>
            </w:tcBorders>
          </w:tcPr>
          <w:p>
            <w:pPr>
              <w:jc w:val="right"/>
              <w:spacing w:after="0"/>
              <w:rPr>
                <w:sz w:val="20"/>
                <w:szCs w:val="20"/>
                <w:color w:val="auto"/>
              </w:rPr>
            </w:pPr>
            <w:r>
              <w:rPr>
                <w:rFonts w:ascii="Arial" w:cs="Arial" w:eastAsia="Arial" w:hAnsi="Arial"/>
                <w:sz w:val="11"/>
                <w:szCs w:val="11"/>
                <w:color w:val="auto"/>
              </w:rPr>
              <w:t>2023</w:t>
            </w:r>
          </w:p>
        </w:tc>
        <w:tc>
          <w:tcPr>
            <w:tcW w:w="500" w:type="dxa"/>
            <w:vAlign w:val="bottom"/>
            <w:tcBorders>
              <w:bottom w:val="single" w:sz="8" w:color="929292"/>
            </w:tcBorders>
          </w:tcPr>
          <w:p>
            <w:pPr>
              <w:spacing w:after="0"/>
              <w:rPr>
                <w:sz w:val="13"/>
                <w:szCs w:val="13"/>
                <w:color w:val="auto"/>
              </w:rPr>
            </w:pPr>
          </w:p>
        </w:tc>
      </w:tr>
      <w:tr>
        <w:trPr>
          <w:trHeight w:val="147"/>
        </w:trPr>
        <w:tc>
          <w:tcPr>
            <w:tcW w:w="8480" w:type="dxa"/>
            <w:vAlign w:val="bottom"/>
          </w:tcPr>
          <w:p>
            <w:pPr>
              <w:ind w:left="20"/>
              <w:spacing w:after="0"/>
              <w:rPr>
                <w:sz w:val="20"/>
                <w:szCs w:val="20"/>
                <w:color w:val="auto"/>
              </w:rPr>
            </w:pPr>
            <w:r>
              <w:rPr>
                <w:rFonts w:ascii="Arial" w:cs="Arial" w:eastAsia="Arial" w:hAnsi="Arial"/>
                <w:sz w:val="11"/>
                <w:szCs w:val="11"/>
                <w:color w:val="auto"/>
              </w:rPr>
              <w:t>Sales/Cost of Submission</w:t>
            </w:r>
          </w:p>
        </w:tc>
        <w:tc>
          <w:tcPr>
            <w:tcW w:w="80" w:type="dxa"/>
            <w:vAlign w:val="bottom"/>
            <w:shd w:val="clear" w:color="auto" w:fill="929292"/>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59"/>
        </w:trPr>
        <w:tc>
          <w:tcPr>
            <w:tcW w:w="8480" w:type="dxa"/>
            <w:vAlign w:val="bottom"/>
          </w:tcPr>
          <w:p>
            <w:pPr>
              <w:ind w:left="20"/>
              <w:spacing w:after="0"/>
              <w:rPr>
                <w:sz w:val="20"/>
                <w:szCs w:val="20"/>
                <w:color w:val="auto"/>
              </w:rPr>
            </w:pPr>
            <w:r>
              <w:rPr>
                <w:rFonts w:ascii="Arial" w:cs="Arial" w:eastAsia="Arial" w:hAnsi="Arial"/>
                <w:sz w:val="11"/>
                <w:szCs w:val="11"/>
                <w:color w:val="auto"/>
              </w:rPr>
              <w:t>Cost of Submission</w:t>
            </w:r>
          </w:p>
        </w:tc>
        <w:tc>
          <w:tcPr>
            <w:tcW w:w="80" w:type="dxa"/>
            <w:vAlign w:val="bottom"/>
            <w:shd w:val="clear" w:color="auto" w:fill="929292"/>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138,250</w:t>
            </w:r>
          </w:p>
        </w:tc>
        <w:tc>
          <w:tcPr>
            <w:tcW w:w="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126,402</w:t>
            </w:r>
          </w:p>
        </w:tc>
      </w:tr>
      <w:tr>
        <w:trPr>
          <w:trHeight w:val="166"/>
        </w:trPr>
        <w:tc>
          <w:tcPr>
            <w:tcW w:w="8480" w:type="dxa"/>
            <w:vAlign w:val="bottom"/>
          </w:tcPr>
          <w:p>
            <w:pPr>
              <w:ind w:left="20"/>
              <w:spacing w:after="0"/>
              <w:rPr>
                <w:sz w:val="20"/>
                <w:szCs w:val="20"/>
                <w:color w:val="auto"/>
              </w:rPr>
            </w:pPr>
            <w:r>
              <w:rPr>
                <w:rFonts w:ascii="Arial" w:cs="Arial" w:eastAsia="Arial" w:hAnsi="Arial"/>
                <w:sz w:val="11"/>
                <w:szCs w:val="11"/>
                <w:color w:val="auto"/>
              </w:rPr>
              <w:t>Cost per Submission</w:t>
            </w:r>
          </w:p>
        </w:tc>
        <w:tc>
          <w:tcPr>
            <w:tcW w:w="80" w:type="dxa"/>
            <w:vAlign w:val="bottom"/>
            <w:shd w:val="clear" w:color="auto" w:fill="929292"/>
          </w:tcPr>
          <w:p>
            <w:pPr>
              <w:spacing w:after="0"/>
              <w:rPr>
                <w:sz w:val="14"/>
                <w:szCs w:val="14"/>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640</w:t>
            </w:r>
          </w:p>
        </w:tc>
        <w:tc>
          <w:tcPr>
            <w:tcW w:w="80" w:type="dxa"/>
            <w:vAlign w:val="bottom"/>
          </w:tcPr>
          <w:p>
            <w:pPr>
              <w:spacing w:after="0"/>
              <w:rPr>
                <w:sz w:val="14"/>
                <w:szCs w:val="14"/>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592</w:t>
            </w:r>
          </w:p>
        </w:tc>
      </w:tr>
    </w:tbl>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Sales/Cost of Submission was 1.3 for both the three months ended March 31, 2024 and 2023. The increase in Cost of Submission and Cost per Submission for the three months ended March 31, 2024 compared to the prior year period was primarily attributable to an increased investment in our targeted marketing efforts and an increased agent headcount, partially offset by a decrease in cost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Overview</w:t>
      </w:r>
    </w:p>
    <w:p>
      <w:pPr>
        <w:spacing w:after="0" w:line="167"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Our liquidity needs primarily include working capital and debt service requirements. At March 31, 2024, cash and cash equivalents totaled $97.8 million. We believe that our current sources of liquidity, which include cash and cash equivalents and funds available under the Credit Facilities, as described further below, will be sufficient to meet our projected operating and debt service requirements for at least the next twelve months. Short-term liquidity needs will primarily be funded through the Revolving Credit Facilities, as described further below, if necessary.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cash flows for the three months ended March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66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463"/>
              <w:spacing w:after="0"/>
              <w:rPr>
                <w:sz w:val="20"/>
                <w:szCs w:val="20"/>
                <w:color w:val="auto"/>
              </w:rPr>
            </w:pPr>
            <w:r>
              <w:rPr>
                <w:rFonts w:ascii="Arial" w:cs="Arial" w:eastAsia="Arial" w:hAnsi="Arial"/>
                <w:sz w:val="11"/>
                <w:szCs w:val="11"/>
                <w:color w:val="auto"/>
              </w:rPr>
              <w:t>Three months ended Mar. 31,</w:t>
            </w:r>
          </w:p>
        </w:tc>
      </w:tr>
      <w:tr>
        <w:trPr>
          <w:trHeight w:val="152"/>
        </w:trPr>
        <w:tc>
          <w:tcPr>
            <w:tcW w:w="8660" w:type="dxa"/>
            <w:vAlign w:val="bottom"/>
            <w:tcBorders>
              <w:bottom w:val="single" w:sz="8" w:color="929292"/>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929292"/>
            </w:tcBorders>
            <w:shd w:val="clear" w:color="auto" w:fill="929292"/>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980" w:type="dxa"/>
            <w:vAlign w:val="bottom"/>
            <w:tcBorders>
              <w:bottom w:val="single" w:sz="8" w:color="929292"/>
            </w:tcBorders>
          </w:tcPr>
          <w:p>
            <w:pPr>
              <w:jc w:val="right"/>
              <w:ind w:right="483"/>
              <w:spacing w:after="0"/>
              <w:rPr>
                <w:sz w:val="20"/>
                <w:szCs w:val="20"/>
                <w:color w:val="auto"/>
              </w:rPr>
            </w:pPr>
            <w:r>
              <w:rPr>
                <w:rFonts w:ascii="Arial" w:cs="Arial" w:eastAsia="Arial" w:hAnsi="Arial"/>
                <w:sz w:val="11"/>
                <w:szCs w:val="11"/>
                <w:color w:val="auto"/>
              </w:rPr>
              <w:t>2024</w:t>
            </w:r>
          </w:p>
        </w:tc>
        <w:tc>
          <w:tcPr>
            <w:tcW w:w="340" w:type="dxa"/>
            <w:vAlign w:val="bottom"/>
            <w:tcBorders>
              <w:bottom w:val="single" w:sz="8" w:color="929292"/>
            </w:tcBorders>
          </w:tcPr>
          <w:p>
            <w:pPr>
              <w:spacing w:after="0"/>
              <w:rPr>
                <w:sz w:val="13"/>
                <w:szCs w:val="13"/>
                <w:color w:val="auto"/>
              </w:rPr>
            </w:pPr>
          </w:p>
        </w:tc>
        <w:tc>
          <w:tcPr>
            <w:tcW w:w="920" w:type="dxa"/>
            <w:vAlign w:val="bottom"/>
            <w:tcBorders>
              <w:bottom w:val="single" w:sz="8" w:color="929292"/>
            </w:tcBorders>
          </w:tcPr>
          <w:p>
            <w:pPr>
              <w:jc w:val="right"/>
              <w:ind w:right="423"/>
              <w:spacing w:after="0"/>
              <w:rPr>
                <w:sz w:val="20"/>
                <w:szCs w:val="20"/>
                <w:color w:val="auto"/>
              </w:rPr>
            </w:pPr>
            <w:r>
              <w:rPr>
                <w:rFonts w:ascii="Arial" w:cs="Arial" w:eastAsia="Arial" w:hAnsi="Arial"/>
                <w:sz w:val="11"/>
                <w:szCs w:val="11"/>
                <w:color w:val="auto"/>
              </w:rPr>
              <w:t>2023</w:t>
            </w:r>
          </w:p>
        </w:tc>
      </w:tr>
      <w:tr>
        <w:trPr>
          <w:trHeight w:val="147"/>
        </w:trPr>
        <w:tc>
          <w:tcPr>
            <w:tcW w:w="8660" w:type="dxa"/>
            <w:vAlign w:val="bottom"/>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100" w:type="dxa"/>
            <w:vAlign w:val="bottom"/>
            <w:shd w:val="clear" w:color="auto" w:fill="929292"/>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12,512</w:t>
            </w:r>
          </w:p>
        </w:tc>
        <w:tc>
          <w:tcPr>
            <w:tcW w:w="34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20,479</w:t>
            </w:r>
          </w:p>
        </w:tc>
      </w:tr>
      <w:tr>
        <w:trPr>
          <w:trHeight w:val="159"/>
        </w:trPr>
        <w:tc>
          <w:tcPr>
            <w:tcW w:w="8660" w:type="dxa"/>
            <w:vAlign w:val="bottom"/>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100" w:type="dxa"/>
            <w:vAlign w:val="bottom"/>
            <w:shd w:val="clear" w:color="auto" w:fill="929292"/>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(4,556)</w:t>
            </w: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(2,226)</w:t>
            </w:r>
          </w:p>
        </w:tc>
      </w:tr>
      <w:tr>
        <w:trPr>
          <w:trHeight w:val="166"/>
        </w:trPr>
        <w:tc>
          <w:tcPr>
            <w:tcW w:w="8660" w:type="dxa"/>
            <w:vAlign w:val="bottom"/>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100" w:type="dxa"/>
            <w:vAlign w:val="bottom"/>
            <w:shd w:val="clear" w:color="auto" w:fill="929292"/>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(942)</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(2,397)</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167"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Cash provided by (used in) operating activities primarily consists of net income (loss) adjusted for certain non-cash items including share-based compensation, depreciation and amortization, amortization of intangible assets, amortization of debt discount and issuance costs, goodwill and intangible impairment charges, operating lease impairment charges, non-cash restructuring charges, non-cash lease expense and the effect of changes in working capital and other activities.</w:t>
      </w:r>
    </w:p>
    <w:p>
      <w:pPr>
        <w:spacing w:after="0" w:line="14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spacing w:after="0" w:line="135"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w:t>
      </w:r>
    </w:p>
    <w:p>
      <w:pPr>
        <w:spacing w:after="0" w:line="149"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Net cash provided by operating activities was $12.5 million for the three months ended March 31, 2024, compared to $20.5 million for the three months ended March 31, 2023. The $8.0 million decrease was primarily driven by working capital components. In the current year, the Company paid $10.5 million toward the Securities Class Action settlement which is reflected in the decrease in accrued liabilities of $10.9 million. Other significant changes in working capital include an increase in cash from commissions payable of $20.3 million, accounts receivable of $12.3 million and deferred revenue of $11.2 million offset by a decrease in cash from commissions receivable of $26.0 million, accounts payable of $8.1 million, prepaid expense and other current assets of $4.5 million and other liabilities of $2.7 million.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3" w:name="page34"/>
    <w:bookmarkEnd w:id="33"/>
    <w:p>
      <w:pPr>
        <w:ind w:right="300"/>
        <w:spacing w:after="0" w:line="266" w:lineRule="auto"/>
        <w:rPr>
          <w:sz w:val="20"/>
          <w:szCs w:val="20"/>
          <w:color w:val="auto"/>
        </w:rPr>
      </w:pPr>
      <w:r>
        <w:rPr>
          <w:rFonts w:ascii="Arial" w:cs="Arial" w:eastAsia="Arial" w:hAnsi="Arial"/>
          <w:sz w:val="13"/>
          <w:szCs w:val="13"/>
          <w:color w:val="auto"/>
        </w:rPr>
        <w:t>Net cash used in investing activities increased to $4.6 million for the three months ended March 31, 2024, from $2.2 million for the three months ended March 31, 2023. The increase was primarily driven by an increase in capitalized internal-use software related to new technology, software, and systems.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67"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color w:val="auto"/>
        </w:rPr>
        <w:t>Net cash used in financing activities was $0.9 million for the three months ended March 31, 2024, compared to $2.4 million for the three months ended March 31, 2023. The decrease was primarily driven by a $1.4 million paydown of debt that did not occur in the first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 Loan Facilities</w:t>
      </w:r>
    </w:p>
    <w:p>
      <w:pPr>
        <w:spacing w:after="0" w:line="17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As of March 31, 2024 and December 31, 2023, the Company had a principal amount of $110.4 million, $296.3 million and $96.1 million outstanding under the Incremental Term Loan Facility, the 2021 Incremental Term Loans, and the 2021-2 Incremental Term Loans, respectively. The Term Loan Facilities’ effective interest rates were 12.9% and 13.0% at March 31, 2024 and December 31, 2023, respectively.</w:t>
      </w:r>
    </w:p>
    <w:p>
      <w:pPr>
        <w:spacing w:after="0" w:line="159" w:lineRule="exact"/>
        <w:rPr>
          <w:sz w:val="20"/>
          <w:szCs w:val="20"/>
          <w:color w:val="auto"/>
        </w:rPr>
      </w:pPr>
    </w:p>
    <w:p>
      <w:pPr>
        <w:jc w:val="both"/>
        <w:ind w:right="320"/>
        <w:spacing w:after="0" w:line="261" w:lineRule="auto"/>
        <w:rPr>
          <w:sz w:val="20"/>
          <w:szCs w:val="20"/>
          <w:color w:val="auto"/>
        </w:rPr>
      </w:pPr>
      <w:r>
        <w:rPr>
          <w:rFonts w:ascii="Arial" w:cs="Arial" w:eastAsia="Arial" w:hAnsi="Arial"/>
          <w:sz w:val="13"/>
          <w:szCs w:val="13"/>
          <w:color w:val="auto"/>
        </w:rPr>
        <w:t>During 2024 the Company is required to repay $75.0 million in aggregate of borrowings under the Term Loan Facilities. The remaining unpaid balance on the Term Loan Facilities, together with all accrued and unpaid interest thereon, is due and payable on or prior to September 13, 2025. See Note 4, “Long-Term Debt,” to the Condensed Consolidated Financial Statements in this Quarterly Report on Form 10-Q for additional information regarding the Company’s Term Loan Facilities.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Revolving Credit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no amounts outstanding under the Revolving Credit Facilities as of both March 31, 2024 and December 31, 2023. The Revolving Credit Facilities have a remaining capacity of</w:t>
      </w:r>
    </w:p>
    <w:p>
      <w:pPr>
        <w:spacing w:after="0" w:line="1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$111.5 million and $200.0 million in the aggregate as of March 31, 2024 and December 31, 2023, respectively. The Revolving Credit Facilities are separated into two classes of revolving commitments. After the adoption of Amendment No. 11 to the Credit Agreement, the New Class A Revolving Commitments mature on June 30, 2025 and bear interest at either ABR plus 5.5% per annum or SOFR plus 6.5% per annum. The Remaining Class B Revolving Commitments mature on September 13, 2024 and bear interest at either ABR plus 3.0% per annum or SOFR plus 4.0% per annum. See Note 4, “Long-Term Debt,” to the Condensed Consolidated Financial Statements in this Quarterly Report on Form 10-Q for additional information regarding the Company’s Revolving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9" w:lineRule="exact"/>
        <w:rPr>
          <w:sz w:val="20"/>
          <w:szCs w:val="20"/>
          <w:color w:val="auto"/>
        </w:rPr>
      </w:pPr>
    </w:p>
    <w:p>
      <w:pPr>
        <w:ind w:right="460"/>
        <w:spacing w:after="0" w:line="266" w:lineRule="auto"/>
        <w:rPr>
          <w:sz w:val="20"/>
          <w:szCs w:val="20"/>
          <w:color w:val="auto"/>
        </w:rPr>
      </w:pPr>
      <w:r>
        <w:rPr>
          <w:rFonts w:ascii="Arial" w:cs="Arial" w:eastAsia="Arial" w:hAnsi="Arial"/>
          <w:sz w:val="13"/>
          <w:szCs w:val="13"/>
          <w:color w:val="auto"/>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9"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The preparation of the Condensed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spacing w:after="0" w:line="138"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w:t>
      </w:r>
    </w:p>
    <w:p>
      <w:pPr>
        <w:spacing w:after="0" w:line="138"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Commission revenue recognition and commissions receivable;</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Share-based compensation;</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Intangible assets;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Impairment of operating lease ROU assets;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Liabilities pursuant to the TRA.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31</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4" w:name="page35"/>
    <w:bookmarkEnd w:id="34"/>
    <w:p>
      <w:pPr>
        <w:ind w:right="60"/>
        <w:spacing w:after="0" w:line="261" w:lineRule="auto"/>
        <w:rPr>
          <w:sz w:val="20"/>
          <w:szCs w:val="20"/>
          <w:color w:val="auto"/>
        </w:rPr>
      </w:pPr>
      <w:r>
        <w:rPr>
          <w:rFonts w:ascii="Arial" w:cs="Arial" w:eastAsia="Arial" w:hAnsi="Arial"/>
          <w:sz w:val="13"/>
          <w:szCs w:val="13"/>
          <w:color w:val="auto"/>
        </w:rPr>
        <w:t>Our critical accounting policies are described under the heading “Management’s Discussion and Analysis of Financial Condition and Results of Operations—Critical Accounting Policies and Estimates” in our 2023 Annual Report on Form 10-K. During the three months ended March 31, 2024, there were no material changes to our critical accounting policies from those discussed in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As a smaller reporting company, we are not required to include disclosure under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Effectiveness of Controls and Procedures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65"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200" w:lineRule="exact"/>
        <w:rPr>
          <w:rFonts w:ascii="Arial" w:cs="Arial" w:eastAsia="Arial" w:hAnsi="Arial"/>
          <w:sz w:val="13"/>
          <w:szCs w:val="13"/>
          <w:color w:val="auto"/>
        </w:rPr>
      </w:pPr>
    </w:p>
    <w:p>
      <w:pPr>
        <w:ind w:left="520" w:right="180" w:hanging="260"/>
        <w:spacing w:after="0" w:line="266"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56" w:lineRule="exact"/>
        <w:rPr>
          <w:rFonts w:ascii="Arial" w:cs="Arial" w:eastAsia="Arial" w:hAnsi="Arial"/>
          <w:sz w:val="13"/>
          <w:szCs w:val="13"/>
          <w:color w:val="auto"/>
        </w:rPr>
      </w:pPr>
    </w:p>
    <w:p>
      <w:pPr>
        <w:ind w:left="520" w:right="480" w:hanging="260"/>
        <w:spacing w:after="0" w:line="283"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Our management conducted an evaluation of the effectiveness of our internal control over financial reporting as of March 31, 2024,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 Based on this evaluation and those criteria, our management concluded that our internal control over financial reporting was effective as of March 31, 2024.</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79"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There were no changes in our internal controls over financial reporting identified in management’s evaluation pursuant to Rules 13a-15(d) or 15d-15(d) of the Exchange Act during the quarter ended March 31, 2024 that materially affected, or are reasonably likely to materially affect, our internal control over financial reporting.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b w:val="1"/>
          <w:bCs w:val="1"/>
          <w:color w:val="0A2299"/>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698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1079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 LEGAL PROCEEDINGS.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11, “Commitments And Contingencies,” of the Notes to the Condensed Consolidated Financial Statements for information about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07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1A. RISK FACTORS.</w:t>
      </w:r>
    </w:p>
    <w:p>
      <w:pPr>
        <w:spacing w:after="0" w:line="254"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color w:val="auto"/>
        </w:rPr>
        <w:t>We refer you to our 2023 Annual Report on Form 10-K for a discussion of the risk factors that affect our business and financial results.There have been no material changes in our risk factors from those disclosed in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61530" cy="107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3. DEFAULTS UPON SENIOR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4. 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61530" cy="107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ITEM 5. OTHER INFORMATION.</w:t>
      </w:r>
    </w:p>
    <w:p>
      <w:pPr>
        <w:spacing w:after="0" w:line="264"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During the fiscal quarter ended March 31, 2024, none of our directors or officers (as defined in Rule 16a-1(f) under the Exchange Act) adopted, modified, or terminated a Rule 10b5-1 trading plan or a non-Rule 10b5-1 trading arrangement for our securities (as defined in Item 408(c) of Regulation S-K).</w:t>
      </w:r>
    </w:p>
    <w:p>
      <w:pPr>
        <w:spacing w:after="0" w:line="167" w:lineRule="exact"/>
        <w:rPr>
          <w:sz w:val="20"/>
          <w:szCs w:val="20"/>
          <w:color w:val="auto"/>
        </w:rPr>
      </w:pPr>
    </w:p>
    <w:p>
      <w:pPr>
        <w:ind w:right="80"/>
        <w:spacing w:after="0" w:line="250" w:lineRule="auto"/>
        <w:rPr>
          <w:sz w:val="20"/>
          <w:szCs w:val="20"/>
          <w:color w:val="auto"/>
        </w:rPr>
      </w:pPr>
      <w:r>
        <w:rPr>
          <w:rFonts w:ascii="Arial" w:cs="Arial" w:eastAsia="Arial" w:hAnsi="Arial"/>
          <w:sz w:val="12"/>
          <w:szCs w:val="12"/>
          <w:color w:val="auto"/>
        </w:rPr>
        <w:t>On May 8, 2024, GoHealth, Inc. (the “Company”) and GoHealth Holdings, LLC signed an Amended and Restated Employment Agreement (the “Employment Agreement”) with one of its named executive officers, Michael Hargis. The Employment Agreement updates the previous employment agreement entered into with Mr. Hargis in connection with his role as Chief Customer Experience Officer. The Employment Agreement states the base salary, bonus and shares of common stock issuable pursuant to restricted stock units that were established at the time he assumed the role of Chief Operating Officer on July 31, 2023 and have been previously described in the Executive Compensation Overview of the Company’s Definitive Proxy Statement filed with the Securities and Exchange Commission on April 26, 2024. In addition, the Employment Agreement states that in the event of a termination of Mr. Hargis by the Company without cause or Mr. Hargis’ resignation for good reason, Mr. Hargis will receive (i) one year of salary continuation, unless such termination occurs within twelve (12) months of a change in control, in which case the period is increased to two (2) years; (ii) the annual bonus for any completed fiscal year as of the date of termination that has not yet been paid as of the date of termination (“Prior Year Bonus”), if any, plus a pro-rated portion of the annual bonus for the year in which the date of termination occurs based on the number of months for which Mr. Hargis was employed during such year prior to the date of termination (“Pro-Rated Bonus”), unless such termination occurs within twelve (12) months of a change in control, in which case the severance bonus shall be equal to the sum of the Prior Year Bonus, if any, and the product of two (2) multiplied by the Pro-Rated Bonus; and (iii) reimbursement of one year of the Company’s share of COBRA premium payments in an amount equal to what the Company pays for the health insurance premiums of other executive level employees at the Company, unless such termination occurs within twelve (12) months of a change in control, in which case the period is increased to two</w:t>
      </w:r>
    </w:p>
    <w:p>
      <w:pPr>
        <w:spacing w:after="0" w:line="1" w:lineRule="exact"/>
        <w:rPr>
          <w:sz w:val="20"/>
          <w:szCs w:val="20"/>
          <w:color w:val="auto"/>
        </w:rPr>
      </w:pPr>
    </w:p>
    <w:p>
      <w:pPr>
        <w:ind w:right="120" w:firstLine="5"/>
        <w:spacing w:after="0" w:line="236" w:lineRule="auto"/>
        <w:tabs>
          <w:tab w:leader="none" w:pos="191" w:val="left"/>
        </w:tabs>
        <w:numPr>
          <w:ilvl w:val="0"/>
          <w:numId w:val="17"/>
        </w:numPr>
        <w:rPr>
          <w:rFonts w:ascii="Arial" w:cs="Arial" w:eastAsia="Arial" w:hAnsi="Arial"/>
          <w:sz w:val="13"/>
          <w:szCs w:val="13"/>
          <w:color w:val="auto"/>
        </w:rPr>
      </w:pPr>
      <w:r>
        <w:rPr>
          <w:rFonts w:ascii="Arial" w:cs="Arial" w:eastAsia="Arial" w:hAnsi="Arial"/>
          <w:sz w:val="13"/>
          <w:szCs w:val="13"/>
          <w:color w:val="auto"/>
        </w:rPr>
        <w:t>years and (iv) twelve (12) months of continued vesting for any and all unvested Restricted Stock Units, Performance Stock Units, and/or options granted to Mr. Hargis that are scheduled to occur within twelve (12) months following Mr. Hargis’ termination date; in each case subject to Mr. Hargis executing a release of claims in favor of the Company and complying with any restrictive covenants through the period of payment.</w:t>
      </w:r>
    </w:p>
    <w:p>
      <w:pPr>
        <w:spacing w:after="0" w:line="162" w:lineRule="exact"/>
        <w:rPr>
          <w:sz w:val="20"/>
          <w:szCs w:val="20"/>
          <w:color w:val="auto"/>
        </w:rPr>
      </w:pPr>
    </w:p>
    <w:p>
      <w:pPr>
        <w:ind w:right="420"/>
        <w:spacing w:after="0" w:line="249" w:lineRule="auto"/>
        <w:rPr>
          <w:sz w:val="20"/>
          <w:szCs w:val="20"/>
          <w:color w:val="auto"/>
        </w:rPr>
      </w:pPr>
      <w:r>
        <w:rPr>
          <w:rFonts w:ascii="Arial" w:cs="Arial" w:eastAsia="Arial" w:hAnsi="Arial"/>
          <w:sz w:val="13"/>
          <w:szCs w:val="13"/>
          <w:color w:val="auto"/>
        </w:rPr>
        <w:t>The foregoing summary of the terms of the Employment Agreement does not purport to be complete and is qualified in its entirety by reference to the Employment Agreement, a copy of which is attached hereto as Exhibit 10.2.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107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t>ITEM 6. EXHIBITS.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Incorporated by Reference</w:t>
            </w:r>
          </w:p>
        </w:tc>
        <w:tc>
          <w:tcPr>
            <w:tcW w:w="1040" w:type="dxa"/>
            <w:vAlign w:val="bottom"/>
            <w:tcBorders>
              <w:bottom w:val="single" w:sz="8" w:color="auto"/>
            </w:tcBorders>
          </w:tcPr>
          <w:p>
            <w:pPr>
              <w:spacing w:after="0"/>
              <w:rPr>
                <w:sz w:val="13"/>
                <w:szCs w:val="13"/>
                <w:color w:val="auto"/>
              </w:rPr>
            </w:pPr>
          </w:p>
        </w:tc>
      </w:tr>
      <w:tr>
        <w:trPr>
          <w:trHeight w:val="266"/>
        </w:trPr>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Exhibit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Filing</w:t>
            </w:r>
          </w:p>
        </w:tc>
      </w:tr>
      <w:tr>
        <w:trPr>
          <w:trHeight w:val="160"/>
        </w:trPr>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40" w:type="dxa"/>
            <w:vAlign w:val="bottom"/>
            <w:tcBorders>
              <w:bottom w:val="single" w:sz="8" w:color="auto"/>
            </w:tcBorders>
            <w:gridSpan w:val="14"/>
          </w:tcPr>
          <w:p>
            <w:pPr>
              <w:ind w:left="1440"/>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File No.</w:t>
            </w:r>
          </w:p>
        </w:tc>
        <w:tc>
          <w:tcPr>
            <w:tcW w:w="100" w:type="dxa"/>
            <w:vAlign w:val="bottom"/>
          </w:tcPr>
          <w:p>
            <w:pPr>
              <w:spacing w:after="0"/>
              <w:rPr>
                <w:sz w:val="13"/>
                <w:szCs w:val="13"/>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134"/>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60" w:type="dxa"/>
            <w:vAlign w:val="bottom"/>
            <w:gridSpan w:val="17"/>
          </w:tcPr>
          <w:p>
            <w:pPr>
              <w:spacing w:after="0"/>
              <w:rPr>
                <w:rFonts w:ascii="Arial" w:cs="Arial" w:eastAsia="Arial" w:hAnsi="Arial"/>
                <w:sz w:val="11"/>
                <w:szCs w:val="11"/>
                <w:color w:val="0000FF"/>
              </w:rPr>
            </w:pPr>
            <w:hyperlink r:id="rId126">
              <w:r>
                <w:rPr>
                  <w:rFonts w:ascii="Arial" w:cs="Arial" w:eastAsia="Arial" w:hAnsi="Arial"/>
                  <w:sz w:val="11"/>
                  <w:szCs w:val="11"/>
                  <w:color w:val="0000FF"/>
                </w:rPr>
                <w:t>Amended and Restated Certificate of Incorporation of GoHealth, Inc.</w:t>
              </w:r>
            </w:hyperlink>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5"/>
          </w:tcPr>
          <w:p>
            <w:pPr>
              <w:spacing w:after="0"/>
              <w:rPr>
                <w:rFonts w:ascii="Arial" w:cs="Arial" w:eastAsia="Arial" w:hAnsi="Arial"/>
                <w:sz w:val="11"/>
                <w:szCs w:val="11"/>
                <w:color w:val="0000FF"/>
              </w:rPr>
            </w:pPr>
            <w:hyperlink r:id="rId127">
              <w:r>
                <w:rPr>
                  <w:rFonts w:ascii="Arial" w:cs="Arial" w:eastAsia="Arial" w:hAnsi="Arial"/>
                  <w:sz w:val="11"/>
                  <w:szCs w:val="11"/>
                  <w:color w:val="0000FF"/>
                </w:rPr>
                <w:t>Amended and Restated Bylaws of GoHealth, Inc.</w:t>
              </w:r>
            </w:hyperlink>
          </w:p>
        </w:tc>
        <w:tc>
          <w:tcPr>
            <w:tcW w:w="1640" w:type="dxa"/>
            <w:vAlign w:val="bottom"/>
            <w:gridSpan w:val="12"/>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bottom w:val="single" w:sz="8" w:color="0000FF"/>
            </w:tcBorders>
            <w:gridSpan w:val="14"/>
          </w:tcPr>
          <w:p>
            <w:pPr>
              <w:spacing w:after="0"/>
              <w:rPr>
                <w:rFonts w:ascii="Arial" w:cs="Arial" w:eastAsia="Arial" w:hAnsi="Arial"/>
                <w:sz w:val="11"/>
                <w:szCs w:val="11"/>
                <w:color w:val="0000FF"/>
              </w:rPr>
            </w:pPr>
            <w:hyperlink r:id="rId128">
              <w:r>
                <w:rPr>
                  <w:rFonts w:ascii="Arial" w:cs="Arial" w:eastAsia="Arial" w:hAnsi="Arial"/>
                  <w:sz w:val="11"/>
                  <w:szCs w:val="11"/>
                  <w:color w:val="0000FF"/>
                </w:rPr>
                <w:t>Certificate of Designations of Series A Convertible Perpetual Preferred Stock of GoHealth, Inc.</w:t>
              </w:r>
            </w:hyperlink>
          </w:p>
        </w:tc>
        <w:tc>
          <w:tcPr>
            <w:tcW w:w="320" w:type="dxa"/>
            <w:vAlign w:val="bottom"/>
            <w:gridSpan w:val="3"/>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9/26/2022</w:t>
            </w: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gridSpan w:val="17"/>
          </w:tcPr>
          <w:p>
            <w:pPr>
              <w:spacing w:after="0"/>
              <w:rPr>
                <w:rFonts w:ascii="Arial" w:cs="Arial" w:eastAsia="Arial" w:hAnsi="Arial"/>
                <w:sz w:val="11"/>
                <w:szCs w:val="11"/>
                <w:color w:val="0000FF"/>
              </w:rPr>
            </w:pPr>
            <w:hyperlink r:id="rId129">
              <w:r>
                <w:rPr>
                  <w:rFonts w:ascii="Arial" w:cs="Arial" w:eastAsia="Arial" w:hAnsi="Arial"/>
                  <w:sz w:val="11"/>
                  <w:szCs w:val="11"/>
                  <w:color w:val="0000FF"/>
                </w:rPr>
                <w:t>Certificate of Designations of Series A-1 Convertible Non-Voting Perpetual Preferred Stock of</w:t>
              </w:r>
            </w:hyperlink>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9/26/2022</w:t>
            </w: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2"/>
          </w:tcPr>
          <w:p>
            <w:pPr>
              <w:spacing w:after="0" w:line="118" w:lineRule="exact"/>
              <w:rPr>
                <w:rFonts w:ascii="Arial" w:cs="Arial" w:eastAsia="Arial" w:hAnsi="Arial"/>
                <w:sz w:val="11"/>
                <w:szCs w:val="11"/>
                <w:color w:val="0000FF"/>
              </w:rPr>
            </w:pPr>
            <w:hyperlink r:id="rId129">
              <w:r>
                <w:rPr>
                  <w:rFonts w:ascii="Arial" w:cs="Arial" w:eastAsia="Arial" w:hAnsi="Arial"/>
                  <w:sz w:val="11"/>
                  <w:szCs w:val="11"/>
                  <w:color w:val="0000FF"/>
                </w:rPr>
                <w:t>GoHealth, Inc.</w:t>
              </w:r>
            </w:hyperlink>
          </w:p>
        </w:tc>
        <w:tc>
          <w:tcPr>
            <w:tcW w:w="400" w:type="dxa"/>
            <w:vAlign w:val="bottom"/>
            <w:gridSpan w:val="5"/>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bottom w:val="single" w:sz="8" w:color="0000FF"/>
            </w:tcBorders>
            <w:gridSpan w:val="7"/>
          </w:tcPr>
          <w:p>
            <w:pPr>
              <w:spacing w:after="0"/>
              <w:rPr>
                <w:rFonts w:ascii="Arial" w:cs="Arial" w:eastAsia="Arial" w:hAnsi="Arial"/>
                <w:sz w:val="11"/>
                <w:szCs w:val="11"/>
                <w:color w:val="0000FF"/>
              </w:rPr>
            </w:pPr>
            <w:hyperlink r:id="rId130">
              <w:r>
                <w:rPr>
                  <w:rFonts w:ascii="Arial" w:cs="Arial" w:eastAsia="Arial" w:hAnsi="Arial"/>
                  <w:sz w:val="11"/>
                  <w:szCs w:val="11"/>
                  <w:color w:val="0000FF"/>
                </w:rPr>
                <w:t>Specimen Stock Certificate evidencing the shares of Class A common stock.</w:t>
              </w:r>
            </w:hyperlink>
          </w:p>
        </w:tc>
        <w:tc>
          <w:tcPr>
            <w:tcW w:w="1220" w:type="dxa"/>
            <w:vAlign w:val="bottom"/>
            <w:gridSpan w:val="10"/>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6/19/2020</w:t>
            </w:r>
          </w:p>
        </w:tc>
      </w:tr>
      <w:tr>
        <w:trPr>
          <w:trHeight w:val="256"/>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10.1</w:t>
            </w:r>
          </w:p>
        </w:tc>
        <w:tc>
          <w:tcPr>
            <w:tcW w:w="60" w:type="dxa"/>
            <w:vAlign w:val="bottom"/>
          </w:tcPr>
          <w:p>
            <w:pPr>
              <w:spacing w:after="0"/>
              <w:rPr>
                <w:sz w:val="22"/>
                <w:szCs w:val="22"/>
                <w:color w:val="auto"/>
              </w:rPr>
            </w:pPr>
          </w:p>
        </w:tc>
        <w:tc>
          <w:tcPr>
            <w:tcW w:w="4880" w:type="dxa"/>
            <w:vAlign w:val="bottom"/>
            <w:tcBorders>
              <w:bottom w:val="single" w:sz="8" w:color="0000FF"/>
            </w:tcBorders>
            <w:gridSpan w:val="17"/>
          </w:tcPr>
          <w:p>
            <w:pPr>
              <w:spacing w:after="0"/>
              <w:rPr>
                <w:rFonts w:ascii="Arial" w:cs="Arial" w:eastAsia="Arial" w:hAnsi="Arial"/>
                <w:sz w:val="11"/>
                <w:szCs w:val="11"/>
                <w:color w:val="0000FF"/>
              </w:rPr>
            </w:pPr>
            <w:hyperlink r:id="rId131">
              <w:r>
                <w:rPr>
                  <w:rFonts w:ascii="Arial" w:cs="Arial" w:eastAsia="Arial" w:hAnsi="Arial"/>
                  <w:sz w:val="11"/>
                  <w:szCs w:val="11"/>
                  <w:color w:val="0000FF"/>
                </w:rPr>
                <w:t>Amendment No. 11 to the Credit Agreement, dated as of March 12, 2024, among Norvax, LLC, as</w:t>
              </w:r>
            </w:hyperlink>
          </w:p>
        </w:tc>
        <w:tc>
          <w:tcPr>
            <w:tcW w:w="220" w:type="dxa"/>
            <w:vAlign w:val="bottom"/>
            <w:gridSpan w:val="2"/>
          </w:tcPr>
          <w:p>
            <w:pPr>
              <w:spacing w:after="0"/>
              <w:rPr>
                <w:sz w:val="22"/>
                <w:szCs w:val="2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rPr>
              <w:t>10-K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10.10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3/14/2024</w:t>
            </w: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100" w:type="dxa"/>
            <w:vAlign w:val="bottom"/>
            <w:gridSpan w:val="19"/>
          </w:tcPr>
          <w:p>
            <w:pPr>
              <w:spacing w:after="0" w:line="118" w:lineRule="exact"/>
              <w:rPr>
                <w:rFonts w:ascii="Arial" w:cs="Arial" w:eastAsia="Arial" w:hAnsi="Arial"/>
                <w:sz w:val="11"/>
                <w:szCs w:val="11"/>
                <w:color w:val="0000FF"/>
              </w:rPr>
            </w:pPr>
            <w:hyperlink r:id="rId131">
              <w:r>
                <w:rPr>
                  <w:rFonts w:ascii="Arial" w:cs="Arial" w:eastAsia="Arial" w:hAnsi="Arial"/>
                  <w:sz w:val="11"/>
                  <w:szCs w:val="11"/>
                  <w:color w:val="0000FF"/>
                </w:rPr>
                <w:t>borrower, Blue Owl Capital Corporation, as administrative agent, collateral agent and required</w:t>
              </w:r>
            </w:hyperlink>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07"/>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top w:val="single" w:sz="8" w:color="0000FF"/>
              <w:bottom w:val="single" w:sz="8" w:color="0000FF"/>
            </w:tcBorders>
            <w:gridSpan w:val="3"/>
          </w:tcPr>
          <w:p>
            <w:pPr>
              <w:spacing w:after="0" w:line="107" w:lineRule="exact"/>
              <w:rPr>
                <w:rFonts w:ascii="Arial" w:cs="Arial" w:eastAsia="Arial" w:hAnsi="Arial"/>
                <w:sz w:val="11"/>
                <w:szCs w:val="11"/>
                <w:color w:val="0000FF"/>
                <w:w w:val="96"/>
              </w:rPr>
            </w:pPr>
            <w:hyperlink r:id="rId131">
              <w:r>
                <w:rPr>
                  <w:rFonts w:ascii="Arial" w:cs="Arial" w:eastAsia="Arial" w:hAnsi="Arial"/>
                  <w:sz w:val="11"/>
                  <w:szCs w:val="11"/>
                  <w:color w:val="0000FF"/>
                  <w:w w:val="96"/>
                </w:rPr>
                <w:t>lenders.</w:t>
              </w:r>
            </w:hyperlink>
          </w:p>
        </w:tc>
        <w:tc>
          <w:tcPr>
            <w:tcW w:w="4280" w:type="dxa"/>
            <w:vAlign w:val="bottom"/>
            <w:tcBorders>
              <w:top w:val="single" w:sz="8" w:color="0000FF"/>
            </w:tcBorders>
            <w:gridSpan w:val="10"/>
          </w:tcPr>
          <w:p>
            <w:pPr>
              <w:spacing w:after="0"/>
              <w:rPr>
                <w:sz w:val="9"/>
                <w:szCs w:val="9"/>
                <w:color w:val="auto"/>
              </w:rPr>
            </w:pPr>
          </w:p>
        </w:tc>
        <w:tc>
          <w:tcPr>
            <w:tcW w:w="80" w:type="dxa"/>
            <w:vAlign w:val="bottom"/>
            <w:gridSpan w:val="2"/>
          </w:tcPr>
          <w:p>
            <w:pPr>
              <w:spacing w:after="0"/>
              <w:rPr>
                <w:sz w:val="9"/>
                <w:szCs w:val="9"/>
                <w:color w:val="auto"/>
              </w:rPr>
            </w:pPr>
          </w:p>
        </w:tc>
        <w:tc>
          <w:tcPr>
            <w:tcW w:w="340" w:type="dxa"/>
            <w:vAlign w:val="bottom"/>
            <w:gridSpan w:val="4"/>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60"/>
        </w:trPr>
        <w:tc>
          <w:tcPr>
            <w:tcW w:w="1040" w:type="dxa"/>
            <w:vAlign w:val="bottom"/>
          </w:tcPr>
          <w:p>
            <w:pPr>
              <w:jc w:val="center"/>
              <w:spacing w:after="0"/>
              <w:rPr>
                <w:sz w:val="20"/>
                <w:szCs w:val="20"/>
                <w:color w:val="auto"/>
              </w:rPr>
            </w:pPr>
            <w:r>
              <w:rPr>
                <w:rFonts w:ascii="Arial" w:cs="Arial" w:eastAsia="Arial" w:hAnsi="Arial"/>
                <w:sz w:val="11"/>
                <w:szCs w:val="11"/>
                <w:color w:val="auto"/>
              </w:rPr>
              <w:t>10.2#</w:t>
            </w:r>
          </w:p>
        </w:tc>
        <w:tc>
          <w:tcPr>
            <w:tcW w:w="60" w:type="dxa"/>
            <w:vAlign w:val="bottom"/>
          </w:tcPr>
          <w:p>
            <w:pPr>
              <w:spacing w:after="0"/>
              <w:rPr>
                <w:sz w:val="13"/>
                <w:szCs w:val="13"/>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0000FF"/>
              </w:rPr>
              <w:t>Amended and Restated Employment Agreement signed May 8, 2024, by and among GoHealth,</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20" w:type="dxa"/>
            <w:vAlign w:val="bottom"/>
            <w:tcBorders>
              <w:top w:val="single" w:sz="8" w:color="0000FF"/>
              <w:bottom w:val="single" w:sz="8" w:color="0000FF"/>
            </w:tcBorders>
            <w:gridSpan w:val="6"/>
          </w:tcPr>
          <w:p>
            <w:pPr>
              <w:spacing w:after="0" w:line="118" w:lineRule="exact"/>
              <w:rPr>
                <w:sz w:val="20"/>
                <w:szCs w:val="20"/>
                <w:color w:val="auto"/>
              </w:rPr>
            </w:pPr>
            <w:r>
              <w:rPr>
                <w:rFonts w:ascii="Arial" w:cs="Arial" w:eastAsia="Arial" w:hAnsi="Arial"/>
                <w:sz w:val="11"/>
                <w:szCs w:val="11"/>
                <w:color w:val="0000FF"/>
              </w:rPr>
              <w:t>Inc., GoHealth Holdings, LLC, and Michael Hargis.</w:t>
            </w:r>
          </w:p>
        </w:tc>
        <w:tc>
          <w:tcPr>
            <w:tcW w:w="2240" w:type="dxa"/>
            <w:vAlign w:val="bottom"/>
            <w:tcBorders>
              <w:top w:val="single" w:sz="8" w:color="0000FF"/>
            </w:tcBorders>
            <w:gridSpan w:val="9"/>
          </w:tcPr>
          <w:p>
            <w:pPr>
              <w:spacing w:after="0"/>
              <w:rPr>
                <w:sz w:val="10"/>
                <w:szCs w:val="10"/>
                <w:color w:val="auto"/>
              </w:rPr>
            </w:pPr>
          </w:p>
        </w:tc>
        <w:tc>
          <w:tcPr>
            <w:tcW w:w="340" w:type="dxa"/>
            <w:vAlign w:val="bottom"/>
            <w:gridSpan w:val="4"/>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31.1</w:t>
            </w:r>
          </w:p>
        </w:tc>
        <w:tc>
          <w:tcPr>
            <w:tcW w:w="60" w:type="dxa"/>
            <w:vAlign w:val="bottom"/>
          </w:tcPr>
          <w:p>
            <w:pPr>
              <w:spacing w:after="0"/>
              <w:rPr>
                <w:sz w:val="13"/>
                <w:szCs w:val="13"/>
                <w:color w:val="auto"/>
              </w:rPr>
            </w:pPr>
          </w:p>
        </w:tc>
        <w:tc>
          <w:tcPr>
            <w:tcW w:w="4040" w:type="dxa"/>
            <w:vAlign w:val="bottom"/>
            <w:tcBorders>
              <w:bottom w:val="single" w:sz="8" w:color="0000FF"/>
            </w:tcBorders>
            <w:gridSpan w:val="12"/>
          </w:tcPr>
          <w:p>
            <w:pPr>
              <w:spacing w:after="0"/>
              <w:rPr>
                <w:sz w:val="20"/>
                <w:szCs w:val="20"/>
                <w:color w:val="auto"/>
              </w:rPr>
            </w:pPr>
            <w:r>
              <w:rPr>
                <w:rFonts w:ascii="Arial" w:cs="Arial" w:eastAsia="Arial" w:hAnsi="Arial"/>
                <w:sz w:val="11"/>
                <w:szCs w:val="11"/>
                <w:color w:val="0000FF"/>
              </w:rPr>
              <w:t>Certification of Chief Executive Officer pursuant to Exchange Act Rule 13a-14(a).</w:t>
            </w:r>
          </w:p>
        </w:tc>
        <w:tc>
          <w:tcPr>
            <w:tcW w:w="1060" w:type="dxa"/>
            <w:vAlign w:val="bottom"/>
            <w:gridSpan w:val="7"/>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31.2</w:t>
            </w:r>
          </w:p>
        </w:tc>
        <w:tc>
          <w:tcPr>
            <w:tcW w:w="60" w:type="dxa"/>
            <w:vAlign w:val="bottom"/>
          </w:tcPr>
          <w:p>
            <w:pPr>
              <w:spacing w:after="0"/>
              <w:rPr>
                <w:sz w:val="13"/>
                <w:szCs w:val="13"/>
                <w:color w:val="auto"/>
              </w:rPr>
            </w:pPr>
          </w:p>
        </w:tc>
        <w:tc>
          <w:tcPr>
            <w:tcW w:w="4000" w:type="dxa"/>
            <w:vAlign w:val="bottom"/>
            <w:tcBorders>
              <w:bottom w:val="single" w:sz="8" w:color="0000FF"/>
            </w:tcBorders>
            <w:gridSpan w:val="11"/>
          </w:tcPr>
          <w:p>
            <w:pPr>
              <w:spacing w:after="0"/>
              <w:rPr>
                <w:sz w:val="20"/>
                <w:szCs w:val="20"/>
                <w:color w:val="auto"/>
              </w:rPr>
            </w:pPr>
            <w:r>
              <w:rPr>
                <w:rFonts w:ascii="Arial" w:cs="Arial" w:eastAsia="Arial" w:hAnsi="Arial"/>
                <w:sz w:val="11"/>
                <w:szCs w:val="11"/>
                <w:color w:val="0000FF"/>
              </w:rPr>
              <w:t>Certification of Chief Financial Officer pursuant to Exchange Act Rule 13a-14(a).</w:t>
            </w:r>
          </w:p>
        </w:tc>
        <w:tc>
          <w:tcPr>
            <w:tcW w:w="1100" w:type="dxa"/>
            <w:vAlign w:val="bottom"/>
            <w:gridSpan w:val="8"/>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32.1</w:t>
            </w:r>
          </w:p>
        </w:tc>
        <w:tc>
          <w:tcPr>
            <w:tcW w:w="60" w:type="dxa"/>
            <w:vAlign w:val="bottom"/>
          </w:tcPr>
          <w:p>
            <w:pPr>
              <w:spacing w:after="0"/>
              <w:rPr>
                <w:sz w:val="13"/>
                <w:szCs w:val="13"/>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0000FF"/>
              </w:rPr>
              <w:t>Certification of Principal Executive Officer pursuant to 18 U.S.C. Section 1350.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32.2</w:t>
            </w:r>
          </w:p>
        </w:tc>
        <w:tc>
          <w:tcPr>
            <w:tcW w:w="6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1"/>
                <w:szCs w:val="11"/>
                <w:color w:val="0000FF"/>
              </w:rPr>
              <w:t>Certification of Chief Financial Officer pursuant to 18 U.S.C. Section 1350.</w:t>
            </w:r>
          </w:p>
        </w:tc>
        <w:tc>
          <w:tcPr>
            <w:tcW w:w="200" w:type="dxa"/>
            <w:vAlign w:val="bottom"/>
            <w:tcBorders>
              <w:top w:val="single" w:sz="8" w:color="0000FF"/>
            </w:tcBorders>
            <w:gridSpan w:val="2"/>
          </w:tcPr>
          <w:p>
            <w:pPr>
              <w:spacing w:after="0"/>
              <w:rPr>
                <w:sz w:val="13"/>
                <w:szCs w:val="13"/>
                <w:color w:val="auto"/>
              </w:rPr>
            </w:pPr>
          </w:p>
        </w:tc>
        <w:tc>
          <w:tcPr>
            <w:tcW w:w="1200" w:type="dxa"/>
            <w:vAlign w:val="bottom"/>
            <w:gridSpan w:val="9"/>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5"/>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101.INS</w:t>
            </w:r>
          </w:p>
        </w:tc>
        <w:tc>
          <w:tcPr>
            <w:tcW w:w="60" w:type="dxa"/>
            <w:vAlign w:val="bottom"/>
          </w:tcPr>
          <w:p>
            <w:pPr>
              <w:spacing w:after="0"/>
              <w:rPr>
                <w:sz w:val="15"/>
                <w:szCs w:val="15"/>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48"/>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File because its XBRL tags are embedded within the Inline XBRL document.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101.SCH</w:t>
            </w:r>
          </w:p>
        </w:tc>
        <w:tc>
          <w:tcPr>
            <w:tcW w:w="60" w:type="dxa"/>
            <w:vAlign w:val="bottom"/>
          </w:tcPr>
          <w:p>
            <w:pPr>
              <w:spacing w:after="0"/>
              <w:rPr>
                <w:sz w:val="15"/>
                <w:szCs w:val="15"/>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Inline XBRL Taxonomy Extension Schema Document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1040" w:type="dxa"/>
            <w:vAlign w:val="bottom"/>
          </w:tcPr>
          <w:p>
            <w:pPr>
              <w:jc w:val="center"/>
              <w:spacing w:after="0"/>
              <w:rPr>
                <w:sz w:val="20"/>
                <w:szCs w:val="20"/>
                <w:color w:val="auto"/>
              </w:rPr>
            </w:pPr>
            <w:r>
              <w:rPr>
                <w:rFonts w:ascii="Arial" w:cs="Arial" w:eastAsia="Arial" w:hAnsi="Arial"/>
                <w:sz w:val="11"/>
                <w:szCs w:val="11"/>
                <w:color w:val="auto"/>
              </w:rPr>
              <w:t>101.CAL</w:t>
            </w:r>
          </w:p>
        </w:tc>
        <w:tc>
          <w:tcPr>
            <w:tcW w:w="60" w:type="dxa"/>
            <w:vAlign w:val="bottom"/>
          </w:tcPr>
          <w:p>
            <w:pPr>
              <w:spacing w:after="0"/>
              <w:rPr>
                <w:sz w:val="15"/>
                <w:szCs w:val="15"/>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101.DEF</w:t>
            </w:r>
          </w:p>
        </w:tc>
        <w:tc>
          <w:tcPr>
            <w:tcW w:w="60" w:type="dxa"/>
            <w:vAlign w:val="bottom"/>
          </w:tcPr>
          <w:p>
            <w:pPr>
              <w:spacing w:after="0"/>
              <w:rPr>
                <w:sz w:val="15"/>
                <w:szCs w:val="15"/>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w w:val="99"/>
              </w:rPr>
              <w:t>101.LAB</w:t>
            </w:r>
          </w:p>
        </w:tc>
        <w:tc>
          <w:tcPr>
            <w:tcW w:w="60" w:type="dxa"/>
            <w:vAlign w:val="bottom"/>
          </w:tcPr>
          <w:p>
            <w:pPr>
              <w:spacing w:after="0"/>
              <w:rPr>
                <w:sz w:val="15"/>
                <w:szCs w:val="15"/>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Inline XBRL Taxonomy Extension Label Linkbase Document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1040" w:type="dxa"/>
            <w:vAlign w:val="bottom"/>
          </w:tcPr>
          <w:p>
            <w:pPr>
              <w:jc w:val="center"/>
              <w:ind w:right="3"/>
              <w:spacing w:after="0"/>
              <w:rPr>
                <w:sz w:val="20"/>
                <w:szCs w:val="20"/>
                <w:color w:val="auto"/>
              </w:rPr>
            </w:pPr>
            <w:r>
              <w:rPr>
                <w:rFonts w:ascii="Arial" w:cs="Arial" w:eastAsia="Arial" w:hAnsi="Arial"/>
                <w:sz w:val="11"/>
                <w:szCs w:val="11"/>
                <w:color w:val="auto"/>
              </w:rPr>
              <w:t>101.PRE</w:t>
            </w:r>
          </w:p>
        </w:tc>
        <w:tc>
          <w:tcPr>
            <w:tcW w:w="60" w:type="dxa"/>
            <w:vAlign w:val="bottom"/>
          </w:tcPr>
          <w:p>
            <w:pPr>
              <w:spacing w:after="0"/>
              <w:rPr>
                <w:sz w:val="15"/>
                <w:szCs w:val="15"/>
                <w:color w:val="auto"/>
              </w:rPr>
            </w:pPr>
          </w:p>
        </w:tc>
        <w:tc>
          <w:tcPr>
            <w:tcW w:w="5100" w:type="dxa"/>
            <w:vAlign w:val="bottom"/>
            <w:gridSpan w:val="19"/>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32" w:lineRule="exact"/>
        <w:rPr>
          <w:sz w:val="20"/>
          <w:szCs w:val="20"/>
          <w:color w:val="auto"/>
        </w:rPr>
      </w:pPr>
    </w:p>
    <w:p>
      <w:pPr>
        <w:ind w:left="1100" w:hanging="701"/>
        <w:spacing w:after="0"/>
        <w:tabs>
          <w:tab w:leader="none" w:pos="1100" w:val="left"/>
        </w:tabs>
        <w:numPr>
          <w:ilvl w:val="1"/>
          <w:numId w:val="18"/>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and contained in Exhibit 101)</w:t>
      </w:r>
    </w:p>
    <w:p>
      <w:pPr>
        <w:spacing w:after="0" w:line="9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Filed herewith.</w:t>
      </w:r>
    </w:p>
    <w:p>
      <w:pPr>
        <w:spacing w:after="0" w:line="21" w:lineRule="exact"/>
        <w:rPr>
          <w:rFonts w:ascii="Arial" w:cs="Arial" w:eastAsia="Arial" w:hAnsi="Arial"/>
          <w:sz w:val="11"/>
          <w:szCs w:val="11"/>
          <w:color w:val="auto"/>
        </w:rPr>
      </w:pPr>
    </w:p>
    <w:p>
      <w:pPr>
        <w:ind w:left="220" w:hanging="215"/>
        <w:spacing w:after="0"/>
        <w:tabs>
          <w:tab w:leader="none" w:pos="2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Furnished herewith.</w:t>
      </w:r>
    </w:p>
    <w:p>
      <w:pPr>
        <w:spacing w:after="0" w:line="11" w:lineRule="exact"/>
        <w:rPr>
          <w:sz w:val="20"/>
          <w:szCs w:val="20"/>
          <w:color w:val="auto"/>
        </w:rPr>
      </w:pPr>
    </w:p>
    <w:p>
      <w:pPr>
        <w:ind w:left="200" w:hanging="195"/>
        <w:spacing w:after="0"/>
        <w:tabs>
          <w:tab w:leader="none" w:pos="2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379" w:lineRule="exact"/>
        <w:rPr>
          <w:sz w:val="20"/>
          <w:szCs w:val="20"/>
          <w:color w:val="auto"/>
        </w:rPr>
      </w:pPr>
    </w:p>
    <w:tbl>
      <w:tblPr>
        <w:tblLayout w:type="fixed"/>
        <w:tblInd w:w="3760" w:type="dxa"/>
        <w:tblCellMar>
          <w:top w:w="0" w:type="dxa"/>
          <w:left w:w="0" w:type="dxa"/>
          <w:bottom w:w="0" w:type="dxa"/>
          <w:right w:w="0" w:type="dxa"/>
        </w:tblCellMar>
      </w:tblPr>
      <w:tr>
        <w:trPr>
          <w:trHeight w:val="15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180" w:type="dxa"/>
            <w:vAlign w:val="bottom"/>
          </w:tcPr>
          <w:p>
            <w:pPr>
              <w:jc w:val="right"/>
              <w:spacing w:after="0"/>
              <w:rPr>
                <w:sz w:val="20"/>
                <w:szCs w:val="20"/>
                <w:color w:val="auto"/>
              </w:rPr>
            </w:pPr>
            <w:r>
              <w:rPr>
                <w:rFonts w:ascii="Arial" w:cs="Arial" w:eastAsia="Arial" w:hAnsi="Arial"/>
                <w:sz w:val="11"/>
                <w:szCs w:val="11"/>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88265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line="288" w:lineRule="auto"/>
        <w:rPr>
          <w:sz w:val="20"/>
          <w:szCs w:val="20"/>
          <w:color w:val="auto"/>
        </w:rPr>
      </w:pPr>
      <w:r>
        <w:rPr>
          <w:rFonts w:ascii="Arial" w:cs="Arial" w:eastAsia="Arial" w:hAnsi="Arial"/>
          <w:sz w:val="11"/>
          <w:szCs w:val="11"/>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-15240</wp:posOffset>
            </wp:positionV>
            <wp:extent cx="7004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00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t>
      </w:r>
    </w:p>
    <w:p>
      <w:pPr>
        <w:sectPr>
          <w:pgSz w:w="11900" w:h="16838" w:orient="portrait"/>
          <w:cols w:equalWidth="0" w:num="2">
            <w:col w:w="10080" w:space="380"/>
            <w:col w:w="540"/>
          </w:cols>
          <w:pgMar w:left="300" w:top="1105" w:right="59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00497F"/>
        </w:rPr>
        <w:t>SIGNATURES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GoHealth, Inc.</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(Registrant)</w:t>
      </w:r>
    </w:p>
    <w:p>
      <w:pPr>
        <w:spacing w:after="0" w:line="114"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May 9, 2024</w:t>
      </w:r>
      <w:r>
        <w:rPr>
          <w:sz w:val="20"/>
          <w:szCs w:val="20"/>
          <w:color w:val="auto"/>
        </w:rPr>
        <w:tab/>
      </w:r>
      <w:r>
        <w:rPr>
          <w:rFonts w:ascii="Arial" w:cs="Arial" w:eastAsia="Arial" w:hAnsi="Arial"/>
          <w:sz w:val="12"/>
          <w:szCs w:val="12"/>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Vijay Kotte</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Executive Officer)</w:t>
      </w:r>
    </w:p>
    <w:p>
      <w:pPr>
        <w:spacing w:after="0" w:line="114"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May 9, 2024</w:t>
      </w:r>
      <w:r>
        <w:rPr>
          <w:sz w:val="20"/>
          <w:szCs w:val="20"/>
          <w:color w:val="auto"/>
        </w:rPr>
        <w:tab/>
      </w:r>
      <w:r>
        <w:rPr>
          <w:rFonts w:ascii="Arial" w:cs="Arial" w:eastAsia="Arial" w:hAnsi="Arial"/>
          <w:sz w:val="12"/>
          <w:szCs w:val="12"/>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Jason Schulz</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Financial Officer</w:t>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200" w:lineRule="exact"/>
        <w:rPr>
          <w:sz w:val="20"/>
          <w:szCs w:val="20"/>
          <w:color w:val="auto"/>
        </w:rPr>
      </w:pPr>
    </w:p>
    <w:p>
      <w:pPr>
        <w:spacing w:after="0" w:line="264" w:lineRule="exact"/>
        <w:rPr>
          <w:sz w:val="20"/>
          <w:szCs w:val="20"/>
          <w:color w:val="auto"/>
        </w:rPr>
      </w:pPr>
    </w:p>
    <w:tbl>
      <w:tblPr>
        <w:tblLayout w:type="fixed"/>
        <w:tblInd w:w="3760" w:type="dxa"/>
        <w:tblCellMar>
          <w:top w:w="0" w:type="dxa"/>
          <w:left w:w="0" w:type="dxa"/>
          <w:bottom w:w="0" w:type="dxa"/>
          <w:right w:w="0" w:type="dxa"/>
        </w:tblCellMar>
      </w:tblPr>
      <w:tr>
        <w:trPr>
          <w:trHeight w:val="15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2024 Form 10-Q</w:t>
            </w:r>
          </w:p>
        </w:tc>
        <w:tc>
          <w:tcPr>
            <w:tcW w:w="180" w:type="dxa"/>
            <w:vAlign w:val="bottom"/>
          </w:tcPr>
          <w:p>
            <w:pPr>
              <w:jc w:val="right"/>
              <w:spacing w:after="0"/>
              <w:rPr>
                <w:sz w:val="20"/>
                <w:szCs w:val="20"/>
                <w:color w:val="auto"/>
              </w:rPr>
            </w:pPr>
            <w:r>
              <w:rPr>
                <w:rFonts w:ascii="Arial" w:cs="Arial" w:eastAsia="Arial" w:hAnsi="Arial"/>
                <w:sz w:val="11"/>
                <w:szCs w:val="11"/>
                <w:color w:val="auto"/>
              </w:rPr>
              <w:t>35</w:t>
            </w:r>
          </w:p>
        </w:tc>
      </w:tr>
    </w:tbl>
    <w:p>
      <w:pPr>
        <w:sectPr>
          <w:pgSz w:w="11900" w:h="16838" w:orient="portrait"/>
          <w:cols w:equalWidth="0" w:num="1">
            <w:col w:w="10960"/>
          </w:cols>
          <w:pgMar w:left="300" w:top="1073" w:right="639" w:bottom="1440"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Vijay Kotte, certify that:</w:t>
      </w:r>
    </w:p>
    <w:p>
      <w:pPr>
        <w:spacing w:after="0" w:line="169" w:lineRule="exact"/>
        <w:rPr>
          <w:sz w:val="20"/>
          <w:szCs w:val="20"/>
          <w:color w:val="auto"/>
        </w:rPr>
      </w:pPr>
    </w:p>
    <w:p>
      <w:pPr>
        <w:ind w:left="760" w:hanging="373"/>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2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2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2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9, 2024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Vijay Kotte</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3" w:right="31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Jason Schulz, certify that:</w:t>
      </w:r>
    </w:p>
    <w:p>
      <w:pPr>
        <w:spacing w:after="0" w:line="169" w:lineRule="exact"/>
        <w:rPr>
          <w:sz w:val="20"/>
          <w:szCs w:val="20"/>
          <w:color w:val="auto"/>
        </w:rPr>
      </w:pPr>
    </w:p>
    <w:p>
      <w:pPr>
        <w:ind w:left="760" w:hanging="373"/>
        <w:spacing w:after="0"/>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GoHealth, Inc.;</w:t>
      </w:r>
    </w:p>
    <w:p>
      <w:pPr>
        <w:spacing w:after="0" w:line="179" w:lineRule="exact"/>
        <w:rPr>
          <w:rFonts w:ascii="Arial" w:cs="Arial" w:eastAsia="Arial" w:hAnsi="Arial"/>
          <w:sz w:val="13"/>
          <w:szCs w:val="13"/>
          <w:color w:val="auto"/>
        </w:rPr>
      </w:pPr>
    </w:p>
    <w:p>
      <w:pPr>
        <w:ind w:left="760" w:right="480" w:hanging="373"/>
        <w:spacing w:after="0" w:line="266" w:lineRule="auto"/>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760" w:right="120" w:hanging="373"/>
        <w:spacing w:after="0" w:line="283" w:lineRule="auto"/>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760" w:right="80" w:hanging="373"/>
        <w:spacing w:after="0" w:line="283" w:lineRule="auto"/>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3"/>
          <w:szCs w:val="13"/>
          <w:color w:val="auto"/>
        </w:rPr>
      </w:pPr>
    </w:p>
    <w:p>
      <w:pPr>
        <w:ind w:left="1160" w:right="200" w:hanging="391"/>
        <w:spacing w:after="0" w:line="261" w:lineRule="auto"/>
        <w:tabs>
          <w:tab w:leader="none" w:pos="1156" w:val="left"/>
        </w:tabs>
        <w:numPr>
          <w:ilvl w:val="1"/>
          <w:numId w:val="2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3"/>
          <w:szCs w:val="13"/>
          <w:color w:val="auto"/>
        </w:rPr>
      </w:pPr>
    </w:p>
    <w:p>
      <w:pPr>
        <w:ind w:left="1140" w:hanging="371"/>
        <w:spacing w:after="0"/>
        <w:tabs>
          <w:tab w:leader="none" w:pos="1140" w:val="left"/>
        </w:tabs>
        <w:numPr>
          <w:ilvl w:val="1"/>
          <w:numId w:val="22"/>
        </w:numPr>
        <w:rPr>
          <w:rFonts w:ascii="Arial" w:cs="Arial" w:eastAsia="Arial" w:hAnsi="Arial"/>
          <w:sz w:val="13"/>
          <w:szCs w:val="13"/>
          <w:color w:val="auto"/>
        </w:rPr>
      </w:pPr>
      <w:r>
        <w:rPr>
          <w:rFonts w:ascii="Arial" w:cs="Arial" w:eastAsia="Arial" w:hAnsi="Arial"/>
          <w:sz w:val="13"/>
          <w:szCs w:val="13"/>
          <w:color w:val="auto"/>
        </w:rPr>
        <w:t>[omitted];</w:t>
      </w:r>
    </w:p>
    <w:p>
      <w:pPr>
        <w:spacing w:after="0" w:line="168" w:lineRule="exact"/>
        <w:rPr>
          <w:rFonts w:ascii="Arial" w:cs="Arial" w:eastAsia="Arial" w:hAnsi="Arial"/>
          <w:sz w:val="13"/>
          <w:szCs w:val="13"/>
          <w:color w:val="auto"/>
        </w:rPr>
      </w:pPr>
    </w:p>
    <w:p>
      <w:pPr>
        <w:ind w:left="1160" w:right="20" w:hanging="391"/>
        <w:spacing w:after="0" w:line="283" w:lineRule="auto"/>
        <w:tabs>
          <w:tab w:leader="none" w:pos="1160" w:val="left"/>
        </w:tabs>
        <w:numPr>
          <w:ilvl w:val="1"/>
          <w:numId w:val="2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left="1160" w:right="180" w:hanging="391"/>
        <w:spacing w:after="0" w:line="327" w:lineRule="auto"/>
        <w:tabs>
          <w:tab w:leader="none" w:pos="1156" w:val="left"/>
        </w:tabs>
        <w:numPr>
          <w:ilvl w:val="1"/>
          <w:numId w:val="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ind w:left="760" w:right="280" w:hanging="373"/>
        <w:spacing w:after="0" w:line="266" w:lineRule="auto"/>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3"/>
          <w:szCs w:val="13"/>
          <w:color w:val="auto"/>
        </w:rPr>
      </w:pPr>
    </w:p>
    <w:p>
      <w:pPr>
        <w:ind w:left="1160" w:right="580" w:hanging="391"/>
        <w:spacing w:after="0" w:line="266" w:lineRule="auto"/>
        <w:tabs>
          <w:tab w:leader="none" w:pos="1156" w:val="left"/>
        </w:tabs>
        <w:numPr>
          <w:ilvl w:val="1"/>
          <w:numId w:val="2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1140" w:hanging="371"/>
        <w:spacing w:after="0"/>
        <w:tabs>
          <w:tab w:leader="none" w:pos="114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9, 2024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Jason Schulz</w:t>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p>
      <w:pPr>
        <w:sectPr>
          <w:pgSz w:w="11900" w:h="16838" w:orient="portrait"/>
          <w:cols w:equalWidth="0" w:num="1">
            <w:col w:w="11280"/>
          </w:cols>
          <w:pgMar w:left="300" w:top="903"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auto"/>
        </w:rPr>
        <w:t>Exhibit 32.1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March 31,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9, 2024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Vijay Kotte</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4"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b w:val="1"/>
          <w:bCs w:val="1"/>
          <w:color w:val="auto"/>
        </w:rPr>
        <w:t>Exhibit 32.2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5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In connection with the Quarterly Report on Form 10-Q of GoHealth, Inc. (the “Company”) for the period ended March 31,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437"/>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79" w:lineRule="exact"/>
        <w:rPr>
          <w:rFonts w:ascii="Arial" w:cs="Arial" w:eastAsia="Arial" w:hAnsi="Arial"/>
          <w:sz w:val="13"/>
          <w:szCs w:val="13"/>
          <w:color w:val="auto"/>
        </w:rPr>
      </w:pPr>
    </w:p>
    <w:p>
      <w:pPr>
        <w:ind w:left="760" w:hanging="437"/>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May 9, 2024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323405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Jason Schulz</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sectPr>
      <w:pgSz w:w="11900" w:h="16838" w:orient="portrait"/>
      <w:cols w:equalWidth="0" w:num="1">
        <w:col w:w="11280"/>
      </w:cols>
      <w:pgMar w:left="300" w:top="9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
      <w:numFmt w:val="bullet"/>
      <w:start w:val="1"/>
    </w:lvl>
    <w:lvl w:ilvl="1">
      <w:lvlJc w:val="left"/>
      <w:lvlText w:val="%2"/>
      <w:numFmt w:val="decimal"/>
      <w:start w:val="104"/>
    </w:lvl>
  </w:abstractNum>
  <w:abstractNum w:abstractNumId="18">
    <w:nsid w:val="333AB105"/>
    <w:multiLevelType w:val="hybridMultilevel"/>
    <w:lvl w:ilvl="0">
      <w:lvlJc w:val="left"/>
      <w:lvlText w:val="**"/>
      <w:numFmt w:val="bullet"/>
      <w:start w:val="1"/>
    </w:lvl>
    <w:lvl w:ilvl="1">
      <w:lvlJc w:val="left"/>
      <w:lvlText w:val="%2"/>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26" Type="http://schemas.openxmlformats.org/officeDocument/2006/relationships/hyperlink" Target="https://www.sec.gov/Archives/edgar/data/1808220/000119312520224832/d935246dex31.htm" TargetMode="External"/><Relationship Id="rId127" Type="http://schemas.openxmlformats.org/officeDocument/2006/relationships/hyperlink" Target="https://www.sec.gov/Archives/edgar/data/1808220/000119312520224832/d935246dex32.htm" TargetMode="External"/><Relationship Id="rId128" Type="http://schemas.openxmlformats.org/officeDocument/2006/relationships/hyperlink" Target="https://www.sec.gov/Archives/edgar/data/1808220/000119312522250700/d299834dex31.htm" TargetMode="External"/><Relationship Id="rId129" Type="http://schemas.openxmlformats.org/officeDocument/2006/relationships/hyperlink" Target="https://www.sec.gov/Archives/edgar/data/1808220/000119312522250700/d299834dex32.htm" TargetMode="External"/><Relationship Id="rId130" Type="http://schemas.openxmlformats.org/officeDocument/2006/relationships/hyperlink" Target="https://www.sec.gov/Archives/edgar/data/1808220/000119312520173051/d797183dex41.htm" TargetMode="External"/><Relationship Id="rId131" Type="http://schemas.openxmlformats.org/officeDocument/2006/relationships/hyperlink" Target="https://www.sec.gov/Archives/edgar/data/1808220/000180822024000017/gohealth-amendmentno11a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2024-05-09T08:19:45Z</dcterms:created>
  <dcterms:modified xsi:type="dcterms:W3CDTF">2024-05-09T08:19:45Z</dcterms:modified>
</cp:coreProperties>
</file>